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C20B2D" w14:textId="77777777" w:rsidR="005B63D3" w:rsidRPr="00EE5BC3" w:rsidRDefault="005B63D3" w:rsidP="005B63D3">
      <w:pPr>
        <w:jc w:val="center"/>
        <w:rPr>
          <w:b/>
          <w:sz w:val="28"/>
          <w:szCs w:val="28"/>
        </w:rPr>
      </w:pPr>
      <w:r w:rsidRPr="00EE5BC3">
        <w:rPr>
          <w:b/>
          <w:sz w:val="28"/>
          <w:szCs w:val="28"/>
        </w:rPr>
        <w:t>Task 4</w:t>
      </w:r>
    </w:p>
    <w:p w14:paraId="4933A1AD" w14:textId="77777777" w:rsidR="005B63D3" w:rsidRPr="00EE5BC3" w:rsidRDefault="005B63D3" w:rsidP="005B63D3">
      <w:pPr>
        <w:jc w:val="center"/>
        <w:rPr>
          <w:b/>
          <w:sz w:val="28"/>
          <w:szCs w:val="28"/>
        </w:rPr>
      </w:pPr>
    </w:p>
    <w:p w14:paraId="5CCE4C01" w14:textId="77777777" w:rsidR="005B63D3" w:rsidRPr="00EE5BC3" w:rsidRDefault="005B63D3" w:rsidP="005B63D3">
      <w:pPr>
        <w:jc w:val="center"/>
        <w:rPr>
          <w:b/>
          <w:sz w:val="28"/>
          <w:szCs w:val="28"/>
        </w:rPr>
      </w:pPr>
      <w:r w:rsidRPr="00EE5BC3">
        <w:rPr>
          <w:b/>
          <w:sz w:val="28"/>
          <w:szCs w:val="28"/>
        </w:rPr>
        <w:t>Safeguarding</w:t>
      </w:r>
      <w:r>
        <w:rPr>
          <w:b/>
          <w:sz w:val="28"/>
          <w:szCs w:val="28"/>
        </w:rPr>
        <w:t xml:space="preserve"> in an area which is not your main area of work</w:t>
      </w:r>
    </w:p>
    <w:p w14:paraId="71469A40" w14:textId="77777777" w:rsidR="005B63D3" w:rsidRPr="008B28E7" w:rsidRDefault="005B63D3" w:rsidP="005B63D3">
      <w:pPr>
        <w:jc w:val="both"/>
        <w:rPr>
          <w:b/>
          <w:sz w:val="24"/>
          <w:szCs w:val="24"/>
        </w:rPr>
      </w:pPr>
    </w:p>
    <w:p w14:paraId="3C988BED" w14:textId="77777777" w:rsidR="005B63D3" w:rsidRPr="00EE5BC3" w:rsidRDefault="005B63D3" w:rsidP="005B63D3">
      <w:pPr>
        <w:ind w:left="-90"/>
        <w:jc w:val="both"/>
        <w:rPr>
          <w:b/>
          <w:i/>
          <w:sz w:val="24"/>
          <w:szCs w:val="24"/>
        </w:rPr>
      </w:pPr>
      <w:r w:rsidRPr="00EE5BC3">
        <w:rPr>
          <w:b/>
          <w:i/>
          <w:sz w:val="24"/>
          <w:szCs w:val="24"/>
        </w:rPr>
        <w:t xml:space="preserve">Guidance: </w:t>
      </w:r>
    </w:p>
    <w:p w14:paraId="433CD48B" w14:textId="77777777" w:rsidR="005B63D3" w:rsidRPr="00706BB5" w:rsidRDefault="005B63D3" w:rsidP="005B63D3">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children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0FB2C359" w14:textId="77777777" w:rsidR="005B63D3" w:rsidRPr="008B28E7" w:rsidRDefault="005B63D3" w:rsidP="005B63D3">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B63D3" w:rsidRPr="008B28E7" w14:paraId="374563C4" w14:textId="77777777" w:rsidTr="00D05AC7">
        <w:tc>
          <w:tcPr>
            <w:tcW w:w="10188" w:type="dxa"/>
            <w:shd w:val="clear" w:color="auto" w:fill="auto"/>
          </w:tcPr>
          <w:p w14:paraId="57FCE18E" w14:textId="77777777" w:rsidR="005B63D3" w:rsidRPr="00EB695F" w:rsidRDefault="005B63D3" w:rsidP="00D05AC7">
            <w:pPr>
              <w:jc w:val="both"/>
              <w:rPr>
                <w:b/>
                <w:sz w:val="24"/>
                <w:szCs w:val="24"/>
              </w:rPr>
            </w:pPr>
            <w:r w:rsidRPr="00EB695F">
              <w:rPr>
                <w:b/>
                <w:sz w:val="24"/>
                <w:szCs w:val="24"/>
              </w:rPr>
              <w:t>Question</w:t>
            </w:r>
            <w:r>
              <w:rPr>
                <w:b/>
                <w:sz w:val="24"/>
                <w:szCs w:val="24"/>
              </w:rPr>
              <w:t xml:space="preserve"> a:</w:t>
            </w:r>
          </w:p>
          <w:p w14:paraId="1B65F595" w14:textId="77777777" w:rsidR="005B63D3" w:rsidRDefault="005B63D3" w:rsidP="00D05AC7">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318B054F" w14:textId="77777777" w:rsidR="005B63D3" w:rsidRDefault="005B63D3" w:rsidP="00D05AC7">
            <w:pPr>
              <w:jc w:val="both"/>
              <w:rPr>
                <w:sz w:val="24"/>
                <w:szCs w:val="24"/>
              </w:rPr>
            </w:pPr>
          </w:p>
          <w:p w14:paraId="0F2496D2" w14:textId="77777777" w:rsidR="005B63D3" w:rsidRPr="005B63D3" w:rsidRDefault="005B63D3" w:rsidP="005B63D3">
            <w:pPr>
              <w:overflowPunct/>
              <w:autoSpaceDE/>
              <w:autoSpaceDN/>
              <w:adjustRightInd/>
              <w:spacing w:after="160" w:line="480" w:lineRule="auto"/>
              <w:jc w:val="both"/>
              <w:textAlignment w:val="auto"/>
              <w:rPr>
                <w:rFonts w:eastAsiaTheme="minorHAnsi"/>
                <w:color w:val="auto"/>
                <w:sz w:val="24"/>
                <w:szCs w:val="24"/>
                <w:lang w:eastAsia="en-US"/>
              </w:rPr>
            </w:pPr>
            <w:r w:rsidRPr="005B63D3">
              <w:rPr>
                <w:rFonts w:eastAsiaTheme="minorHAnsi"/>
                <w:color w:val="auto"/>
                <w:sz w:val="24"/>
                <w:szCs w:val="24"/>
                <w:lang w:eastAsia="en-US"/>
              </w:rPr>
              <w:t xml:space="preserve">According to Social Services and Wellbeing (Wales) Act 2014 </w:t>
            </w:r>
            <w:r w:rsidRPr="005B63D3">
              <w:rPr>
                <w:rFonts w:eastAsiaTheme="minorHAnsi"/>
                <w:sz w:val="24"/>
                <w:szCs w:val="24"/>
                <w:shd w:val="clear" w:color="auto" w:fill="FFFFFF"/>
                <w:lang w:eastAsia="en-US"/>
              </w:rPr>
              <w:t>(SSWBA),</w:t>
            </w:r>
            <w:r w:rsidRPr="005B63D3">
              <w:rPr>
                <w:rFonts w:eastAsiaTheme="minorHAnsi"/>
                <w:color w:val="auto"/>
                <w:sz w:val="24"/>
                <w:szCs w:val="24"/>
                <w:lang w:eastAsia="en-US"/>
              </w:rPr>
              <w:t xml:space="preserve"> a child is anyone under the age of 18 (Social Care Wales, 2022). Although health and social care professionals, working with children should be mindful of the maturity of the child in relation to giving consent. Children grow and develop at different pace, consequently their views and wishes must be listened to, promoting respectful acknowledgement that they are developing adults (United Nations Convention 1989). As a result, practitioners in the UK commonly acknowledge Gillick competence within their practice as this helps to balance children’s wishes and outcomes, whilst supporting to keep them safe (NSPCC, 2022). Gillick competence is the efficiency of a child under 16 being able to make mature decision without parental consent (Gillick, 1986</w:t>
            </w:r>
            <w:bookmarkStart w:id="0" w:name="_Hlk127301458"/>
            <w:r w:rsidRPr="005B63D3">
              <w:rPr>
                <w:rFonts w:eastAsiaTheme="minorHAnsi"/>
                <w:color w:val="auto"/>
                <w:sz w:val="24"/>
                <w:szCs w:val="24"/>
                <w:lang w:eastAsia="en-US"/>
              </w:rPr>
              <w:t>). Although professionals must consider several factors when assessing a child’s capacity to make decisions of their own. For example, in the case of safeguarding a child, when assessing Gillick competence, practitioners should be mindful of any previous safety concerns or risk factors. Furthermore, the information must be shared even if this is against the child’s wishes (Social Care Wales, 2022).</w:t>
            </w:r>
          </w:p>
          <w:bookmarkEnd w:id="0"/>
          <w:p w14:paraId="09BABDD9" w14:textId="77777777" w:rsidR="005B63D3" w:rsidRPr="005B63D3" w:rsidRDefault="005B63D3" w:rsidP="005B63D3">
            <w:pPr>
              <w:overflowPunct/>
              <w:autoSpaceDE/>
              <w:autoSpaceDN/>
              <w:adjustRightInd/>
              <w:spacing w:after="160" w:line="480" w:lineRule="auto"/>
              <w:jc w:val="both"/>
              <w:textAlignment w:val="auto"/>
              <w:rPr>
                <w:rFonts w:eastAsiaTheme="minorHAnsi"/>
                <w:sz w:val="24"/>
                <w:szCs w:val="24"/>
                <w:shd w:val="clear" w:color="auto" w:fill="FFFFFF"/>
                <w:lang w:eastAsia="en-US"/>
              </w:rPr>
            </w:pPr>
            <w:r w:rsidRPr="005B63D3">
              <w:rPr>
                <w:rFonts w:eastAsiaTheme="minorHAnsi"/>
                <w:sz w:val="24"/>
                <w:szCs w:val="24"/>
                <w:shd w:val="clear" w:color="auto" w:fill="FFFFFF"/>
                <w:lang w:eastAsia="en-US"/>
              </w:rPr>
              <w:lastRenderedPageBreak/>
              <w:t xml:space="preserve">According to Social Care Wales (2022), “safeguarding means preventing and protecting children and adults at risk from abuse or neglect and educating those around them to recognise the signs and dangers.” Part 7 (131) </w:t>
            </w:r>
            <w:bookmarkStart w:id="1" w:name="_Hlk127297890"/>
            <w:r w:rsidRPr="005B63D3">
              <w:rPr>
                <w:rFonts w:eastAsiaTheme="minorHAnsi"/>
                <w:sz w:val="24"/>
                <w:szCs w:val="24"/>
                <w:shd w:val="clear" w:color="auto" w:fill="FFFFFF"/>
                <w:lang w:eastAsia="en-US"/>
              </w:rPr>
              <w:t xml:space="preserve">(SSWBA) </w:t>
            </w:r>
            <w:bookmarkEnd w:id="1"/>
            <w:r w:rsidRPr="005B63D3">
              <w:rPr>
                <w:rFonts w:eastAsiaTheme="minorHAnsi"/>
                <w:sz w:val="24"/>
                <w:szCs w:val="24"/>
                <w:shd w:val="clear" w:color="auto" w:fill="FFFFFF"/>
                <w:lang w:eastAsia="en-US"/>
              </w:rPr>
              <w:t>states, that the role of the practitioner is to have regard to guidance’s given in relation to fostering wellbeing and safeguarding children at risk (Welsh Government, 2022). A child at risk is classified as a child who is undergoing or in danger of abuse, neglect maltreatment, which means practitioners have a duty to prevent abuse, neglect or harm, hence early intervention is paramount (Safeguarding Wales, 2022). Abuse to a child may include, physical, psychological, emotional, and sexual abuse, for example hitting, humiliation, sexual activities involving a child, which is not an exhaustive list (Social Care Wales, 2022).</w:t>
            </w:r>
          </w:p>
          <w:p w14:paraId="5C11F337" w14:textId="300CB220" w:rsidR="005B63D3" w:rsidRPr="005B63D3" w:rsidRDefault="005B63D3" w:rsidP="005B63D3">
            <w:pPr>
              <w:overflowPunct/>
              <w:autoSpaceDE/>
              <w:autoSpaceDN/>
              <w:adjustRightInd/>
              <w:spacing w:after="160" w:line="480" w:lineRule="auto"/>
              <w:jc w:val="both"/>
              <w:textAlignment w:val="auto"/>
              <w:rPr>
                <w:rFonts w:eastAsiaTheme="minorHAnsi"/>
                <w:color w:val="auto"/>
                <w:sz w:val="24"/>
                <w:szCs w:val="24"/>
                <w:lang w:eastAsia="en-US"/>
              </w:rPr>
            </w:pPr>
            <w:r w:rsidRPr="005B63D3">
              <w:rPr>
                <w:rFonts w:eastAsiaTheme="minorHAnsi"/>
                <w:sz w:val="24"/>
                <w:szCs w:val="24"/>
                <w:shd w:val="clear" w:color="auto" w:fill="FFFFFF"/>
                <w:lang w:eastAsia="en-US"/>
              </w:rPr>
              <w:t xml:space="preserve"> Accordingly, the Wales Safeguarding Procedures 2019, was established upon already existing statutory guidance of the SSWBA and delivers joint up protection procedure for safeguarding both children and adults in Wales. </w:t>
            </w:r>
            <w:r w:rsidR="00704CE1">
              <w:rPr>
                <w:rFonts w:eastAsiaTheme="minorHAnsi"/>
                <w:sz w:val="24"/>
                <w:szCs w:val="24"/>
                <w:shd w:val="clear" w:color="auto" w:fill="FFFFFF"/>
                <w:lang w:eastAsia="en-US"/>
              </w:rPr>
              <w:t>Which</w:t>
            </w:r>
            <w:r w:rsidRPr="005B63D3">
              <w:rPr>
                <w:rFonts w:eastAsiaTheme="minorHAnsi"/>
                <w:sz w:val="24"/>
                <w:szCs w:val="24"/>
                <w:shd w:val="clear" w:color="auto" w:fill="FFFFFF"/>
                <w:lang w:eastAsia="en-US"/>
              </w:rPr>
              <w:t xml:space="preserve"> replaces previous All Wales Child Protection Procedures (Welsh, Government, 2022).  The Children Act 1989 section 47 is initiated in the event of concerns of significant harm or the likelihood of it. Although much of the act still applies in Wales, part 6 of the </w:t>
            </w:r>
            <w:r w:rsidRPr="005B63D3">
              <w:rPr>
                <w:rFonts w:eastAsiaTheme="minorHAnsi"/>
                <w:color w:val="auto"/>
                <w:sz w:val="24"/>
                <w:szCs w:val="24"/>
                <w:lang w:eastAsia="en-US"/>
              </w:rPr>
              <w:t xml:space="preserve">Social Services and Well-being (Wales) Act 2014 replaces part </w:t>
            </w:r>
            <w:r w:rsidRPr="005B63D3">
              <w:rPr>
                <w:rFonts w:eastAsiaTheme="minorHAnsi"/>
                <w:sz w:val="24"/>
                <w:szCs w:val="24"/>
                <w:shd w:val="clear" w:color="auto" w:fill="FFFFFF"/>
                <w:lang w:eastAsia="en-US"/>
              </w:rPr>
              <w:t xml:space="preserve">3 of the Children’s Act 1989 (Welsh Government 2022). In Wales the SSWBA provides framework for social services to allow individuals to have their own voice and control, and for practitioners to promote prevention and ensure early intervention (Social Care Wales). The update of the Children Act 2004, strengthen the existing act by promoting accountability and for agencies to work in partnership. Likewise, the inclusion of the </w:t>
            </w:r>
            <w:r w:rsidRPr="005B63D3">
              <w:rPr>
                <w:rFonts w:eastAsiaTheme="minorHAnsi"/>
                <w:color w:val="auto"/>
                <w:sz w:val="24"/>
                <w:szCs w:val="24"/>
                <w:lang w:eastAsia="en-US"/>
              </w:rPr>
              <w:t xml:space="preserve">Well-being of Future Generations (Wales) Act 2015 (Welsh </w:t>
            </w:r>
            <w:r w:rsidRPr="005B63D3">
              <w:rPr>
                <w:rFonts w:eastAsiaTheme="minorHAnsi"/>
                <w:color w:val="auto"/>
                <w:sz w:val="24"/>
                <w:szCs w:val="24"/>
                <w:lang w:eastAsia="en-US"/>
              </w:rPr>
              <w:lastRenderedPageBreak/>
              <w:t>Government 2022). Additional policy includes the Rights of Children and Young Persons (Wales) Measure 2011 adopted from United Nations Convention on the Rights of the Child, useful in reviewing legislative guidance in Wales (Welsh Government, 2022). The XX</w:t>
            </w:r>
            <w:r w:rsidR="00270B99">
              <w:rPr>
                <w:rFonts w:eastAsiaTheme="minorHAnsi"/>
                <w:color w:val="auto"/>
                <w:sz w:val="24"/>
                <w:szCs w:val="24"/>
                <w:lang w:eastAsia="en-US"/>
              </w:rPr>
              <w:t>XX</w:t>
            </w:r>
            <w:r w:rsidRPr="005B63D3">
              <w:rPr>
                <w:rFonts w:eastAsiaTheme="minorHAnsi"/>
                <w:color w:val="auto"/>
                <w:sz w:val="24"/>
                <w:szCs w:val="24"/>
                <w:lang w:eastAsia="en-US"/>
              </w:rPr>
              <w:t xml:space="preserve"> Authority has its own Safeguarding Board and incorporates multi agency partnership with statutory agencies, like police, education, and health, and oversees the overall effectiveness of its partners and agencies.</w:t>
            </w:r>
          </w:p>
          <w:p w14:paraId="37AC6677" w14:textId="77777777" w:rsidR="005B63D3" w:rsidRPr="005B63D3" w:rsidRDefault="005B63D3" w:rsidP="005B63D3">
            <w:pPr>
              <w:overflowPunct/>
              <w:autoSpaceDE/>
              <w:autoSpaceDN/>
              <w:adjustRightInd/>
              <w:spacing w:after="160" w:line="480" w:lineRule="auto"/>
              <w:jc w:val="both"/>
              <w:textAlignment w:val="auto"/>
              <w:rPr>
                <w:rFonts w:eastAsiaTheme="minorHAnsi"/>
                <w:b/>
                <w:bCs/>
                <w:color w:val="auto"/>
                <w:sz w:val="24"/>
                <w:szCs w:val="24"/>
                <w:lang w:eastAsia="en-US"/>
              </w:rPr>
            </w:pPr>
            <w:r w:rsidRPr="005B63D3">
              <w:rPr>
                <w:rFonts w:eastAsiaTheme="minorHAnsi"/>
                <w:b/>
                <w:bCs/>
                <w:color w:val="auto"/>
                <w:sz w:val="24"/>
                <w:szCs w:val="24"/>
                <w:lang w:eastAsia="en-US"/>
              </w:rPr>
              <w:t>(545 words)</w:t>
            </w:r>
          </w:p>
          <w:p w14:paraId="3D5779AC" w14:textId="77777777" w:rsidR="005B63D3" w:rsidRDefault="005B63D3" w:rsidP="00D05AC7">
            <w:pPr>
              <w:jc w:val="both"/>
              <w:rPr>
                <w:sz w:val="24"/>
                <w:szCs w:val="24"/>
              </w:rPr>
            </w:pPr>
          </w:p>
          <w:p w14:paraId="5FE38A62" w14:textId="77777777" w:rsidR="005B63D3" w:rsidRDefault="005B63D3" w:rsidP="00D05AC7">
            <w:pPr>
              <w:jc w:val="both"/>
              <w:rPr>
                <w:sz w:val="24"/>
                <w:szCs w:val="24"/>
              </w:rPr>
            </w:pPr>
          </w:p>
          <w:p w14:paraId="3740B5B5" w14:textId="77777777" w:rsidR="005B63D3" w:rsidRDefault="005B63D3" w:rsidP="00D05AC7">
            <w:pPr>
              <w:jc w:val="both"/>
              <w:rPr>
                <w:sz w:val="24"/>
                <w:szCs w:val="24"/>
              </w:rPr>
            </w:pPr>
          </w:p>
          <w:p w14:paraId="4887AE01" w14:textId="77777777" w:rsidR="005B63D3" w:rsidRDefault="005B63D3" w:rsidP="00D05AC7">
            <w:pPr>
              <w:jc w:val="both"/>
              <w:rPr>
                <w:sz w:val="24"/>
                <w:szCs w:val="24"/>
              </w:rPr>
            </w:pPr>
          </w:p>
          <w:p w14:paraId="182B409F" w14:textId="77777777" w:rsidR="005B63D3" w:rsidRDefault="005B63D3" w:rsidP="00D05AC7">
            <w:pPr>
              <w:jc w:val="both"/>
              <w:rPr>
                <w:sz w:val="24"/>
                <w:szCs w:val="24"/>
              </w:rPr>
            </w:pPr>
          </w:p>
          <w:p w14:paraId="4E5AC896" w14:textId="77777777" w:rsidR="005B63D3" w:rsidRDefault="005B63D3" w:rsidP="00D05AC7">
            <w:pPr>
              <w:jc w:val="both"/>
              <w:rPr>
                <w:sz w:val="24"/>
                <w:szCs w:val="24"/>
              </w:rPr>
            </w:pPr>
          </w:p>
          <w:p w14:paraId="0BCDFE82" w14:textId="77777777" w:rsidR="005B63D3" w:rsidRDefault="005B63D3" w:rsidP="00D05AC7">
            <w:pPr>
              <w:jc w:val="both"/>
              <w:rPr>
                <w:sz w:val="24"/>
                <w:szCs w:val="24"/>
              </w:rPr>
            </w:pPr>
          </w:p>
          <w:p w14:paraId="13BF003C" w14:textId="77777777" w:rsidR="005B63D3" w:rsidRDefault="005B63D3" w:rsidP="00D05AC7">
            <w:pPr>
              <w:jc w:val="both"/>
              <w:rPr>
                <w:i/>
                <w:sz w:val="24"/>
                <w:szCs w:val="24"/>
              </w:rPr>
            </w:pPr>
          </w:p>
          <w:p w14:paraId="5409A74A" w14:textId="41EBF266" w:rsidR="005B63D3" w:rsidRDefault="005B63D3" w:rsidP="00D05AC7">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163A88A" w14:textId="77777777" w:rsidR="005B63D3" w:rsidRPr="008B28E7" w:rsidRDefault="005B63D3" w:rsidP="00D05AC7">
            <w:pPr>
              <w:jc w:val="both"/>
              <w:rPr>
                <w:b/>
                <w:sz w:val="24"/>
                <w:szCs w:val="24"/>
              </w:rPr>
            </w:pPr>
          </w:p>
        </w:tc>
      </w:tr>
    </w:tbl>
    <w:p w14:paraId="7C11216E" w14:textId="77777777" w:rsidR="005B63D3" w:rsidRPr="008B28E7" w:rsidRDefault="005B63D3" w:rsidP="005B63D3">
      <w:pPr>
        <w:jc w:val="both"/>
        <w:rPr>
          <w:sz w:val="24"/>
          <w:szCs w:val="24"/>
        </w:rPr>
      </w:pPr>
    </w:p>
    <w:p w14:paraId="383C60E3" w14:textId="77777777" w:rsidR="005B63D3" w:rsidRPr="008B28E7" w:rsidRDefault="005B63D3" w:rsidP="005B63D3">
      <w:pPr>
        <w:jc w:val="both"/>
        <w:rPr>
          <w:sz w:val="24"/>
          <w:szCs w:val="24"/>
        </w:rPr>
      </w:pPr>
    </w:p>
    <w:p w14:paraId="7F5DBBE7" w14:textId="77777777" w:rsidR="005B63D3" w:rsidRDefault="005B63D3" w:rsidP="005B63D3">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B63D3" w:rsidRPr="008B28E7" w14:paraId="57344476" w14:textId="77777777" w:rsidTr="00D05AC7">
        <w:tc>
          <w:tcPr>
            <w:tcW w:w="10278" w:type="dxa"/>
            <w:shd w:val="clear" w:color="auto" w:fill="auto"/>
          </w:tcPr>
          <w:p w14:paraId="49FE8C25" w14:textId="77777777" w:rsidR="005B63D3" w:rsidRPr="00EB695F" w:rsidRDefault="005B63D3" w:rsidP="00D05AC7">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455351C4" w14:textId="2C8B3B5A" w:rsidR="005B63D3" w:rsidRDefault="005B63D3" w:rsidP="00D05AC7">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r>
              <w:rPr>
                <w:sz w:val="24"/>
                <w:szCs w:val="24"/>
              </w:rPr>
              <w:t>.</w:t>
            </w:r>
          </w:p>
          <w:p w14:paraId="7470AC5B" w14:textId="77777777" w:rsidR="005B63D3" w:rsidRDefault="005B63D3" w:rsidP="00D05AC7">
            <w:pPr>
              <w:jc w:val="both"/>
              <w:rPr>
                <w:sz w:val="24"/>
                <w:szCs w:val="24"/>
              </w:rPr>
            </w:pPr>
          </w:p>
          <w:p w14:paraId="28749C61" w14:textId="77777777" w:rsidR="005B63D3" w:rsidRDefault="005B63D3" w:rsidP="00D05AC7">
            <w:pPr>
              <w:jc w:val="both"/>
              <w:rPr>
                <w:sz w:val="24"/>
                <w:szCs w:val="24"/>
              </w:rPr>
            </w:pPr>
          </w:p>
          <w:p w14:paraId="16368029" w14:textId="77777777" w:rsidR="005B63D3" w:rsidRPr="005B63D3" w:rsidRDefault="005B63D3" w:rsidP="005B63D3">
            <w:pPr>
              <w:overflowPunct/>
              <w:autoSpaceDE/>
              <w:autoSpaceDN/>
              <w:adjustRightInd/>
              <w:spacing w:after="160" w:line="480" w:lineRule="auto"/>
              <w:jc w:val="both"/>
              <w:textAlignment w:val="auto"/>
              <w:rPr>
                <w:rFonts w:eastAsiaTheme="minorHAnsi"/>
                <w:color w:val="auto"/>
                <w:sz w:val="24"/>
                <w:szCs w:val="24"/>
                <w:lang w:eastAsia="en-US"/>
              </w:rPr>
            </w:pPr>
            <w:r w:rsidRPr="005B63D3">
              <w:rPr>
                <w:rFonts w:eastAsiaTheme="minorHAnsi"/>
                <w:color w:val="auto"/>
                <w:sz w:val="24"/>
                <w:szCs w:val="24"/>
                <w:lang w:eastAsia="en-US"/>
              </w:rPr>
              <w:t>Although the SSWBA underpins social care in Wales for both adult and children, and there are similarities when adhering to the process of protecting and safeguarding adults and children at risk, to include prevention, early intervention and safeguarding being everyone’s obligation. There are differences to note within the (Wales Safeguarding Procedures, 2019) (WSP19), in the matter of safeguarding children, the Children’s Act 1989 legislation is used also used (Social Care Wales, 2022).</w:t>
            </w:r>
          </w:p>
          <w:p w14:paraId="43DF68C8" w14:textId="0F7F7BFA" w:rsidR="005B63D3" w:rsidRPr="005B63D3" w:rsidRDefault="005B63D3" w:rsidP="005B63D3">
            <w:pPr>
              <w:overflowPunct/>
              <w:autoSpaceDE/>
              <w:autoSpaceDN/>
              <w:adjustRightInd/>
              <w:spacing w:after="160" w:line="480" w:lineRule="auto"/>
              <w:jc w:val="both"/>
              <w:textAlignment w:val="auto"/>
              <w:rPr>
                <w:rFonts w:eastAsiaTheme="minorHAnsi"/>
                <w:color w:val="auto"/>
                <w:sz w:val="24"/>
                <w:szCs w:val="24"/>
                <w:lang w:eastAsia="en-US"/>
              </w:rPr>
            </w:pPr>
            <w:r w:rsidRPr="005B63D3">
              <w:rPr>
                <w:rFonts w:eastAsiaTheme="minorHAnsi"/>
                <w:color w:val="auto"/>
                <w:sz w:val="24"/>
                <w:szCs w:val="24"/>
                <w:lang w:eastAsia="en-US"/>
              </w:rPr>
              <w:lastRenderedPageBreak/>
              <w:t xml:space="preserve">When safeguarding adults, practitioners must gain consent from the individual, unless there is evidence that said adult lacks capacity to consent. Consent according to WSP19 </w:t>
            </w:r>
            <w:r w:rsidR="007B06F1" w:rsidRPr="005B63D3">
              <w:rPr>
                <w:rFonts w:eastAsiaTheme="minorHAnsi"/>
                <w:color w:val="auto"/>
                <w:sz w:val="24"/>
                <w:szCs w:val="24"/>
                <w:lang w:eastAsia="en-US"/>
              </w:rPr>
              <w:t>is when</w:t>
            </w:r>
            <w:r w:rsidRPr="005B63D3">
              <w:rPr>
                <w:rFonts w:eastAsiaTheme="minorHAnsi"/>
                <w:color w:val="auto"/>
                <w:sz w:val="24"/>
                <w:szCs w:val="24"/>
                <w:lang w:eastAsia="en-US"/>
              </w:rPr>
              <w:t xml:space="preserve"> an individual makes competent decision to give their authorisation. This mirrors the ethos of the SSWBA, which reiterates that individuals should be given autonomy over their lives. As a result, the Mental Capacity Act 2015 (MCA15) asserts that individuals are allowed to make unwise decisions.  The Mental Capacity Act 2015 (MCA15) states that individuals must be assumed to have capacity to make decision unless it is otherwise evidenced that they are unable to do so (Mental Capacity Act, 2015).</w:t>
            </w:r>
          </w:p>
          <w:p w14:paraId="6CC389DC" w14:textId="3E5504DB" w:rsidR="005B63D3" w:rsidRPr="005B63D3" w:rsidRDefault="005B63D3" w:rsidP="005B63D3">
            <w:pPr>
              <w:overflowPunct/>
              <w:autoSpaceDE/>
              <w:autoSpaceDN/>
              <w:adjustRightInd/>
              <w:spacing w:after="160" w:line="480" w:lineRule="auto"/>
              <w:jc w:val="both"/>
              <w:textAlignment w:val="auto"/>
              <w:rPr>
                <w:rFonts w:eastAsiaTheme="minorHAnsi"/>
                <w:color w:val="auto"/>
                <w:sz w:val="24"/>
                <w:szCs w:val="24"/>
                <w:lang w:eastAsia="en-US"/>
              </w:rPr>
            </w:pPr>
            <w:r w:rsidRPr="005B63D3">
              <w:rPr>
                <w:rFonts w:eastAsiaTheme="minorHAnsi"/>
                <w:color w:val="auto"/>
                <w:sz w:val="24"/>
                <w:szCs w:val="24"/>
                <w:lang w:eastAsia="en-US"/>
              </w:rPr>
              <w:t xml:space="preserve"> Meanwhile in safeguarding children, safety is utmost, hence consent is not required for intervention around abuse or neglect, in accordance with the Children Act, 1989</w:t>
            </w:r>
            <w:r w:rsidR="00270B99">
              <w:rPr>
                <w:rFonts w:eastAsiaTheme="minorHAnsi"/>
                <w:color w:val="auto"/>
                <w:sz w:val="24"/>
                <w:szCs w:val="24"/>
                <w:lang w:eastAsia="en-US"/>
              </w:rPr>
              <w:t>.</w:t>
            </w:r>
            <w:r w:rsidRPr="005B63D3">
              <w:rPr>
                <w:rFonts w:eastAsiaTheme="minorHAnsi"/>
                <w:color w:val="auto"/>
                <w:sz w:val="24"/>
                <w:szCs w:val="24"/>
                <w:lang w:eastAsia="en-US"/>
              </w:rPr>
              <w:t xml:space="preserve"> </w:t>
            </w:r>
            <w:r w:rsidR="00270B99">
              <w:rPr>
                <w:rFonts w:eastAsiaTheme="minorHAnsi"/>
                <w:color w:val="auto"/>
                <w:sz w:val="24"/>
                <w:szCs w:val="24"/>
                <w:lang w:eastAsia="en-US"/>
              </w:rPr>
              <w:t>Additionally,</w:t>
            </w:r>
            <w:r w:rsidRPr="005B63D3">
              <w:rPr>
                <w:rFonts w:eastAsiaTheme="minorHAnsi"/>
                <w:color w:val="auto"/>
                <w:sz w:val="24"/>
                <w:szCs w:val="24"/>
                <w:lang w:eastAsia="en-US"/>
              </w:rPr>
              <w:t xml:space="preserve"> the MCA15 is not </w:t>
            </w:r>
            <w:r w:rsidR="00270B99" w:rsidRPr="005B63D3">
              <w:rPr>
                <w:rFonts w:eastAsiaTheme="minorHAnsi"/>
                <w:color w:val="auto"/>
                <w:sz w:val="24"/>
                <w:szCs w:val="24"/>
                <w:lang w:eastAsia="en-US"/>
              </w:rPr>
              <w:t>related</w:t>
            </w:r>
            <w:r w:rsidRPr="005B63D3">
              <w:rPr>
                <w:rFonts w:eastAsiaTheme="minorHAnsi"/>
                <w:color w:val="auto"/>
                <w:sz w:val="24"/>
                <w:szCs w:val="24"/>
                <w:lang w:eastAsia="en-US"/>
              </w:rPr>
              <w:t xml:space="preserve"> to children under 16 yrs. Although professionals must </w:t>
            </w:r>
            <w:r w:rsidR="00270B99" w:rsidRPr="005B63D3">
              <w:rPr>
                <w:rFonts w:eastAsiaTheme="minorHAnsi"/>
                <w:color w:val="auto"/>
                <w:sz w:val="24"/>
                <w:szCs w:val="24"/>
                <w:lang w:eastAsia="en-US"/>
              </w:rPr>
              <w:t>think about</w:t>
            </w:r>
            <w:r w:rsidRPr="005B63D3">
              <w:rPr>
                <w:rFonts w:eastAsiaTheme="minorHAnsi"/>
                <w:color w:val="auto"/>
                <w:sz w:val="24"/>
                <w:szCs w:val="24"/>
                <w:lang w:eastAsia="en-US"/>
              </w:rPr>
              <w:t xml:space="preserve"> various factors when assessing a child’s ability to make decisions independently.  For example, in the case of safeguarding a child, when assessing Gillick competence, practitioners should be mindful of any previous safety concerns or risk factors. Although, the child’s voice must be heard and they should be put at the centre of any decision making, in spite of age or understanding, in order to build trust, foster person centred practice and navigate the child’s personal outcome (Munroe, 2019). </w:t>
            </w:r>
          </w:p>
          <w:p w14:paraId="248CA885" w14:textId="77777777" w:rsidR="005B63D3" w:rsidRPr="005B63D3" w:rsidRDefault="005B63D3" w:rsidP="005B63D3">
            <w:pPr>
              <w:overflowPunct/>
              <w:autoSpaceDE/>
              <w:autoSpaceDN/>
              <w:adjustRightInd/>
              <w:spacing w:after="160" w:line="480" w:lineRule="auto"/>
              <w:jc w:val="both"/>
              <w:textAlignment w:val="auto"/>
              <w:rPr>
                <w:rFonts w:eastAsiaTheme="minorHAnsi"/>
                <w:color w:val="auto"/>
                <w:sz w:val="24"/>
                <w:szCs w:val="24"/>
                <w:lang w:eastAsia="en-US"/>
              </w:rPr>
            </w:pPr>
            <w:r w:rsidRPr="005B63D3">
              <w:rPr>
                <w:rFonts w:eastAsiaTheme="minorHAnsi"/>
                <w:color w:val="auto"/>
                <w:sz w:val="24"/>
                <w:szCs w:val="24"/>
                <w:lang w:eastAsia="en-US"/>
              </w:rPr>
              <w:t xml:space="preserve">In ascertaining ‘what matters’ to individuals’ practitioners should have a collaborative conversation with individuals, by using efficient communication skills, and capitalise on individuals’ strengths to support them to meet outcomes and promote wellbeing (Beckett and Maynard, 2009). Still, well-being duty is shared between the individual and the practitioner (Social Care Wales, 2019). Although in the case of a child, it is </w:t>
            </w:r>
            <w:r w:rsidRPr="005B63D3">
              <w:rPr>
                <w:rFonts w:eastAsiaTheme="minorHAnsi"/>
                <w:color w:val="auto"/>
                <w:sz w:val="24"/>
                <w:szCs w:val="24"/>
                <w:lang w:eastAsia="en-US"/>
              </w:rPr>
              <w:lastRenderedPageBreak/>
              <w:t>the responsibility of all adults concerned to safeguard children and promote wellbeing and welfare (Social Care Wales).</w:t>
            </w:r>
          </w:p>
          <w:p w14:paraId="4329C9DD" w14:textId="77777777" w:rsidR="005B63D3" w:rsidRPr="005B63D3" w:rsidRDefault="005B63D3" w:rsidP="005B63D3">
            <w:pPr>
              <w:overflowPunct/>
              <w:autoSpaceDE/>
              <w:autoSpaceDN/>
              <w:adjustRightInd/>
              <w:spacing w:after="160" w:line="480" w:lineRule="auto"/>
              <w:jc w:val="both"/>
              <w:textAlignment w:val="auto"/>
              <w:rPr>
                <w:rFonts w:eastAsiaTheme="minorHAnsi"/>
                <w:b/>
                <w:bCs/>
                <w:color w:val="auto"/>
                <w:sz w:val="24"/>
                <w:szCs w:val="24"/>
                <w:lang w:eastAsia="en-US"/>
              </w:rPr>
            </w:pPr>
            <w:r w:rsidRPr="005B63D3">
              <w:rPr>
                <w:rFonts w:eastAsiaTheme="minorHAnsi"/>
                <w:b/>
                <w:bCs/>
                <w:color w:val="auto"/>
                <w:sz w:val="24"/>
                <w:szCs w:val="24"/>
                <w:lang w:eastAsia="en-US"/>
              </w:rPr>
              <w:t>(376 words).</w:t>
            </w:r>
          </w:p>
          <w:p w14:paraId="3531EB11" w14:textId="77777777" w:rsidR="005B63D3" w:rsidRPr="005B63D3" w:rsidRDefault="005B63D3" w:rsidP="005B63D3">
            <w:pPr>
              <w:overflowPunct/>
              <w:autoSpaceDE/>
              <w:autoSpaceDN/>
              <w:adjustRightInd/>
              <w:spacing w:after="160" w:line="480" w:lineRule="auto"/>
              <w:jc w:val="both"/>
              <w:textAlignment w:val="auto"/>
              <w:rPr>
                <w:rFonts w:eastAsiaTheme="minorHAnsi"/>
                <w:color w:val="auto"/>
                <w:sz w:val="24"/>
                <w:szCs w:val="24"/>
                <w:lang w:eastAsia="en-US"/>
              </w:rPr>
            </w:pPr>
          </w:p>
          <w:p w14:paraId="1C9FF65A" w14:textId="77777777" w:rsidR="005B63D3" w:rsidRDefault="005B63D3" w:rsidP="00D05AC7">
            <w:pPr>
              <w:jc w:val="both"/>
              <w:rPr>
                <w:sz w:val="24"/>
                <w:szCs w:val="24"/>
              </w:rPr>
            </w:pPr>
          </w:p>
          <w:p w14:paraId="3FBAAE9E" w14:textId="77777777" w:rsidR="005B63D3" w:rsidRDefault="005B63D3" w:rsidP="00D05AC7">
            <w:pPr>
              <w:jc w:val="both"/>
              <w:rPr>
                <w:sz w:val="24"/>
                <w:szCs w:val="24"/>
              </w:rPr>
            </w:pPr>
          </w:p>
          <w:p w14:paraId="77C9A7A8" w14:textId="77777777" w:rsidR="005B63D3" w:rsidRDefault="005B63D3" w:rsidP="00D05AC7">
            <w:pPr>
              <w:jc w:val="both"/>
              <w:rPr>
                <w:sz w:val="24"/>
                <w:szCs w:val="24"/>
              </w:rPr>
            </w:pPr>
          </w:p>
          <w:p w14:paraId="0E31C415" w14:textId="77777777" w:rsidR="005B63D3" w:rsidRDefault="005B63D3" w:rsidP="00D05AC7">
            <w:pPr>
              <w:jc w:val="both"/>
              <w:rPr>
                <w:sz w:val="24"/>
                <w:szCs w:val="24"/>
              </w:rPr>
            </w:pPr>
          </w:p>
          <w:p w14:paraId="263C0A69" w14:textId="77777777" w:rsidR="005B63D3" w:rsidRDefault="005B63D3" w:rsidP="00D05AC7">
            <w:pPr>
              <w:jc w:val="both"/>
              <w:rPr>
                <w:sz w:val="24"/>
                <w:szCs w:val="24"/>
              </w:rPr>
            </w:pPr>
          </w:p>
          <w:p w14:paraId="68681B22" w14:textId="77777777" w:rsidR="005B63D3" w:rsidRDefault="005B63D3" w:rsidP="00D05AC7">
            <w:pPr>
              <w:jc w:val="both"/>
              <w:rPr>
                <w:sz w:val="24"/>
                <w:szCs w:val="24"/>
              </w:rPr>
            </w:pPr>
          </w:p>
          <w:p w14:paraId="7CE5E201" w14:textId="77777777" w:rsidR="005B63D3" w:rsidRDefault="005B63D3" w:rsidP="00D05AC7">
            <w:pPr>
              <w:jc w:val="both"/>
              <w:rPr>
                <w:sz w:val="24"/>
                <w:szCs w:val="24"/>
              </w:rPr>
            </w:pPr>
          </w:p>
          <w:p w14:paraId="1A1C4DD5" w14:textId="77777777" w:rsidR="005B63D3" w:rsidRDefault="005B63D3" w:rsidP="00D05AC7">
            <w:pPr>
              <w:jc w:val="both"/>
              <w:rPr>
                <w:sz w:val="24"/>
                <w:szCs w:val="24"/>
              </w:rPr>
            </w:pPr>
          </w:p>
          <w:p w14:paraId="4AE29575" w14:textId="77777777" w:rsidR="005B63D3" w:rsidRPr="006108C9" w:rsidRDefault="005B63D3" w:rsidP="00D05AC7">
            <w:pPr>
              <w:jc w:val="both"/>
              <w:rPr>
                <w:sz w:val="24"/>
                <w:szCs w:val="24"/>
              </w:rPr>
            </w:pPr>
          </w:p>
          <w:p w14:paraId="718C825E" w14:textId="77777777" w:rsidR="005B63D3" w:rsidRDefault="005B63D3" w:rsidP="00D05AC7">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36723A53" w14:textId="77777777" w:rsidR="005B63D3" w:rsidRPr="006108C9" w:rsidRDefault="005B63D3" w:rsidP="00D05AC7">
            <w:pPr>
              <w:jc w:val="both"/>
              <w:rPr>
                <w:sz w:val="24"/>
                <w:szCs w:val="24"/>
              </w:rPr>
            </w:pPr>
          </w:p>
        </w:tc>
      </w:tr>
    </w:tbl>
    <w:p w14:paraId="0B33598F" w14:textId="77777777" w:rsidR="005B63D3" w:rsidRDefault="005B63D3" w:rsidP="005B63D3">
      <w:pPr>
        <w:jc w:val="both"/>
        <w:rPr>
          <w:sz w:val="24"/>
          <w:szCs w:val="24"/>
        </w:rPr>
      </w:pPr>
    </w:p>
    <w:p w14:paraId="4BFF6BA3" w14:textId="77777777" w:rsidR="005B63D3" w:rsidRDefault="005B63D3" w:rsidP="005B63D3">
      <w:pPr>
        <w:jc w:val="both"/>
        <w:rPr>
          <w:sz w:val="24"/>
          <w:szCs w:val="24"/>
        </w:rPr>
      </w:pPr>
    </w:p>
    <w:p w14:paraId="20D117E5" w14:textId="77777777" w:rsidR="005B63D3" w:rsidRDefault="005B63D3" w:rsidP="005B63D3">
      <w:pPr>
        <w:rPr>
          <w:sz w:val="24"/>
          <w:szCs w:val="24"/>
        </w:rPr>
      </w:pPr>
    </w:p>
    <w:p w14:paraId="360E0D23" w14:textId="77777777" w:rsidR="001117C2" w:rsidRDefault="001117C2"/>
    <w:sectPr w:rsidR="001117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3D3"/>
    <w:rsid w:val="001117C2"/>
    <w:rsid w:val="0021022C"/>
    <w:rsid w:val="00270B99"/>
    <w:rsid w:val="005B63D3"/>
    <w:rsid w:val="00704CE1"/>
    <w:rsid w:val="007B0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C0211"/>
  <w15:chartTrackingRefBased/>
  <w15:docId w15:val="{C178611D-0A14-4ED1-9BC9-7D418E186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63D3"/>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5</Pages>
  <Words>1064</Words>
  <Characters>6067</Characters>
  <Application>Microsoft Office Word</Application>
  <DocSecurity>0</DocSecurity>
  <Lines>50</Lines>
  <Paragraphs>14</Paragraphs>
  <ScaleCrop>false</ScaleCrop>
  <Company/>
  <LinksUpToDate>false</LinksUpToDate>
  <CharactersWithSpaces>7117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IPHIA PEARCE</dc:creator>
  <cp:keywords/>
  <dc:description/>
  <cp:lastModifiedBy>IPHIA PEARCE</cp:lastModifiedBy>
  <cp:revision>5</cp:revision>
  <dcterms:created xsi:type="dcterms:W3CDTF">2023-02-23T01:32:00Z</dcterms:created>
  <dcterms:modified xsi:type="dcterms:W3CDTF">2023-02-23T01:47:00Z</dcterms:modified>
</cp:coreProperties>
</file>