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5720" w:rsidRPr="00D9670A" w:rsidRDefault="00F3131B" w:rsidP="00CE0A5C">
      <w:pPr>
        <w:spacing w:line="360" w:lineRule="auto"/>
        <w:jc w:val="both"/>
        <w:rPr>
          <w:rFonts w:ascii="Times New Roman" w:hAnsi="Times New Roman" w:cs="Times New Roman"/>
          <w:sz w:val="24"/>
          <w:szCs w:val="24"/>
        </w:rPr>
      </w:pPr>
      <w:r w:rsidRPr="00D9670A">
        <w:rPr>
          <w:rFonts w:ascii="Times New Roman" w:hAnsi="Times New Roman" w:cs="Times New Roman"/>
          <w:sz w:val="24"/>
          <w:szCs w:val="24"/>
        </w:rPr>
        <w:t>For this document analysis I shall be looki</w:t>
      </w:r>
      <w:r w:rsidR="00CE6A48" w:rsidRPr="00D9670A">
        <w:rPr>
          <w:rFonts w:ascii="Times New Roman" w:hAnsi="Times New Roman" w:cs="Times New Roman"/>
          <w:sz w:val="24"/>
          <w:szCs w:val="24"/>
        </w:rPr>
        <w:t xml:space="preserve">ng at the Immanuel Kant’s work </w:t>
      </w:r>
      <w:r w:rsidR="00CE6A48" w:rsidRPr="00D9670A">
        <w:rPr>
          <w:rFonts w:ascii="Times New Roman" w:hAnsi="Times New Roman" w:cs="Times New Roman"/>
          <w:i/>
          <w:sz w:val="24"/>
          <w:szCs w:val="24"/>
        </w:rPr>
        <w:t>‘</w:t>
      </w:r>
      <w:r w:rsidRPr="00D9670A">
        <w:rPr>
          <w:rFonts w:ascii="Times New Roman" w:hAnsi="Times New Roman" w:cs="Times New Roman"/>
          <w:i/>
          <w:sz w:val="24"/>
          <w:szCs w:val="24"/>
        </w:rPr>
        <w:t xml:space="preserve">An Answer to the </w:t>
      </w:r>
      <w:r w:rsidR="00CE6A48" w:rsidRPr="00D9670A">
        <w:rPr>
          <w:rFonts w:ascii="Times New Roman" w:hAnsi="Times New Roman" w:cs="Times New Roman"/>
          <w:i/>
          <w:sz w:val="24"/>
          <w:szCs w:val="24"/>
        </w:rPr>
        <w:t>Question: What is Enlightenment?’</w:t>
      </w:r>
      <w:r w:rsidR="00CE6A48" w:rsidRPr="00D9670A">
        <w:rPr>
          <w:rFonts w:ascii="Times New Roman" w:hAnsi="Times New Roman" w:cs="Times New Roman"/>
          <w:sz w:val="24"/>
          <w:szCs w:val="24"/>
        </w:rPr>
        <w:t>.</w:t>
      </w:r>
      <w:r w:rsidR="00B875F3" w:rsidRPr="00D9670A">
        <w:rPr>
          <w:rFonts w:ascii="Times New Roman" w:hAnsi="Times New Roman" w:cs="Times New Roman"/>
          <w:sz w:val="24"/>
          <w:szCs w:val="24"/>
        </w:rPr>
        <w:t xml:space="preserve"> </w:t>
      </w:r>
      <w:r w:rsidR="00CE6A48" w:rsidRPr="00D9670A">
        <w:rPr>
          <w:rFonts w:ascii="Times New Roman" w:hAnsi="Times New Roman" w:cs="Times New Roman"/>
          <w:sz w:val="24"/>
          <w:szCs w:val="24"/>
        </w:rPr>
        <w:t>For</w:t>
      </w:r>
      <w:r w:rsidR="00B875F3" w:rsidRPr="00D9670A">
        <w:rPr>
          <w:rFonts w:ascii="Times New Roman" w:hAnsi="Times New Roman" w:cs="Times New Roman"/>
          <w:sz w:val="24"/>
          <w:szCs w:val="24"/>
        </w:rPr>
        <w:t xml:space="preserve"> this document analysis we shall be reading from a copy translated by H.B. Nisbet</w:t>
      </w:r>
      <w:r w:rsidR="00C83499" w:rsidRPr="00D9670A">
        <w:rPr>
          <w:rFonts w:ascii="Times New Roman" w:hAnsi="Times New Roman" w:cs="Times New Roman"/>
          <w:sz w:val="24"/>
          <w:szCs w:val="24"/>
        </w:rPr>
        <w:t>,</w:t>
      </w:r>
      <w:r w:rsidR="0061107C" w:rsidRPr="00D9670A">
        <w:rPr>
          <w:rFonts w:ascii="Times New Roman" w:hAnsi="Times New Roman" w:cs="Times New Roman"/>
          <w:sz w:val="24"/>
          <w:szCs w:val="24"/>
        </w:rPr>
        <w:t xml:space="preserve"> publishe</w:t>
      </w:r>
      <w:r w:rsidR="00B875F3" w:rsidRPr="00D9670A">
        <w:rPr>
          <w:rFonts w:ascii="Times New Roman" w:hAnsi="Times New Roman" w:cs="Times New Roman"/>
          <w:sz w:val="24"/>
          <w:szCs w:val="24"/>
        </w:rPr>
        <w:t>d by Penguin Books in 2009</w:t>
      </w:r>
      <w:r w:rsidRPr="00D9670A">
        <w:rPr>
          <w:rFonts w:ascii="Times New Roman" w:hAnsi="Times New Roman" w:cs="Times New Roman"/>
          <w:sz w:val="24"/>
          <w:szCs w:val="24"/>
        </w:rPr>
        <w:t xml:space="preserve">. </w:t>
      </w:r>
      <w:r w:rsidR="00D95AC8" w:rsidRPr="00D9670A">
        <w:rPr>
          <w:rFonts w:ascii="Times New Roman" w:hAnsi="Times New Roman" w:cs="Times New Roman"/>
          <w:sz w:val="24"/>
          <w:szCs w:val="24"/>
        </w:rPr>
        <w:t>Immanuel Kant wa</w:t>
      </w:r>
      <w:r w:rsidR="00B875F3" w:rsidRPr="00D9670A">
        <w:rPr>
          <w:rFonts w:ascii="Times New Roman" w:hAnsi="Times New Roman" w:cs="Times New Roman"/>
          <w:sz w:val="24"/>
          <w:szCs w:val="24"/>
        </w:rPr>
        <w:t>s born in Kö</w:t>
      </w:r>
      <w:r w:rsidR="00A65A38" w:rsidRPr="00D9670A">
        <w:rPr>
          <w:rFonts w:ascii="Times New Roman" w:hAnsi="Times New Roman" w:cs="Times New Roman"/>
          <w:sz w:val="24"/>
          <w:szCs w:val="24"/>
        </w:rPr>
        <w:t>nigsberg</w:t>
      </w:r>
      <w:r w:rsidR="00153816" w:rsidRPr="00D9670A">
        <w:rPr>
          <w:rFonts w:ascii="Times New Roman" w:hAnsi="Times New Roman" w:cs="Times New Roman"/>
          <w:sz w:val="24"/>
          <w:szCs w:val="24"/>
        </w:rPr>
        <w:t>,</w:t>
      </w:r>
      <w:r w:rsidR="00A65A38" w:rsidRPr="00D9670A">
        <w:rPr>
          <w:rFonts w:ascii="Times New Roman" w:hAnsi="Times New Roman" w:cs="Times New Roman"/>
          <w:sz w:val="24"/>
          <w:szCs w:val="24"/>
        </w:rPr>
        <w:t xml:space="preserve"> capital of East</w:t>
      </w:r>
      <w:r w:rsidR="00153816" w:rsidRPr="00D9670A">
        <w:rPr>
          <w:rFonts w:ascii="Times New Roman" w:hAnsi="Times New Roman" w:cs="Times New Roman"/>
          <w:sz w:val="24"/>
          <w:szCs w:val="24"/>
        </w:rPr>
        <w:t xml:space="preserve"> Prussia, </w:t>
      </w:r>
      <w:r w:rsidR="00A65A38" w:rsidRPr="00D9670A">
        <w:rPr>
          <w:rFonts w:ascii="Times New Roman" w:hAnsi="Times New Roman" w:cs="Times New Roman"/>
          <w:sz w:val="24"/>
          <w:szCs w:val="24"/>
        </w:rPr>
        <w:t>(Now called Kaliningrad and part of Russia)</w:t>
      </w:r>
      <w:r w:rsidR="00153816" w:rsidRPr="00D9670A">
        <w:rPr>
          <w:rFonts w:ascii="Times New Roman" w:hAnsi="Times New Roman" w:cs="Times New Roman"/>
          <w:sz w:val="24"/>
          <w:szCs w:val="24"/>
        </w:rPr>
        <w:t xml:space="preserve"> </w:t>
      </w:r>
      <w:r w:rsidR="00D95AC8" w:rsidRPr="00D9670A">
        <w:rPr>
          <w:rFonts w:ascii="Times New Roman" w:hAnsi="Times New Roman" w:cs="Times New Roman"/>
          <w:sz w:val="24"/>
          <w:szCs w:val="24"/>
        </w:rPr>
        <w:t>in 1724 and lived until 1804.</w:t>
      </w:r>
      <w:r w:rsidR="00D95AC8" w:rsidRPr="00D9670A">
        <w:rPr>
          <w:rStyle w:val="FootnoteReference"/>
          <w:rFonts w:ascii="Times New Roman" w:hAnsi="Times New Roman" w:cs="Times New Roman"/>
          <w:sz w:val="24"/>
          <w:szCs w:val="24"/>
        </w:rPr>
        <w:footnoteReference w:id="1"/>
      </w:r>
      <w:r w:rsidR="00153816" w:rsidRPr="00D9670A">
        <w:rPr>
          <w:rFonts w:ascii="Times New Roman" w:hAnsi="Times New Roman" w:cs="Times New Roman"/>
          <w:sz w:val="24"/>
          <w:szCs w:val="24"/>
        </w:rPr>
        <w:t xml:space="preserve"> Kant was born to ignoble </w:t>
      </w:r>
      <w:r w:rsidR="00736521" w:rsidRPr="00D9670A">
        <w:rPr>
          <w:rFonts w:ascii="Times New Roman" w:hAnsi="Times New Roman" w:cs="Times New Roman"/>
          <w:sz w:val="24"/>
          <w:szCs w:val="24"/>
        </w:rPr>
        <w:t xml:space="preserve">artisan </w:t>
      </w:r>
      <w:r w:rsidR="00153816" w:rsidRPr="00D9670A">
        <w:rPr>
          <w:rFonts w:ascii="Times New Roman" w:hAnsi="Times New Roman" w:cs="Times New Roman"/>
          <w:sz w:val="24"/>
          <w:szCs w:val="24"/>
        </w:rPr>
        <w:t>beginnings</w:t>
      </w:r>
      <w:r w:rsidR="00736521" w:rsidRPr="00D9670A">
        <w:rPr>
          <w:rFonts w:ascii="Times New Roman" w:hAnsi="Times New Roman" w:cs="Times New Roman"/>
          <w:sz w:val="24"/>
          <w:szCs w:val="24"/>
        </w:rPr>
        <w:t>,</w:t>
      </w:r>
      <w:r w:rsidR="00153816" w:rsidRPr="00D9670A">
        <w:rPr>
          <w:rFonts w:ascii="Times New Roman" w:hAnsi="Times New Roman" w:cs="Times New Roman"/>
          <w:sz w:val="24"/>
          <w:szCs w:val="24"/>
        </w:rPr>
        <w:t xml:space="preserve"> his father</w:t>
      </w:r>
      <w:r w:rsidR="00736521" w:rsidRPr="00D9670A">
        <w:rPr>
          <w:rFonts w:ascii="Times New Roman" w:hAnsi="Times New Roman" w:cs="Times New Roman"/>
          <w:sz w:val="24"/>
          <w:szCs w:val="24"/>
        </w:rPr>
        <w:t xml:space="preserve"> a harness maker by trade and to a mother who was the daughter of a harness maker, (albeit a higher educated female than the majority of the social class).</w:t>
      </w:r>
      <w:r w:rsidR="00736521" w:rsidRPr="00D9670A">
        <w:rPr>
          <w:rStyle w:val="FootnoteReference"/>
          <w:rFonts w:ascii="Times New Roman" w:hAnsi="Times New Roman" w:cs="Times New Roman"/>
          <w:sz w:val="24"/>
          <w:szCs w:val="24"/>
        </w:rPr>
        <w:footnoteReference w:id="2"/>
      </w:r>
      <w:r w:rsidR="001970EB" w:rsidRPr="00D9670A">
        <w:rPr>
          <w:rFonts w:ascii="Times New Roman" w:hAnsi="Times New Roman" w:cs="Times New Roman"/>
          <w:sz w:val="24"/>
          <w:szCs w:val="24"/>
        </w:rPr>
        <w:t xml:space="preserve"> Kant was</w:t>
      </w:r>
      <w:r w:rsidR="00B06C5C" w:rsidRPr="00D9670A">
        <w:rPr>
          <w:rFonts w:ascii="Times New Roman" w:hAnsi="Times New Roman" w:cs="Times New Roman"/>
          <w:sz w:val="24"/>
          <w:szCs w:val="24"/>
        </w:rPr>
        <w:t xml:space="preserve"> part of a large family having been</w:t>
      </w:r>
      <w:r w:rsidR="001970EB" w:rsidRPr="00D9670A">
        <w:rPr>
          <w:rFonts w:ascii="Times New Roman" w:hAnsi="Times New Roman" w:cs="Times New Roman"/>
          <w:sz w:val="24"/>
          <w:szCs w:val="24"/>
        </w:rPr>
        <w:t xml:space="preserve"> born the fourth of nine</w:t>
      </w:r>
      <w:r w:rsidR="00B06C5C" w:rsidRPr="00D9670A">
        <w:rPr>
          <w:rFonts w:ascii="Times New Roman" w:hAnsi="Times New Roman" w:cs="Times New Roman"/>
          <w:sz w:val="24"/>
          <w:szCs w:val="24"/>
        </w:rPr>
        <w:t xml:space="preserve"> children.</w:t>
      </w:r>
      <w:r w:rsidR="001970EB" w:rsidRPr="00D9670A">
        <w:rPr>
          <w:rFonts w:ascii="Times New Roman" w:hAnsi="Times New Roman" w:cs="Times New Roman"/>
          <w:sz w:val="24"/>
          <w:szCs w:val="24"/>
        </w:rPr>
        <w:t xml:space="preserve"> </w:t>
      </w:r>
      <w:r w:rsidR="00736521" w:rsidRPr="00D9670A">
        <w:rPr>
          <w:rFonts w:ascii="Times New Roman" w:hAnsi="Times New Roman" w:cs="Times New Roman"/>
          <w:sz w:val="24"/>
          <w:szCs w:val="24"/>
        </w:rPr>
        <w:t xml:space="preserve"> </w:t>
      </w:r>
      <w:r w:rsidR="00CE6A48" w:rsidRPr="00D9670A">
        <w:rPr>
          <w:rFonts w:ascii="Times New Roman" w:hAnsi="Times New Roman" w:cs="Times New Roman"/>
          <w:i/>
          <w:sz w:val="24"/>
          <w:szCs w:val="24"/>
        </w:rPr>
        <w:t>‘</w:t>
      </w:r>
      <w:r w:rsidR="0046310D" w:rsidRPr="00D9670A">
        <w:rPr>
          <w:rFonts w:ascii="Times New Roman" w:hAnsi="Times New Roman" w:cs="Times New Roman"/>
          <w:i/>
          <w:sz w:val="24"/>
          <w:szCs w:val="24"/>
        </w:rPr>
        <w:t>An Answer to the q</w:t>
      </w:r>
      <w:r w:rsidR="00CE6A48" w:rsidRPr="00D9670A">
        <w:rPr>
          <w:rFonts w:ascii="Times New Roman" w:hAnsi="Times New Roman" w:cs="Times New Roman"/>
          <w:i/>
          <w:sz w:val="24"/>
          <w:szCs w:val="24"/>
        </w:rPr>
        <w:t>uestion: What is Enlightenment?’</w:t>
      </w:r>
      <w:r w:rsidR="001970EB" w:rsidRPr="00D9670A">
        <w:rPr>
          <w:rFonts w:ascii="Times New Roman" w:hAnsi="Times New Roman" w:cs="Times New Roman"/>
          <w:sz w:val="24"/>
          <w:szCs w:val="24"/>
        </w:rPr>
        <w:t xml:space="preserve"> was written by Kant in 1784. </w:t>
      </w:r>
      <w:r w:rsidR="0046310D" w:rsidRPr="00D9670A">
        <w:rPr>
          <w:rFonts w:ascii="Times New Roman" w:hAnsi="Times New Roman" w:cs="Times New Roman"/>
          <w:sz w:val="24"/>
          <w:szCs w:val="24"/>
        </w:rPr>
        <w:t xml:space="preserve">Kant never left Prussia </w:t>
      </w:r>
      <w:r w:rsidR="001970EB" w:rsidRPr="00D9670A">
        <w:rPr>
          <w:rFonts w:ascii="Times New Roman" w:hAnsi="Times New Roman" w:cs="Times New Roman"/>
          <w:sz w:val="24"/>
          <w:szCs w:val="24"/>
        </w:rPr>
        <w:t>nor</w:t>
      </w:r>
      <w:r w:rsidR="0046310D" w:rsidRPr="00D9670A">
        <w:rPr>
          <w:rFonts w:ascii="Times New Roman" w:hAnsi="Times New Roman" w:cs="Times New Roman"/>
          <w:sz w:val="24"/>
          <w:szCs w:val="24"/>
        </w:rPr>
        <w:t xml:space="preserve"> </w:t>
      </w:r>
      <w:r w:rsidR="00B875F3" w:rsidRPr="00D9670A">
        <w:rPr>
          <w:rFonts w:ascii="Times New Roman" w:hAnsi="Times New Roman" w:cs="Times New Roman"/>
          <w:sz w:val="24"/>
          <w:szCs w:val="24"/>
        </w:rPr>
        <w:t>Kö</w:t>
      </w:r>
      <w:r w:rsidR="0046310D" w:rsidRPr="00D9670A">
        <w:rPr>
          <w:rFonts w:ascii="Times New Roman" w:hAnsi="Times New Roman" w:cs="Times New Roman"/>
          <w:sz w:val="24"/>
          <w:szCs w:val="24"/>
        </w:rPr>
        <w:t xml:space="preserve">nigsberg </w:t>
      </w:r>
      <w:r w:rsidR="001970EB" w:rsidRPr="00D9670A">
        <w:rPr>
          <w:rFonts w:ascii="Times New Roman" w:hAnsi="Times New Roman" w:cs="Times New Roman"/>
          <w:sz w:val="24"/>
          <w:szCs w:val="24"/>
        </w:rPr>
        <w:t xml:space="preserve">for that matter </w:t>
      </w:r>
      <w:r w:rsidR="0046310D" w:rsidRPr="00D9670A">
        <w:rPr>
          <w:rFonts w:ascii="Times New Roman" w:hAnsi="Times New Roman" w:cs="Times New Roman"/>
          <w:sz w:val="24"/>
          <w:szCs w:val="24"/>
        </w:rPr>
        <w:t>in the</w:t>
      </w:r>
      <w:r w:rsidR="001970EB" w:rsidRPr="00D9670A">
        <w:rPr>
          <w:rFonts w:ascii="Times New Roman" w:hAnsi="Times New Roman" w:cs="Times New Roman"/>
          <w:sz w:val="24"/>
          <w:szCs w:val="24"/>
        </w:rPr>
        <w:t xml:space="preserve"> entirety of his 79 years of his life, so it is safe to presume that this piece of w</w:t>
      </w:r>
      <w:r w:rsidR="00B875F3" w:rsidRPr="00D9670A">
        <w:rPr>
          <w:rFonts w:ascii="Times New Roman" w:hAnsi="Times New Roman" w:cs="Times New Roman"/>
          <w:sz w:val="24"/>
          <w:szCs w:val="24"/>
        </w:rPr>
        <w:t>ork by Kant was written in Kö</w:t>
      </w:r>
      <w:r w:rsidR="00CE6A48" w:rsidRPr="00D9670A">
        <w:rPr>
          <w:rFonts w:ascii="Times New Roman" w:hAnsi="Times New Roman" w:cs="Times New Roman"/>
          <w:sz w:val="24"/>
          <w:szCs w:val="24"/>
        </w:rPr>
        <w:t>nigsberg.</w:t>
      </w:r>
      <w:r w:rsidR="001970EB" w:rsidRPr="00D9670A">
        <w:rPr>
          <w:rStyle w:val="FootnoteReference"/>
          <w:rFonts w:ascii="Times New Roman" w:hAnsi="Times New Roman" w:cs="Times New Roman"/>
          <w:sz w:val="24"/>
          <w:szCs w:val="24"/>
        </w:rPr>
        <w:footnoteReference w:id="3"/>
      </w:r>
      <w:r w:rsidR="001970EB" w:rsidRPr="00D9670A">
        <w:rPr>
          <w:rFonts w:ascii="Times New Roman" w:hAnsi="Times New Roman" w:cs="Times New Roman"/>
          <w:sz w:val="24"/>
          <w:szCs w:val="24"/>
        </w:rPr>
        <w:t xml:space="preserve"> His essay originally written in Prussian</w:t>
      </w:r>
      <w:r w:rsidR="00C83499" w:rsidRPr="00D9670A">
        <w:rPr>
          <w:rFonts w:ascii="Times New Roman" w:hAnsi="Times New Roman" w:cs="Times New Roman"/>
          <w:sz w:val="24"/>
          <w:szCs w:val="24"/>
        </w:rPr>
        <w:t>,</w:t>
      </w:r>
      <w:r w:rsidR="001970EB" w:rsidRPr="00D9670A">
        <w:rPr>
          <w:rFonts w:ascii="Times New Roman" w:hAnsi="Times New Roman" w:cs="Times New Roman"/>
          <w:sz w:val="24"/>
          <w:szCs w:val="24"/>
        </w:rPr>
        <w:t xml:space="preserve"> was entitled </w:t>
      </w:r>
      <w:r w:rsidR="00CE6A48" w:rsidRPr="00D9670A">
        <w:rPr>
          <w:rFonts w:ascii="Times New Roman" w:hAnsi="Times New Roman" w:cs="Times New Roman"/>
          <w:i/>
          <w:sz w:val="24"/>
          <w:szCs w:val="24"/>
        </w:rPr>
        <w:t>‘</w:t>
      </w:r>
      <w:r w:rsidR="001970EB" w:rsidRPr="00D9670A">
        <w:rPr>
          <w:rFonts w:ascii="Times New Roman" w:hAnsi="Times New Roman" w:cs="Times New Roman"/>
          <w:i/>
          <w:sz w:val="24"/>
          <w:szCs w:val="24"/>
        </w:rPr>
        <w:t>Beantwortung der Frage: Was ist Aufkl</w:t>
      </w:r>
      <w:r w:rsidR="00B875F3" w:rsidRPr="00D9670A">
        <w:rPr>
          <w:rFonts w:ascii="Times New Roman" w:hAnsi="Times New Roman" w:cs="Times New Roman"/>
          <w:i/>
          <w:sz w:val="24"/>
          <w:szCs w:val="24"/>
        </w:rPr>
        <w:t>ä</w:t>
      </w:r>
      <w:r w:rsidR="001970EB" w:rsidRPr="00D9670A">
        <w:rPr>
          <w:rFonts w:ascii="Times New Roman" w:hAnsi="Times New Roman" w:cs="Times New Roman"/>
          <w:i/>
          <w:sz w:val="24"/>
          <w:szCs w:val="24"/>
        </w:rPr>
        <w:t>rung</w:t>
      </w:r>
      <w:r w:rsidR="00CE6A48" w:rsidRPr="00D9670A">
        <w:rPr>
          <w:rFonts w:ascii="Times New Roman" w:hAnsi="Times New Roman" w:cs="Times New Roman"/>
          <w:i/>
          <w:sz w:val="24"/>
          <w:szCs w:val="24"/>
        </w:rPr>
        <w:t>’</w:t>
      </w:r>
      <w:r w:rsidR="00C83499" w:rsidRPr="00D9670A">
        <w:rPr>
          <w:rFonts w:ascii="Times New Roman" w:hAnsi="Times New Roman" w:cs="Times New Roman"/>
          <w:sz w:val="24"/>
          <w:szCs w:val="24"/>
        </w:rPr>
        <w:t>,</w:t>
      </w:r>
      <w:r w:rsidR="00B875F3" w:rsidRPr="00D9670A">
        <w:rPr>
          <w:rFonts w:ascii="Times New Roman" w:hAnsi="Times New Roman" w:cs="Times New Roman"/>
          <w:sz w:val="24"/>
          <w:szCs w:val="24"/>
        </w:rPr>
        <w:t xml:space="preserve"> </w:t>
      </w:r>
      <w:r w:rsidR="00C83499" w:rsidRPr="00D9670A">
        <w:rPr>
          <w:rFonts w:ascii="Times New Roman" w:hAnsi="Times New Roman" w:cs="Times New Roman"/>
          <w:sz w:val="24"/>
          <w:szCs w:val="24"/>
        </w:rPr>
        <w:t>and was published in the German j</w:t>
      </w:r>
      <w:r w:rsidR="00B875F3" w:rsidRPr="00D9670A">
        <w:rPr>
          <w:rFonts w:ascii="Times New Roman" w:hAnsi="Times New Roman" w:cs="Times New Roman"/>
          <w:sz w:val="24"/>
          <w:szCs w:val="24"/>
        </w:rPr>
        <w:t xml:space="preserve">ournal called </w:t>
      </w:r>
      <w:r w:rsidR="00CE6A48" w:rsidRPr="00D9670A">
        <w:rPr>
          <w:rFonts w:ascii="Times New Roman" w:hAnsi="Times New Roman" w:cs="Times New Roman"/>
          <w:i/>
          <w:sz w:val="24"/>
          <w:szCs w:val="24"/>
        </w:rPr>
        <w:t>‘</w:t>
      </w:r>
      <w:r w:rsidR="00B875F3" w:rsidRPr="00D9670A">
        <w:rPr>
          <w:rFonts w:ascii="Times New Roman" w:hAnsi="Times New Roman" w:cs="Times New Roman"/>
          <w:i/>
          <w:sz w:val="24"/>
          <w:szCs w:val="24"/>
        </w:rPr>
        <w:t>Berlinische Monatsschrift</w:t>
      </w:r>
      <w:r w:rsidR="00CE6A48" w:rsidRPr="00D9670A">
        <w:rPr>
          <w:rFonts w:ascii="Times New Roman" w:hAnsi="Times New Roman" w:cs="Times New Roman"/>
          <w:i/>
          <w:sz w:val="24"/>
          <w:szCs w:val="24"/>
        </w:rPr>
        <w:t>’</w:t>
      </w:r>
      <w:r w:rsidR="00B875F3" w:rsidRPr="00D9670A">
        <w:rPr>
          <w:rFonts w:ascii="Times New Roman" w:hAnsi="Times New Roman" w:cs="Times New Roman"/>
          <w:i/>
          <w:sz w:val="24"/>
          <w:szCs w:val="24"/>
        </w:rPr>
        <w:t xml:space="preserve"> </w:t>
      </w:r>
      <w:r w:rsidR="00B875F3" w:rsidRPr="00D9670A">
        <w:rPr>
          <w:rFonts w:ascii="Times New Roman" w:hAnsi="Times New Roman" w:cs="Times New Roman"/>
          <w:sz w:val="24"/>
          <w:szCs w:val="24"/>
        </w:rPr>
        <w:t>(translated as Berlin Monthly)</w:t>
      </w:r>
      <w:r w:rsidR="00C83499" w:rsidRPr="00D9670A">
        <w:rPr>
          <w:rFonts w:ascii="Times New Roman" w:hAnsi="Times New Roman" w:cs="Times New Roman"/>
          <w:sz w:val="24"/>
          <w:szCs w:val="24"/>
        </w:rPr>
        <w:t xml:space="preserve"> on pages 481 to 494</w:t>
      </w:r>
      <w:r w:rsidR="004D2AC7" w:rsidRPr="00D9670A">
        <w:rPr>
          <w:rFonts w:ascii="Times New Roman" w:hAnsi="Times New Roman" w:cs="Times New Roman"/>
          <w:sz w:val="24"/>
          <w:szCs w:val="24"/>
        </w:rPr>
        <w:t xml:space="preserve"> of volume 12</w:t>
      </w:r>
      <w:r w:rsidR="00B875F3" w:rsidRPr="00D9670A">
        <w:rPr>
          <w:rFonts w:ascii="Times New Roman" w:hAnsi="Times New Roman" w:cs="Times New Roman"/>
          <w:sz w:val="24"/>
          <w:szCs w:val="24"/>
        </w:rPr>
        <w:t>,</w:t>
      </w:r>
      <w:r w:rsidR="00C83499" w:rsidRPr="00D9670A">
        <w:rPr>
          <w:rFonts w:ascii="Times New Roman" w:hAnsi="Times New Roman" w:cs="Times New Roman"/>
          <w:sz w:val="24"/>
          <w:szCs w:val="24"/>
        </w:rPr>
        <w:t xml:space="preserve"> </w:t>
      </w:r>
      <w:r w:rsidR="00B875F3" w:rsidRPr="00D9670A">
        <w:rPr>
          <w:rFonts w:ascii="Times New Roman" w:hAnsi="Times New Roman" w:cs="Times New Roman"/>
          <w:sz w:val="24"/>
          <w:szCs w:val="24"/>
        </w:rPr>
        <w:t>published by Haude and Spener in Berlin in December of 1784</w:t>
      </w:r>
      <w:r w:rsidR="00C83499" w:rsidRPr="00D9670A">
        <w:rPr>
          <w:rFonts w:ascii="Times New Roman" w:hAnsi="Times New Roman" w:cs="Times New Roman"/>
          <w:sz w:val="24"/>
          <w:szCs w:val="24"/>
        </w:rPr>
        <w:t>.</w:t>
      </w:r>
      <w:r w:rsidR="00695720" w:rsidRPr="00D9670A">
        <w:rPr>
          <w:rStyle w:val="FootnoteReference"/>
          <w:rFonts w:ascii="Times New Roman" w:hAnsi="Times New Roman" w:cs="Times New Roman"/>
          <w:sz w:val="24"/>
          <w:szCs w:val="24"/>
        </w:rPr>
        <w:footnoteReference w:id="4"/>
      </w:r>
      <w:r w:rsidR="00387F8D" w:rsidRPr="00D9670A">
        <w:rPr>
          <w:rFonts w:ascii="Times New Roman" w:hAnsi="Times New Roman" w:cs="Times New Roman"/>
          <w:sz w:val="24"/>
          <w:szCs w:val="24"/>
        </w:rPr>
        <w:t xml:space="preserve"> The work is in reply to a piece </w:t>
      </w:r>
      <w:r w:rsidR="004D2AC7" w:rsidRPr="00D9670A">
        <w:rPr>
          <w:rFonts w:ascii="Times New Roman" w:hAnsi="Times New Roman" w:cs="Times New Roman"/>
          <w:sz w:val="24"/>
          <w:szCs w:val="24"/>
        </w:rPr>
        <w:t xml:space="preserve">written by Johann Friedrich Zoller entitled </w:t>
      </w:r>
      <w:r w:rsidR="00CE6A48" w:rsidRPr="00D9670A">
        <w:rPr>
          <w:rFonts w:ascii="Times New Roman" w:hAnsi="Times New Roman" w:cs="Times New Roman"/>
          <w:i/>
          <w:color w:val="000000"/>
          <w:sz w:val="24"/>
          <w:szCs w:val="24"/>
        </w:rPr>
        <w:t>‘</w:t>
      </w:r>
      <w:r w:rsidR="004D2AC7" w:rsidRPr="00D9670A">
        <w:rPr>
          <w:rFonts w:ascii="Times New Roman" w:hAnsi="Times New Roman" w:cs="Times New Roman"/>
          <w:i/>
          <w:color w:val="000000"/>
          <w:sz w:val="24"/>
          <w:szCs w:val="24"/>
        </w:rPr>
        <w:t xml:space="preserve">Ist es rathsam, das Ehebündniß nicht ferner </w:t>
      </w:r>
      <w:r w:rsidR="00CE6A48" w:rsidRPr="00D9670A">
        <w:rPr>
          <w:rFonts w:ascii="Times New Roman" w:hAnsi="Times New Roman" w:cs="Times New Roman"/>
          <w:i/>
          <w:color w:val="000000"/>
          <w:sz w:val="24"/>
          <w:szCs w:val="24"/>
        </w:rPr>
        <w:t>durch die Religion zu sanciren?’</w:t>
      </w:r>
      <w:r w:rsidR="00CE6A48" w:rsidRPr="00D9670A">
        <w:rPr>
          <w:rFonts w:ascii="Times New Roman" w:hAnsi="Times New Roman" w:cs="Times New Roman"/>
          <w:color w:val="000000"/>
          <w:sz w:val="24"/>
          <w:szCs w:val="24"/>
        </w:rPr>
        <w:t xml:space="preserve"> </w:t>
      </w:r>
      <w:r w:rsidR="00695720" w:rsidRPr="00D9670A">
        <w:rPr>
          <w:rFonts w:ascii="Times New Roman" w:hAnsi="Times New Roman" w:cs="Times New Roman"/>
          <w:color w:val="000000"/>
          <w:sz w:val="24"/>
          <w:szCs w:val="24"/>
        </w:rPr>
        <w:t>(translated as “Is it advisable not to further sainthood through religion?”). Zoller’s work appeared in an earlier volume (volume 2), of the</w:t>
      </w:r>
      <w:r w:rsidR="00695720" w:rsidRPr="00D9670A">
        <w:rPr>
          <w:rFonts w:ascii="Times New Roman" w:hAnsi="Times New Roman" w:cs="Times New Roman"/>
          <w:sz w:val="24"/>
          <w:szCs w:val="24"/>
        </w:rPr>
        <w:t xml:space="preserve"> </w:t>
      </w:r>
      <w:r w:rsidR="00CE6A48" w:rsidRPr="00D9670A">
        <w:rPr>
          <w:rFonts w:ascii="Times New Roman" w:hAnsi="Times New Roman" w:cs="Times New Roman"/>
          <w:i/>
          <w:sz w:val="24"/>
          <w:szCs w:val="24"/>
        </w:rPr>
        <w:t>‘</w:t>
      </w:r>
      <w:r w:rsidR="00695720" w:rsidRPr="00D9670A">
        <w:rPr>
          <w:rFonts w:ascii="Times New Roman" w:hAnsi="Times New Roman" w:cs="Times New Roman"/>
          <w:i/>
          <w:sz w:val="24"/>
          <w:szCs w:val="24"/>
        </w:rPr>
        <w:t>Berlinische Monatsschrift</w:t>
      </w:r>
      <w:r w:rsidR="00CE6A48" w:rsidRPr="00D9670A">
        <w:rPr>
          <w:rFonts w:ascii="Times New Roman" w:hAnsi="Times New Roman" w:cs="Times New Roman"/>
          <w:i/>
          <w:sz w:val="24"/>
          <w:szCs w:val="24"/>
        </w:rPr>
        <w:t>’</w:t>
      </w:r>
      <w:r w:rsidR="004D2AC7" w:rsidRPr="00D9670A">
        <w:rPr>
          <w:rFonts w:ascii="Times New Roman" w:hAnsi="Times New Roman" w:cs="Times New Roman"/>
          <w:i/>
          <w:sz w:val="24"/>
          <w:szCs w:val="24"/>
        </w:rPr>
        <w:t xml:space="preserve"> </w:t>
      </w:r>
      <w:r w:rsidR="004D2AC7" w:rsidRPr="00D9670A">
        <w:rPr>
          <w:rFonts w:ascii="Times New Roman" w:hAnsi="Times New Roman" w:cs="Times New Roman"/>
          <w:sz w:val="24"/>
          <w:szCs w:val="24"/>
        </w:rPr>
        <w:t xml:space="preserve">published in December </w:t>
      </w:r>
      <w:r w:rsidR="00695720" w:rsidRPr="00D9670A">
        <w:rPr>
          <w:rFonts w:ascii="Times New Roman" w:hAnsi="Times New Roman" w:cs="Times New Roman"/>
          <w:sz w:val="24"/>
          <w:szCs w:val="24"/>
        </w:rPr>
        <w:t xml:space="preserve">of </w:t>
      </w:r>
      <w:r w:rsidR="004D2AC7" w:rsidRPr="00D9670A">
        <w:rPr>
          <w:rFonts w:ascii="Times New Roman" w:hAnsi="Times New Roman" w:cs="Times New Roman"/>
          <w:sz w:val="24"/>
          <w:szCs w:val="24"/>
        </w:rPr>
        <w:t>1783, in which Zoller wrote in a footnote “What is Enlightenment?”</w:t>
      </w:r>
      <w:r w:rsidR="005E1B8E" w:rsidRPr="00D9670A">
        <w:rPr>
          <w:rFonts w:ascii="Times New Roman" w:hAnsi="Times New Roman" w:cs="Times New Roman"/>
          <w:sz w:val="24"/>
          <w:szCs w:val="24"/>
        </w:rPr>
        <w:t>. Zoller’s question and article received many replies</w:t>
      </w:r>
      <w:r w:rsidR="00525BA2" w:rsidRPr="00D9670A">
        <w:rPr>
          <w:rFonts w:ascii="Times New Roman" w:hAnsi="Times New Roman" w:cs="Times New Roman"/>
          <w:sz w:val="24"/>
          <w:szCs w:val="24"/>
        </w:rPr>
        <w:t>, h</w:t>
      </w:r>
      <w:r w:rsidR="005E1B8E" w:rsidRPr="00D9670A">
        <w:rPr>
          <w:rFonts w:ascii="Times New Roman" w:hAnsi="Times New Roman" w:cs="Times New Roman"/>
          <w:sz w:val="24"/>
          <w:szCs w:val="24"/>
        </w:rPr>
        <w:t>owever</w:t>
      </w:r>
      <w:r w:rsidR="00525BA2" w:rsidRPr="00D9670A">
        <w:rPr>
          <w:rFonts w:ascii="Times New Roman" w:hAnsi="Times New Roman" w:cs="Times New Roman"/>
          <w:sz w:val="24"/>
          <w:szCs w:val="24"/>
        </w:rPr>
        <w:t>,</w:t>
      </w:r>
      <w:r w:rsidR="005E1B8E" w:rsidRPr="00D9670A">
        <w:rPr>
          <w:rFonts w:ascii="Times New Roman" w:hAnsi="Times New Roman" w:cs="Times New Roman"/>
          <w:sz w:val="24"/>
          <w:szCs w:val="24"/>
        </w:rPr>
        <w:t xml:space="preserve"> the most prolific and famous reply is this work by Immanuel Kant.</w:t>
      </w:r>
      <w:r w:rsidR="00695720" w:rsidRPr="00D9670A">
        <w:rPr>
          <w:rFonts w:ascii="Times New Roman" w:hAnsi="Times New Roman" w:cs="Times New Roman"/>
          <w:sz w:val="24"/>
          <w:szCs w:val="24"/>
        </w:rPr>
        <w:t xml:space="preserve"> This question posed by Zoller gave Kant the title for his piece of work.</w:t>
      </w:r>
      <w:r w:rsidR="00E66F09" w:rsidRPr="00D9670A">
        <w:rPr>
          <w:rFonts w:ascii="Times New Roman" w:hAnsi="Times New Roman" w:cs="Times New Roman"/>
          <w:sz w:val="24"/>
          <w:szCs w:val="24"/>
        </w:rPr>
        <w:t xml:space="preserve"> </w:t>
      </w:r>
      <w:r w:rsidR="00CE0A5C" w:rsidRPr="00D9670A">
        <w:rPr>
          <w:rFonts w:ascii="Times New Roman" w:hAnsi="Times New Roman" w:cs="Times New Roman"/>
          <w:sz w:val="24"/>
          <w:szCs w:val="24"/>
        </w:rPr>
        <w:t>Kant’s work, as earlier stated, was printed in a</w:t>
      </w:r>
      <w:r w:rsidR="005E0BB1" w:rsidRPr="00D9670A">
        <w:rPr>
          <w:rFonts w:ascii="Times New Roman" w:hAnsi="Times New Roman" w:cs="Times New Roman"/>
          <w:sz w:val="24"/>
          <w:szCs w:val="24"/>
        </w:rPr>
        <w:t xml:space="preserve"> Journal which is comparable in </w:t>
      </w:r>
      <w:r w:rsidR="00CE0A5C" w:rsidRPr="00D9670A">
        <w:rPr>
          <w:rFonts w:ascii="Times New Roman" w:hAnsi="Times New Roman" w:cs="Times New Roman"/>
          <w:sz w:val="24"/>
          <w:szCs w:val="24"/>
        </w:rPr>
        <w:t>the modern era to a magazine. However, the population at the time of Kant’</w:t>
      </w:r>
      <w:r w:rsidR="005E0BB1" w:rsidRPr="00D9670A">
        <w:rPr>
          <w:rFonts w:ascii="Times New Roman" w:hAnsi="Times New Roman" w:cs="Times New Roman"/>
          <w:sz w:val="24"/>
          <w:szCs w:val="24"/>
        </w:rPr>
        <w:t>s writing</w:t>
      </w:r>
      <w:r w:rsidR="00CE0A5C" w:rsidRPr="00D9670A">
        <w:rPr>
          <w:rFonts w:ascii="Times New Roman" w:hAnsi="Times New Roman" w:cs="Times New Roman"/>
          <w:sz w:val="24"/>
          <w:szCs w:val="24"/>
        </w:rPr>
        <w:t xml:space="preserve"> were not incredibly literate and the type of Journal that the essay appeared in catere</w:t>
      </w:r>
      <w:r w:rsidR="005E0BB1" w:rsidRPr="00D9670A">
        <w:rPr>
          <w:rFonts w:ascii="Times New Roman" w:hAnsi="Times New Roman" w:cs="Times New Roman"/>
          <w:sz w:val="24"/>
          <w:szCs w:val="24"/>
        </w:rPr>
        <w:t>d to the more learned, higher intellect and enlightened individuals. The style of writing used by K</w:t>
      </w:r>
      <w:r w:rsidR="0065792F">
        <w:rPr>
          <w:rFonts w:ascii="Times New Roman" w:hAnsi="Times New Roman" w:cs="Times New Roman"/>
          <w:sz w:val="24"/>
          <w:szCs w:val="24"/>
        </w:rPr>
        <w:t>ant does make the work read and flow</w:t>
      </w:r>
      <w:r w:rsidR="005E0BB1" w:rsidRPr="00D9670A">
        <w:rPr>
          <w:rFonts w:ascii="Times New Roman" w:hAnsi="Times New Roman" w:cs="Times New Roman"/>
          <w:sz w:val="24"/>
          <w:szCs w:val="24"/>
        </w:rPr>
        <w:t xml:space="preserve"> quite easily, and along with the language used makes the work seem relatively timeless (although it must be taken into the consideration that the translated copy of the work used was p</w:t>
      </w:r>
      <w:r w:rsidR="002C0686" w:rsidRPr="00D9670A">
        <w:rPr>
          <w:rFonts w:ascii="Times New Roman" w:hAnsi="Times New Roman" w:cs="Times New Roman"/>
          <w:sz w:val="24"/>
          <w:szCs w:val="24"/>
        </w:rPr>
        <w:t>rinted in 1991).</w:t>
      </w:r>
    </w:p>
    <w:p w:rsidR="00CE01D8" w:rsidRPr="00D9670A" w:rsidRDefault="00E66F09" w:rsidP="00CE0A5C">
      <w:pPr>
        <w:spacing w:line="360" w:lineRule="auto"/>
        <w:jc w:val="both"/>
        <w:rPr>
          <w:rFonts w:ascii="Times New Roman" w:hAnsi="Times New Roman" w:cs="Times New Roman"/>
          <w:sz w:val="24"/>
          <w:szCs w:val="24"/>
        </w:rPr>
      </w:pPr>
      <w:r w:rsidRPr="00D9670A">
        <w:rPr>
          <w:rFonts w:ascii="Times New Roman" w:hAnsi="Times New Roman" w:cs="Times New Roman"/>
          <w:sz w:val="24"/>
          <w:szCs w:val="24"/>
        </w:rPr>
        <w:lastRenderedPageBreak/>
        <w:t>In the essay Kant descri</w:t>
      </w:r>
      <w:r w:rsidR="00171AD5" w:rsidRPr="00D9670A">
        <w:rPr>
          <w:rFonts w:ascii="Times New Roman" w:hAnsi="Times New Roman" w:cs="Times New Roman"/>
          <w:sz w:val="24"/>
          <w:szCs w:val="24"/>
        </w:rPr>
        <w:t xml:space="preserve">bed enlightenment as the achievement of freeing oneself from immaturity. When Kant discusses the term ‘immaturity’ he does not mean immaturity in a physical sense but in a mental sense and he regarded it as the incapacity to come to one’s own idea, thoughts, judgement and understanding. Kant also regarded immaturity as the reliance upon other people’s opinions </w:t>
      </w:r>
      <w:r w:rsidR="00D2186B" w:rsidRPr="00D9670A">
        <w:rPr>
          <w:rFonts w:ascii="Times New Roman" w:hAnsi="Times New Roman" w:cs="Times New Roman"/>
          <w:sz w:val="24"/>
          <w:szCs w:val="24"/>
        </w:rPr>
        <w:t>to</w:t>
      </w:r>
      <w:r w:rsidR="00171AD5" w:rsidRPr="00D9670A">
        <w:rPr>
          <w:rFonts w:ascii="Times New Roman" w:hAnsi="Times New Roman" w:cs="Times New Roman"/>
          <w:sz w:val="24"/>
          <w:szCs w:val="24"/>
        </w:rPr>
        <w:t xml:space="preserve"> make decisions and that a person of immaturity is dependent on </w:t>
      </w:r>
      <w:r w:rsidR="00892DEC" w:rsidRPr="00D9670A">
        <w:rPr>
          <w:rFonts w:ascii="Times New Roman" w:hAnsi="Times New Roman" w:cs="Times New Roman"/>
          <w:sz w:val="24"/>
          <w:szCs w:val="24"/>
        </w:rPr>
        <w:t xml:space="preserve">the </w:t>
      </w:r>
      <w:r w:rsidR="00A21C21" w:rsidRPr="00D9670A">
        <w:rPr>
          <w:rFonts w:ascii="Times New Roman" w:hAnsi="Times New Roman" w:cs="Times New Roman"/>
          <w:sz w:val="24"/>
          <w:szCs w:val="24"/>
        </w:rPr>
        <w:t>aide from other people e.g. Doctors to suggest diet, Spiritual Advisor to suggest guidance etc.</w:t>
      </w:r>
      <w:r w:rsidR="00CE01D8" w:rsidRPr="00D9670A">
        <w:rPr>
          <w:rFonts w:ascii="Times New Roman" w:hAnsi="Times New Roman" w:cs="Times New Roman"/>
          <w:sz w:val="24"/>
          <w:szCs w:val="24"/>
        </w:rPr>
        <w:t xml:space="preserve"> Kant uses the analogy of domesticated animals to describe the relationship between immature people and their government. It describes it as having their domesticated animal living in fear of failure to stop people from attempting to “walk unaided”, Kant uses the analogy of walking unaided to describe the action of thinking for themselves. Kant moves on to suggest in his essay that it is exceptionally difficult for a sole immature person to reach maturity however it is easy for a group or collection of people to achieve together. It is also put forward</w:t>
      </w:r>
      <w:r w:rsidR="00E06B2B" w:rsidRPr="00D9670A">
        <w:rPr>
          <w:rFonts w:ascii="Times New Roman" w:hAnsi="Times New Roman" w:cs="Times New Roman"/>
          <w:sz w:val="24"/>
          <w:szCs w:val="24"/>
        </w:rPr>
        <w:t xml:space="preserve"> by Kant that there </w:t>
      </w:r>
      <w:r w:rsidR="002C0686" w:rsidRPr="00D9670A">
        <w:rPr>
          <w:rFonts w:ascii="Times New Roman" w:hAnsi="Times New Roman" w:cs="Times New Roman"/>
          <w:sz w:val="24"/>
          <w:szCs w:val="24"/>
        </w:rPr>
        <w:t>are</w:t>
      </w:r>
      <w:r w:rsidR="00E06B2B" w:rsidRPr="00D9670A">
        <w:rPr>
          <w:rFonts w:ascii="Times New Roman" w:hAnsi="Times New Roman" w:cs="Times New Roman"/>
          <w:sz w:val="24"/>
          <w:szCs w:val="24"/>
        </w:rPr>
        <w:t xml:space="preserve"> </w:t>
      </w:r>
      <w:r w:rsidR="00CE01D8" w:rsidRPr="00D9670A">
        <w:rPr>
          <w:rFonts w:ascii="Times New Roman" w:hAnsi="Times New Roman" w:cs="Times New Roman"/>
          <w:sz w:val="24"/>
          <w:szCs w:val="24"/>
        </w:rPr>
        <w:t xml:space="preserve">select qualities that a person must have </w:t>
      </w:r>
      <w:r w:rsidR="0049022D" w:rsidRPr="00D9670A">
        <w:rPr>
          <w:rFonts w:ascii="Times New Roman" w:hAnsi="Times New Roman" w:cs="Times New Roman"/>
          <w:sz w:val="24"/>
          <w:szCs w:val="24"/>
        </w:rPr>
        <w:t>to</w:t>
      </w:r>
      <w:r w:rsidR="00CE01D8" w:rsidRPr="00D9670A">
        <w:rPr>
          <w:rFonts w:ascii="Times New Roman" w:hAnsi="Times New Roman" w:cs="Times New Roman"/>
          <w:sz w:val="24"/>
          <w:szCs w:val="24"/>
        </w:rPr>
        <w:t xml:space="preserve"> gain maturity and these qualities include vigour and fearlessness.</w:t>
      </w:r>
    </w:p>
    <w:p w:rsidR="00695720" w:rsidRPr="00D9670A" w:rsidRDefault="00CE01D8" w:rsidP="00CE0A5C">
      <w:pPr>
        <w:spacing w:line="360" w:lineRule="auto"/>
        <w:jc w:val="both"/>
        <w:rPr>
          <w:rFonts w:ascii="Times New Roman" w:hAnsi="Times New Roman" w:cs="Times New Roman"/>
          <w:sz w:val="24"/>
          <w:szCs w:val="24"/>
        </w:rPr>
      </w:pPr>
      <w:r w:rsidRPr="00D9670A">
        <w:rPr>
          <w:rFonts w:ascii="Times New Roman" w:hAnsi="Times New Roman" w:cs="Times New Roman"/>
          <w:sz w:val="24"/>
          <w:szCs w:val="24"/>
        </w:rPr>
        <w:t>Kant further states in his essay that if a group</w:t>
      </w:r>
      <w:r w:rsidR="008539C0">
        <w:rPr>
          <w:rFonts w:ascii="Times New Roman" w:hAnsi="Times New Roman" w:cs="Times New Roman"/>
          <w:sz w:val="24"/>
          <w:szCs w:val="24"/>
        </w:rPr>
        <w:t>,</w:t>
      </w:r>
      <w:r w:rsidRPr="00D9670A">
        <w:rPr>
          <w:rFonts w:ascii="Times New Roman" w:hAnsi="Times New Roman" w:cs="Times New Roman"/>
          <w:sz w:val="24"/>
          <w:szCs w:val="24"/>
        </w:rPr>
        <w:t xml:space="preserve"> or fraternity of people are given freedom then enlightenment would be inevitable for that group. Initially this appears a rather bold statement however</w:t>
      </w:r>
      <w:r w:rsidR="00E06B2B" w:rsidRPr="00D9670A">
        <w:rPr>
          <w:rFonts w:ascii="Times New Roman" w:hAnsi="Times New Roman" w:cs="Times New Roman"/>
          <w:sz w:val="24"/>
          <w:szCs w:val="24"/>
        </w:rPr>
        <w:t>,</w:t>
      </w:r>
      <w:r w:rsidRPr="00D9670A">
        <w:rPr>
          <w:rFonts w:ascii="Times New Roman" w:hAnsi="Times New Roman" w:cs="Times New Roman"/>
          <w:sz w:val="24"/>
          <w:szCs w:val="24"/>
        </w:rPr>
        <w:t xml:space="preserve"> he Kant further explains the argument that to reach enlightenment for everyone then it must be reached in a gentle and slow manner.</w:t>
      </w:r>
      <w:r w:rsidR="00C372F2" w:rsidRPr="00D9670A">
        <w:rPr>
          <w:rFonts w:ascii="Times New Roman" w:hAnsi="Times New Roman" w:cs="Times New Roman"/>
          <w:sz w:val="24"/>
          <w:szCs w:val="24"/>
        </w:rPr>
        <w:t xml:space="preserve"> The essay moves</w:t>
      </w:r>
      <w:r w:rsidR="005E1B8E" w:rsidRPr="00D9670A">
        <w:rPr>
          <w:rFonts w:ascii="Times New Roman" w:hAnsi="Times New Roman" w:cs="Times New Roman"/>
          <w:sz w:val="24"/>
          <w:szCs w:val="24"/>
        </w:rPr>
        <w:t xml:space="preserve"> forward to suggest how freedom may be employed and to what length. In order for enlightenment to take place it is a necessity for the use of public freedom, Kant states when people start voicing themselves publicly then their thoughts will ultimately affect the decisions made by p</w:t>
      </w:r>
      <w:r w:rsidR="00E06B2B" w:rsidRPr="00D9670A">
        <w:rPr>
          <w:rFonts w:ascii="Times New Roman" w:hAnsi="Times New Roman" w:cs="Times New Roman"/>
          <w:sz w:val="24"/>
          <w:szCs w:val="24"/>
        </w:rPr>
        <w:t>ositions in authority. I</w:t>
      </w:r>
      <w:r w:rsidR="005618D4" w:rsidRPr="00D9670A">
        <w:rPr>
          <w:rFonts w:ascii="Times New Roman" w:hAnsi="Times New Roman" w:cs="Times New Roman"/>
          <w:sz w:val="24"/>
          <w:szCs w:val="24"/>
        </w:rPr>
        <w:t>t is also addressed that there is a large difference between freedom being utilised at public level than at individual level, and Kant states that freedom at individual level is of no use.</w:t>
      </w:r>
      <w:r w:rsidR="001D3B6C" w:rsidRPr="00D9670A">
        <w:rPr>
          <w:rFonts w:ascii="Times New Roman" w:hAnsi="Times New Roman" w:cs="Times New Roman"/>
          <w:sz w:val="24"/>
          <w:szCs w:val="24"/>
        </w:rPr>
        <w:t xml:space="preserve"> In his essay Kant forms the opinion that even in a position of employment for a particular government , he must be allowed to voice his observations upon the orders he’s been given, of course he must obey his orders however he is entitled to and must be allowed to form his opinions and voice them</w:t>
      </w:r>
      <w:r w:rsidR="00E06B2B" w:rsidRPr="00D9670A">
        <w:rPr>
          <w:rFonts w:ascii="Times New Roman" w:hAnsi="Times New Roman" w:cs="Times New Roman"/>
          <w:sz w:val="24"/>
          <w:szCs w:val="24"/>
        </w:rPr>
        <w:t>,</w:t>
      </w:r>
      <w:r w:rsidR="001D3B6C" w:rsidRPr="00D9670A">
        <w:rPr>
          <w:rFonts w:ascii="Times New Roman" w:hAnsi="Times New Roman" w:cs="Times New Roman"/>
          <w:sz w:val="24"/>
          <w:szCs w:val="24"/>
        </w:rPr>
        <w:t xml:space="preserve"> and that this would not interfere with his obligations. </w:t>
      </w:r>
      <w:r w:rsidR="00A21C21" w:rsidRPr="00D9670A">
        <w:rPr>
          <w:rFonts w:ascii="Times New Roman" w:hAnsi="Times New Roman" w:cs="Times New Roman"/>
          <w:sz w:val="24"/>
          <w:szCs w:val="24"/>
        </w:rPr>
        <w:t>However, Kant</w:t>
      </w:r>
      <w:r w:rsidR="003D55DE" w:rsidRPr="00D9670A">
        <w:rPr>
          <w:rFonts w:ascii="Times New Roman" w:hAnsi="Times New Roman" w:cs="Times New Roman"/>
          <w:sz w:val="24"/>
          <w:szCs w:val="24"/>
        </w:rPr>
        <w:t xml:space="preserve"> separates the</w:t>
      </w:r>
      <w:r w:rsidR="00A21C21" w:rsidRPr="00D9670A">
        <w:rPr>
          <w:rFonts w:ascii="Times New Roman" w:hAnsi="Times New Roman" w:cs="Times New Roman"/>
          <w:sz w:val="24"/>
          <w:szCs w:val="24"/>
        </w:rPr>
        <w:t xml:space="preserve"> uses the example of a clergyman and his responsibilities as a</w:t>
      </w:r>
      <w:r w:rsidR="003D55DE" w:rsidRPr="00D9670A">
        <w:rPr>
          <w:rFonts w:ascii="Times New Roman" w:hAnsi="Times New Roman" w:cs="Times New Roman"/>
          <w:sz w:val="24"/>
          <w:szCs w:val="24"/>
        </w:rPr>
        <w:t>n employ of the church and w</w:t>
      </w:r>
      <w:r w:rsidR="00A21C21" w:rsidRPr="00D9670A">
        <w:rPr>
          <w:rFonts w:ascii="Times New Roman" w:hAnsi="Times New Roman" w:cs="Times New Roman"/>
          <w:sz w:val="24"/>
          <w:szCs w:val="24"/>
        </w:rPr>
        <w:t xml:space="preserve">hat he must preach to </w:t>
      </w:r>
      <w:r w:rsidR="003D55DE" w:rsidRPr="00D9670A">
        <w:rPr>
          <w:rFonts w:ascii="Times New Roman" w:hAnsi="Times New Roman" w:cs="Times New Roman"/>
          <w:sz w:val="24"/>
          <w:szCs w:val="24"/>
        </w:rPr>
        <w:t>the congregation/pupils however, he is able to identify issues by way of constructive criticisms in the way in which the church works. Therefore</w:t>
      </w:r>
      <w:r w:rsidR="00747599" w:rsidRPr="00D9670A">
        <w:rPr>
          <w:rFonts w:ascii="Times New Roman" w:hAnsi="Times New Roman" w:cs="Times New Roman"/>
          <w:sz w:val="24"/>
          <w:szCs w:val="24"/>
        </w:rPr>
        <w:t>,</w:t>
      </w:r>
      <w:r w:rsidR="003D55DE" w:rsidRPr="00D9670A">
        <w:rPr>
          <w:rFonts w:ascii="Times New Roman" w:hAnsi="Times New Roman" w:cs="Times New Roman"/>
          <w:sz w:val="24"/>
          <w:szCs w:val="24"/>
        </w:rPr>
        <w:t xml:space="preserve"> Kant notes without following the laws that are laid out in society it is not possible for enlightenment to be achieved, one must follow the ‘laws of society’ while having the bravery to </w:t>
      </w:r>
      <w:r w:rsidR="00747599" w:rsidRPr="00D9670A">
        <w:rPr>
          <w:rFonts w:ascii="Times New Roman" w:hAnsi="Times New Roman" w:cs="Times New Roman"/>
          <w:sz w:val="24"/>
          <w:szCs w:val="24"/>
        </w:rPr>
        <w:t xml:space="preserve">censure what they believe is wrong or should be adapted. In short Kant believes it is impossible for any </w:t>
      </w:r>
      <w:r w:rsidR="00747599" w:rsidRPr="00D9670A">
        <w:rPr>
          <w:rFonts w:ascii="Times New Roman" w:hAnsi="Times New Roman" w:cs="Times New Roman"/>
          <w:sz w:val="24"/>
          <w:szCs w:val="24"/>
        </w:rPr>
        <w:lastRenderedPageBreak/>
        <w:t>society to achieve enlightenment unless the laws are followed.</w:t>
      </w:r>
      <w:r w:rsidR="00A505AF" w:rsidRPr="00D9670A">
        <w:rPr>
          <w:rFonts w:ascii="Times New Roman" w:hAnsi="Times New Roman" w:cs="Times New Roman"/>
          <w:sz w:val="24"/>
          <w:szCs w:val="24"/>
        </w:rPr>
        <w:t xml:space="preserve"> Kant then expresses t</w:t>
      </w:r>
      <w:r w:rsidR="004E7518" w:rsidRPr="00D9670A">
        <w:rPr>
          <w:rFonts w:ascii="Times New Roman" w:hAnsi="Times New Roman" w:cs="Times New Roman"/>
          <w:sz w:val="24"/>
          <w:szCs w:val="24"/>
        </w:rPr>
        <w:t xml:space="preserve">hat </w:t>
      </w:r>
      <w:r w:rsidR="00E06B2B" w:rsidRPr="00D9670A">
        <w:rPr>
          <w:rFonts w:ascii="Times New Roman" w:hAnsi="Times New Roman" w:cs="Times New Roman"/>
          <w:sz w:val="24"/>
          <w:szCs w:val="24"/>
        </w:rPr>
        <w:t>for</w:t>
      </w:r>
      <w:r w:rsidR="004E7518" w:rsidRPr="00D9670A">
        <w:rPr>
          <w:rFonts w:ascii="Times New Roman" w:hAnsi="Times New Roman" w:cs="Times New Roman"/>
          <w:sz w:val="24"/>
          <w:szCs w:val="24"/>
        </w:rPr>
        <w:t xml:space="preserve"> a society to become enlightened </w:t>
      </w:r>
      <w:r w:rsidR="008539C0" w:rsidRPr="00D9670A">
        <w:rPr>
          <w:rFonts w:ascii="Times New Roman" w:hAnsi="Times New Roman" w:cs="Times New Roman"/>
          <w:sz w:val="24"/>
          <w:szCs w:val="24"/>
        </w:rPr>
        <w:t>first</w:t>
      </w:r>
      <w:r w:rsidR="008539C0">
        <w:rPr>
          <w:rFonts w:ascii="Times New Roman" w:hAnsi="Times New Roman" w:cs="Times New Roman"/>
          <w:sz w:val="24"/>
          <w:szCs w:val="24"/>
        </w:rPr>
        <w:t>ly</w:t>
      </w:r>
      <w:r w:rsidR="004E7518" w:rsidRPr="00D9670A">
        <w:rPr>
          <w:rFonts w:ascii="Times New Roman" w:hAnsi="Times New Roman" w:cs="Times New Roman"/>
          <w:sz w:val="24"/>
          <w:szCs w:val="24"/>
        </w:rPr>
        <w:t xml:space="preserve"> the </w:t>
      </w:r>
      <w:r w:rsidR="00A505AF" w:rsidRPr="00D9670A">
        <w:rPr>
          <w:rFonts w:ascii="Times New Roman" w:hAnsi="Times New Roman" w:cs="Times New Roman"/>
          <w:sz w:val="24"/>
          <w:szCs w:val="24"/>
        </w:rPr>
        <w:t>monarchy</w:t>
      </w:r>
      <w:r w:rsidR="008539C0">
        <w:rPr>
          <w:rFonts w:ascii="Times New Roman" w:hAnsi="Times New Roman" w:cs="Times New Roman"/>
          <w:sz w:val="24"/>
          <w:szCs w:val="24"/>
        </w:rPr>
        <w:t>,</w:t>
      </w:r>
      <w:r w:rsidR="00A505AF" w:rsidRPr="00D9670A">
        <w:rPr>
          <w:rFonts w:ascii="Times New Roman" w:hAnsi="Times New Roman" w:cs="Times New Roman"/>
          <w:sz w:val="24"/>
          <w:szCs w:val="24"/>
        </w:rPr>
        <w:t xml:space="preserve"> or leaders must be enlightened before their public may become enlightened. He states this is because until the Monarch becomes enlightened</w:t>
      </w:r>
      <w:r w:rsidR="00E06B2B" w:rsidRPr="00D9670A">
        <w:rPr>
          <w:rFonts w:ascii="Times New Roman" w:hAnsi="Times New Roman" w:cs="Times New Roman"/>
          <w:sz w:val="24"/>
          <w:szCs w:val="24"/>
        </w:rPr>
        <w:t>,</w:t>
      </w:r>
      <w:r w:rsidR="00A505AF" w:rsidRPr="00D9670A">
        <w:rPr>
          <w:rFonts w:ascii="Times New Roman" w:hAnsi="Times New Roman" w:cs="Times New Roman"/>
          <w:sz w:val="24"/>
          <w:szCs w:val="24"/>
        </w:rPr>
        <w:t xml:space="preserve"> </w:t>
      </w:r>
      <w:r w:rsidR="00E06B2B" w:rsidRPr="00D9670A">
        <w:rPr>
          <w:rFonts w:ascii="Times New Roman" w:hAnsi="Times New Roman" w:cs="Times New Roman"/>
          <w:sz w:val="24"/>
          <w:szCs w:val="24"/>
        </w:rPr>
        <w:t>to</w:t>
      </w:r>
      <w:r w:rsidR="00A505AF" w:rsidRPr="00D9670A">
        <w:rPr>
          <w:rFonts w:ascii="Times New Roman" w:hAnsi="Times New Roman" w:cs="Times New Roman"/>
          <w:sz w:val="24"/>
          <w:szCs w:val="24"/>
        </w:rPr>
        <w:t xml:space="preserve"> grant the public the freedom required to express opinions without viewing them as an act of treason. Kant states </w:t>
      </w:r>
      <w:r w:rsidR="00A505AF" w:rsidRPr="00D9670A">
        <w:rPr>
          <w:rFonts w:ascii="Times New Roman" w:hAnsi="Times New Roman" w:cs="Times New Roman"/>
          <w:i/>
          <w:sz w:val="24"/>
          <w:szCs w:val="24"/>
        </w:rPr>
        <w:t>“</w:t>
      </w:r>
      <w:r w:rsidR="00684BB4" w:rsidRPr="00D9670A">
        <w:rPr>
          <w:rFonts w:ascii="Times New Roman" w:hAnsi="Times New Roman" w:cs="Times New Roman"/>
          <w:i/>
          <w:sz w:val="24"/>
          <w:szCs w:val="24"/>
        </w:rPr>
        <w:t>there is no danger even to his legislation if he allows his subjects to make public use of their own reason</w:t>
      </w:r>
      <w:r w:rsidR="00A505AF" w:rsidRPr="00D9670A">
        <w:rPr>
          <w:rFonts w:ascii="Times New Roman" w:hAnsi="Times New Roman" w:cs="Times New Roman"/>
          <w:i/>
          <w:sz w:val="24"/>
          <w:szCs w:val="24"/>
        </w:rPr>
        <w:t>”.</w:t>
      </w:r>
      <w:r w:rsidR="00A505AF" w:rsidRPr="00D9670A">
        <w:rPr>
          <w:rStyle w:val="FootnoteReference"/>
          <w:rFonts w:ascii="Times New Roman" w:hAnsi="Times New Roman" w:cs="Times New Roman"/>
          <w:i/>
          <w:sz w:val="24"/>
          <w:szCs w:val="24"/>
        </w:rPr>
        <w:footnoteReference w:id="5"/>
      </w:r>
      <w:r w:rsidR="00A505AF" w:rsidRPr="00D9670A">
        <w:rPr>
          <w:rFonts w:ascii="Times New Roman" w:hAnsi="Times New Roman" w:cs="Times New Roman"/>
          <w:sz w:val="24"/>
          <w:szCs w:val="24"/>
        </w:rPr>
        <w:t xml:space="preserve"> The interpretation of this statement is that a monarch’</w:t>
      </w:r>
      <w:r w:rsidR="00E06B2B" w:rsidRPr="00D9670A">
        <w:rPr>
          <w:rFonts w:ascii="Times New Roman" w:hAnsi="Times New Roman" w:cs="Times New Roman"/>
          <w:sz w:val="24"/>
          <w:szCs w:val="24"/>
        </w:rPr>
        <w:t>s ideas,</w:t>
      </w:r>
      <w:r w:rsidR="00A505AF" w:rsidRPr="00D9670A">
        <w:rPr>
          <w:rFonts w:ascii="Times New Roman" w:hAnsi="Times New Roman" w:cs="Times New Roman"/>
          <w:sz w:val="24"/>
          <w:szCs w:val="24"/>
        </w:rPr>
        <w:t xml:space="preserve"> laws and rulings should be a </w:t>
      </w:r>
      <w:r w:rsidR="00D15BD5" w:rsidRPr="00D9670A">
        <w:rPr>
          <w:rFonts w:ascii="Times New Roman" w:hAnsi="Times New Roman" w:cs="Times New Roman"/>
          <w:sz w:val="24"/>
          <w:szCs w:val="24"/>
        </w:rPr>
        <w:t>portrayal of their subjects and their interests. Kant expresses that a government should not strongarm its citizens into blind conformity</w:t>
      </w:r>
      <w:r w:rsidR="00E06B2B" w:rsidRPr="00D9670A">
        <w:rPr>
          <w:rFonts w:ascii="Times New Roman" w:hAnsi="Times New Roman" w:cs="Times New Roman"/>
          <w:sz w:val="24"/>
          <w:szCs w:val="24"/>
        </w:rPr>
        <w:t>,</w:t>
      </w:r>
      <w:r w:rsidR="00D15BD5" w:rsidRPr="00D9670A">
        <w:rPr>
          <w:rFonts w:ascii="Times New Roman" w:hAnsi="Times New Roman" w:cs="Times New Roman"/>
          <w:sz w:val="24"/>
          <w:szCs w:val="24"/>
        </w:rPr>
        <w:t xml:space="preserve"> but rather it should observe the wishes of the public. However, one must remain mindful that while it is the truth that monarchies did abuse their power and authority by withholding education from its people and demanding obedience, it is the fault of the public itself for its immaturity </w:t>
      </w:r>
      <w:r w:rsidR="00525BA2" w:rsidRPr="00D9670A">
        <w:rPr>
          <w:rFonts w:ascii="Times New Roman" w:hAnsi="Times New Roman" w:cs="Times New Roman"/>
          <w:sz w:val="24"/>
          <w:szCs w:val="24"/>
        </w:rPr>
        <w:t xml:space="preserve">as Kant earlier </w:t>
      </w:r>
      <w:r w:rsidR="00AA36F6" w:rsidRPr="00D9670A">
        <w:rPr>
          <w:rFonts w:ascii="Times New Roman" w:hAnsi="Times New Roman" w:cs="Times New Roman"/>
          <w:sz w:val="24"/>
          <w:szCs w:val="24"/>
        </w:rPr>
        <w:t>stated,</w:t>
      </w:r>
      <w:r w:rsidR="00525BA2" w:rsidRPr="00D9670A">
        <w:rPr>
          <w:rFonts w:ascii="Times New Roman" w:hAnsi="Times New Roman" w:cs="Times New Roman"/>
          <w:sz w:val="24"/>
          <w:szCs w:val="24"/>
        </w:rPr>
        <w:t xml:space="preserve"> </w:t>
      </w:r>
      <w:r w:rsidR="00525BA2" w:rsidRPr="00D9670A">
        <w:rPr>
          <w:rFonts w:ascii="Times New Roman" w:hAnsi="Times New Roman" w:cs="Times New Roman"/>
          <w:i/>
          <w:sz w:val="24"/>
          <w:szCs w:val="24"/>
        </w:rPr>
        <w:t>“</w:t>
      </w:r>
      <w:r w:rsidR="00E06B2B" w:rsidRPr="00D9670A">
        <w:rPr>
          <w:rFonts w:ascii="Times New Roman" w:hAnsi="Times New Roman" w:cs="Times New Roman"/>
          <w:i/>
          <w:sz w:val="24"/>
          <w:szCs w:val="24"/>
        </w:rPr>
        <w:t>Enlightenment</w:t>
      </w:r>
      <w:r w:rsidR="00525BA2" w:rsidRPr="00D9670A">
        <w:rPr>
          <w:rFonts w:ascii="Times New Roman" w:hAnsi="Times New Roman" w:cs="Times New Roman"/>
          <w:i/>
          <w:sz w:val="24"/>
          <w:szCs w:val="24"/>
        </w:rPr>
        <w:t xml:space="preserve"> is man’s emergence from his self-incurred immaturity”.</w:t>
      </w:r>
      <w:r w:rsidR="00525BA2" w:rsidRPr="00D9670A">
        <w:rPr>
          <w:rStyle w:val="FootnoteReference"/>
          <w:rFonts w:ascii="Times New Roman" w:hAnsi="Times New Roman" w:cs="Times New Roman"/>
          <w:i/>
          <w:sz w:val="24"/>
          <w:szCs w:val="24"/>
        </w:rPr>
        <w:footnoteReference w:id="6"/>
      </w:r>
      <w:r w:rsidR="00525BA2" w:rsidRPr="00D9670A">
        <w:rPr>
          <w:rFonts w:ascii="Times New Roman" w:hAnsi="Times New Roman" w:cs="Times New Roman"/>
          <w:i/>
          <w:sz w:val="24"/>
          <w:szCs w:val="24"/>
        </w:rPr>
        <w:t xml:space="preserve"> </w:t>
      </w:r>
      <w:r w:rsidR="00D15BD5" w:rsidRPr="00D9670A">
        <w:rPr>
          <w:rFonts w:ascii="Times New Roman" w:hAnsi="Times New Roman" w:cs="Times New Roman"/>
          <w:sz w:val="24"/>
          <w:szCs w:val="24"/>
        </w:rPr>
        <w:t xml:space="preserve"> </w:t>
      </w: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5B4A58" w:rsidRPr="00D9670A" w:rsidRDefault="005B4A58" w:rsidP="00CE0A5C">
      <w:pPr>
        <w:pStyle w:val="NormalWeb"/>
        <w:spacing w:before="0" w:beforeAutospacing="0" w:after="0" w:afterAutospacing="0" w:line="360" w:lineRule="auto"/>
        <w:jc w:val="both"/>
      </w:pPr>
    </w:p>
    <w:p w:rsidR="00126CE2" w:rsidRDefault="00126CE2" w:rsidP="00CE0A5C">
      <w:pPr>
        <w:pStyle w:val="NormalWeb"/>
        <w:spacing w:before="0" w:beforeAutospacing="0" w:after="0" w:afterAutospacing="0" w:line="360" w:lineRule="auto"/>
        <w:jc w:val="both"/>
      </w:pPr>
    </w:p>
    <w:p w:rsidR="005B4A58" w:rsidRPr="00126CE2" w:rsidRDefault="0002378D" w:rsidP="00FD33A4">
      <w:pPr>
        <w:pStyle w:val="NormalWeb"/>
        <w:spacing w:before="0" w:beforeAutospacing="0" w:after="0" w:afterAutospacing="0" w:line="360" w:lineRule="auto"/>
        <w:jc w:val="both"/>
        <w:rPr>
          <w:b/>
          <w:sz w:val="28"/>
          <w:szCs w:val="28"/>
          <w:u w:val="single"/>
        </w:rPr>
      </w:pPr>
      <w:r w:rsidRPr="00126CE2">
        <w:rPr>
          <w:b/>
          <w:sz w:val="28"/>
          <w:szCs w:val="28"/>
          <w:u w:val="single"/>
        </w:rPr>
        <w:t>Bibliography</w:t>
      </w:r>
    </w:p>
    <w:p w:rsidR="00FD33A4" w:rsidRPr="00FD33A4" w:rsidRDefault="00FD33A4" w:rsidP="00FD33A4">
      <w:pPr>
        <w:pStyle w:val="FootnoteText"/>
        <w:spacing w:line="360" w:lineRule="auto"/>
        <w:rPr>
          <w:rFonts w:ascii="Times New Roman" w:hAnsi="Times New Roman" w:cs="Times New Roman"/>
          <w:sz w:val="24"/>
          <w:szCs w:val="24"/>
        </w:rPr>
      </w:pPr>
    </w:p>
    <w:p w:rsidR="005B4A58" w:rsidRPr="00FD33A4" w:rsidRDefault="008A1D57" w:rsidP="00FD33A4">
      <w:pPr>
        <w:pStyle w:val="NormalWeb"/>
        <w:spacing w:before="0" w:beforeAutospacing="0" w:after="0" w:afterAutospacing="0" w:line="360" w:lineRule="auto"/>
        <w:rPr>
          <w:rStyle w:val="Hyperlink"/>
          <w:color w:val="auto"/>
          <w:u w:val="none"/>
        </w:rPr>
      </w:pPr>
      <w:r w:rsidRPr="00FD33A4">
        <w:t xml:space="preserve">German Text Archive, ‘Immanuel Kant’ </w:t>
      </w:r>
      <w:r w:rsidRPr="00FD33A4">
        <w:rPr>
          <w:i/>
        </w:rPr>
        <w:t xml:space="preserve">Deutsche Text Archiv. </w:t>
      </w:r>
      <w:r w:rsidRPr="00FD33A4">
        <w:t xml:space="preserve">1 September 2009. </w:t>
      </w:r>
      <w:r w:rsidR="00FD33A4" w:rsidRPr="00FD33A4">
        <w:t>&lt;http://www.deutschestextarchiv.de/book/show/kant_aufklaerung_1784&gt;</w:t>
      </w:r>
      <w:r w:rsidR="00FD33A4" w:rsidRPr="00FD33A4">
        <w:rPr>
          <w:rStyle w:val="Hyperlink"/>
          <w:color w:val="auto"/>
          <w:u w:val="none"/>
        </w:rPr>
        <w:t xml:space="preserve"> [Accesses 10 October 2018]</w:t>
      </w:r>
    </w:p>
    <w:p w:rsidR="00FD33A4" w:rsidRPr="00FD33A4" w:rsidRDefault="00FD33A4" w:rsidP="00FD33A4">
      <w:pPr>
        <w:pStyle w:val="NormalWeb"/>
        <w:spacing w:before="0" w:beforeAutospacing="0" w:after="0" w:afterAutospacing="0" w:line="360" w:lineRule="auto"/>
      </w:pPr>
    </w:p>
    <w:p w:rsidR="00FD33A4" w:rsidRDefault="008A1D57" w:rsidP="00FD33A4">
      <w:pPr>
        <w:pStyle w:val="NormalWeb"/>
        <w:spacing w:before="0" w:beforeAutospacing="0" w:after="0" w:afterAutospacing="0" w:line="360" w:lineRule="auto"/>
      </w:pPr>
      <w:r w:rsidRPr="00FD33A4">
        <w:t xml:space="preserve">Kant, </w:t>
      </w:r>
      <w:r w:rsidR="00CF55FE" w:rsidRPr="00FD33A4">
        <w:t xml:space="preserve">Immanuel, </w:t>
      </w:r>
      <w:r w:rsidRPr="00FD33A4">
        <w:rPr>
          <w:i/>
        </w:rPr>
        <w:t xml:space="preserve">An answer to the questions: What is Enlightenment?, </w:t>
      </w:r>
      <w:r w:rsidRPr="00FD33A4">
        <w:t>trans. by H. B. Nisbet</w:t>
      </w:r>
      <w:r w:rsidRPr="00FD33A4">
        <w:rPr>
          <w:i/>
        </w:rPr>
        <w:t xml:space="preserve"> </w:t>
      </w:r>
      <w:r w:rsidRPr="00FD33A4">
        <w:t>(London, P</w:t>
      </w:r>
      <w:r w:rsidR="00CF55FE" w:rsidRPr="00FD33A4">
        <w:t>enguin Books Ltd, 2009 [1991])</w:t>
      </w:r>
    </w:p>
    <w:p w:rsidR="00FD33A4" w:rsidRPr="00FD33A4" w:rsidRDefault="00FD33A4" w:rsidP="00FD33A4">
      <w:pPr>
        <w:pStyle w:val="NormalWeb"/>
        <w:spacing w:before="0" w:beforeAutospacing="0" w:after="0" w:afterAutospacing="0" w:line="360" w:lineRule="auto"/>
      </w:pPr>
    </w:p>
    <w:p w:rsidR="00FD33A4" w:rsidRPr="00FD33A4" w:rsidRDefault="00FD33A4" w:rsidP="00FD33A4">
      <w:pPr>
        <w:pStyle w:val="FootnoteText"/>
        <w:spacing w:line="360" w:lineRule="auto"/>
        <w:rPr>
          <w:rFonts w:ascii="Times New Roman" w:hAnsi="Times New Roman" w:cs="Times New Roman"/>
          <w:sz w:val="24"/>
          <w:szCs w:val="24"/>
        </w:rPr>
      </w:pPr>
      <w:r w:rsidRPr="00FD33A4">
        <w:rPr>
          <w:rFonts w:ascii="Times New Roman" w:hAnsi="Times New Roman" w:cs="Times New Roman"/>
          <w:sz w:val="24"/>
          <w:szCs w:val="24"/>
        </w:rPr>
        <w:t xml:space="preserve">Merrick, John, ‘Immanuel Kant the, errrr, Walker?’, </w:t>
      </w:r>
      <w:r w:rsidRPr="00FD33A4">
        <w:rPr>
          <w:rFonts w:ascii="Times New Roman" w:hAnsi="Times New Roman" w:cs="Times New Roman"/>
          <w:i/>
          <w:sz w:val="24"/>
          <w:szCs w:val="24"/>
        </w:rPr>
        <w:t xml:space="preserve">Verso Books, </w:t>
      </w:r>
      <w:r w:rsidRPr="00FD33A4">
        <w:rPr>
          <w:rFonts w:ascii="Times New Roman" w:hAnsi="Times New Roman" w:cs="Times New Roman"/>
          <w:sz w:val="24"/>
          <w:szCs w:val="24"/>
        </w:rPr>
        <w:t>30 April 2015. &lt;https://www.versobooks.com/blogs/1963-immanuel-kant-the-errrr-walker&gt; [Accessed 11 October 2018]</w:t>
      </w:r>
    </w:p>
    <w:p w:rsidR="00FD33A4" w:rsidRDefault="00FD33A4" w:rsidP="00FD33A4">
      <w:pPr>
        <w:pStyle w:val="NormalWeb"/>
        <w:spacing w:before="0" w:beforeAutospacing="0" w:after="0" w:afterAutospacing="0" w:line="360" w:lineRule="auto"/>
      </w:pPr>
    </w:p>
    <w:p w:rsidR="00FD33A4" w:rsidRPr="00FD33A4" w:rsidRDefault="00FD33A4" w:rsidP="00FD33A4">
      <w:pPr>
        <w:pStyle w:val="FootnoteText"/>
        <w:spacing w:line="360" w:lineRule="auto"/>
        <w:rPr>
          <w:rFonts w:ascii="Times New Roman" w:hAnsi="Times New Roman" w:cs="Times New Roman"/>
          <w:sz w:val="24"/>
          <w:szCs w:val="24"/>
        </w:rPr>
      </w:pPr>
      <w:r w:rsidRPr="00FD33A4">
        <w:rPr>
          <w:rFonts w:ascii="Times New Roman" w:hAnsi="Times New Roman" w:cs="Times New Roman"/>
          <w:sz w:val="24"/>
          <w:szCs w:val="24"/>
        </w:rPr>
        <w:t xml:space="preserve">Rohlf, Michael, ‘Immanuel Kant’, </w:t>
      </w:r>
      <w:r w:rsidRPr="00FD33A4">
        <w:rPr>
          <w:rFonts w:ascii="Times New Roman" w:hAnsi="Times New Roman" w:cs="Times New Roman"/>
          <w:i/>
          <w:sz w:val="24"/>
          <w:szCs w:val="24"/>
        </w:rPr>
        <w:t>The</w:t>
      </w:r>
      <w:r w:rsidRPr="00FD33A4">
        <w:rPr>
          <w:rFonts w:ascii="Times New Roman" w:hAnsi="Times New Roman" w:cs="Times New Roman"/>
          <w:sz w:val="24"/>
          <w:szCs w:val="24"/>
        </w:rPr>
        <w:t xml:space="preserve"> </w:t>
      </w:r>
      <w:r w:rsidRPr="00FD33A4">
        <w:rPr>
          <w:rFonts w:ascii="Times New Roman" w:hAnsi="Times New Roman" w:cs="Times New Roman"/>
          <w:i/>
          <w:sz w:val="24"/>
          <w:szCs w:val="24"/>
          <w:shd w:val="clear" w:color="auto" w:fill="FFFFFF"/>
        </w:rPr>
        <w:t>Stanford Encyclopaedia of Philosophy</w:t>
      </w:r>
      <w:r w:rsidRPr="00FD33A4">
        <w:rPr>
          <w:rFonts w:ascii="Times New Roman" w:hAnsi="Times New Roman" w:cs="Times New Roman"/>
          <w:sz w:val="24"/>
          <w:szCs w:val="24"/>
          <w:shd w:val="clear" w:color="auto" w:fill="FFFFFF"/>
        </w:rPr>
        <w:t>. 20 May 2010</w:t>
      </w:r>
      <w:r w:rsidRPr="00FD33A4">
        <w:rPr>
          <w:rStyle w:val="reference-accessdate"/>
          <w:rFonts w:ascii="Times New Roman" w:hAnsi="Times New Roman" w:cs="Times New Roman"/>
          <w:sz w:val="24"/>
          <w:szCs w:val="24"/>
          <w:shd w:val="clear" w:color="auto" w:fill="FFFFFF"/>
        </w:rPr>
        <w:t>.</w:t>
      </w:r>
      <w:r w:rsidRPr="00FD33A4">
        <w:rPr>
          <w:rFonts w:ascii="Times New Roman" w:hAnsi="Times New Roman" w:cs="Times New Roman"/>
          <w:sz w:val="24"/>
          <w:szCs w:val="24"/>
        </w:rPr>
        <w:t xml:space="preserve"> </w:t>
      </w:r>
      <w:r>
        <w:rPr>
          <w:rFonts w:ascii="Times New Roman" w:hAnsi="Times New Roman" w:cs="Times New Roman"/>
          <w:sz w:val="24"/>
          <w:szCs w:val="24"/>
        </w:rPr>
        <w:t>&lt;</w:t>
      </w:r>
      <w:r w:rsidRPr="00FD33A4">
        <w:rPr>
          <w:rFonts w:ascii="Times New Roman" w:hAnsi="Times New Roman" w:cs="Times New Roman"/>
          <w:sz w:val="24"/>
          <w:szCs w:val="24"/>
          <w:shd w:val="clear" w:color="auto" w:fill="FFFFFF"/>
        </w:rPr>
        <w:t xml:space="preserve">https://plato.stanford.edu/entries/kant/#LifWor&gt; </w:t>
      </w:r>
      <w:r>
        <w:rPr>
          <w:rFonts w:ascii="Times New Roman" w:hAnsi="Times New Roman" w:cs="Times New Roman"/>
          <w:sz w:val="24"/>
          <w:szCs w:val="24"/>
          <w:shd w:val="clear" w:color="auto" w:fill="FFFFFF"/>
        </w:rPr>
        <w:t xml:space="preserve"> </w:t>
      </w:r>
      <w:r w:rsidRPr="00FD33A4">
        <w:rPr>
          <w:rFonts w:ascii="Times New Roman" w:hAnsi="Times New Roman" w:cs="Times New Roman"/>
          <w:sz w:val="24"/>
          <w:szCs w:val="24"/>
          <w:shd w:val="clear" w:color="auto" w:fill="FFFFFF"/>
        </w:rPr>
        <w:t>[Accessed 10 October 2018]</w:t>
      </w:r>
    </w:p>
    <w:p w:rsidR="00FD33A4" w:rsidRPr="00D9670A" w:rsidRDefault="00FD33A4" w:rsidP="00FD33A4">
      <w:pPr>
        <w:pStyle w:val="NormalWeb"/>
        <w:spacing w:before="0" w:beforeAutospacing="0" w:after="0" w:afterAutospacing="0" w:line="360" w:lineRule="auto"/>
      </w:pPr>
    </w:p>
    <w:p w:rsidR="005B4A58" w:rsidRPr="00FD33A4" w:rsidRDefault="00FD33A4" w:rsidP="00CE0A5C">
      <w:pPr>
        <w:pStyle w:val="NormalWeb"/>
        <w:spacing w:before="0" w:beforeAutospacing="0" w:after="0" w:afterAutospacing="0" w:line="360" w:lineRule="auto"/>
        <w:jc w:val="both"/>
      </w:pPr>
      <w:r>
        <w:t xml:space="preserve">Scruton, Roger, </w:t>
      </w:r>
      <w:r>
        <w:rPr>
          <w:i/>
        </w:rPr>
        <w:t xml:space="preserve">KANT: A Very Short Introduction </w:t>
      </w:r>
      <w:r>
        <w:t>(New York, Oxford University Press, 2001)</w:t>
      </w:r>
    </w:p>
    <w:p w:rsidR="005B4A58" w:rsidRPr="00D9670A" w:rsidRDefault="005B4A58" w:rsidP="00CE0A5C">
      <w:pPr>
        <w:pStyle w:val="NormalWeb"/>
        <w:spacing w:before="0" w:beforeAutospacing="0" w:after="0" w:afterAutospacing="0" w:line="360" w:lineRule="auto"/>
        <w:jc w:val="both"/>
      </w:pPr>
    </w:p>
    <w:p w:rsidR="00B06C5C" w:rsidRPr="00D9670A" w:rsidRDefault="00B06C5C" w:rsidP="00CE0A5C">
      <w:pPr>
        <w:pStyle w:val="NormalWeb"/>
        <w:spacing w:before="0" w:beforeAutospacing="0" w:after="0" w:afterAutospacing="0" w:line="360" w:lineRule="auto"/>
        <w:jc w:val="both"/>
      </w:pPr>
    </w:p>
    <w:p w:rsidR="00B06C5C" w:rsidRPr="00D9670A" w:rsidRDefault="00B06C5C">
      <w:pPr>
        <w:rPr>
          <w:rFonts w:ascii="Times New Roman" w:eastAsia="Times New Roman" w:hAnsi="Times New Roman" w:cs="Times New Roman"/>
          <w:sz w:val="24"/>
          <w:szCs w:val="24"/>
          <w:lang w:eastAsia="en-GB"/>
        </w:rPr>
      </w:pPr>
      <w:r w:rsidRPr="00D9670A">
        <w:rPr>
          <w:rFonts w:ascii="Times New Roman" w:hAnsi="Times New Roman" w:cs="Times New Roman"/>
          <w:sz w:val="24"/>
          <w:szCs w:val="24"/>
        </w:rPr>
        <w:br w:type="page"/>
      </w:r>
    </w:p>
    <w:p w:rsidR="005A5D8D" w:rsidRDefault="0022675D" w:rsidP="00CE0A5C">
      <w:pPr>
        <w:pStyle w:val="NormalWeb"/>
        <w:spacing w:before="0" w:beforeAutospacing="0" w:after="0" w:afterAutospacing="0" w:line="360" w:lineRule="auto"/>
        <w:jc w:val="both"/>
      </w:pPr>
      <w:r w:rsidRPr="00D9670A">
        <w:lastRenderedPageBreak/>
        <w:t xml:space="preserve">For the second document </w:t>
      </w:r>
      <w:r w:rsidR="00695720" w:rsidRPr="00D9670A">
        <w:t>analysis</w:t>
      </w:r>
      <w:r w:rsidRPr="00D9670A">
        <w:t>,</w:t>
      </w:r>
      <w:r w:rsidR="00695720" w:rsidRPr="00D9670A">
        <w:t xml:space="preserve"> I shall be looking at </w:t>
      </w:r>
      <w:r w:rsidRPr="00D9670A">
        <w:t>the Secondary source written by Roy Porter,</w:t>
      </w:r>
      <w:r w:rsidR="0002378D" w:rsidRPr="00D9670A">
        <w:t xml:space="preserve"> </w:t>
      </w:r>
      <w:r w:rsidR="0002378D" w:rsidRPr="00D9670A">
        <w:rPr>
          <w:i/>
        </w:rPr>
        <w:t>‘</w:t>
      </w:r>
      <w:r w:rsidR="00695720" w:rsidRPr="00D9670A">
        <w:rPr>
          <w:i/>
        </w:rPr>
        <w:t>The Enlightenment: Studies in Europ</w:t>
      </w:r>
      <w:r w:rsidR="0002378D" w:rsidRPr="00D9670A">
        <w:rPr>
          <w:i/>
        </w:rPr>
        <w:t>ean History’</w:t>
      </w:r>
      <w:r w:rsidR="00C11803" w:rsidRPr="00D9670A">
        <w:t>, I shall be looking at chapter 8 of this book.</w:t>
      </w:r>
      <w:r w:rsidR="00695720" w:rsidRPr="00D9670A">
        <w:t xml:space="preserve"> Porter’s book was written in 1990 and published in </w:t>
      </w:r>
      <w:r w:rsidRPr="00D9670A">
        <w:t xml:space="preserve">the English county of Hampshire by Macmillan. </w:t>
      </w:r>
      <w:r w:rsidR="00695720" w:rsidRPr="00D9670A">
        <w:t xml:space="preserve">Roy Porter, the son of a jeweller was born in 1946 and grew up in South London and attended the Camberwell Grammar School, a school he states he </w:t>
      </w:r>
      <w:r w:rsidRPr="00D9670A">
        <w:t>“</w:t>
      </w:r>
      <w:r w:rsidR="00695720" w:rsidRPr="00D9670A">
        <w:t>owed everything to</w:t>
      </w:r>
      <w:r w:rsidRPr="00D9670A">
        <w:t>”</w:t>
      </w:r>
      <w:r w:rsidR="00695720" w:rsidRPr="00D9670A">
        <w:t>.</w:t>
      </w:r>
      <w:r w:rsidR="00AC45DE" w:rsidRPr="00D9670A">
        <w:rPr>
          <w:rStyle w:val="FootnoteReference"/>
        </w:rPr>
        <w:footnoteReference w:id="7"/>
      </w:r>
      <w:r w:rsidR="00695720" w:rsidRPr="00D9670A">
        <w:t xml:space="preserve"> He described his childhood </w:t>
      </w:r>
      <w:r w:rsidR="00695720" w:rsidRPr="00D9670A">
        <w:rPr>
          <w:i/>
        </w:rPr>
        <w:t>as “</w:t>
      </w:r>
      <w:r w:rsidR="00695720" w:rsidRPr="00D9670A">
        <w:rPr>
          <w:i/>
          <w:iCs/>
        </w:rPr>
        <w:t>a stable if shabby working-class community completely undiscovered by sociologists”.</w:t>
      </w:r>
      <w:r w:rsidR="00AC45DE" w:rsidRPr="00D9670A">
        <w:rPr>
          <w:rStyle w:val="FootnoteReference"/>
          <w:iCs/>
        </w:rPr>
        <w:footnoteReference w:id="8"/>
      </w:r>
      <w:r w:rsidR="00695720" w:rsidRPr="00D9670A">
        <w:t xml:space="preserve"> Porters’ </w:t>
      </w:r>
      <w:r w:rsidR="002C0686" w:rsidRPr="00D9670A">
        <w:t xml:space="preserve">fascination with the </w:t>
      </w:r>
      <w:r w:rsidR="00695720" w:rsidRPr="00D9670A">
        <w:t xml:space="preserve">18th century </w:t>
      </w:r>
      <w:r w:rsidR="002C0686" w:rsidRPr="00D9670A">
        <w:t xml:space="preserve">evolved from the work of </w:t>
      </w:r>
      <w:r w:rsidR="00695720" w:rsidRPr="00D9670A">
        <w:t>h</w:t>
      </w:r>
      <w:r w:rsidR="001E1604" w:rsidRPr="00D9670A">
        <w:t>istorian Sir John Plumb. Plumb</w:t>
      </w:r>
      <w:r w:rsidR="00695720" w:rsidRPr="00D9670A">
        <w:t xml:space="preserve"> </w:t>
      </w:r>
      <w:r w:rsidRPr="00D9670A">
        <w:t>predominantly</w:t>
      </w:r>
      <w:r w:rsidR="00695720" w:rsidRPr="00D9670A">
        <w:t xml:space="preserve"> produced work on the 18th century, of which he stated </w:t>
      </w:r>
      <w:r w:rsidR="00695720" w:rsidRPr="00D9670A">
        <w:rPr>
          <w:i/>
        </w:rPr>
        <w:t>“</w:t>
      </w:r>
      <w:r w:rsidR="00695720" w:rsidRPr="00D9670A">
        <w:rPr>
          <w:i/>
          <w:iCs/>
          <w:shd w:val="clear" w:color="auto" w:fill="FFFFFF"/>
        </w:rPr>
        <w:t xml:space="preserve">was a period in which the future for England seemed cloudless and in which real progress was made both in terms of quality </w:t>
      </w:r>
      <w:r w:rsidR="0002378D" w:rsidRPr="00D9670A">
        <w:rPr>
          <w:i/>
          <w:iCs/>
          <w:shd w:val="clear" w:color="auto" w:fill="FFFFFF"/>
        </w:rPr>
        <w:t>of life and political stability</w:t>
      </w:r>
      <w:r w:rsidR="00695720" w:rsidRPr="00D9670A">
        <w:rPr>
          <w:i/>
          <w:iCs/>
          <w:shd w:val="clear" w:color="auto" w:fill="FFFFFF"/>
        </w:rPr>
        <w:t>”</w:t>
      </w:r>
      <w:r w:rsidR="0002378D" w:rsidRPr="00D9670A">
        <w:rPr>
          <w:i/>
          <w:iCs/>
          <w:shd w:val="clear" w:color="auto" w:fill="FFFFFF"/>
        </w:rPr>
        <w:t>.</w:t>
      </w:r>
      <w:r w:rsidR="00AC45DE" w:rsidRPr="00D9670A">
        <w:rPr>
          <w:rStyle w:val="FootnoteReference"/>
          <w:i/>
          <w:iCs/>
          <w:shd w:val="clear" w:color="auto" w:fill="FFFFFF"/>
        </w:rPr>
        <w:footnoteReference w:id="9"/>
      </w:r>
      <w:r w:rsidR="00AC45DE" w:rsidRPr="00D9670A">
        <w:rPr>
          <w:iCs/>
          <w:shd w:val="clear" w:color="auto" w:fill="FFFFFF"/>
        </w:rPr>
        <w:t xml:space="preserve"> </w:t>
      </w:r>
      <w:r w:rsidRPr="00D9670A">
        <w:t xml:space="preserve">Porter’s </w:t>
      </w:r>
      <w:r w:rsidR="002C0686" w:rsidRPr="00D9670A">
        <w:t>s</w:t>
      </w:r>
      <w:r w:rsidRPr="00D9670A">
        <w:t>tyle and language when writing is described by W.F. Bynum as ‘distinctly Porterian’.</w:t>
      </w:r>
      <w:r w:rsidRPr="00D9670A">
        <w:rPr>
          <w:rStyle w:val="FootnoteReference"/>
        </w:rPr>
        <w:footnoteReference w:id="10"/>
      </w:r>
      <w:r w:rsidR="0002378D" w:rsidRPr="00D9670A">
        <w:t xml:space="preserve"> Porter’s work </w:t>
      </w:r>
      <w:r w:rsidR="0002378D" w:rsidRPr="00D9670A">
        <w:rPr>
          <w:i/>
        </w:rPr>
        <w:t>‘</w:t>
      </w:r>
      <w:r w:rsidRPr="00D9670A">
        <w:rPr>
          <w:i/>
        </w:rPr>
        <w:t>The Enlightenme</w:t>
      </w:r>
      <w:r w:rsidR="0002378D" w:rsidRPr="00D9670A">
        <w:rPr>
          <w:i/>
        </w:rPr>
        <w:t>nt: Studies in European History’</w:t>
      </w:r>
      <w:r w:rsidRPr="00D9670A">
        <w:t xml:space="preserve"> acts as a basis for his future work on the enlightenment</w:t>
      </w:r>
      <w:r w:rsidR="00D9670A">
        <w:t xml:space="preserve"> including </w:t>
      </w:r>
      <w:r w:rsidR="00D9670A" w:rsidRPr="00D9670A">
        <w:rPr>
          <w:i/>
        </w:rPr>
        <w:t>‘</w:t>
      </w:r>
      <w:r w:rsidRPr="00D9670A">
        <w:rPr>
          <w:i/>
        </w:rPr>
        <w:t>Enlightenment: Britain and the Creation of the Modern World</w:t>
      </w:r>
      <w:r w:rsidR="00D9670A" w:rsidRPr="00D9670A">
        <w:rPr>
          <w:i/>
        </w:rPr>
        <w:t>’</w:t>
      </w:r>
      <w:r w:rsidR="00D9670A">
        <w:t xml:space="preserve"> published in 2000. His book </w:t>
      </w:r>
      <w:r w:rsidR="00D9670A" w:rsidRPr="00D9670A">
        <w:rPr>
          <w:i/>
        </w:rPr>
        <w:t xml:space="preserve">‘Studies in European History: </w:t>
      </w:r>
      <w:r w:rsidRPr="00D9670A">
        <w:rPr>
          <w:i/>
        </w:rPr>
        <w:t>The Enlightenme</w:t>
      </w:r>
      <w:r w:rsidR="00D9670A" w:rsidRPr="00D9670A">
        <w:rPr>
          <w:i/>
        </w:rPr>
        <w:t>nt’</w:t>
      </w:r>
      <w:r w:rsidR="00D9670A">
        <w:t xml:space="preserve"> </w:t>
      </w:r>
      <w:r w:rsidRPr="00D9670A">
        <w:t>is written in a style using language for academics and historians and can be perceived as a basis for future academic work written on the enlightenment.</w:t>
      </w:r>
      <w:r w:rsidR="00440A66" w:rsidRPr="00D9670A">
        <w:t xml:space="preserve"> In the first few couple of pages on chapter 8 Porter seems to deny or even dismiss the importance of the enlightenment, however, as the chapter develops he seems to change his mind or even to a certain extent convince himself of the importance and lasting effect that the enlightenment had</w:t>
      </w:r>
      <w:r w:rsidR="00996E76" w:rsidRPr="00D9670A">
        <w:t xml:space="preserve">. Chapter 8 begins by stating that a lot of forceful idealists blamed all the negativity of the French revolution upon </w:t>
      </w:r>
      <w:r w:rsidR="00996E76" w:rsidRPr="00AD086A">
        <w:t>the ‘Philosophes’,</w:t>
      </w:r>
      <w:r w:rsidR="00996E76" w:rsidRPr="00D9670A">
        <w:t xml:space="preserve"> expressing the opinion that the likes of Burke and Barruel had believed the ‘illuminati’ had used their insincere care for human welfare and basic arguments had </w:t>
      </w:r>
      <w:r w:rsidR="008C6490" w:rsidRPr="00D9670A">
        <w:rPr>
          <w:i/>
        </w:rPr>
        <w:t>“charmed the impressionable”.</w:t>
      </w:r>
      <w:r w:rsidR="008C6490" w:rsidRPr="00D9670A">
        <w:rPr>
          <w:rStyle w:val="FootnoteReference"/>
        </w:rPr>
        <w:footnoteReference w:id="11"/>
      </w:r>
      <w:r w:rsidR="00996E76" w:rsidRPr="00D9670A">
        <w:t xml:space="preserve"> Going further as to propose that anyone against the enlightenment may be able to point a finger towards the likes of Paine and Condorcet and suggest it could be a </w:t>
      </w:r>
      <w:r w:rsidR="00996E76" w:rsidRPr="00D9670A">
        <w:lastRenderedPageBreak/>
        <w:t xml:space="preserve">case of the </w:t>
      </w:r>
      <w:r w:rsidR="00996E76" w:rsidRPr="006150AF">
        <w:t xml:space="preserve">enlightenment coming </w:t>
      </w:r>
      <w:r w:rsidR="006150AF" w:rsidRPr="006150AF">
        <w:t>back to haunt them</w:t>
      </w:r>
      <w:r w:rsidR="00996E76" w:rsidRPr="006150AF">
        <w:t>,</w:t>
      </w:r>
      <w:r w:rsidR="00996E76" w:rsidRPr="00D9670A">
        <w:t xml:space="preserve"> in order to make this analogy Porter uses the term </w:t>
      </w:r>
      <w:r w:rsidR="008C6490" w:rsidRPr="00D9670A">
        <w:rPr>
          <w:i/>
        </w:rPr>
        <w:t>“Chickens coming home to roost”</w:t>
      </w:r>
      <w:r w:rsidR="00996E76" w:rsidRPr="00D9670A">
        <w:t>.</w:t>
      </w:r>
      <w:r w:rsidR="008C6490" w:rsidRPr="00D9670A">
        <w:rPr>
          <w:rStyle w:val="FootnoteReference"/>
        </w:rPr>
        <w:footnoteReference w:id="12"/>
      </w:r>
      <w:r w:rsidR="00996E76" w:rsidRPr="00D9670A">
        <w:t xml:space="preserve"> </w:t>
      </w:r>
    </w:p>
    <w:p w:rsidR="00B04870" w:rsidRPr="00D9670A" w:rsidRDefault="00B04870" w:rsidP="00CE0A5C">
      <w:pPr>
        <w:pStyle w:val="NormalWeb"/>
        <w:spacing w:before="0" w:beforeAutospacing="0" w:after="0" w:afterAutospacing="0" w:line="360" w:lineRule="auto"/>
        <w:jc w:val="both"/>
      </w:pPr>
    </w:p>
    <w:p w:rsidR="00695720" w:rsidRPr="00D9670A" w:rsidRDefault="00996E76" w:rsidP="00CE0A5C">
      <w:pPr>
        <w:pStyle w:val="NormalWeb"/>
        <w:spacing w:before="0" w:beforeAutospacing="0" w:after="0" w:afterAutospacing="0" w:line="360" w:lineRule="auto"/>
        <w:jc w:val="both"/>
      </w:pPr>
      <w:r w:rsidRPr="00D9670A">
        <w:t>Porter also advocates that we are unable to k</w:t>
      </w:r>
      <w:r w:rsidR="00F539D4" w:rsidRPr="00D9670A">
        <w:t>now how the philosophes would have</w:t>
      </w:r>
      <w:r w:rsidRPr="00D9670A">
        <w:t xml:space="preserve"> felt or reacted to the events of 1789 as none would have been alive, however, he does argue that </w:t>
      </w:r>
      <w:r w:rsidR="00C87D6F" w:rsidRPr="00D9670A">
        <w:t>the two ‘Liberal Reformers’</w:t>
      </w:r>
      <w:r w:rsidR="00F539D4" w:rsidRPr="00D9670A">
        <w:t xml:space="preserve"> Darwin and Erasmus had welcomed</w:t>
      </w:r>
      <w:r w:rsidR="00C87D6F" w:rsidRPr="00D9670A">
        <w:t xml:space="preserve"> the beginning of the revolution</w:t>
      </w:r>
      <w:r w:rsidR="00AD086A">
        <w:t>,</w:t>
      </w:r>
      <w:r w:rsidR="00C87D6F" w:rsidRPr="00D9670A">
        <w:t xml:space="preserve"> but by the time of Louis XVI’s execution in January of 1793 all patience had been lost. </w:t>
      </w:r>
      <w:r w:rsidR="00E651EA" w:rsidRPr="00D9670A">
        <w:t>Porter continues to further criticise the philosophes</w:t>
      </w:r>
      <w:r w:rsidR="007F1B70" w:rsidRPr="00D9670A">
        <w:t xml:space="preserve"> and the influence that they had saying it can be difficult to locate measures advocated for by philosophes that actually came to fruition and criticises them further by</w:t>
      </w:r>
      <w:r w:rsidR="003C7996" w:rsidRPr="00D9670A">
        <w:t xml:space="preserve"> using phrases such as </w:t>
      </w:r>
      <w:r w:rsidR="003C7996" w:rsidRPr="00B04870">
        <w:rPr>
          <w:i/>
        </w:rPr>
        <w:t>“</w:t>
      </w:r>
      <w:r w:rsidR="00E651EA" w:rsidRPr="00B04870">
        <w:rPr>
          <w:i/>
        </w:rPr>
        <w:t>…the irrelevance of the philosophes</w:t>
      </w:r>
      <w:r w:rsidR="003C7996" w:rsidRPr="00B04870">
        <w:rPr>
          <w:i/>
        </w:rPr>
        <w:t>”</w:t>
      </w:r>
      <w:r w:rsidR="00E651EA" w:rsidRPr="00D9670A">
        <w:t xml:space="preserve"> and </w:t>
      </w:r>
      <w:r w:rsidR="003C7996" w:rsidRPr="00D9670A">
        <w:rPr>
          <w:i/>
        </w:rPr>
        <w:t>“They were less concerned with Blueprints than with analysis, less with conclusions than with questions”</w:t>
      </w:r>
      <w:r w:rsidR="009736CC" w:rsidRPr="00D9670A">
        <w:t>.</w:t>
      </w:r>
      <w:r w:rsidR="00D9670A">
        <w:rPr>
          <w:rStyle w:val="FootnoteReference"/>
        </w:rPr>
        <w:footnoteReference w:id="13"/>
      </w:r>
      <w:r w:rsidR="009736CC" w:rsidRPr="00D9670A">
        <w:t xml:space="preserve"> This is a preposterous suggestion by Porter, has he chosen to forget the </w:t>
      </w:r>
      <w:r w:rsidR="009736CC" w:rsidRPr="00B04870">
        <w:rPr>
          <w:i/>
        </w:rPr>
        <w:t>‘Declaration of the Rights of the Man and of the Citizen’</w:t>
      </w:r>
      <w:r w:rsidR="009736CC" w:rsidRPr="00D9670A">
        <w:t xml:space="preserve"> written by General Lafayette, Honore Mirabeau and Thomas Jefferson.</w:t>
      </w:r>
      <w:r w:rsidR="008C6490" w:rsidRPr="00D9670A">
        <w:rPr>
          <w:rStyle w:val="FootnoteReference"/>
        </w:rPr>
        <w:footnoteReference w:id="14"/>
      </w:r>
      <w:r w:rsidR="009736CC" w:rsidRPr="00D9670A">
        <w:t xml:space="preserve"> This declaration </w:t>
      </w:r>
      <w:r w:rsidR="005A5D8D" w:rsidRPr="00D9670A">
        <w:t xml:space="preserve">which was developed from the very ideals of the enlightenment, also </w:t>
      </w:r>
      <w:r w:rsidR="009736CC" w:rsidRPr="00D9670A">
        <w:t>b</w:t>
      </w:r>
      <w:r w:rsidR="005A5D8D" w:rsidRPr="00D9670A">
        <w:t>eing the b</w:t>
      </w:r>
      <w:r w:rsidR="009736CC" w:rsidRPr="00D9670A">
        <w:t xml:space="preserve">lueprint and foundations for the 1948 United Nations Universal </w:t>
      </w:r>
      <w:r w:rsidR="005A5D8D" w:rsidRPr="00D9670A">
        <w:t>Declaration</w:t>
      </w:r>
      <w:r w:rsidR="009736CC" w:rsidRPr="00D9670A">
        <w:t xml:space="preserve"> of Human Rights. </w:t>
      </w:r>
    </w:p>
    <w:p w:rsidR="007F1B70" w:rsidRPr="00D9670A" w:rsidRDefault="007F1B70" w:rsidP="00CE0A5C">
      <w:pPr>
        <w:pStyle w:val="NormalWeb"/>
        <w:spacing w:before="0" w:beforeAutospacing="0" w:after="0" w:afterAutospacing="0" w:line="360" w:lineRule="auto"/>
        <w:jc w:val="both"/>
      </w:pPr>
    </w:p>
    <w:p w:rsidR="00C87D6F" w:rsidRPr="00D9670A" w:rsidRDefault="00C87D6F" w:rsidP="00CE0A5C">
      <w:pPr>
        <w:pStyle w:val="NormalWeb"/>
        <w:spacing w:before="0" w:beforeAutospacing="0" w:after="0" w:afterAutospacing="0" w:line="360" w:lineRule="auto"/>
        <w:jc w:val="both"/>
      </w:pPr>
      <w:r w:rsidRPr="00D9670A">
        <w:t xml:space="preserve">In almost a contradictory sense Porter </w:t>
      </w:r>
      <w:r w:rsidR="007F1B70" w:rsidRPr="00D9670A">
        <w:t>on the first page of the chapter</w:t>
      </w:r>
      <w:r w:rsidR="00FB19E0" w:rsidRPr="00D9670A">
        <w:t xml:space="preserve"> suggests</w:t>
      </w:r>
      <w:r w:rsidRPr="00D9670A">
        <w:t xml:space="preserve"> that many crucial changes across Europe had occurred due to ‘Enlightened Principle’ for example, abolishment of serfdom in Joseph II’s Austrian empire,</w:t>
      </w:r>
      <w:r w:rsidR="00FB19E0" w:rsidRPr="00D9670A">
        <w:t xml:space="preserve"> and that as the enlightenment gathered pace it stopped the massacre of witches, the burning of heretics and started the downfall of magic. Porter uses a large portion of the chapter to describe the effect the enlightenment had on religion and states that although Historians have differing views on how influential the enlightenment was</w:t>
      </w:r>
      <w:r w:rsidR="00F57256">
        <w:t>,</w:t>
      </w:r>
      <w:r w:rsidR="00FB19E0" w:rsidRPr="00D9670A">
        <w:t xml:space="preserve"> it is unanimous that </w:t>
      </w:r>
      <w:r w:rsidR="00FB19E0" w:rsidRPr="00D9670A">
        <w:rPr>
          <w:i/>
        </w:rPr>
        <w:t>“its true radicalism lies in making a break with the Biblical”</w:t>
      </w:r>
      <w:r w:rsidR="00FB19E0" w:rsidRPr="00D9670A">
        <w:t>.</w:t>
      </w:r>
      <w:r w:rsidR="00D9670A" w:rsidRPr="00D9670A">
        <w:rPr>
          <w:rStyle w:val="FootnoteReference"/>
        </w:rPr>
        <w:footnoteReference w:id="15"/>
      </w:r>
      <w:r w:rsidR="00FB19E0" w:rsidRPr="00D9670A">
        <w:t xml:space="preserve"> Porter does also point out that the enlightenment encouraged the European mind into becoming increasingly secularised but that </w:t>
      </w:r>
      <w:r w:rsidR="0084486F" w:rsidRPr="00D9670A">
        <w:t xml:space="preserve">he is not claiming all the philosophes were atheists or that religion stopped being. </w:t>
      </w:r>
      <w:r w:rsidR="005B4A58" w:rsidRPr="00D9670A">
        <w:t xml:space="preserve">In </w:t>
      </w:r>
      <w:r w:rsidR="00E71CD7" w:rsidRPr="00D9670A">
        <w:t>fact,</w:t>
      </w:r>
      <w:r w:rsidR="005B4A58" w:rsidRPr="00D9670A">
        <w:t xml:space="preserve"> Porter points out that following the French Revolution there became a forceful religious revival right across the continent of Europe. Porter states that there is a cultural divide with Dante, Erasmus, Racine and Milton (all famous religious writers) on side of the divide while on t</w:t>
      </w:r>
      <w:r w:rsidR="00C72401">
        <w:t>he other side you have people such as</w:t>
      </w:r>
      <w:r w:rsidR="005B4A58" w:rsidRPr="00D9670A">
        <w:t xml:space="preserve"> Delacroix, Schopenhauer, </w:t>
      </w:r>
      <w:r w:rsidR="00C72401">
        <w:lastRenderedPageBreak/>
        <w:t>George Eliot, and Darwin. Porter m</w:t>
      </w:r>
      <w:r w:rsidR="005B4A58" w:rsidRPr="00D9670A">
        <w:t xml:space="preserve">akes a very bold statement in saying </w:t>
      </w:r>
      <w:r w:rsidR="005B4A58" w:rsidRPr="00D9670A">
        <w:rPr>
          <w:i/>
        </w:rPr>
        <w:t>“Romanticism…is what is left of the soul when the religion has been drained out of it”</w:t>
      </w:r>
      <w:r w:rsidR="005B4A58" w:rsidRPr="00D9670A">
        <w:t>.</w:t>
      </w:r>
      <w:r w:rsidR="005B4A58" w:rsidRPr="00D9670A">
        <w:rPr>
          <w:rStyle w:val="FootnoteReference"/>
        </w:rPr>
        <w:footnoteReference w:id="16"/>
      </w:r>
      <w:r w:rsidR="005B4A58" w:rsidRPr="00D9670A">
        <w:t xml:space="preserve"> </w:t>
      </w:r>
      <w:r w:rsidR="0084486F" w:rsidRPr="00D9670A">
        <w:t>The enlightenment did however have a profound effect on education and the way people were taught in what was previously a monopolised sector by the clergy</w:t>
      </w:r>
      <w:r w:rsidR="00833801">
        <w:t>. I</w:t>
      </w:r>
      <w:r w:rsidR="0084486F" w:rsidRPr="00D9670A">
        <w:t>t was now taught with more knowledge of sciences and the natural world</w:t>
      </w:r>
      <w:r w:rsidR="00833801">
        <w:t>,</w:t>
      </w:r>
      <w:r w:rsidR="0084486F" w:rsidRPr="00D9670A">
        <w:t xml:space="preserve"> where as previously Europe’s most distinguished historian, Bishop Bousset, had written his book entitled ‘Universal History’ he had completely neglected an</w:t>
      </w:r>
      <w:r w:rsidR="00E27B28" w:rsidRPr="00D9670A">
        <w:t>y mention of the Chinese. W</w:t>
      </w:r>
      <w:r w:rsidR="0084486F" w:rsidRPr="00D9670A">
        <w:t xml:space="preserve">hile </w:t>
      </w:r>
      <w:r w:rsidR="00E27B28" w:rsidRPr="00D9670A">
        <w:t>the enlightenment</w:t>
      </w:r>
      <w:r w:rsidR="0084486F" w:rsidRPr="00D9670A">
        <w:t xml:space="preserve"> did not completely deny religious beliefs it certainly questioned the credibility</w:t>
      </w:r>
      <w:r w:rsidR="00E27B28" w:rsidRPr="00D9670A">
        <w:t xml:space="preserve"> of certain aspects of Religion</w:t>
      </w:r>
      <w:r w:rsidR="00833801">
        <w:t>,</w:t>
      </w:r>
      <w:r w:rsidR="00E27B28" w:rsidRPr="00D9670A">
        <w:t xml:space="preserve"> for example the real presence of Heaven and Hell.</w:t>
      </w:r>
      <w:r w:rsidR="004614E0" w:rsidRPr="00D9670A">
        <w:t xml:space="preserve"> Porter also expre</w:t>
      </w:r>
      <w:r w:rsidR="00F17EC3" w:rsidRPr="00D9670A">
        <w:t>ssed that the enlightenment was</w:t>
      </w:r>
      <w:r w:rsidR="004614E0" w:rsidRPr="00D9670A">
        <w:t xml:space="preserve"> a time </w:t>
      </w:r>
      <w:r w:rsidR="00F17EC3" w:rsidRPr="00D9670A">
        <w:t>which saw the arrival of non-religious academicians in a large and authoritative group to contend the clergy. The remainder of this chapter merely addresses the way in which the new enlightened thinkers took stance outside the church with the view to selling their work and writings in order to make a living</w:t>
      </w:r>
      <w:r w:rsidR="00D87506">
        <w:t>,</w:t>
      </w:r>
      <w:r w:rsidR="00F17EC3" w:rsidRPr="00D9670A">
        <w:t xml:space="preserve"> and to spread the word of the new enlightened way of thinking</w:t>
      </w:r>
      <w:r w:rsidR="00A04A6E" w:rsidRPr="00D9670A">
        <w:t xml:space="preserve">, this brought about the arrival of such things as magazines </w:t>
      </w:r>
      <w:r w:rsidR="00D87506" w:rsidRPr="00D9670A">
        <w:t>e.g.</w:t>
      </w:r>
      <w:r w:rsidR="00A04A6E" w:rsidRPr="00D9670A">
        <w:t xml:space="preserve"> </w:t>
      </w:r>
      <w:r w:rsidR="00A04A6E" w:rsidRPr="00D9670A">
        <w:rPr>
          <w:i/>
        </w:rPr>
        <w:t>spectator</w:t>
      </w:r>
      <w:r w:rsidR="00F17EC3" w:rsidRPr="00D9670A">
        <w:rPr>
          <w:i/>
        </w:rPr>
        <w:t>.</w:t>
      </w:r>
      <w:r w:rsidR="00A04A6E" w:rsidRPr="00D9670A">
        <w:t xml:space="preserve"> This then became more attractive to a rapidly growing reading public, who expressed a desire to read more forms of writing for example, biographies, essays and works of fiction. This desire to read brought about the establishing of such associations as academies and reading clubs </w:t>
      </w:r>
      <w:r w:rsidR="00830F7C" w:rsidRPr="00D9670A">
        <w:t>and</w:t>
      </w:r>
      <w:r w:rsidR="00A04A6E" w:rsidRPr="00D9670A">
        <w:t xml:space="preserve"> scientific societies. </w:t>
      </w:r>
      <w:r w:rsidR="005B4A58" w:rsidRPr="00D9670A">
        <w:t xml:space="preserve">Porter ends the chapter by stating that the enlightenment assisted in the releasing of man from the past, but in doing so it didn’t prevent </w:t>
      </w:r>
      <w:r w:rsidR="005B4A58" w:rsidRPr="00B04870">
        <w:rPr>
          <w:i/>
        </w:rPr>
        <w:t>“the construction of new captivities in the future”</w:t>
      </w:r>
      <w:r w:rsidR="005B4A58" w:rsidRPr="00D9670A">
        <w:t>.</w:t>
      </w:r>
      <w:r w:rsidR="005B4A58" w:rsidRPr="00D9670A">
        <w:rPr>
          <w:rStyle w:val="FootnoteReference"/>
        </w:rPr>
        <w:footnoteReference w:id="17"/>
      </w:r>
      <w:r w:rsidR="005B4A58" w:rsidRPr="00D9670A">
        <w:t xml:space="preserve"> </w:t>
      </w:r>
    </w:p>
    <w:p w:rsidR="00F17EC3" w:rsidRPr="00D9670A" w:rsidRDefault="00F17EC3" w:rsidP="00CE0A5C">
      <w:pPr>
        <w:pStyle w:val="NormalWeb"/>
        <w:spacing w:before="0" w:beforeAutospacing="0" w:after="0" w:afterAutospacing="0" w:line="360" w:lineRule="auto"/>
        <w:jc w:val="both"/>
      </w:pPr>
    </w:p>
    <w:p w:rsidR="00126CE2" w:rsidRDefault="00A04A6E" w:rsidP="00126CE2">
      <w:pPr>
        <w:pStyle w:val="NormalWeb"/>
        <w:spacing w:before="0" w:beforeAutospacing="0" w:after="0" w:afterAutospacing="0" w:line="360" w:lineRule="auto"/>
        <w:jc w:val="both"/>
      </w:pPr>
      <w:r w:rsidRPr="00D9670A">
        <w:t>In conclusion Porter</w:t>
      </w:r>
      <w:r w:rsidR="00F17EC3" w:rsidRPr="00D9670A">
        <w:t xml:space="preserve"> over-complicates his writing with the English language he chooses to use</w:t>
      </w:r>
      <w:r w:rsidR="00CC786D">
        <w:t>,</w:t>
      </w:r>
      <w:r w:rsidRPr="00D9670A">
        <w:t xml:space="preserve"> which makes for a very difficult read and this is not helped by the fact that </w:t>
      </w:r>
      <w:r w:rsidR="0084280B" w:rsidRPr="00D9670A">
        <w:t xml:space="preserve">his work is hypocritical with Porter often contradicting himself </w:t>
      </w:r>
      <w:r w:rsidR="00CC786D">
        <w:t>as he was very back</w:t>
      </w:r>
      <w:r w:rsidR="0084280B" w:rsidRPr="00D9670A">
        <w:t xml:space="preserve"> and forth across his opinions.</w:t>
      </w:r>
      <w:r w:rsidR="00126CE2">
        <w:br w:type="page"/>
      </w:r>
    </w:p>
    <w:p w:rsidR="00595879" w:rsidRDefault="00126CE2" w:rsidP="00645F7F">
      <w:pPr>
        <w:spacing w:line="360" w:lineRule="auto"/>
        <w:rPr>
          <w:rFonts w:ascii="Times New Roman" w:hAnsi="Times New Roman" w:cs="Times New Roman"/>
          <w:b/>
          <w:sz w:val="28"/>
          <w:szCs w:val="28"/>
          <w:u w:val="single"/>
        </w:rPr>
      </w:pPr>
      <w:r w:rsidRPr="00126CE2">
        <w:rPr>
          <w:rFonts w:ascii="Times New Roman" w:hAnsi="Times New Roman" w:cs="Times New Roman"/>
          <w:b/>
          <w:sz w:val="28"/>
          <w:szCs w:val="28"/>
          <w:u w:val="single"/>
        </w:rPr>
        <w:lastRenderedPageBreak/>
        <w:t>Bibliography</w:t>
      </w:r>
    </w:p>
    <w:p w:rsidR="00645F7F" w:rsidRPr="00421B36" w:rsidRDefault="00421B36" w:rsidP="00645F7F">
      <w:pPr>
        <w:spacing w:line="360" w:lineRule="auto"/>
        <w:rPr>
          <w:rFonts w:ascii="Times New Roman" w:hAnsi="Times New Roman" w:cs="Times New Roman"/>
          <w:b/>
          <w:sz w:val="28"/>
          <w:szCs w:val="28"/>
          <w:u w:val="single"/>
        </w:rPr>
      </w:pPr>
      <w:r>
        <w:rPr>
          <w:rFonts w:ascii="Times New Roman" w:hAnsi="Times New Roman" w:cs="Times New Roman"/>
          <w:sz w:val="24"/>
          <w:szCs w:val="24"/>
        </w:rPr>
        <w:t>Bynum, W</w:t>
      </w:r>
      <w:r w:rsidR="00645F7F">
        <w:rPr>
          <w:rFonts w:ascii="Times New Roman" w:hAnsi="Times New Roman" w:cs="Times New Roman"/>
          <w:sz w:val="24"/>
          <w:szCs w:val="24"/>
        </w:rPr>
        <w:t xml:space="preserve">.F, ‘Roy Porter: Prolific scholar whose book and broadcasts revealed the medical and social history of Britain’, </w:t>
      </w:r>
      <w:r w:rsidR="00645F7F">
        <w:rPr>
          <w:rFonts w:ascii="Times New Roman" w:hAnsi="Times New Roman" w:cs="Times New Roman"/>
          <w:i/>
          <w:sz w:val="24"/>
          <w:szCs w:val="24"/>
        </w:rPr>
        <w:t xml:space="preserve">The Guardian, </w:t>
      </w:r>
      <w:r w:rsidR="00645F7F">
        <w:rPr>
          <w:rFonts w:ascii="Times New Roman" w:hAnsi="Times New Roman" w:cs="Times New Roman"/>
          <w:sz w:val="24"/>
          <w:szCs w:val="24"/>
        </w:rPr>
        <w:t>5 March 2002 &lt;</w:t>
      </w:r>
      <w:r w:rsidR="00645F7F" w:rsidRPr="00645F7F">
        <w:rPr>
          <w:rFonts w:ascii="Times New Roman" w:hAnsi="Times New Roman" w:cs="Times New Roman"/>
          <w:sz w:val="24"/>
          <w:szCs w:val="24"/>
        </w:rPr>
        <w:t>https://www.theguardian.com/news/2002/mar/05/guardianobituaries.obituaries</w:t>
      </w:r>
      <w:r w:rsidR="00645F7F">
        <w:rPr>
          <w:rFonts w:ascii="Times New Roman" w:hAnsi="Times New Roman" w:cs="Times New Roman"/>
          <w:sz w:val="24"/>
          <w:szCs w:val="24"/>
        </w:rPr>
        <w:t>&gt; [Accessed 12 October 2018]</w:t>
      </w:r>
      <w:bookmarkStart w:id="3" w:name="_GoBack"/>
      <w:bookmarkEnd w:id="3"/>
    </w:p>
    <w:p w:rsidR="00645F7F" w:rsidRDefault="00645F7F" w:rsidP="00645F7F">
      <w:pPr>
        <w:spacing w:line="360" w:lineRule="auto"/>
        <w:rPr>
          <w:rFonts w:ascii="Times New Roman" w:hAnsi="Times New Roman" w:cs="Times New Roman"/>
          <w:sz w:val="24"/>
          <w:szCs w:val="24"/>
        </w:rPr>
      </w:pPr>
      <w:r>
        <w:rPr>
          <w:rFonts w:ascii="Times New Roman" w:hAnsi="Times New Roman" w:cs="Times New Roman"/>
          <w:sz w:val="24"/>
          <w:szCs w:val="24"/>
        </w:rPr>
        <w:t xml:space="preserve">Forrester, John, ‘Professor Roy Porter’, </w:t>
      </w:r>
      <w:r>
        <w:rPr>
          <w:rFonts w:ascii="Times New Roman" w:hAnsi="Times New Roman" w:cs="Times New Roman"/>
          <w:i/>
          <w:sz w:val="24"/>
          <w:szCs w:val="24"/>
        </w:rPr>
        <w:t xml:space="preserve">Independent, </w:t>
      </w:r>
      <w:r>
        <w:rPr>
          <w:rFonts w:ascii="Times New Roman" w:hAnsi="Times New Roman" w:cs="Times New Roman"/>
          <w:sz w:val="24"/>
          <w:szCs w:val="24"/>
        </w:rPr>
        <w:t>5 March 2002 &lt;</w:t>
      </w:r>
      <w:r w:rsidRPr="00595879">
        <w:rPr>
          <w:rFonts w:ascii="Times New Roman" w:hAnsi="Times New Roman" w:cs="Times New Roman"/>
          <w:sz w:val="24"/>
          <w:szCs w:val="24"/>
        </w:rPr>
        <w:t>https://www.independent.co.uk/news/obituaries/professor-roy-porter-9179233.html</w:t>
      </w:r>
      <w:r>
        <w:rPr>
          <w:rFonts w:ascii="Times New Roman" w:hAnsi="Times New Roman" w:cs="Times New Roman"/>
          <w:sz w:val="24"/>
          <w:szCs w:val="24"/>
        </w:rPr>
        <w:t>&gt; [Accessed 12 October 2018]</w:t>
      </w:r>
    </w:p>
    <w:p w:rsidR="00595879" w:rsidRDefault="00645F7F" w:rsidP="00645F7F">
      <w:pPr>
        <w:spacing w:line="360" w:lineRule="auto"/>
        <w:rPr>
          <w:rFonts w:ascii="Times New Roman" w:hAnsi="Times New Roman" w:cs="Times New Roman"/>
          <w:sz w:val="24"/>
          <w:szCs w:val="24"/>
        </w:rPr>
      </w:pPr>
      <w:r>
        <w:rPr>
          <w:rFonts w:ascii="Times New Roman" w:hAnsi="Times New Roman" w:cs="Times New Roman"/>
          <w:sz w:val="24"/>
          <w:szCs w:val="24"/>
        </w:rPr>
        <w:t xml:space="preserve">Fremont-Barnes, Gregory, </w:t>
      </w:r>
      <w:r w:rsidR="00E9034D" w:rsidRPr="00595879">
        <w:rPr>
          <w:rFonts w:ascii="Times New Roman" w:hAnsi="Times New Roman" w:cs="Times New Roman"/>
          <w:i/>
          <w:sz w:val="24"/>
          <w:szCs w:val="24"/>
        </w:rPr>
        <w:t>Encyclopaedia</w:t>
      </w:r>
      <w:r w:rsidRPr="00595879">
        <w:rPr>
          <w:rFonts w:ascii="Times New Roman" w:hAnsi="Times New Roman" w:cs="Times New Roman"/>
          <w:i/>
          <w:sz w:val="24"/>
          <w:szCs w:val="24"/>
        </w:rPr>
        <w:t xml:space="preserve"> of the Age of Political Revolutions and New Ideologies</w:t>
      </w:r>
      <w:r w:rsidR="00595879" w:rsidRPr="00595879">
        <w:rPr>
          <w:rFonts w:ascii="Times New Roman" w:hAnsi="Times New Roman" w:cs="Times New Roman"/>
          <w:i/>
          <w:sz w:val="24"/>
          <w:szCs w:val="24"/>
        </w:rPr>
        <w:t xml:space="preserve">: 1760-1815 </w:t>
      </w:r>
      <w:r w:rsidR="00595879">
        <w:rPr>
          <w:rFonts w:ascii="Times New Roman" w:hAnsi="Times New Roman" w:cs="Times New Roman"/>
          <w:sz w:val="24"/>
          <w:szCs w:val="24"/>
        </w:rPr>
        <w:t>(California, Greenwood Publishing Group, 2007)</w:t>
      </w:r>
    </w:p>
    <w:p w:rsidR="00E9034D" w:rsidRDefault="00E9034D" w:rsidP="00645F7F">
      <w:pPr>
        <w:spacing w:line="360" w:lineRule="auto"/>
        <w:rPr>
          <w:rFonts w:ascii="Times New Roman" w:hAnsi="Times New Roman" w:cs="Times New Roman"/>
          <w:sz w:val="24"/>
          <w:szCs w:val="24"/>
        </w:rPr>
      </w:pPr>
      <w:r>
        <w:rPr>
          <w:rFonts w:ascii="Times New Roman" w:hAnsi="Times New Roman" w:cs="Times New Roman"/>
          <w:sz w:val="24"/>
          <w:szCs w:val="24"/>
        </w:rPr>
        <w:t xml:space="preserve">Gay, Peter, </w:t>
      </w:r>
      <w:r>
        <w:rPr>
          <w:rFonts w:ascii="Times New Roman" w:hAnsi="Times New Roman" w:cs="Times New Roman"/>
          <w:i/>
          <w:sz w:val="24"/>
          <w:szCs w:val="24"/>
        </w:rPr>
        <w:t>The Enlightenment an Interpretation: The Science of Freedom Volume 2</w:t>
      </w:r>
      <w:r>
        <w:rPr>
          <w:rFonts w:ascii="Times New Roman" w:hAnsi="Times New Roman" w:cs="Times New Roman"/>
          <w:sz w:val="24"/>
          <w:szCs w:val="24"/>
        </w:rPr>
        <w:t xml:space="preserve"> (London, Wildwood House, 19</w:t>
      </w:r>
      <w:r w:rsidR="00421B36">
        <w:rPr>
          <w:rFonts w:ascii="Times New Roman" w:hAnsi="Times New Roman" w:cs="Times New Roman"/>
          <w:sz w:val="24"/>
          <w:szCs w:val="24"/>
        </w:rPr>
        <w:t>73)</w:t>
      </w:r>
    </w:p>
    <w:p w:rsidR="00E9034D" w:rsidRDefault="00E9034D" w:rsidP="00645F7F">
      <w:pPr>
        <w:spacing w:line="360" w:lineRule="auto"/>
        <w:rPr>
          <w:rFonts w:ascii="Times New Roman" w:hAnsi="Times New Roman" w:cs="Times New Roman"/>
          <w:sz w:val="24"/>
          <w:szCs w:val="24"/>
        </w:rPr>
      </w:pPr>
      <w:r>
        <w:rPr>
          <w:rFonts w:ascii="Times New Roman" w:hAnsi="Times New Roman" w:cs="Times New Roman"/>
          <w:sz w:val="24"/>
          <w:szCs w:val="24"/>
        </w:rPr>
        <w:t xml:space="preserve">Hampson, Norman, </w:t>
      </w:r>
      <w:r>
        <w:rPr>
          <w:rFonts w:ascii="Times New Roman" w:hAnsi="Times New Roman" w:cs="Times New Roman"/>
          <w:i/>
          <w:sz w:val="24"/>
          <w:szCs w:val="24"/>
        </w:rPr>
        <w:t xml:space="preserve">The Enlightenment: An Evaluation of its Assumptions, Attitudes and Values </w:t>
      </w:r>
      <w:r>
        <w:rPr>
          <w:rFonts w:ascii="Times New Roman" w:hAnsi="Times New Roman" w:cs="Times New Roman"/>
          <w:sz w:val="24"/>
          <w:szCs w:val="24"/>
        </w:rPr>
        <w:t>(London, Penguin Books, 1990)</w:t>
      </w:r>
    </w:p>
    <w:p w:rsidR="00E9034D" w:rsidRDefault="00E9034D" w:rsidP="00645F7F">
      <w:pPr>
        <w:spacing w:line="360" w:lineRule="auto"/>
        <w:rPr>
          <w:rFonts w:ascii="Times New Roman" w:hAnsi="Times New Roman" w:cs="Times New Roman"/>
          <w:sz w:val="24"/>
          <w:szCs w:val="24"/>
        </w:rPr>
      </w:pPr>
      <w:r>
        <w:rPr>
          <w:rFonts w:ascii="Times New Roman" w:hAnsi="Times New Roman" w:cs="Times New Roman"/>
          <w:sz w:val="24"/>
          <w:szCs w:val="24"/>
        </w:rPr>
        <w:t xml:space="preserve">Hazard, Paul, </w:t>
      </w:r>
      <w:r>
        <w:rPr>
          <w:rFonts w:ascii="Times New Roman" w:hAnsi="Times New Roman" w:cs="Times New Roman"/>
          <w:i/>
          <w:sz w:val="24"/>
          <w:szCs w:val="24"/>
        </w:rPr>
        <w:t>European Thought in the Eighteenth Century</w:t>
      </w:r>
      <w:r>
        <w:rPr>
          <w:rFonts w:ascii="Times New Roman" w:hAnsi="Times New Roman" w:cs="Times New Roman"/>
          <w:sz w:val="24"/>
          <w:szCs w:val="24"/>
        </w:rPr>
        <w:t xml:space="preserve"> (Middlesex, Penguin Books Ltd, 1965)</w:t>
      </w:r>
    </w:p>
    <w:p w:rsidR="00053A3A" w:rsidRDefault="00E9034D" w:rsidP="00645F7F">
      <w:pPr>
        <w:spacing w:line="360" w:lineRule="auto"/>
        <w:rPr>
          <w:rFonts w:ascii="Times New Roman" w:hAnsi="Times New Roman" w:cs="Times New Roman"/>
          <w:sz w:val="24"/>
          <w:szCs w:val="24"/>
        </w:rPr>
      </w:pPr>
      <w:r>
        <w:rPr>
          <w:rFonts w:ascii="Times New Roman" w:hAnsi="Times New Roman" w:cs="Times New Roman"/>
          <w:sz w:val="24"/>
          <w:szCs w:val="24"/>
        </w:rPr>
        <w:t xml:space="preserve">Outram, Dorinda, </w:t>
      </w:r>
      <w:r>
        <w:rPr>
          <w:rFonts w:ascii="Times New Roman" w:hAnsi="Times New Roman" w:cs="Times New Roman"/>
          <w:i/>
          <w:sz w:val="24"/>
          <w:szCs w:val="24"/>
        </w:rPr>
        <w:t xml:space="preserve">The Enlightenment: New Approaches to European History </w:t>
      </w:r>
      <w:r>
        <w:rPr>
          <w:rFonts w:ascii="Times New Roman" w:hAnsi="Times New Roman" w:cs="Times New Roman"/>
          <w:sz w:val="24"/>
          <w:szCs w:val="24"/>
        </w:rPr>
        <w:t>(Cambridge, Cambridge University Press, 1995)</w:t>
      </w:r>
    </w:p>
    <w:p w:rsidR="00595879" w:rsidRDefault="00595879" w:rsidP="00645F7F">
      <w:pPr>
        <w:spacing w:line="360" w:lineRule="auto"/>
        <w:rPr>
          <w:rFonts w:ascii="Times New Roman" w:hAnsi="Times New Roman" w:cs="Times New Roman"/>
          <w:sz w:val="24"/>
          <w:szCs w:val="24"/>
        </w:rPr>
      </w:pPr>
      <w:r>
        <w:rPr>
          <w:rFonts w:ascii="Times New Roman" w:hAnsi="Times New Roman" w:cs="Times New Roman"/>
          <w:sz w:val="24"/>
          <w:szCs w:val="24"/>
        </w:rPr>
        <w:t xml:space="preserve">Porter, Roy, </w:t>
      </w:r>
      <w:r>
        <w:rPr>
          <w:rFonts w:ascii="Times New Roman" w:hAnsi="Times New Roman" w:cs="Times New Roman"/>
          <w:i/>
          <w:sz w:val="24"/>
          <w:szCs w:val="24"/>
        </w:rPr>
        <w:t xml:space="preserve">Studies in European History: The Enlightenment </w:t>
      </w:r>
      <w:r>
        <w:rPr>
          <w:rFonts w:ascii="Times New Roman" w:hAnsi="Times New Roman" w:cs="Times New Roman"/>
          <w:sz w:val="24"/>
          <w:szCs w:val="24"/>
        </w:rPr>
        <w:t>(London Macmillan Education Ltd, 1992 [1990])</w:t>
      </w:r>
    </w:p>
    <w:p w:rsidR="00595879" w:rsidRPr="00595879" w:rsidRDefault="00595879" w:rsidP="00645F7F">
      <w:pPr>
        <w:spacing w:line="360" w:lineRule="auto"/>
        <w:rPr>
          <w:rFonts w:ascii="Times New Roman" w:hAnsi="Times New Roman" w:cs="Times New Roman"/>
          <w:sz w:val="24"/>
          <w:szCs w:val="24"/>
        </w:rPr>
      </w:pPr>
      <w:r>
        <w:rPr>
          <w:rFonts w:ascii="Times New Roman" w:hAnsi="Times New Roman" w:cs="Times New Roman"/>
          <w:sz w:val="24"/>
          <w:szCs w:val="24"/>
        </w:rPr>
        <w:t xml:space="preserve">Telegraph, ‘Sir John Plumb’, </w:t>
      </w:r>
      <w:r>
        <w:rPr>
          <w:rFonts w:ascii="Times New Roman" w:hAnsi="Times New Roman" w:cs="Times New Roman"/>
          <w:i/>
          <w:sz w:val="24"/>
          <w:szCs w:val="24"/>
        </w:rPr>
        <w:t xml:space="preserve">The Telegraph, </w:t>
      </w:r>
      <w:r>
        <w:rPr>
          <w:rFonts w:ascii="Times New Roman" w:hAnsi="Times New Roman" w:cs="Times New Roman"/>
          <w:sz w:val="24"/>
          <w:szCs w:val="24"/>
        </w:rPr>
        <w:t>23 October 2001 &lt;</w:t>
      </w:r>
      <w:r w:rsidRPr="00595879">
        <w:rPr>
          <w:rFonts w:ascii="Times New Roman" w:hAnsi="Times New Roman" w:cs="Times New Roman"/>
          <w:sz w:val="24"/>
          <w:szCs w:val="24"/>
        </w:rPr>
        <w:t>https://www.telegraph.co.uk/news/obituaries/1360202/Sir-John-Plumb.html</w:t>
      </w:r>
      <w:r>
        <w:rPr>
          <w:rFonts w:ascii="Times New Roman" w:hAnsi="Times New Roman" w:cs="Times New Roman"/>
          <w:sz w:val="24"/>
          <w:szCs w:val="24"/>
        </w:rPr>
        <w:t>&gt; [Accessed 13 October 2018]</w:t>
      </w:r>
    </w:p>
    <w:sectPr w:rsidR="00595879" w:rsidRPr="005958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7C65" w:rsidRDefault="00187C65" w:rsidP="00D95AC8">
      <w:pPr>
        <w:spacing w:after="0" w:line="240" w:lineRule="auto"/>
      </w:pPr>
      <w:r>
        <w:separator/>
      </w:r>
    </w:p>
  </w:endnote>
  <w:endnote w:type="continuationSeparator" w:id="0">
    <w:p w:rsidR="00187C65" w:rsidRDefault="00187C65" w:rsidP="00D95A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7C65" w:rsidRDefault="00187C65" w:rsidP="00D95AC8">
      <w:pPr>
        <w:spacing w:after="0" w:line="240" w:lineRule="auto"/>
      </w:pPr>
      <w:r>
        <w:separator/>
      </w:r>
    </w:p>
  </w:footnote>
  <w:footnote w:type="continuationSeparator" w:id="0">
    <w:p w:rsidR="00187C65" w:rsidRDefault="00187C65" w:rsidP="00D95AC8">
      <w:pPr>
        <w:spacing w:after="0" w:line="240" w:lineRule="auto"/>
      </w:pPr>
      <w:r>
        <w:continuationSeparator/>
      </w:r>
    </w:p>
  </w:footnote>
  <w:footnote w:id="1">
    <w:p w:rsidR="0084280B" w:rsidRPr="00B04870" w:rsidRDefault="0084280B">
      <w:pPr>
        <w:pStyle w:val="FootnoteText"/>
        <w:rPr>
          <w:rFonts w:cstheme="minorHAnsi"/>
        </w:rPr>
      </w:pPr>
      <w:r w:rsidRPr="00B04870">
        <w:rPr>
          <w:rStyle w:val="FootnoteReference"/>
          <w:rFonts w:cstheme="minorHAnsi"/>
        </w:rPr>
        <w:footnoteRef/>
      </w:r>
      <w:r w:rsidRPr="00B04870">
        <w:rPr>
          <w:rFonts w:cstheme="minorHAnsi"/>
        </w:rPr>
        <w:t xml:space="preserve"> </w:t>
      </w:r>
      <w:r w:rsidR="00B31F25">
        <w:rPr>
          <w:rFonts w:cstheme="minorHAnsi"/>
        </w:rPr>
        <w:t xml:space="preserve">Michael Rohlf, ‘Immanuel Kant’, </w:t>
      </w:r>
      <w:r w:rsidR="00B31F25" w:rsidRPr="00B31F25">
        <w:rPr>
          <w:rFonts w:cstheme="minorHAnsi"/>
          <w:i/>
        </w:rPr>
        <w:t>The</w:t>
      </w:r>
      <w:r w:rsidR="00B31F25">
        <w:rPr>
          <w:rFonts w:cstheme="minorHAnsi"/>
        </w:rPr>
        <w:t xml:space="preserve"> </w:t>
      </w:r>
      <w:r w:rsidRPr="00B31F25">
        <w:rPr>
          <w:rFonts w:cstheme="minorHAnsi"/>
          <w:i/>
          <w:shd w:val="clear" w:color="auto" w:fill="FFFFFF"/>
        </w:rPr>
        <w:t>Stanford Encyclopaedia of Philosophy</w:t>
      </w:r>
      <w:r w:rsidRPr="00B04870">
        <w:rPr>
          <w:rFonts w:cstheme="minorHAnsi"/>
          <w:shd w:val="clear" w:color="auto" w:fill="FFFFFF"/>
        </w:rPr>
        <w:t>. 20 May 2010</w:t>
      </w:r>
      <w:r w:rsidRPr="00B04870">
        <w:rPr>
          <w:rStyle w:val="reference-accessdate"/>
          <w:rFonts w:cstheme="minorHAnsi"/>
          <w:shd w:val="clear" w:color="auto" w:fill="FFFFFF"/>
        </w:rPr>
        <w:t>.</w:t>
      </w:r>
      <w:r w:rsidRPr="00B04870">
        <w:rPr>
          <w:rFonts w:cstheme="minorHAnsi"/>
        </w:rPr>
        <w:t xml:space="preserve"> </w:t>
      </w:r>
      <w:r w:rsidR="00B31F25">
        <w:rPr>
          <w:rFonts w:cstheme="minorHAnsi"/>
        </w:rPr>
        <w:t>&lt;</w:t>
      </w:r>
      <w:r w:rsidRPr="00805448">
        <w:rPr>
          <w:rFonts w:cstheme="minorHAnsi"/>
          <w:shd w:val="clear" w:color="auto" w:fill="FFFFFF"/>
        </w:rPr>
        <w:t>https://plato.stanford.edu/entries/kant/#LifWor</w:t>
      </w:r>
      <w:r w:rsidRPr="00B04870">
        <w:rPr>
          <w:rFonts w:cstheme="minorHAnsi"/>
          <w:shd w:val="clear" w:color="auto" w:fill="FFFFFF"/>
        </w:rPr>
        <w:t xml:space="preserve"> </w:t>
      </w:r>
      <w:r w:rsidR="00B31F25">
        <w:rPr>
          <w:rFonts w:cstheme="minorHAnsi"/>
          <w:shd w:val="clear" w:color="auto" w:fill="FFFFFF"/>
        </w:rPr>
        <w:t>&gt; [Accessed 10 October 2018]</w:t>
      </w:r>
    </w:p>
  </w:footnote>
  <w:footnote w:id="2">
    <w:p w:rsidR="0084280B" w:rsidRPr="00B04870" w:rsidRDefault="0084280B" w:rsidP="00736521">
      <w:pPr>
        <w:pStyle w:val="FootnoteText"/>
        <w:rPr>
          <w:rFonts w:cstheme="minorHAnsi"/>
        </w:rPr>
      </w:pPr>
      <w:r w:rsidRPr="00B04870">
        <w:rPr>
          <w:rStyle w:val="FootnoteReference"/>
          <w:rFonts w:cstheme="minorHAnsi"/>
        </w:rPr>
        <w:footnoteRef/>
      </w:r>
      <w:r w:rsidRPr="00B04870">
        <w:rPr>
          <w:rFonts w:cstheme="minorHAnsi"/>
        </w:rPr>
        <w:t xml:space="preserve"> </w:t>
      </w:r>
      <w:r w:rsidR="00B31F25">
        <w:rPr>
          <w:rFonts w:cstheme="minorHAnsi"/>
        </w:rPr>
        <w:t xml:space="preserve">Michael Rohlf, ‘Immanuel Kant’, </w:t>
      </w:r>
      <w:r w:rsidR="00B31F25" w:rsidRPr="00B31F25">
        <w:rPr>
          <w:rFonts w:cstheme="minorHAnsi"/>
          <w:i/>
        </w:rPr>
        <w:t>The</w:t>
      </w:r>
      <w:r w:rsidR="00B31F25">
        <w:rPr>
          <w:rFonts w:cstheme="minorHAnsi"/>
        </w:rPr>
        <w:t xml:space="preserve"> </w:t>
      </w:r>
      <w:r w:rsidR="00B31F25" w:rsidRPr="00B31F25">
        <w:rPr>
          <w:rFonts w:cstheme="minorHAnsi"/>
          <w:i/>
          <w:shd w:val="clear" w:color="auto" w:fill="FFFFFF"/>
        </w:rPr>
        <w:t>Stanford Encyclopaedia of Philosophy</w:t>
      </w:r>
      <w:r w:rsidR="00B31F25" w:rsidRPr="00B04870">
        <w:rPr>
          <w:rFonts w:cstheme="minorHAnsi"/>
          <w:shd w:val="clear" w:color="auto" w:fill="FFFFFF"/>
        </w:rPr>
        <w:t>. 20 May 2010</w:t>
      </w:r>
      <w:r w:rsidR="00B31F25" w:rsidRPr="00B04870">
        <w:rPr>
          <w:rStyle w:val="reference-accessdate"/>
          <w:rFonts w:cstheme="minorHAnsi"/>
          <w:shd w:val="clear" w:color="auto" w:fill="FFFFFF"/>
        </w:rPr>
        <w:t>.</w:t>
      </w:r>
      <w:r w:rsidR="00B31F25" w:rsidRPr="00B04870">
        <w:rPr>
          <w:rFonts w:cstheme="minorHAnsi"/>
        </w:rPr>
        <w:t xml:space="preserve"> </w:t>
      </w:r>
      <w:r w:rsidR="00B31F25">
        <w:rPr>
          <w:rFonts w:cstheme="minorHAnsi"/>
        </w:rPr>
        <w:t>&lt;</w:t>
      </w:r>
      <w:r w:rsidR="00B31F25" w:rsidRPr="00805448">
        <w:rPr>
          <w:rFonts w:cstheme="minorHAnsi"/>
          <w:shd w:val="clear" w:color="auto" w:fill="FFFFFF"/>
        </w:rPr>
        <w:t>https://plato.stanford.edu/entries/kant/#LifWor</w:t>
      </w:r>
      <w:r w:rsidR="00B31F25" w:rsidRPr="00B04870">
        <w:rPr>
          <w:rFonts w:cstheme="minorHAnsi"/>
          <w:shd w:val="clear" w:color="auto" w:fill="FFFFFF"/>
        </w:rPr>
        <w:t xml:space="preserve"> </w:t>
      </w:r>
      <w:r w:rsidR="00B31F25">
        <w:rPr>
          <w:rFonts w:cstheme="minorHAnsi"/>
          <w:shd w:val="clear" w:color="auto" w:fill="FFFFFF"/>
        </w:rPr>
        <w:t>&gt; [Accessed 10 October 2018]</w:t>
      </w:r>
    </w:p>
  </w:footnote>
  <w:footnote w:id="3">
    <w:p w:rsidR="0084280B" w:rsidRPr="00B04870" w:rsidRDefault="0084280B">
      <w:pPr>
        <w:pStyle w:val="FootnoteText"/>
        <w:rPr>
          <w:rFonts w:cstheme="minorHAnsi"/>
        </w:rPr>
      </w:pPr>
      <w:r w:rsidRPr="00B04870">
        <w:rPr>
          <w:rStyle w:val="FootnoteReference"/>
          <w:rFonts w:cstheme="minorHAnsi"/>
        </w:rPr>
        <w:footnoteRef/>
      </w:r>
      <w:r w:rsidRPr="00B04870">
        <w:rPr>
          <w:rFonts w:cstheme="minorHAnsi"/>
        </w:rPr>
        <w:t xml:space="preserve"> </w:t>
      </w:r>
      <w:r w:rsidR="00B31F25">
        <w:rPr>
          <w:rFonts w:cstheme="minorHAnsi"/>
        </w:rPr>
        <w:t>John Merrick, ‘Immanuel Kant the, errrr, Walker?’</w:t>
      </w:r>
      <w:r w:rsidR="00805448">
        <w:rPr>
          <w:rFonts w:cstheme="minorHAnsi"/>
        </w:rPr>
        <w:t>,</w:t>
      </w:r>
      <w:r w:rsidR="00B31F25">
        <w:rPr>
          <w:rFonts w:cstheme="minorHAnsi"/>
        </w:rPr>
        <w:t xml:space="preserve"> </w:t>
      </w:r>
      <w:r w:rsidR="00B31F25">
        <w:rPr>
          <w:rFonts w:cstheme="minorHAnsi"/>
          <w:i/>
        </w:rPr>
        <w:t xml:space="preserve">Verso Books, </w:t>
      </w:r>
      <w:r w:rsidR="00B31F25">
        <w:rPr>
          <w:rFonts w:cstheme="minorHAnsi"/>
        </w:rPr>
        <w:t>30 April 2015. &lt;</w:t>
      </w:r>
      <w:r w:rsidRPr="00805448">
        <w:rPr>
          <w:rFonts w:cstheme="minorHAnsi"/>
        </w:rPr>
        <w:t>https://www.ve</w:t>
      </w:r>
      <w:r w:rsidRPr="00805448">
        <w:rPr>
          <w:rFonts w:cstheme="minorHAnsi"/>
        </w:rPr>
        <w:t>rsobooks.com/blogs/1963-immanuel-kant-the-errrr-walker</w:t>
      </w:r>
      <w:r w:rsidR="00B31F25">
        <w:rPr>
          <w:rFonts w:cstheme="minorHAnsi"/>
        </w:rPr>
        <w:t>&gt; [Accessed 11 October 2018]</w:t>
      </w:r>
    </w:p>
  </w:footnote>
  <w:footnote w:id="4">
    <w:p w:rsidR="0084280B" w:rsidRPr="00B04870" w:rsidRDefault="0084280B">
      <w:pPr>
        <w:pStyle w:val="FootnoteText"/>
        <w:rPr>
          <w:rFonts w:cstheme="minorHAnsi"/>
        </w:rPr>
      </w:pPr>
      <w:r w:rsidRPr="00B04870">
        <w:rPr>
          <w:rStyle w:val="FootnoteReference"/>
          <w:rFonts w:cstheme="minorHAnsi"/>
        </w:rPr>
        <w:footnoteRef/>
      </w:r>
      <w:r w:rsidRPr="00B04870">
        <w:rPr>
          <w:rFonts w:cstheme="minorHAnsi"/>
        </w:rPr>
        <w:t xml:space="preserve"> </w:t>
      </w:r>
      <w:r w:rsidR="00B31F25">
        <w:rPr>
          <w:rFonts w:cstheme="minorHAnsi"/>
        </w:rPr>
        <w:t>German Text Archive, ‘Immanuel Kant’</w:t>
      </w:r>
      <w:r w:rsidR="00805448">
        <w:rPr>
          <w:rFonts w:cstheme="minorHAnsi"/>
        </w:rPr>
        <w:t xml:space="preserve"> </w:t>
      </w:r>
      <w:r w:rsidR="00805448">
        <w:rPr>
          <w:rFonts w:cstheme="minorHAnsi"/>
          <w:i/>
        </w:rPr>
        <w:t xml:space="preserve">Deutsche Text Archiv. </w:t>
      </w:r>
      <w:r w:rsidR="00805448">
        <w:rPr>
          <w:rFonts w:cstheme="minorHAnsi"/>
        </w:rPr>
        <w:t>1 September 2009. &lt;</w:t>
      </w:r>
      <w:r w:rsidRPr="00805448">
        <w:rPr>
          <w:rFonts w:cstheme="minorHAnsi"/>
        </w:rPr>
        <w:t>http://www.deutschestextarchiv.</w:t>
      </w:r>
      <w:r w:rsidRPr="00805448">
        <w:rPr>
          <w:rFonts w:cstheme="minorHAnsi"/>
        </w:rPr>
        <w:t>de/book/show/kant_aufklaerung_1784</w:t>
      </w:r>
      <w:r w:rsidR="008A1D57">
        <w:rPr>
          <w:rStyle w:val="Hyperlink"/>
          <w:rFonts w:cstheme="minorHAnsi"/>
          <w:color w:val="auto"/>
          <w:u w:val="none"/>
        </w:rPr>
        <w:t>&gt; [Accesses 10 October 2018]</w:t>
      </w:r>
    </w:p>
  </w:footnote>
  <w:footnote w:id="5">
    <w:p w:rsidR="0084280B" w:rsidRPr="00684BB4" w:rsidRDefault="0084280B">
      <w:pPr>
        <w:pStyle w:val="FootnoteText"/>
      </w:pPr>
      <w:r>
        <w:rPr>
          <w:rStyle w:val="FootnoteReference"/>
        </w:rPr>
        <w:footnoteRef/>
      </w:r>
      <w:r>
        <w:t xml:space="preserve"> </w:t>
      </w:r>
      <w:bookmarkStart w:id="0" w:name="_Hlk527386695"/>
      <w:r w:rsidR="00684BB4">
        <w:t xml:space="preserve">Immanuel Kant, </w:t>
      </w:r>
      <w:r w:rsidR="00684BB4">
        <w:rPr>
          <w:i/>
        </w:rPr>
        <w:t xml:space="preserve">An answer to the questions: What is Enlightenment?, </w:t>
      </w:r>
      <w:r w:rsidR="00684BB4">
        <w:t>trans. by H. B. Nisbet</w:t>
      </w:r>
      <w:r w:rsidR="00684BB4">
        <w:rPr>
          <w:i/>
        </w:rPr>
        <w:t xml:space="preserve"> </w:t>
      </w:r>
      <w:r w:rsidR="00684BB4">
        <w:t>(London, Penguin Books Ltd, 2009 [1991]). p. 10.</w:t>
      </w:r>
      <w:bookmarkEnd w:id="0"/>
    </w:p>
  </w:footnote>
  <w:footnote w:id="6">
    <w:p w:rsidR="00684BB4" w:rsidRDefault="0084280B">
      <w:pPr>
        <w:pStyle w:val="FootnoteText"/>
      </w:pPr>
      <w:r>
        <w:rPr>
          <w:rStyle w:val="FootnoteReference"/>
        </w:rPr>
        <w:footnoteRef/>
      </w:r>
      <w:r>
        <w:t xml:space="preserve"> </w:t>
      </w:r>
      <w:r w:rsidR="00684BB4">
        <w:t xml:space="preserve">Kant, </w:t>
      </w:r>
      <w:r w:rsidR="00684BB4" w:rsidRPr="00684BB4">
        <w:rPr>
          <w:i/>
        </w:rPr>
        <w:t>What is Enlightenment?</w:t>
      </w:r>
      <w:r w:rsidR="00684BB4">
        <w:t xml:space="preserve"> p. 1.</w:t>
      </w:r>
    </w:p>
  </w:footnote>
  <w:footnote w:id="7">
    <w:p w:rsidR="0084280B" w:rsidRPr="00B04870" w:rsidRDefault="0084280B">
      <w:pPr>
        <w:pStyle w:val="FootnoteText"/>
        <w:rPr>
          <w:rFonts w:cstheme="minorHAnsi"/>
        </w:rPr>
      </w:pPr>
      <w:bookmarkStart w:id="1" w:name="_Hlk527386630"/>
      <w:r w:rsidRPr="00C372F2">
        <w:rPr>
          <w:rStyle w:val="FootnoteReference"/>
          <w:rFonts w:ascii="Arial" w:hAnsi="Arial" w:cs="Arial"/>
          <w:sz w:val="19"/>
          <w:szCs w:val="19"/>
        </w:rPr>
        <w:footnoteRef/>
      </w:r>
      <w:r w:rsidRPr="00C372F2">
        <w:rPr>
          <w:rFonts w:ascii="Arial" w:hAnsi="Arial" w:cs="Arial"/>
          <w:sz w:val="19"/>
          <w:szCs w:val="19"/>
        </w:rPr>
        <w:t xml:space="preserve"> </w:t>
      </w:r>
      <w:bookmarkStart w:id="2" w:name="_Hlk526880889"/>
      <w:r w:rsidR="00125FEB" w:rsidRPr="00125FEB">
        <w:rPr>
          <w:rFonts w:cstheme="minorHAnsi"/>
        </w:rPr>
        <w:t xml:space="preserve">WF Bynum, ‘Roy Porter: Prolific scholar whose books and broadcasts revealed the medical and social history of Britain’, </w:t>
      </w:r>
      <w:r w:rsidR="00125FEB" w:rsidRPr="00125FEB">
        <w:rPr>
          <w:rFonts w:cstheme="minorHAnsi"/>
          <w:i/>
        </w:rPr>
        <w:t xml:space="preserve">The Guardian, </w:t>
      </w:r>
      <w:r w:rsidR="00125FEB" w:rsidRPr="00125FEB">
        <w:rPr>
          <w:rFonts w:cstheme="minorHAnsi"/>
        </w:rPr>
        <w:t>5 March 2002 &lt;</w:t>
      </w:r>
      <w:r w:rsidRPr="00125FEB">
        <w:rPr>
          <w:rFonts w:cstheme="minorHAnsi"/>
        </w:rPr>
        <w:t>https://www.theguardian.com/news/2002/mar/05/guardianobituaries.obituaries</w:t>
      </w:r>
      <w:bookmarkEnd w:id="2"/>
      <w:r w:rsidR="00125FEB" w:rsidRPr="00125FEB">
        <w:rPr>
          <w:rFonts w:cstheme="minorHAnsi"/>
        </w:rPr>
        <w:t>&gt; [Accessed 12 October 2018]</w:t>
      </w:r>
    </w:p>
  </w:footnote>
  <w:footnote w:id="8">
    <w:p w:rsidR="0084280B" w:rsidRPr="00B04870" w:rsidRDefault="0084280B">
      <w:pPr>
        <w:pStyle w:val="FootnoteText"/>
        <w:rPr>
          <w:rFonts w:cstheme="minorHAnsi"/>
        </w:rPr>
      </w:pPr>
      <w:r w:rsidRPr="00B04870">
        <w:rPr>
          <w:rStyle w:val="FootnoteReference"/>
          <w:rFonts w:cstheme="minorHAnsi"/>
        </w:rPr>
        <w:footnoteRef/>
      </w:r>
      <w:r w:rsidRPr="00B04870">
        <w:rPr>
          <w:rFonts w:cstheme="minorHAnsi"/>
        </w:rPr>
        <w:t xml:space="preserve"> </w:t>
      </w:r>
      <w:r w:rsidR="00125FEB">
        <w:rPr>
          <w:rFonts w:cstheme="minorHAnsi"/>
        </w:rPr>
        <w:t xml:space="preserve">John Forrester, ‘Professor Roy Porter’, </w:t>
      </w:r>
      <w:r w:rsidR="00125FEB">
        <w:rPr>
          <w:rFonts w:cstheme="minorHAnsi"/>
          <w:i/>
        </w:rPr>
        <w:t xml:space="preserve">Independent, </w:t>
      </w:r>
      <w:r w:rsidR="00125FEB">
        <w:rPr>
          <w:rFonts w:cstheme="minorHAnsi"/>
        </w:rPr>
        <w:t>5 March 2002</w:t>
      </w:r>
      <w:r w:rsidRPr="00B04870">
        <w:rPr>
          <w:rFonts w:cstheme="minorHAnsi"/>
        </w:rPr>
        <w:t xml:space="preserve"> </w:t>
      </w:r>
      <w:r w:rsidR="00125FEB">
        <w:rPr>
          <w:rFonts w:cstheme="minorHAnsi"/>
        </w:rPr>
        <w:t>&lt;</w:t>
      </w:r>
      <w:r w:rsidRPr="00125FEB">
        <w:rPr>
          <w:rFonts w:cstheme="minorHAnsi"/>
        </w:rPr>
        <w:t>http</w:t>
      </w:r>
      <w:r w:rsidRPr="00125FEB">
        <w:rPr>
          <w:rFonts w:cstheme="minorHAnsi"/>
        </w:rPr>
        <w:t>s://www.independent.co.uk/news/obituaries/professor-roy-porter-9179233.html</w:t>
      </w:r>
      <w:r w:rsidR="00125FEB">
        <w:rPr>
          <w:rFonts w:cstheme="minorHAnsi"/>
        </w:rPr>
        <w:t>&gt; [Accessed 12 October 2018]</w:t>
      </w:r>
    </w:p>
  </w:footnote>
  <w:footnote w:id="9">
    <w:p w:rsidR="0084280B" w:rsidRPr="00B04870" w:rsidRDefault="0084280B" w:rsidP="00AC45DE">
      <w:pPr>
        <w:pStyle w:val="NormalWeb"/>
        <w:spacing w:before="0" w:beforeAutospacing="0" w:after="0" w:afterAutospacing="0"/>
        <w:rPr>
          <w:rFonts w:asciiTheme="minorHAnsi" w:hAnsiTheme="minorHAnsi" w:cstheme="minorHAnsi"/>
          <w:sz w:val="20"/>
          <w:szCs w:val="20"/>
        </w:rPr>
      </w:pPr>
      <w:r w:rsidRPr="00B04870">
        <w:rPr>
          <w:rStyle w:val="FootnoteReference"/>
          <w:rFonts w:asciiTheme="minorHAnsi" w:hAnsiTheme="minorHAnsi" w:cstheme="minorHAnsi"/>
          <w:sz w:val="20"/>
          <w:szCs w:val="20"/>
        </w:rPr>
        <w:footnoteRef/>
      </w:r>
      <w:r w:rsidRPr="00B04870">
        <w:rPr>
          <w:rFonts w:asciiTheme="minorHAnsi" w:hAnsiTheme="minorHAnsi" w:cstheme="minorHAnsi"/>
          <w:sz w:val="20"/>
          <w:szCs w:val="20"/>
        </w:rPr>
        <w:t xml:space="preserve"> </w:t>
      </w:r>
      <w:r w:rsidR="00125FEB">
        <w:rPr>
          <w:rFonts w:asciiTheme="minorHAnsi" w:hAnsiTheme="minorHAnsi" w:cstheme="minorHAnsi"/>
          <w:sz w:val="20"/>
          <w:szCs w:val="20"/>
        </w:rPr>
        <w:t>The Telegraph</w:t>
      </w:r>
      <w:r w:rsidR="00125FEB" w:rsidRPr="00125FEB">
        <w:rPr>
          <w:rFonts w:asciiTheme="minorHAnsi" w:hAnsiTheme="minorHAnsi" w:cstheme="minorHAnsi"/>
          <w:sz w:val="20"/>
          <w:szCs w:val="20"/>
        </w:rPr>
        <w:t>, ’Sir J</w:t>
      </w:r>
      <w:r w:rsidR="00125FEB">
        <w:rPr>
          <w:rFonts w:asciiTheme="minorHAnsi" w:hAnsiTheme="minorHAnsi" w:cstheme="minorHAnsi"/>
          <w:sz w:val="20"/>
          <w:szCs w:val="20"/>
        </w:rPr>
        <w:t xml:space="preserve">ohn Plumb’, </w:t>
      </w:r>
      <w:r w:rsidR="00125FEB">
        <w:rPr>
          <w:rFonts w:asciiTheme="minorHAnsi" w:hAnsiTheme="minorHAnsi" w:cstheme="minorHAnsi"/>
          <w:i/>
          <w:sz w:val="20"/>
          <w:szCs w:val="20"/>
        </w:rPr>
        <w:t>The Telegraph</w:t>
      </w:r>
      <w:r w:rsidR="00A00E5A">
        <w:rPr>
          <w:rFonts w:asciiTheme="minorHAnsi" w:hAnsiTheme="minorHAnsi" w:cstheme="minorHAnsi"/>
          <w:i/>
          <w:sz w:val="20"/>
          <w:szCs w:val="20"/>
        </w:rPr>
        <w:t>, 23 October 2001</w:t>
      </w:r>
      <w:r w:rsidRPr="00B04870">
        <w:rPr>
          <w:rFonts w:asciiTheme="minorHAnsi" w:hAnsiTheme="minorHAnsi" w:cstheme="minorHAnsi"/>
          <w:sz w:val="20"/>
          <w:szCs w:val="20"/>
        </w:rPr>
        <w:t xml:space="preserve"> </w:t>
      </w:r>
      <w:r w:rsidR="00A00E5A">
        <w:rPr>
          <w:rFonts w:asciiTheme="minorHAnsi" w:hAnsiTheme="minorHAnsi" w:cstheme="minorHAnsi"/>
          <w:sz w:val="20"/>
          <w:szCs w:val="20"/>
        </w:rPr>
        <w:t>&lt;</w:t>
      </w:r>
      <w:r w:rsidRPr="00A00E5A">
        <w:rPr>
          <w:rFonts w:asciiTheme="minorHAnsi" w:hAnsiTheme="minorHAnsi" w:cstheme="minorHAnsi"/>
          <w:sz w:val="20"/>
          <w:szCs w:val="20"/>
        </w:rPr>
        <w:t>https://www.telegraph.co.u</w:t>
      </w:r>
      <w:r w:rsidRPr="00A00E5A">
        <w:rPr>
          <w:rFonts w:asciiTheme="minorHAnsi" w:hAnsiTheme="minorHAnsi" w:cstheme="minorHAnsi"/>
          <w:sz w:val="20"/>
          <w:szCs w:val="20"/>
        </w:rPr>
        <w:t>k/news/obituaries/1360202/Sir-John-Plumb.html</w:t>
      </w:r>
      <w:r w:rsidR="00A00E5A">
        <w:rPr>
          <w:rFonts w:asciiTheme="minorHAnsi" w:hAnsiTheme="minorHAnsi" w:cstheme="minorHAnsi"/>
          <w:sz w:val="20"/>
          <w:szCs w:val="20"/>
        </w:rPr>
        <w:t>&gt; [Accessed 13 October 2018]</w:t>
      </w:r>
    </w:p>
  </w:footnote>
  <w:footnote w:id="10">
    <w:p w:rsidR="0084280B" w:rsidRPr="00C372F2" w:rsidRDefault="0084280B">
      <w:pPr>
        <w:pStyle w:val="FootnoteText"/>
        <w:rPr>
          <w:rFonts w:ascii="Arial" w:hAnsi="Arial" w:cs="Arial"/>
          <w:sz w:val="19"/>
          <w:szCs w:val="19"/>
        </w:rPr>
      </w:pPr>
      <w:r w:rsidRPr="00B04870">
        <w:rPr>
          <w:rStyle w:val="FootnoteReference"/>
          <w:rFonts w:cstheme="minorHAnsi"/>
        </w:rPr>
        <w:footnoteRef/>
      </w:r>
      <w:r w:rsidRPr="00B04870">
        <w:rPr>
          <w:rFonts w:cstheme="minorHAnsi"/>
        </w:rPr>
        <w:t xml:space="preserve"> </w:t>
      </w:r>
      <w:r w:rsidR="00125FEB" w:rsidRPr="00125FEB">
        <w:rPr>
          <w:rFonts w:cstheme="minorHAnsi"/>
        </w:rPr>
        <w:t xml:space="preserve">WF Bynum, ‘Roy Porter: Prolific scholar whose books and broadcasts revealed the medical and social history of Britain’, </w:t>
      </w:r>
      <w:r w:rsidR="00125FEB" w:rsidRPr="00125FEB">
        <w:rPr>
          <w:rFonts w:cstheme="minorHAnsi"/>
          <w:i/>
        </w:rPr>
        <w:t xml:space="preserve">The Guardian, </w:t>
      </w:r>
      <w:r w:rsidR="00125FEB" w:rsidRPr="00125FEB">
        <w:rPr>
          <w:rFonts w:cstheme="minorHAnsi"/>
        </w:rPr>
        <w:t>5 March 2002 &lt;https://www.theguardian.com/news/2002/mar/05/guardianobituaries.obituaries&gt; [Accessed 12 October 2018]</w:t>
      </w:r>
    </w:p>
  </w:footnote>
  <w:footnote w:id="11">
    <w:p w:rsidR="00D9670A" w:rsidRDefault="008C6490">
      <w:pPr>
        <w:pStyle w:val="FootnoteText"/>
      </w:pPr>
      <w:r>
        <w:rPr>
          <w:rStyle w:val="FootnoteReference"/>
        </w:rPr>
        <w:footnoteRef/>
      </w:r>
      <w:r>
        <w:t xml:space="preserve"> </w:t>
      </w:r>
      <w:r w:rsidR="00D9670A">
        <w:t xml:space="preserve">Roy Porter, </w:t>
      </w:r>
      <w:r w:rsidR="00D9670A">
        <w:rPr>
          <w:i/>
        </w:rPr>
        <w:t xml:space="preserve">Studies in European History: The Enlightenment </w:t>
      </w:r>
      <w:r w:rsidR="00D9670A">
        <w:t>(London. Macmillan Edu</w:t>
      </w:r>
      <w:r w:rsidR="00D9670A">
        <w:t>cation Ltd, 1992 [1990]), p. 70.</w:t>
      </w:r>
    </w:p>
  </w:footnote>
  <w:footnote w:id="12">
    <w:p w:rsidR="008C6490" w:rsidRPr="00D9670A" w:rsidRDefault="008C6490">
      <w:pPr>
        <w:pStyle w:val="FootnoteText"/>
      </w:pPr>
      <w:r>
        <w:rPr>
          <w:rStyle w:val="FootnoteReference"/>
        </w:rPr>
        <w:footnoteRef/>
      </w:r>
      <w:r>
        <w:t xml:space="preserve"> </w:t>
      </w:r>
      <w:r w:rsidR="00D9670A">
        <w:t xml:space="preserve">Porter, </w:t>
      </w:r>
      <w:r w:rsidR="00D9670A">
        <w:rPr>
          <w:i/>
        </w:rPr>
        <w:t xml:space="preserve">The Enlightenment, </w:t>
      </w:r>
      <w:r w:rsidR="00D9670A">
        <w:t>p. 70.</w:t>
      </w:r>
    </w:p>
  </w:footnote>
  <w:footnote w:id="13">
    <w:p w:rsidR="00D9670A" w:rsidRPr="00B04870" w:rsidRDefault="00D9670A">
      <w:pPr>
        <w:pStyle w:val="FootnoteText"/>
      </w:pPr>
      <w:r>
        <w:rPr>
          <w:rStyle w:val="FootnoteReference"/>
        </w:rPr>
        <w:footnoteRef/>
      </w:r>
      <w:r>
        <w:t xml:space="preserve"> </w:t>
      </w:r>
      <w:r w:rsidR="00B04870">
        <w:t>Porter,</w:t>
      </w:r>
      <w:r w:rsidR="00B04870">
        <w:rPr>
          <w:i/>
        </w:rPr>
        <w:t xml:space="preserve"> The Enlightenment, </w:t>
      </w:r>
      <w:r w:rsidR="00B04870">
        <w:t>p. 71.</w:t>
      </w:r>
    </w:p>
  </w:footnote>
  <w:footnote w:id="14">
    <w:p w:rsidR="008C6490" w:rsidRPr="00191186" w:rsidRDefault="008C6490">
      <w:pPr>
        <w:pStyle w:val="FootnoteText"/>
      </w:pPr>
      <w:r>
        <w:rPr>
          <w:rStyle w:val="FootnoteReference"/>
        </w:rPr>
        <w:footnoteRef/>
      </w:r>
      <w:r>
        <w:t xml:space="preserve"> </w:t>
      </w:r>
      <w:r w:rsidR="00191186" w:rsidRPr="00191186">
        <w:rPr>
          <w:rFonts w:cstheme="minorHAnsi"/>
          <w:shd w:val="clear" w:color="auto" w:fill="FFFFFF"/>
        </w:rPr>
        <w:t>Gregory Fremont-Barnes</w:t>
      </w:r>
      <w:r w:rsidR="00191186" w:rsidRPr="00191186">
        <w:rPr>
          <w:rFonts w:cstheme="minorHAnsi"/>
          <w:shd w:val="clear" w:color="auto" w:fill="FFFFFF"/>
        </w:rPr>
        <w:t xml:space="preserve">, </w:t>
      </w:r>
      <w:r w:rsidR="00191186" w:rsidRPr="00191186">
        <w:rPr>
          <w:rFonts w:cstheme="minorHAnsi"/>
          <w:i/>
          <w:shd w:val="clear" w:color="auto" w:fill="FFFFFF"/>
        </w:rPr>
        <w:t>Encyclopedia of the Age of Political Revolutio</w:t>
      </w:r>
      <w:r w:rsidR="00191186">
        <w:rPr>
          <w:rFonts w:cstheme="minorHAnsi"/>
          <w:i/>
          <w:shd w:val="clear" w:color="auto" w:fill="FFFFFF"/>
        </w:rPr>
        <w:t xml:space="preserve">ns and New Ideologies: 1760-1815 </w:t>
      </w:r>
      <w:r w:rsidR="00191186" w:rsidRPr="00191186">
        <w:rPr>
          <w:rFonts w:cstheme="minorHAnsi"/>
          <w:shd w:val="clear" w:color="auto" w:fill="FFFFFF"/>
        </w:rPr>
        <w:t>(California, Greenwood Publishing Group</w:t>
      </w:r>
      <w:r w:rsidR="00191186">
        <w:rPr>
          <w:rFonts w:cstheme="minorHAnsi"/>
          <w:shd w:val="clear" w:color="auto" w:fill="FFFFFF"/>
        </w:rPr>
        <w:t>, 2007). p. 190.</w:t>
      </w:r>
    </w:p>
  </w:footnote>
  <w:footnote w:id="15">
    <w:p w:rsidR="00D9670A" w:rsidRPr="00D9670A" w:rsidRDefault="00D9670A">
      <w:pPr>
        <w:pStyle w:val="FootnoteText"/>
      </w:pPr>
      <w:r>
        <w:rPr>
          <w:rStyle w:val="FootnoteReference"/>
        </w:rPr>
        <w:footnoteRef/>
      </w:r>
      <w:r>
        <w:t xml:space="preserve"> Porter, </w:t>
      </w:r>
      <w:r>
        <w:rPr>
          <w:i/>
        </w:rPr>
        <w:t xml:space="preserve">The Enlightenment, </w:t>
      </w:r>
      <w:r>
        <w:t>p. 72.</w:t>
      </w:r>
    </w:p>
  </w:footnote>
  <w:footnote w:id="16">
    <w:p w:rsidR="005B4A58" w:rsidRPr="00D9670A" w:rsidRDefault="005B4A58">
      <w:pPr>
        <w:pStyle w:val="FootnoteText"/>
      </w:pPr>
      <w:r>
        <w:rPr>
          <w:rStyle w:val="FootnoteReference"/>
        </w:rPr>
        <w:footnoteRef/>
      </w:r>
      <w:r>
        <w:t xml:space="preserve"> </w:t>
      </w:r>
      <w:r w:rsidR="00D9670A">
        <w:t xml:space="preserve">Porter, </w:t>
      </w:r>
      <w:r w:rsidR="00D9670A">
        <w:rPr>
          <w:i/>
        </w:rPr>
        <w:t xml:space="preserve">The Enlightenment, </w:t>
      </w:r>
      <w:r w:rsidR="00D9670A">
        <w:t>p. 72.</w:t>
      </w:r>
    </w:p>
  </w:footnote>
  <w:footnote w:id="17">
    <w:p w:rsidR="005B4A58" w:rsidRPr="002B70EF" w:rsidRDefault="005B4A58">
      <w:pPr>
        <w:pStyle w:val="FootnoteText"/>
      </w:pPr>
      <w:r>
        <w:rPr>
          <w:rStyle w:val="FootnoteReference"/>
        </w:rPr>
        <w:footnoteRef/>
      </w:r>
      <w:r>
        <w:t xml:space="preserve"> </w:t>
      </w:r>
      <w:r w:rsidR="002B70EF">
        <w:t xml:space="preserve">Porter, </w:t>
      </w:r>
      <w:r w:rsidR="00D9670A">
        <w:rPr>
          <w:i/>
        </w:rPr>
        <w:t xml:space="preserve">The Enlightenment, </w:t>
      </w:r>
      <w:r w:rsidR="00D9670A">
        <w:t>p. 75.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AC8"/>
    <w:rsid w:val="0002378D"/>
    <w:rsid w:val="00053A3A"/>
    <w:rsid w:val="000E26E6"/>
    <w:rsid w:val="00125FEB"/>
    <w:rsid w:val="00126CE2"/>
    <w:rsid w:val="00153816"/>
    <w:rsid w:val="00171AD5"/>
    <w:rsid w:val="00187C65"/>
    <w:rsid w:val="00191186"/>
    <w:rsid w:val="001970EB"/>
    <w:rsid w:val="001D3B6C"/>
    <w:rsid w:val="001E1604"/>
    <w:rsid w:val="0022675D"/>
    <w:rsid w:val="002454CD"/>
    <w:rsid w:val="002B70EF"/>
    <w:rsid w:val="002C0686"/>
    <w:rsid w:val="002C5ED4"/>
    <w:rsid w:val="00387F8D"/>
    <w:rsid w:val="003C7996"/>
    <w:rsid w:val="003D55DE"/>
    <w:rsid w:val="00421B36"/>
    <w:rsid w:val="00440A66"/>
    <w:rsid w:val="004614E0"/>
    <w:rsid w:val="0046310D"/>
    <w:rsid w:val="0049022D"/>
    <w:rsid w:val="004D2AC7"/>
    <w:rsid w:val="004E7518"/>
    <w:rsid w:val="00525BA2"/>
    <w:rsid w:val="005618D4"/>
    <w:rsid w:val="00595879"/>
    <w:rsid w:val="005A5D8D"/>
    <w:rsid w:val="005B4A58"/>
    <w:rsid w:val="005E0BB1"/>
    <w:rsid w:val="005E1B8E"/>
    <w:rsid w:val="0061107C"/>
    <w:rsid w:val="00613161"/>
    <w:rsid w:val="006150AF"/>
    <w:rsid w:val="00616D74"/>
    <w:rsid w:val="00645F7F"/>
    <w:rsid w:val="0065792F"/>
    <w:rsid w:val="006611AD"/>
    <w:rsid w:val="00684BB4"/>
    <w:rsid w:val="00695720"/>
    <w:rsid w:val="00736521"/>
    <w:rsid w:val="00747599"/>
    <w:rsid w:val="00794B5D"/>
    <w:rsid w:val="007A4145"/>
    <w:rsid w:val="007F1B70"/>
    <w:rsid w:val="00805448"/>
    <w:rsid w:val="00830F7C"/>
    <w:rsid w:val="00833801"/>
    <w:rsid w:val="0084280B"/>
    <w:rsid w:val="0084486F"/>
    <w:rsid w:val="008539C0"/>
    <w:rsid w:val="00892DEC"/>
    <w:rsid w:val="008A1D57"/>
    <w:rsid w:val="008C6490"/>
    <w:rsid w:val="009736CC"/>
    <w:rsid w:val="00996E76"/>
    <w:rsid w:val="009C6677"/>
    <w:rsid w:val="00A00E5A"/>
    <w:rsid w:val="00A04A6E"/>
    <w:rsid w:val="00A21C21"/>
    <w:rsid w:val="00A505AF"/>
    <w:rsid w:val="00A65A38"/>
    <w:rsid w:val="00AA36F6"/>
    <w:rsid w:val="00AC45DE"/>
    <w:rsid w:val="00AD086A"/>
    <w:rsid w:val="00B04870"/>
    <w:rsid w:val="00B06C5C"/>
    <w:rsid w:val="00B31F25"/>
    <w:rsid w:val="00B875F3"/>
    <w:rsid w:val="00C0689B"/>
    <w:rsid w:val="00C11803"/>
    <w:rsid w:val="00C372F2"/>
    <w:rsid w:val="00C72401"/>
    <w:rsid w:val="00C74D24"/>
    <w:rsid w:val="00C83499"/>
    <w:rsid w:val="00C87D6F"/>
    <w:rsid w:val="00CB68CF"/>
    <w:rsid w:val="00CC786D"/>
    <w:rsid w:val="00CE01D8"/>
    <w:rsid w:val="00CE0A5C"/>
    <w:rsid w:val="00CE6A48"/>
    <w:rsid w:val="00CF55FE"/>
    <w:rsid w:val="00D15BD5"/>
    <w:rsid w:val="00D2186B"/>
    <w:rsid w:val="00D87506"/>
    <w:rsid w:val="00D95AC8"/>
    <w:rsid w:val="00D9670A"/>
    <w:rsid w:val="00E06B2B"/>
    <w:rsid w:val="00E27B28"/>
    <w:rsid w:val="00E651EA"/>
    <w:rsid w:val="00E66F09"/>
    <w:rsid w:val="00E71CD7"/>
    <w:rsid w:val="00E9034D"/>
    <w:rsid w:val="00F17EC3"/>
    <w:rsid w:val="00F3131B"/>
    <w:rsid w:val="00F539D4"/>
    <w:rsid w:val="00F57256"/>
    <w:rsid w:val="00FB19E0"/>
    <w:rsid w:val="00FD3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0960C"/>
  <w15:chartTrackingRefBased/>
  <w15:docId w15:val="{1043BDC4-9F7E-4504-8A2B-D192B59B7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95AC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5AC8"/>
    <w:rPr>
      <w:sz w:val="20"/>
      <w:szCs w:val="20"/>
    </w:rPr>
  </w:style>
  <w:style w:type="character" w:styleId="FootnoteReference">
    <w:name w:val="footnote reference"/>
    <w:basedOn w:val="DefaultParagraphFont"/>
    <w:uiPriority w:val="99"/>
    <w:semiHidden/>
    <w:unhideWhenUsed/>
    <w:rsid w:val="00D95AC8"/>
    <w:rPr>
      <w:vertAlign w:val="superscript"/>
    </w:rPr>
  </w:style>
  <w:style w:type="character" w:customStyle="1" w:styleId="reference-accessdate">
    <w:name w:val="reference-accessdate"/>
    <w:basedOn w:val="DefaultParagraphFont"/>
    <w:rsid w:val="00D95AC8"/>
  </w:style>
  <w:style w:type="character" w:customStyle="1" w:styleId="nowrap">
    <w:name w:val="nowrap"/>
    <w:basedOn w:val="DefaultParagraphFont"/>
    <w:rsid w:val="00D95AC8"/>
  </w:style>
  <w:style w:type="character" w:styleId="Hyperlink">
    <w:name w:val="Hyperlink"/>
    <w:basedOn w:val="DefaultParagraphFont"/>
    <w:uiPriority w:val="99"/>
    <w:unhideWhenUsed/>
    <w:rsid w:val="00A65A38"/>
    <w:rPr>
      <w:color w:val="0563C1" w:themeColor="hyperlink"/>
      <w:u w:val="single"/>
    </w:rPr>
  </w:style>
  <w:style w:type="character" w:styleId="UnresolvedMention">
    <w:name w:val="Unresolved Mention"/>
    <w:basedOn w:val="DefaultParagraphFont"/>
    <w:uiPriority w:val="99"/>
    <w:semiHidden/>
    <w:unhideWhenUsed/>
    <w:rsid w:val="00A65A38"/>
    <w:rPr>
      <w:color w:val="808080"/>
      <w:shd w:val="clear" w:color="auto" w:fill="E6E6E6"/>
    </w:rPr>
  </w:style>
  <w:style w:type="paragraph" w:styleId="NormalWeb">
    <w:name w:val="Normal (Web)"/>
    <w:basedOn w:val="Normal"/>
    <w:uiPriority w:val="99"/>
    <w:unhideWhenUsed/>
    <w:rsid w:val="006957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31F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144837">
      <w:bodyDiv w:val="1"/>
      <w:marLeft w:val="0"/>
      <w:marRight w:val="0"/>
      <w:marTop w:val="0"/>
      <w:marBottom w:val="0"/>
      <w:divBdr>
        <w:top w:val="none" w:sz="0" w:space="0" w:color="auto"/>
        <w:left w:val="none" w:sz="0" w:space="0" w:color="auto"/>
        <w:bottom w:val="none" w:sz="0" w:space="0" w:color="auto"/>
        <w:right w:val="none" w:sz="0" w:space="0" w:color="auto"/>
      </w:divBdr>
    </w:div>
    <w:div w:id="1568881643">
      <w:bodyDiv w:val="1"/>
      <w:marLeft w:val="0"/>
      <w:marRight w:val="0"/>
      <w:marTop w:val="0"/>
      <w:marBottom w:val="0"/>
      <w:divBdr>
        <w:top w:val="none" w:sz="0" w:space="0" w:color="auto"/>
        <w:left w:val="none" w:sz="0" w:space="0" w:color="auto"/>
        <w:bottom w:val="none" w:sz="0" w:space="0" w:color="auto"/>
        <w:right w:val="none" w:sz="0" w:space="0" w:color="auto"/>
      </w:divBdr>
    </w:div>
    <w:div w:id="1574775101">
      <w:bodyDiv w:val="1"/>
      <w:marLeft w:val="0"/>
      <w:marRight w:val="0"/>
      <w:marTop w:val="0"/>
      <w:marBottom w:val="0"/>
      <w:divBdr>
        <w:top w:val="none" w:sz="0" w:space="0" w:color="auto"/>
        <w:left w:val="none" w:sz="0" w:space="0" w:color="auto"/>
        <w:bottom w:val="none" w:sz="0" w:space="0" w:color="auto"/>
        <w:right w:val="none" w:sz="0" w:space="0" w:color="auto"/>
      </w:divBdr>
    </w:div>
    <w:div w:id="1871457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BBD0CA-9FED-4BE0-9C36-832BCA265E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2306</Words>
  <Characters>13148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Lennon</dc:creator>
  <cp:keywords/>
  <dc:description/>
  <cp:lastModifiedBy>Declan Lennon</cp:lastModifiedBy>
  <cp:revision>2</cp:revision>
  <dcterms:created xsi:type="dcterms:W3CDTF">2018-10-15T19:26:00Z</dcterms:created>
  <dcterms:modified xsi:type="dcterms:W3CDTF">2018-10-15T19:26:00Z</dcterms:modified>
</cp:coreProperties>
</file>