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B00726E" w:rsidR="7908378C" w:rsidRDefault="7908378C" w:rsidP="33572C6E">
            <w:pPr>
              <w:ind w:right="237"/>
              <w:rPr>
                <w:b/>
                <w:bCs/>
                <w:color w:val="auto"/>
                <w:sz w:val="32"/>
                <w:szCs w:val="32"/>
              </w:rPr>
            </w:pPr>
            <w:r w:rsidRPr="33572C6E">
              <w:rPr>
                <w:b/>
                <w:bCs/>
                <w:color w:val="auto"/>
                <w:sz w:val="32"/>
                <w:szCs w:val="32"/>
              </w:rPr>
              <w:t xml:space="preserve">Learner name: </w:t>
            </w:r>
            <w:r w:rsidR="00D1081B">
              <w:rPr>
                <w:b/>
                <w:bCs/>
                <w:color w:val="auto"/>
                <w:sz w:val="32"/>
                <w:szCs w:val="32"/>
              </w:rPr>
              <w:t>Chloe Louise Wyn Hughes</w:t>
            </w:r>
          </w:p>
          <w:p w14:paraId="3A3A802D" w14:textId="77777777" w:rsidR="33572C6E" w:rsidRDefault="33572C6E" w:rsidP="33572C6E">
            <w:pPr>
              <w:ind w:right="237"/>
              <w:rPr>
                <w:b/>
                <w:bCs/>
                <w:color w:val="auto"/>
                <w:sz w:val="32"/>
                <w:szCs w:val="32"/>
              </w:rPr>
            </w:pPr>
          </w:p>
          <w:p w14:paraId="1D86F74A" w14:textId="2B683730" w:rsidR="33572C6E" w:rsidRDefault="7908378C" w:rsidP="33572C6E">
            <w:pPr>
              <w:ind w:right="237"/>
              <w:rPr>
                <w:b/>
                <w:bCs/>
                <w:color w:val="auto"/>
                <w:sz w:val="32"/>
                <w:szCs w:val="32"/>
              </w:rPr>
            </w:pPr>
            <w:r w:rsidRPr="33572C6E">
              <w:rPr>
                <w:b/>
                <w:bCs/>
                <w:color w:val="auto"/>
                <w:sz w:val="32"/>
                <w:szCs w:val="32"/>
              </w:rPr>
              <w:t>Learner’s University Registration Number:</w:t>
            </w:r>
            <w:r w:rsidR="00D1081B">
              <w:rPr>
                <w:b/>
                <w:bCs/>
                <w:color w:val="auto"/>
                <w:sz w:val="32"/>
                <w:szCs w:val="32"/>
              </w:rPr>
              <w:t xml:space="preserve"> 2222284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855D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bookmarkStart w:id="0" w:name="_Hlk159943817"/>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bookmarkEnd w:id="0"/>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bookmarkStart w:id="1" w:name="_Hlk159942493"/>
            <w:bookmarkStart w:id="2" w:name="_Hlk159943838"/>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w:t>
            </w:r>
            <w:bookmarkEnd w:id="1"/>
            <w:r w:rsidRPr="5CE196A1">
              <w:rPr>
                <w:rFonts w:eastAsia="Arial"/>
                <w:color w:val="000000" w:themeColor="text1"/>
                <w:sz w:val="24"/>
                <w:szCs w:val="24"/>
              </w:rPr>
              <w:t xml:space="preserve">and repeat offending. </w:t>
            </w:r>
            <w:r w:rsidR="792EA6F3" w:rsidRPr="5CE196A1">
              <w:rPr>
                <w:rFonts w:eastAsia="Arial"/>
                <w:color w:val="000000" w:themeColor="text1"/>
                <w:sz w:val="24"/>
                <w:szCs w:val="24"/>
              </w:rPr>
              <w:t xml:space="preserve">Consider the use of evidence-based policing. </w:t>
            </w:r>
          </w:p>
          <w:bookmarkEnd w:id="2"/>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12ACF1E" w:rsidR="5B843AF0" w:rsidRDefault="5B843AF0" w:rsidP="00A219AC">
      <w:pPr>
        <w:tabs>
          <w:tab w:val="left" w:pos="1700"/>
        </w:tabs>
        <w:ind w:right="237"/>
        <w:jc w:val="both"/>
        <w:rPr>
          <w:rFonts w:eastAsia="Arial"/>
          <w:b/>
          <w:bCs/>
          <w:color w:val="000000" w:themeColor="text1"/>
          <w:sz w:val="24"/>
          <w:szCs w:val="24"/>
        </w:rPr>
      </w:pPr>
      <w:r w:rsidRPr="5CE196A1">
        <w:rPr>
          <w:rFonts w:eastAsia="Arial"/>
          <w:b/>
          <w:bCs/>
          <w:color w:val="000000" w:themeColor="text1"/>
          <w:sz w:val="24"/>
          <w:szCs w:val="24"/>
        </w:rPr>
        <w:t>ANSWER:</w:t>
      </w:r>
      <w:r w:rsidR="00A219AC">
        <w:rPr>
          <w:rFonts w:eastAsia="Arial"/>
          <w:b/>
          <w:bCs/>
          <w:color w:val="000000" w:themeColor="text1"/>
          <w:sz w:val="24"/>
          <w:szCs w:val="24"/>
        </w:rPr>
        <w:tab/>
      </w:r>
    </w:p>
    <w:p w14:paraId="44E98922" w14:textId="77777777" w:rsidR="0044421C" w:rsidRDefault="0044421C" w:rsidP="00A219AC">
      <w:pPr>
        <w:tabs>
          <w:tab w:val="left" w:pos="1700"/>
        </w:tabs>
        <w:ind w:right="237"/>
        <w:jc w:val="both"/>
        <w:rPr>
          <w:rFonts w:eastAsia="Arial"/>
          <w:b/>
          <w:bCs/>
          <w:color w:val="000000" w:themeColor="text1"/>
          <w:sz w:val="24"/>
          <w:szCs w:val="24"/>
        </w:rPr>
      </w:pPr>
    </w:p>
    <w:p w14:paraId="2805C7CE" w14:textId="2BD2312A" w:rsidR="0044421C" w:rsidRDefault="0044421C" w:rsidP="00A219AC">
      <w:pPr>
        <w:tabs>
          <w:tab w:val="left" w:pos="1700"/>
        </w:tabs>
        <w:ind w:right="237"/>
        <w:jc w:val="both"/>
        <w:rPr>
          <w:rFonts w:eastAsia="Arial"/>
          <w:color w:val="auto"/>
          <w:sz w:val="24"/>
          <w:szCs w:val="24"/>
        </w:rPr>
      </w:pPr>
      <w:bookmarkStart w:id="3" w:name="_Hlk164766224"/>
      <w:r>
        <w:rPr>
          <w:rFonts w:eastAsia="Arial"/>
          <w:color w:val="000000" w:themeColor="text1"/>
          <w:sz w:val="24"/>
          <w:szCs w:val="24"/>
        </w:rPr>
        <w:t xml:space="preserve">As a </w:t>
      </w:r>
      <w:r w:rsidR="00CD40BE">
        <w:rPr>
          <w:rFonts w:eastAsia="Arial"/>
          <w:color w:val="000000" w:themeColor="text1"/>
          <w:sz w:val="24"/>
          <w:szCs w:val="24"/>
        </w:rPr>
        <w:t>p</w:t>
      </w:r>
      <w:r>
        <w:rPr>
          <w:rFonts w:eastAsia="Arial"/>
          <w:color w:val="000000" w:themeColor="text1"/>
          <w:sz w:val="24"/>
          <w:szCs w:val="24"/>
        </w:rPr>
        <w:t xml:space="preserve">olice officer, day in and day out I meet victims of various crimes. </w:t>
      </w:r>
      <w:r>
        <w:rPr>
          <w:rFonts w:eastAsia="Arial"/>
          <w:color w:val="auto"/>
          <w:sz w:val="24"/>
          <w:szCs w:val="24"/>
        </w:rPr>
        <w:t>I am present during some of the rawest parts of people’s lives.</w:t>
      </w:r>
      <w:r w:rsidR="00B11976">
        <w:rPr>
          <w:rFonts w:eastAsia="Arial"/>
          <w:color w:val="auto"/>
          <w:sz w:val="24"/>
          <w:szCs w:val="24"/>
        </w:rPr>
        <w:t xml:space="preserve"> Every person is </w:t>
      </w:r>
      <w:r w:rsidR="00023D40">
        <w:rPr>
          <w:rFonts w:eastAsia="Arial"/>
          <w:color w:val="auto"/>
          <w:sz w:val="24"/>
          <w:szCs w:val="24"/>
        </w:rPr>
        <w:t>different,</w:t>
      </w:r>
      <w:r w:rsidR="00B11976">
        <w:rPr>
          <w:rFonts w:eastAsia="Arial"/>
          <w:color w:val="auto"/>
          <w:sz w:val="24"/>
          <w:szCs w:val="24"/>
        </w:rPr>
        <w:t xml:space="preserve"> and crime affects people in different ways. A factor that </w:t>
      </w:r>
      <w:r w:rsidR="009213A1">
        <w:rPr>
          <w:rFonts w:eastAsia="Arial"/>
          <w:color w:val="auto"/>
          <w:sz w:val="24"/>
          <w:szCs w:val="24"/>
        </w:rPr>
        <w:t xml:space="preserve">canmake crime </w:t>
      </w:r>
      <w:r w:rsidR="00023D40">
        <w:rPr>
          <w:rFonts w:eastAsia="Arial"/>
          <w:color w:val="auto"/>
          <w:sz w:val="24"/>
          <w:szCs w:val="24"/>
        </w:rPr>
        <w:t>difficult</w:t>
      </w:r>
      <w:r w:rsidR="009213A1">
        <w:rPr>
          <w:rFonts w:eastAsia="Arial"/>
          <w:color w:val="auto"/>
          <w:sz w:val="24"/>
          <w:szCs w:val="24"/>
        </w:rPr>
        <w:t xml:space="preserve"> for a person to cope with is knowing it was done deliberately by another person</w:t>
      </w:r>
      <w:r w:rsidR="00023D40">
        <w:rPr>
          <w:rFonts w:eastAsia="Arial"/>
          <w:color w:val="auto"/>
          <w:sz w:val="24"/>
          <w:szCs w:val="24"/>
        </w:rPr>
        <w:t xml:space="preserve"> (Victim Support 2022).</w:t>
      </w:r>
      <w:r w:rsidR="009213A1">
        <w:rPr>
          <w:rFonts w:eastAsia="Arial"/>
          <w:color w:val="auto"/>
          <w:sz w:val="24"/>
          <w:szCs w:val="24"/>
        </w:rPr>
        <w:t xml:space="preserve"> Another factor that can make a crime difficult for a person to cope with is knowing that they were targeted for no other reason other than a characteristic they have.</w:t>
      </w:r>
      <w:r w:rsidR="009213A1">
        <w:rPr>
          <w:rFonts w:eastAsia="Arial"/>
          <w:color w:val="FF0000"/>
          <w:sz w:val="24"/>
          <w:szCs w:val="24"/>
        </w:rPr>
        <w:t xml:space="preserve"> </w:t>
      </w:r>
      <w:r>
        <w:rPr>
          <w:rFonts w:eastAsia="Arial"/>
          <w:color w:val="auto"/>
          <w:sz w:val="24"/>
          <w:szCs w:val="24"/>
        </w:rPr>
        <w:t xml:space="preserve">In this essay, I will be reflecting on an incident where </w:t>
      </w:r>
      <w:r w:rsidR="00CD40BE">
        <w:rPr>
          <w:rFonts w:eastAsia="Arial"/>
          <w:color w:val="auto"/>
          <w:sz w:val="24"/>
          <w:szCs w:val="24"/>
        </w:rPr>
        <w:t xml:space="preserve">I played a significant role with a victim of crime on an occasion where a language barrier could have been detrimental in a victim of crime receiving the best possible service from the police. I will firstly describe the incident, including social and legislative contexts along with discussing language issues. I will then critically evaluate the appropriateness of different approaches used by both professionals and the police in supporting or managing vulnerable people or those at risk of harm. </w:t>
      </w:r>
      <w:r w:rsidR="00102418">
        <w:rPr>
          <w:rFonts w:eastAsia="Arial"/>
          <w:color w:val="auto"/>
          <w:sz w:val="24"/>
          <w:szCs w:val="24"/>
        </w:rPr>
        <w:t xml:space="preserve">I will then explore what works in relation to tackling repeat victimisation and repeat offending whilst considering the use of evidence-based policing. </w:t>
      </w:r>
    </w:p>
    <w:p w14:paraId="63F78A95" w14:textId="77777777" w:rsidR="00102418" w:rsidRPr="0044421C" w:rsidRDefault="00102418" w:rsidP="00A219AC">
      <w:pPr>
        <w:tabs>
          <w:tab w:val="left" w:pos="1700"/>
        </w:tabs>
        <w:ind w:right="237"/>
        <w:jc w:val="both"/>
        <w:rPr>
          <w:rFonts w:eastAsia="Arial"/>
          <w:color w:val="auto"/>
          <w:sz w:val="24"/>
          <w:szCs w:val="24"/>
        </w:rPr>
      </w:pPr>
    </w:p>
    <w:p w14:paraId="58319706" w14:textId="76AC5C7B" w:rsidR="0044421C" w:rsidRDefault="00123A9F" w:rsidP="00A219AC">
      <w:pPr>
        <w:tabs>
          <w:tab w:val="left" w:pos="1700"/>
        </w:tabs>
        <w:ind w:right="237"/>
        <w:jc w:val="both"/>
        <w:rPr>
          <w:rFonts w:eastAsia="Arial"/>
          <w:color w:val="000000" w:themeColor="text1"/>
          <w:sz w:val="24"/>
          <w:szCs w:val="24"/>
        </w:rPr>
      </w:pPr>
      <w:r>
        <w:rPr>
          <w:rFonts w:eastAsia="Arial"/>
          <w:color w:val="000000" w:themeColor="text1"/>
          <w:sz w:val="24"/>
          <w:szCs w:val="24"/>
        </w:rPr>
        <w:t xml:space="preserve">Firstly, I will describe the incident in which I played a significant role with a victim of crime. We received a call that a male in </w:t>
      </w:r>
      <w:r w:rsidR="00FE45A2">
        <w:rPr>
          <w:rFonts w:eastAsia="Arial"/>
          <w:color w:val="000000" w:themeColor="text1"/>
          <w:sz w:val="24"/>
          <w:szCs w:val="24"/>
        </w:rPr>
        <w:t>a pub</w:t>
      </w:r>
      <w:r>
        <w:rPr>
          <w:rFonts w:eastAsia="Arial"/>
          <w:color w:val="000000" w:themeColor="text1"/>
          <w:sz w:val="24"/>
          <w:szCs w:val="24"/>
        </w:rPr>
        <w:t xml:space="preserve"> had been assaulted by another male.</w:t>
      </w:r>
      <w:r w:rsidR="00FE45A2">
        <w:rPr>
          <w:rFonts w:eastAsia="Arial"/>
          <w:color w:val="000000" w:themeColor="text1"/>
          <w:sz w:val="24"/>
          <w:szCs w:val="24"/>
        </w:rPr>
        <w:t xml:space="preserve"> When I arrived, I located the victim who was bleeding and had multiple cuts on his fac</w:t>
      </w:r>
      <w:r w:rsidR="003F7418">
        <w:rPr>
          <w:rFonts w:eastAsia="Arial"/>
          <w:color w:val="000000" w:themeColor="text1"/>
          <w:sz w:val="24"/>
          <w:szCs w:val="24"/>
        </w:rPr>
        <w:t>e along with some minor bruising. The victim stated that he had been in the pub with his friends</w:t>
      </w:r>
      <w:r w:rsidR="001B4203">
        <w:rPr>
          <w:rFonts w:eastAsia="Arial"/>
          <w:color w:val="000000" w:themeColor="text1"/>
          <w:sz w:val="24"/>
          <w:szCs w:val="24"/>
        </w:rPr>
        <w:t xml:space="preserve"> when a male had walked over to him and had started punching him whilst making racial remarks because the male was black. The victim stated </w:t>
      </w:r>
      <w:r w:rsidR="000A6FD8">
        <w:rPr>
          <w:rFonts w:eastAsia="Arial"/>
          <w:color w:val="000000" w:themeColor="text1"/>
          <w:sz w:val="24"/>
          <w:szCs w:val="24"/>
        </w:rPr>
        <w:t>all</w:t>
      </w:r>
      <w:r w:rsidR="001B4203">
        <w:rPr>
          <w:rFonts w:eastAsia="Arial"/>
          <w:color w:val="000000" w:themeColor="text1"/>
          <w:sz w:val="24"/>
          <w:szCs w:val="24"/>
        </w:rPr>
        <w:t xml:space="preserve"> the friends he was with were white and so the male had targeted him because he was black. </w:t>
      </w:r>
      <w:r w:rsidR="000A6FD8">
        <w:rPr>
          <w:rFonts w:eastAsia="Arial"/>
          <w:color w:val="000000" w:themeColor="text1"/>
          <w:sz w:val="24"/>
          <w:szCs w:val="24"/>
        </w:rPr>
        <w:t xml:space="preserve">It was initially difficult to speak to the male because he stated he couldn’t </w:t>
      </w:r>
      <w:r w:rsidR="000A6FD8">
        <w:rPr>
          <w:rFonts w:eastAsia="Arial"/>
          <w:color w:val="000000" w:themeColor="text1"/>
          <w:sz w:val="24"/>
          <w:szCs w:val="24"/>
        </w:rPr>
        <w:lastRenderedPageBreak/>
        <w:t>understand English as well as his first language</w:t>
      </w:r>
      <w:r w:rsidR="00247740">
        <w:rPr>
          <w:rFonts w:eastAsia="Arial"/>
          <w:color w:val="000000" w:themeColor="text1"/>
          <w:sz w:val="24"/>
          <w:szCs w:val="24"/>
        </w:rPr>
        <w:t>,</w:t>
      </w:r>
      <w:r w:rsidR="000A6FD8">
        <w:rPr>
          <w:rFonts w:eastAsia="Arial"/>
          <w:color w:val="000000" w:themeColor="text1"/>
          <w:sz w:val="24"/>
          <w:szCs w:val="24"/>
        </w:rPr>
        <w:t xml:space="preserve"> Arabic. Because of the language issues, </w:t>
      </w:r>
      <w:r w:rsidR="000941A9">
        <w:rPr>
          <w:rFonts w:eastAsia="Arial"/>
          <w:color w:val="000000" w:themeColor="text1"/>
          <w:sz w:val="24"/>
          <w:szCs w:val="24"/>
        </w:rPr>
        <w:t>to</w:t>
      </w:r>
      <w:r w:rsidR="000A6FD8">
        <w:rPr>
          <w:rFonts w:eastAsia="Arial"/>
          <w:color w:val="000000" w:themeColor="text1"/>
          <w:sz w:val="24"/>
          <w:szCs w:val="24"/>
        </w:rPr>
        <w:t xml:space="preserve"> get the best evidence possible from the male</w:t>
      </w:r>
      <w:r w:rsidR="000941A9">
        <w:rPr>
          <w:rFonts w:eastAsia="Arial"/>
          <w:color w:val="000000" w:themeColor="text1"/>
          <w:sz w:val="24"/>
          <w:szCs w:val="24"/>
        </w:rPr>
        <w:t>, I utilised language line which is a phone number used by the police when a translator is needed. Once I had someone to translate, gathering the details of what had happened was far easier and made the victim a lot more comfortable in speaking about it.</w:t>
      </w:r>
      <w:r w:rsidR="0001195E">
        <w:rPr>
          <w:rFonts w:eastAsia="Arial"/>
          <w:color w:val="000000" w:themeColor="text1"/>
          <w:sz w:val="24"/>
          <w:szCs w:val="24"/>
        </w:rPr>
        <w:t xml:space="preserve"> Although this is the bare minimum we as police officers should do, it went a long way with the victim and helped</w:t>
      </w:r>
      <w:r w:rsidR="00E66315">
        <w:rPr>
          <w:rFonts w:eastAsia="Arial"/>
          <w:color w:val="000000" w:themeColor="text1"/>
          <w:sz w:val="24"/>
          <w:szCs w:val="24"/>
        </w:rPr>
        <w:t>.</w:t>
      </w:r>
    </w:p>
    <w:p w14:paraId="33890231" w14:textId="77777777" w:rsidR="00934643" w:rsidRDefault="00934643" w:rsidP="00A219AC">
      <w:pPr>
        <w:tabs>
          <w:tab w:val="left" w:pos="1700"/>
        </w:tabs>
        <w:ind w:right="237"/>
        <w:jc w:val="both"/>
        <w:rPr>
          <w:rFonts w:eastAsia="Arial"/>
          <w:color w:val="000000" w:themeColor="text1"/>
          <w:sz w:val="24"/>
          <w:szCs w:val="24"/>
        </w:rPr>
      </w:pPr>
    </w:p>
    <w:p w14:paraId="3BA85236" w14:textId="4D2DF164" w:rsidR="00FE45A2" w:rsidRDefault="00934643" w:rsidP="00A219AC">
      <w:pPr>
        <w:tabs>
          <w:tab w:val="left" w:pos="1700"/>
        </w:tabs>
        <w:ind w:right="237"/>
        <w:jc w:val="both"/>
        <w:rPr>
          <w:rFonts w:eastAsia="Arial"/>
          <w:color w:val="000000" w:themeColor="text1"/>
          <w:sz w:val="24"/>
          <w:szCs w:val="24"/>
        </w:rPr>
      </w:pPr>
      <w:r>
        <w:rPr>
          <w:rFonts w:eastAsia="Arial"/>
          <w:color w:val="000000" w:themeColor="text1"/>
          <w:sz w:val="24"/>
          <w:szCs w:val="24"/>
        </w:rPr>
        <w:t>The core offence that had been committed was Actual Bodily harm. This offence is committed where a person intentionally or recklessly assaults another, thereby causing Actual Bodily Harm. Bodily harm has its ordinary meaning and includes any hurt calculated to interfere with the health or comfort of the victim. The hurt caused to the victim need not be permanent but must be more than transient or trifling (</w:t>
      </w:r>
      <w:r w:rsidRPr="00934643">
        <w:rPr>
          <w:rFonts w:eastAsia="Arial"/>
          <w:i/>
          <w:iCs/>
          <w:color w:val="000000" w:themeColor="text1"/>
          <w:sz w:val="24"/>
          <w:szCs w:val="24"/>
        </w:rPr>
        <w:t>Offences against the person Act 1861</w:t>
      </w:r>
      <w:r>
        <w:rPr>
          <w:rFonts w:eastAsia="Arial"/>
          <w:color w:val="000000" w:themeColor="text1"/>
          <w:sz w:val="24"/>
          <w:szCs w:val="24"/>
        </w:rPr>
        <w:t>).</w:t>
      </w:r>
    </w:p>
    <w:p w14:paraId="02CD3078" w14:textId="77777777" w:rsidR="000941A9" w:rsidRDefault="000941A9" w:rsidP="00A219AC">
      <w:pPr>
        <w:tabs>
          <w:tab w:val="left" w:pos="1700"/>
        </w:tabs>
        <w:ind w:right="237"/>
        <w:jc w:val="both"/>
        <w:rPr>
          <w:rFonts w:eastAsia="Arial"/>
          <w:color w:val="000000" w:themeColor="text1"/>
          <w:sz w:val="24"/>
          <w:szCs w:val="24"/>
        </w:rPr>
      </w:pPr>
    </w:p>
    <w:p w14:paraId="78F9F9C3" w14:textId="37996F40" w:rsidR="00FB05AC" w:rsidRDefault="00934643" w:rsidP="00A219AC">
      <w:pPr>
        <w:tabs>
          <w:tab w:val="left" w:pos="1700"/>
        </w:tabs>
        <w:ind w:right="237"/>
        <w:jc w:val="both"/>
        <w:rPr>
          <w:rFonts w:eastAsia="Arial"/>
          <w:color w:val="000000" w:themeColor="text1"/>
          <w:sz w:val="24"/>
          <w:szCs w:val="24"/>
        </w:rPr>
      </w:pPr>
      <w:r>
        <w:rPr>
          <w:rFonts w:eastAsia="Arial"/>
          <w:color w:val="000000" w:themeColor="text1"/>
          <w:sz w:val="24"/>
          <w:szCs w:val="24"/>
        </w:rPr>
        <w:t>Due to the fact this offence appeared to have been committed due to the fact the male was black, it was clear the incident I was dealing with was a hate crime. Any crime can be prosecuted as a hate crime if the offender has either</w:t>
      </w:r>
      <w:r w:rsidR="00FB05AC">
        <w:rPr>
          <w:rFonts w:eastAsia="Arial"/>
          <w:color w:val="000000" w:themeColor="text1"/>
          <w:sz w:val="24"/>
          <w:szCs w:val="24"/>
        </w:rPr>
        <w:t xml:space="preserve"> demonstrated hostility based on race, religion, disability, sexual orientation, or transgender identity or been motivated by hostility based on race, religion, disability, sexual orientation, or transgender identity</w:t>
      </w:r>
      <w:r w:rsidR="00E910C6">
        <w:rPr>
          <w:rFonts w:eastAsia="Arial"/>
          <w:color w:val="000000" w:themeColor="text1"/>
          <w:sz w:val="24"/>
          <w:szCs w:val="24"/>
        </w:rPr>
        <w:t xml:space="preserve"> (</w:t>
      </w:r>
      <w:r w:rsidR="00E910C6" w:rsidRPr="00E910C6">
        <w:rPr>
          <w:rFonts w:eastAsia="Arial"/>
          <w:i/>
          <w:iCs/>
          <w:color w:val="000000" w:themeColor="text1"/>
          <w:sz w:val="24"/>
          <w:szCs w:val="24"/>
        </w:rPr>
        <w:t>Crime and Disorder Act 1998</w:t>
      </w:r>
      <w:r w:rsidR="00E910C6" w:rsidRPr="00E910C6">
        <w:rPr>
          <w:rFonts w:eastAsia="Arial"/>
          <w:color w:val="000000" w:themeColor="text1"/>
          <w:sz w:val="24"/>
          <w:szCs w:val="24"/>
        </w:rPr>
        <w:t xml:space="preserve"> and </w:t>
      </w:r>
      <w:r w:rsidR="00E910C6" w:rsidRPr="00E910C6">
        <w:rPr>
          <w:rFonts w:eastAsia="Arial"/>
          <w:i/>
          <w:iCs/>
          <w:color w:val="000000" w:themeColor="text1"/>
          <w:sz w:val="24"/>
          <w:szCs w:val="24"/>
        </w:rPr>
        <w:t>The Sentencing Act 2020</w:t>
      </w:r>
      <w:r w:rsidR="00E910C6">
        <w:rPr>
          <w:rFonts w:eastAsia="Arial"/>
          <w:color w:val="000000" w:themeColor="text1"/>
          <w:sz w:val="24"/>
          <w:szCs w:val="24"/>
        </w:rPr>
        <w:t>)</w:t>
      </w:r>
      <w:r w:rsidR="00FB05AC">
        <w:rPr>
          <w:rFonts w:eastAsia="Arial"/>
          <w:color w:val="000000" w:themeColor="text1"/>
          <w:sz w:val="24"/>
          <w:szCs w:val="24"/>
        </w:rPr>
        <w:t xml:space="preserve">. In this incident, the offender had demonstrated hostility based on the </w:t>
      </w:r>
      <w:r w:rsidR="0001195E">
        <w:rPr>
          <w:rFonts w:eastAsia="Arial"/>
          <w:color w:val="000000" w:themeColor="text1"/>
          <w:sz w:val="24"/>
          <w:szCs w:val="24"/>
        </w:rPr>
        <w:t>victim’s</w:t>
      </w:r>
      <w:r w:rsidR="00FB05AC">
        <w:rPr>
          <w:rFonts w:eastAsia="Arial"/>
          <w:color w:val="000000" w:themeColor="text1"/>
          <w:sz w:val="24"/>
          <w:szCs w:val="24"/>
        </w:rPr>
        <w:t xml:space="preserve"> race by making racist remarks whilst assaulting him</w:t>
      </w:r>
      <w:r w:rsidR="0001195E">
        <w:rPr>
          <w:rFonts w:eastAsia="Arial"/>
          <w:color w:val="000000" w:themeColor="text1"/>
          <w:sz w:val="24"/>
          <w:szCs w:val="24"/>
        </w:rPr>
        <w:t xml:space="preserve"> which allows prosecutors to apply for an uplift in sentence for those who are convicted of a hate crime. </w:t>
      </w:r>
    </w:p>
    <w:p w14:paraId="58470576" w14:textId="77777777" w:rsidR="00934643" w:rsidRDefault="00934643" w:rsidP="00A219AC">
      <w:pPr>
        <w:tabs>
          <w:tab w:val="left" w:pos="1700"/>
        </w:tabs>
        <w:ind w:right="237"/>
        <w:jc w:val="both"/>
        <w:rPr>
          <w:rFonts w:eastAsia="Arial"/>
          <w:color w:val="000000" w:themeColor="text1"/>
          <w:sz w:val="24"/>
          <w:szCs w:val="24"/>
        </w:rPr>
      </w:pPr>
    </w:p>
    <w:p w14:paraId="5EA67EEB" w14:textId="36957E21" w:rsidR="00934643" w:rsidRDefault="00AE1C74" w:rsidP="00A219AC">
      <w:pPr>
        <w:tabs>
          <w:tab w:val="left" w:pos="1700"/>
        </w:tabs>
        <w:ind w:right="237"/>
        <w:jc w:val="both"/>
        <w:rPr>
          <w:rFonts w:eastAsia="Arial"/>
          <w:color w:val="000000" w:themeColor="text1"/>
          <w:sz w:val="24"/>
          <w:szCs w:val="24"/>
        </w:rPr>
      </w:pPr>
      <w:r>
        <w:rPr>
          <w:rFonts w:eastAsia="Arial"/>
          <w:color w:val="000000" w:themeColor="text1"/>
          <w:sz w:val="24"/>
          <w:szCs w:val="24"/>
        </w:rPr>
        <w:t>There are many different approaches used by both professionals and the police when it comes to supporting or managing vulnerable people or people at risk of harm</w:t>
      </w:r>
      <w:r w:rsidR="0066341C">
        <w:rPr>
          <w:rFonts w:eastAsia="Arial"/>
          <w:color w:val="000000" w:themeColor="text1"/>
          <w:sz w:val="24"/>
          <w:szCs w:val="24"/>
        </w:rPr>
        <w:t xml:space="preserve">. Not </w:t>
      </w:r>
      <w:r w:rsidR="001664D0">
        <w:rPr>
          <w:rFonts w:eastAsia="Arial"/>
          <w:color w:val="000000" w:themeColor="text1"/>
          <w:sz w:val="24"/>
          <w:szCs w:val="24"/>
        </w:rPr>
        <w:t>all</w:t>
      </w:r>
      <w:r w:rsidR="0066341C">
        <w:rPr>
          <w:rFonts w:eastAsia="Arial"/>
          <w:color w:val="000000" w:themeColor="text1"/>
          <w:sz w:val="24"/>
          <w:szCs w:val="24"/>
        </w:rPr>
        <w:t xml:space="preserve"> these approaches are appropriate and not all of them are effective. When discussing the approaches use to support or manage vulnerable people, it is important to first understand what is meant by a vulnerable person. It is only by understanding what makes a person vulnerable</w:t>
      </w:r>
      <w:r w:rsidR="00755CCB">
        <w:rPr>
          <w:rFonts w:eastAsia="Arial"/>
          <w:color w:val="000000" w:themeColor="text1"/>
          <w:sz w:val="24"/>
          <w:szCs w:val="24"/>
        </w:rPr>
        <w:t xml:space="preserve"> </w:t>
      </w:r>
      <w:r w:rsidR="0066341C">
        <w:rPr>
          <w:rFonts w:eastAsia="Arial"/>
          <w:color w:val="000000" w:themeColor="text1"/>
          <w:sz w:val="24"/>
          <w:szCs w:val="24"/>
        </w:rPr>
        <w:t xml:space="preserve">we </w:t>
      </w:r>
      <w:r w:rsidR="00755CCB">
        <w:rPr>
          <w:rFonts w:eastAsia="Arial"/>
          <w:color w:val="000000" w:themeColor="text1"/>
          <w:sz w:val="24"/>
          <w:szCs w:val="24"/>
        </w:rPr>
        <w:t>can</w:t>
      </w:r>
      <w:r w:rsidR="0066341C">
        <w:rPr>
          <w:rFonts w:eastAsia="Arial"/>
          <w:color w:val="000000" w:themeColor="text1"/>
          <w:sz w:val="24"/>
          <w:szCs w:val="24"/>
        </w:rPr>
        <w:t xml:space="preserve"> </w:t>
      </w:r>
      <w:r w:rsidR="006E622A">
        <w:rPr>
          <w:rFonts w:eastAsia="Arial"/>
          <w:color w:val="000000" w:themeColor="text1"/>
          <w:sz w:val="24"/>
          <w:szCs w:val="24"/>
        </w:rPr>
        <w:t xml:space="preserve">evaluate the appropriateness of different approaches used. </w:t>
      </w:r>
    </w:p>
    <w:p w14:paraId="0A12F6FD" w14:textId="77777777" w:rsidR="00755CCB" w:rsidRDefault="00755CCB" w:rsidP="00A219AC">
      <w:pPr>
        <w:tabs>
          <w:tab w:val="left" w:pos="1700"/>
        </w:tabs>
        <w:ind w:right="237"/>
        <w:jc w:val="both"/>
        <w:rPr>
          <w:rFonts w:eastAsia="Arial"/>
          <w:color w:val="000000" w:themeColor="text1"/>
          <w:sz w:val="24"/>
          <w:szCs w:val="24"/>
        </w:rPr>
      </w:pPr>
    </w:p>
    <w:p w14:paraId="71A71E23" w14:textId="5F4B5B4C" w:rsidR="00755CCB" w:rsidRDefault="00755CCB" w:rsidP="00A219AC">
      <w:pPr>
        <w:tabs>
          <w:tab w:val="left" w:pos="1700"/>
        </w:tabs>
        <w:ind w:right="237"/>
        <w:jc w:val="both"/>
        <w:rPr>
          <w:rFonts w:eastAsia="Arial"/>
          <w:color w:val="000000" w:themeColor="text1"/>
          <w:sz w:val="24"/>
          <w:szCs w:val="24"/>
        </w:rPr>
      </w:pPr>
      <w:r>
        <w:rPr>
          <w:rFonts w:eastAsia="Arial"/>
          <w:color w:val="000000" w:themeColor="text1"/>
          <w:sz w:val="24"/>
          <w:szCs w:val="24"/>
        </w:rPr>
        <w:t>There are many definitions used to define vulnerability, however the one adopted by the college of policing is the one accepted and used within the police. This definition states that ‘A person is vulnerable if, as a result of their situation or circumstances, they are unable to take care of or protect themselves or others from harm or exploitation’</w:t>
      </w:r>
      <w:r w:rsidR="00700C3A">
        <w:rPr>
          <w:rFonts w:eastAsia="Arial"/>
          <w:color w:val="000000" w:themeColor="text1"/>
          <w:sz w:val="24"/>
          <w:szCs w:val="24"/>
        </w:rPr>
        <w:t xml:space="preserve"> (COP</w:t>
      </w:r>
      <w:r w:rsidR="00200D7A">
        <w:rPr>
          <w:rFonts w:eastAsia="Arial"/>
          <w:color w:val="000000" w:themeColor="text1"/>
          <w:sz w:val="24"/>
          <w:szCs w:val="24"/>
        </w:rPr>
        <w:t xml:space="preserve">, </w:t>
      </w:r>
      <w:r w:rsidR="00700C3A">
        <w:rPr>
          <w:rFonts w:eastAsia="Arial"/>
          <w:color w:val="000000" w:themeColor="text1"/>
          <w:sz w:val="24"/>
          <w:szCs w:val="24"/>
        </w:rPr>
        <w:t>2021)</w:t>
      </w:r>
      <w:r w:rsidR="00494BE0">
        <w:rPr>
          <w:rFonts w:eastAsia="Arial"/>
          <w:color w:val="000000" w:themeColor="text1"/>
          <w:sz w:val="24"/>
          <w:szCs w:val="24"/>
        </w:rPr>
        <w:t xml:space="preserve">. </w:t>
      </w:r>
      <w:r w:rsidR="00E3698E">
        <w:rPr>
          <w:rFonts w:eastAsia="Arial"/>
          <w:color w:val="000000" w:themeColor="text1"/>
          <w:sz w:val="24"/>
          <w:szCs w:val="24"/>
        </w:rPr>
        <w:t>For example, an individual with a learning disability may not necessarily be at risk of harm if they are receiving suitable support and protection that helps to prevent them from being exploited or abused.</w:t>
      </w:r>
    </w:p>
    <w:p w14:paraId="77E9D2F2" w14:textId="77777777" w:rsidR="00B51A89" w:rsidRDefault="00B51A89" w:rsidP="00A219AC">
      <w:pPr>
        <w:tabs>
          <w:tab w:val="left" w:pos="1700"/>
        </w:tabs>
        <w:ind w:right="237"/>
        <w:jc w:val="both"/>
        <w:rPr>
          <w:rFonts w:eastAsia="Arial"/>
          <w:color w:val="000000" w:themeColor="text1"/>
          <w:sz w:val="24"/>
          <w:szCs w:val="24"/>
        </w:rPr>
      </w:pPr>
    </w:p>
    <w:p w14:paraId="6C16A1C0" w14:textId="4AC9EFE9" w:rsidR="00B51A89" w:rsidRDefault="00B51A89" w:rsidP="00A219AC">
      <w:pPr>
        <w:tabs>
          <w:tab w:val="left" w:pos="1700"/>
        </w:tabs>
        <w:ind w:right="237"/>
        <w:jc w:val="both"/>
        <w:rPr>
          <w:rFonts w:eastAsia="Arial"/>
          <w:color w:val="000000" w:themeColor="text1"/>
          <w:sz w:val="24"/>
          <w:szCs w:val="24"/>
        </w:rPr>
      </w:pPr>
      <w:r>
        <w:rPr>
          <w:rFonts w:eastAsia="Arial"/>
          <w:color w:val="000000" w:themeColor="text1"/>
          <w:sz w:val="24"/>
          <w:szCs w:val="24"/>
        </w:rPr>
        <w:t>The</w:t>
      </w:r>
      <w:r w:rsidRPr="00B51A89">
        <w:rPr>
          <w:rFonts w:eastAsia="Arial"/>
          <w:color w:val="000000" w:themeColor="text1"/>
          <w:sz w:val="24"/>
          <w:szCs w:val="24"/>
        </w:rPr>
        <w:t xml:space="preserve"> ‘Stand By Me’ campaign which was brought into place in 2011 by the charity Mencap</w:t>
      </w:r>
      <w:r>
        <w:rPr>
          <w:rFonts w:eastAsia="Arial"/>
          <w:color w:val="000000" w:themeColor="text1"/>
          <w:sz w:val="24"/>
          <w:szCs w:val="24"/>
        </w:rPr>
        <w:t xml:space="preserve"> </w:t>
      </w:r>
      <w:r w:rsidRPr="00B51A89">
        <w:rPr>
          <w:rFonts w:eastAsia="Arial"/>
          <w:color w:val="000000" w:themeColor="text1"/>
          <w:sz w:val="24"/>
          <w:szCs w:val="24"/>
        </w:rPr>
        <w:t>found that eradicating hate crime will only work if all the agencies and public bodies work in partnership</w:t>
      </w:r>
      <w:r>
        <w:rPr>
          <w:rFonts w:eastAsia="Arial"/>
          <w:color w:val="000000" w:themeColor="text1"/>
          <w:sz w:val="24"/>
          <w:szCs w:val="24"/>
        </w:rPr>
        <w:t>.</w:t>
      </w:r>
    </w:p>
    <w:p w14:paraId="5EA7B787" w14:textId="77777777" w:rsidR="00B51A89" w:rsidRDefault="00B51A89" w:rsidP="00A219AC">
      <w:pPr>
        <w:tabs>
          <w:tab w:val="left" w:pos="1700"/>
        </w:tabs>
        <w:ind w:right="237"/>
        <w:jc w:val="both"/>
        <w:rPr>
          <w:rFonts w:eastAsia="Arial"/>
          <w:color w:val="000000" w:themeColor="text1"/>
          <w:sz w:val="24"/>
          <w:szCs w:val="24"/>
        </w:rPr>
      </w:pPr>
    </w:p>
    <w:p w14:paraId="493467B2" w14:textId="4B9B5066" w:rsidR="00440557" w:rsidRDefault="001664D0" w:rsidP="00A219AC">
      <w:pPr>
        <w:tabs>
          <w:tab w:val="left" w:pos="1700"/>
        </w:tabs>
        <w:ind w:right="237"/>
        <w:jc w:val="both"/>
        <w:rPr>
          <w:rFonts w:eastAsia="Arial"/>
          <w:color w:val="000000" w:themeColor="text1"/>
          <w:sz w:val="24"/>
          <w:szCs w:val="24"/>
        </w:rPr>
      </w:pPr>
      <w:r>
        <w:rPr>
          <w:rFonts w:eastAsia="Arial"/>
          <w:color w:val="000000" w:themeColor="text1"/>
          <w:sz w:val="24"/>
          <w:szCs w:val="24"/>
        </w:rPr>
        <w:t>So that the police can support and manage vulnerable people, the college of policing and the NPCC have</w:t>
      </w:r>
      <w:r w:rsidR="00891515">
        <w:rPr>
          <w:rFonts w:eastAsia="Arial"/>
          <w:color w:val="000000" w:themeColor="text1"/>
          <w:sz w:val="24"/>
          <w:szCs w:val="24"/>
        </w:rPr>
        <w:t xml:space="preserve"> implemented the National Vulnerability Action Plan (NVAP), which aims to ensure that </w:t>
      </w:r>
      <w:r w:rsidR="00440557">
        <w:rPr>
          <w:rFonts w:eastAsia="Arial"/>
          <w:color w:val="000000" w:themeColor="text1"/>
          <w:sz w:val="24"/>
          <w:szCs w:val="24"/>
        </w:rPr>
        <w:t xml:space="preserve">the way we recognise and respond </w:t>
      </w:r>
      <w:r w:rsidR="00891515">
        <w:rPr>
          <w:rFonts w:eastAsia="Arial"/>
          <w:color w:val="000000" w:themeColor="text1"/>
          <w:sz w:val="24"/>
          <w:szCs w:val="24"/>
        </w:rPr>
        <w:t xml:space="preserve">to vulnerability </w:t>
      </w:r>
      <w:r w:rsidR="00440557">
        <w:rPr>
          <w:rFonts w:eastAsia="Arial"/>
          <w:color w:val="000000" w:themeColor="text1"/>
          <w:sz w:val="24"/>
          <w:szCs w:val="24"/>
        </w:rPr>
        <w:t xml:space="preserve">is managed properly. The NVAP makes sure staff are fully able to manage risk and assess the needs of vulnerable individuals, meaning they are effectively supporting </w:t>
      </w:r>
      <w:r w:rsidR="00440557">
        <w:rPr>
          <w:rFonts w:eastAsia="Arial"/>
          <w:color w:val="000000" w:themeColor="text1"/>
          <w:sz w:val="24"/>
          <w:szCs w:val="24"/>
        </w:rPr>
        <w:lastRenderedPageBreak/>
        <w:t>vulnerable people (COP</w:t>
      </w:r>
      <w:r w:rsidR="00200D7A">
        <w:rPr>
          <w:rFonts w:eastAsia="Arial"/>
          <w:color w:val="000000" w:themeColor="text1"/>
          <w:sz w:val="24"/>
          <w:szCs w:val="24"/>
        </w:rPr>
        <w:t xml:space="preserve">, </w:t>
      </w:r>
      <w:r w:rsidR="00440557">
        <w:rPr>
          <w:rFonts w:eastAsia="Arial"/>
          <w:color w:val="000000" w:themeColor="text1"/>
          <w:sz w:val="24"/>
          <w:szCs w:val="24"/>
        </w:rPr>
        <w:t>2021).</w:t>
      </w:r>
      <w:r w:rsidR="00DD186D">
        <w:rPr>
          <w:rFonts w:eastAsia="Arial"/>
          <w:color w:val="000000" w:themeColor="text1"/>
          <w:sz w:val="24"/>
          <w:szCs w:val="24"/>
        </w:rPr>
        <w:t xml:space="preserve"> This is one approach used by the police, which is arguably an appropriate way of managing people at risk of harm because </w:t>
      </w:r>
      <w:r w:rsidR="00834FC7">
        <w:rPr>
          <w:rFonts w:eastAsia="Arial"/>
          <w:color w:val="000000" w:themeColor="text1"/>
          <w:sz w:val="24"/>
          <w:szCs w:val="24"/>
        </w:rPr>
        <w:t xml:space="preserve">it </w:t>
      </w:r>
      <w:r w:rsidR="00DD186D">
        <w:rPr>
          <w:rFonts w:eastAsia="Arial"/>
          <w:color w:val="000000" w:themeColor="text1"/>
          <w:sz w:val="24"/>
          <w:szCs w:val="24"/>
        </w:rPr>
        <w:t xml:space="preserve">ensures that staff are fully aware of how to </w:t>
      </w:r>
      <w:r w:rsidR="00834FC7">
        <w:rPr>
          <w:rFonts w:eastAsia="Arial"/>
          <w:color w:val="000000" w:themeColor="text1"/>
          <w:sz w:val="24"/>
          <w:szCs w:val="24"/>
        </w:rPr>
        <w:t xml:space="preserve">risk </w:t>
      </w:r>
      <w:r w:rsidR="00DD186D">
        <w:rPr>
          <w:rFonts w:eastAsia="Arial"/>
          <w:color w:val="000000" w:themeColor="text1"/>
          <w:sz w:val="24"/>
          <w:szCs w:val="24"/>
        </w:rPr>
        <w:t>assess</w:t>
      </w:r>
      <w:r w:rsidR="005724BC">
        <w:rPr>
          <w:rFonts w:eastAsia="Arial"/>
          <w:color w:val="000000" w:themeColor="text1"/>
          <w:sz w:val="24"/>
          <w:szCs w:val="24"/>
        </w:rPr>
        <w:t xml:space="preserve"> </w:t>
      </w:r>
      <w:r w:rsidR="00834FC7">
        <w:rPr>
          <w:rFonts w:eastAsia="Arial"/>
          <w:color w:val="000000" w:themeColor="text1"/>
          <w:sz w:val="24"/>
          <w:szCs w:val="24"/>
        </w:rPr>
        <w:t>individuals needs meaning they can better manage them and ensure every individuals needs are met on an individual basis.</w:t>
      </w:r>
    </w:p>
    <w:p w14:paraId="770207D1" w14:textId="77777777" w:rsidR="006E622A" w:rsidRDefault="006E622A" w:rsidP="00A219AC">
      <w:pPr>
        <w:tabs>
          <w:tab w:val="left" w:pos="1700"/>
        </w:tabs>
        <w:ind w:right="237"/>
        <w:jc w:val="both"/>
        <w:rPr>
          <w:rFonts w:eastAsia="Arial"/>
          <w:color w:val="000000" w:themeColor="text1"/>
          <w:sz w:val="24"/>
          <w:szCs w:val="24"/>
        </w:rPr>
      </w:pPr>
    </w:p>
    <w:p w14:paraId="065997DA" w14:textId="7B5C0E7F" w:rsidR="00B51A89" w:rsidRDefault="00E66315" w:rsidP="00E66315">
      <w:pPr>
        <w:tabs>
          <w:tab w:val="left" w:pos="1700"/>
        </w:tabs>
        <w:ind w:right="237"/>
        <w:jc w:val="both"/>
        <w:rPr>
          <w:rFonts w:eastAsia="Arial"/>
          <w:color w:val="000000" w:themeColor="text1"/>
          <w:sz w:val="24"/>
          <w:szCs w:val="24"/>
        </w:rPr>
      </w:pPr>
      <w:r w:rsidRPr="00E66315">
        <w:rPr>
          <w:rFonts w:eastAsia="Arial"/>
          <w:color w:val="000000" w:themeColor="text1"/>
          <w:sz w:val="24"/>
          <w:szCs w:val="24"/>
        </w:rPr>
        <w:t xml:space="preserve">Working with and supporting hate crime victims is something that requires more than a common-sense approach, </w:t>
      </w:r>
      <w:r w:rsidR="000B0B44">
        <w:rPr>
          <w:rFonts w:eastAsia="Arial"/>
          <w:color w:val="000000" w:themeColor="text1"/>
          <w:sz w:val="24"/>
          <w:szCs w:val="24"/>
        </w:rPr>
        <w:t xml:space="preserve">it requires </w:t>
      </w:r>
      <w:r w:rsidRPr="00E66315">
        <w:rPr>
          <w:rFonts w:eastAsia="Arial"/>
          <w:color w:val="000000" w:themeColor="text1"/>
          <w:sz w:val="24"/>
          <w:szCs w:val="24"/>
        </w:rPr>
        <w:t>knowledge of the law and partnerships with relevant agencies</w:t>
      </w:r>
      <w:r>
        <w:rPr>
          <w:rFonts w:eastAsia="Arial"/>
          <w:color w:val="000000" w:themeColor="text1"/>
          <w:sz w:val="24"/>
          <w:szCs w:val="24"/>
        </w:rPr>
        <w:t xml:space="preserve"> (Kusminder Chahal 2017).</w:t>
      </w:r>
      <w:r w:rsidR="000211C0">
        <w:rPr>
          <w:rFonts w:eastAsia="Arial"/>
          <w:color w:val="000000" w:themeColor="text1"/>
          <w:sz w:val="24"/>
          <w:szCs w:val="24"/>
        </w:rPr>
        <w:t xml:space="preserve"> One of the best examples of partnership working between relevant agencies are </w:t>
      </w:r>
      <w:r w:rsidR="000B0B44">
        <w:rPr>
          <w:rFonts w:eastAsia="Arial"/>
          <w:color w:val="000000" w:themeColor="text1"/>
          <w:sz w:val="24"/>
          <w:szCs w:val="24"/>
        </w:rPr>
        <w:t xml:space="preserve">MASH meetings. MASH stands for </w:t>
      </w:r>
      <w:r w:rsidR="000211C0">
        <w:rPr>
          <w:rFonts w:eastAsia="Arial"/>
          <w:color w:val="000000" w:themeColor="text1"/>
          <w:sz w:val="24"/>
          <w:szCs w:val="24"/>
        </w:rPr>
        <w:t>multi-agency</w:t>
      </w:r>
      <w:r w:rsidR="000B0B44">
        <w:rPr>
          <w:rFonts w:eastAsia="Arial"/>
          <w:color w:val="000000" w:themeColor="text1"/>
          <w:sz w:val="24"/>
          <w:szCs w:val="24"/>
        </w:rPr>
        <w:t xml:space="preserve"> safeguarding hub and the meetings are held for agencies to come together to discuss vulnerable children and adults with the aim of implementing safeguarding measures for them on an individual basis. Multi agency working is key to the early and effective identification of risk to vulnerable people and is the best way to support and manage these people identified as being vulnerable people or people at risk of harm (Home Office 2013). MASH meetings aim to prevent the risk posed to people from escalating by sharing information and making joint decisions with coordinated action. This is an appropriate way to support or manage vulnerable people or people at risk of harm because different agencies come together and have different ways of supporting people </w:t>
      </w:r>
      <w:r w:rsidR="002A6498">
        <w:rPr>
          <w:rFonts w:eastAsia="Arial"/>
          <w:color w:val="000000" w:themeColor="text1"/>
          <w:sz w:val="24"/>
          <w:szCs w:val="24"/>
        </w:rPr>
        <w:t xml:space="preserve">and by working together, the best solution by the best agency to support people can be found. </w:t>
      </w:r>
    </w:p>
    <w:p w14:paraId="78BDD60B" w14:textId="77777777" w:rsidR="002A6498" w:rsidRDefault="002A6498" w:rsidP="00E66315">
      <w:pPr>
        <w:tabs>
          <w:tab w:val="left" w:pos="1700"/>
        </w:tabs>
        <w:ind w:right="237"/>
        <w:jc w:val="both"/>
        <w:rPr>
          <w:rFonts w:eastAsia="Arial"/>
          <w:color w:val="000000" w:themeColor="text1"/>
          <w:sz w:val="24"/>
          <w:szCs w:val="24"/>
        </w:rPr>
      </w:pPr>
    </w:p>
    <w:p w14:paraId="366414E6" w14:textId="6907B3A2" w:rsidR="002A6498" w:rsidRDefault="002A6498" w:rsidP="00E66315">
      <w:pPr>
        <w:tabs>
          <w:tab w:val="left" w:pos="1700"/>
        </w:tabs>
        <w:ind w:right="237"/>
        <w:jc w:val="both"/>
        <w:rPr>
          <w:rFonts w:eastAsia="Arial"/>
          <w:color w:val="000000" w:themeColor="text1"/>
          <w:sz w:val="24"/>
          <w:szCs w:val="24"/>
        </w:rPr>
      </w:pPr>
      <w:r>
        <w:rPr>
          <w:rFonts w:eastAsia="Arial"/>
          <w:color w:val="000000" w:themeColor="text1"/>
          <w:sz w:val="24"/>
          <w:szCs w:val="24"/>
        </w:rPr>
        <w:t>One of the ways a MASH meeting is arranged is following a public protection notification (PPN) being submitted by the police. A PPN is the police’s way of managing vulnerable people or people at risk of harm</w:t>
      </w:r>
      <w:r w:rsidR="00F51F30">
        <w:rPr>
          <w:rFonts w:eastAsia="Arial"/>
          <w:color w:val="000000" w:themeColor="text1"/>
          <w:sz w:val="24"/>
          <w:szCs w:val="24"/>
        </w:rPr>
        <w:t xml:space="preserve">. A PPN is submitted by a police officer who has attended an incident and has identified a person who they believe is at risk of harm. Once the officer has completed the questions on the PPN, it is sent to the public protection unit within the police. It is in the public protection unit that the PPN is risk assessed and a person is assessed as being at low, medium or high risk. If a person is identified as being at risk of harm, the police will hold a MASH meeting and all the relevant agencies will come together to find how best to prevent the person at risk of harm from coming to any actual harm. A PPN is an appropriate way of managing vulnerable people and those at risk of harm because they are submitted by officers who have met the person they are submitting the referral for </w:t>
      </w:r>
      <w:r w:rsidR="005A3E49">
        <w:rPr>
          <w:rFonts w:eastAsia="Arial"/>
          <w:color w:val="000000" w:themeColor="text1"/>
          <w:sz w:val="24"/>
          <w:szCs w:val="24"/>
        </w:rPr>
        <w:t>and so they have seen their circumstances and can provide a rationale for why they are at risk of harm.</w:t>
      </w:r>
      <w:r w:rsidR="00D52E8E">
        <w:rPr>
          <w:rFonts w:eastAsia="Arial"/>
          <w:color w:val="000000" w:themeColor="text1"/>
          <w:sz w:val="24"/>
          <w:szCs w:val="24"/>
        </w:rPr>
        <w:t xml:space="preserve"> If I had not submitted a PPN for my victim, they may not have received the support they needed.</w:t>
      </w:r>
    </w:p>
    <w:p w14:paraId="7952C4E2" w14:textId="77777777" w:rsidR="007A6042" w:rsidRDefault="007A6042" w:rsidP="00E66315">
      <w:pPr>
        <w:tabs>
          <w:tab w:val="left" w:pos="1700"/>
        </w:tabs>
        <w:ind w:right="237"/>
        <w:jc w:val="both"/>
        <w:rPr>
          <w:rFonts w:eastAsia="Arial"/>
          <w:color w:val="000000" w:themeColor="text1"/>
          <w:sz w:val="24"/>
          <w:szCs w:val="24"/>
        </w:rPr>
      </w:pPr>
    </w:p>
    <w:p w14:paraId="6EA00C6C" w14:textId="78482C39" w:rsidR="000B0B44" w:rsidRDefault="007A6042" w:rsidP="00E66315">
      <w:pPr>
        <w:tabs>
          <w:tab w:val="left" w:pos="1700"/>
        </w:tabs>
        <w:ind w:right="237"/>
        <w:jc w:val="both"/>
        <w:rPr>
          <w:rFonts w:eastAsia="Arial"/>
          <w:color w:val="000000" w:themeColor="text1"/>
          <w:sz w:val="24"/>
          <w:szCs w:val="24"/>
        </w:rPr>
      </w:pPr>
      <w:r>
        <w:rPr>
          <w:rFonts w:eastAsia="Arial"/>
          <w:color w:val="000000" w:themeColor="text1"/>
          <w:sz w:val="24"/>
          <w:szCs w:val="24"/>
        </w:rPr>
        <w:t>Repeat victimisation refers to the repeated victimisation of a person, household, property or place of the same type of any hate crime more than once during a year. The Crime Survey for England and Wales found that there is a higher rate of repeat victimisation for hate crime victims compared with crime overall (Kusminder Chahal 2017). When someone becomes a repeat victim, it tends to happen quickly with the second offence happening not long after the first, as opposed to one offence being committed against someone and the next offence being committed years later (K Pease 2002). Because it happens quickly, the best way to manage it is by tackling it as soon as possible to prevent it happening again by putting preventative measures in place straight away, regardless of how temporary these measures may be, they need to be put in place quickly if they are to be effective and worthwhile (K Pe</w:t>
      </w:r>
      <w:r w:rsidR="00003FE0">
        <w:rPr>
          <w:rFonts w:eastAsia="Arial"/>
          <w:color w:val="000000" w:themeColor="text1"/>
          <w:sz w:val="24"/>
          <w:szCs w:val="24"/>
        </w:rPr>
        <w:t>ase 2002).</w:t>
      </w:r>
    </w:p>
    <w:p w14:paraId="6F8EA3B3" w14:textId="77777777" w:rsidR="007A6042" w:rsidRDefault="007A6042" w:rsidP="00E66315">
      <w:pPr>
        <w:tabs>
          <w:tab w:val="left" w:pos="1700"/>
        </w:tabs>
        <w:ind w:right="237"/>
        <w:jc w:val="both"/>
        <w:rPr>
          <w:rFonts w:eastAsia="Arial"/>
          <w:color w:val="000000" w:themeColor="text1"/>
          <w:sz w:val="24"/>
          <w:szCs w:val="24"/>
        </w:rPr>
      </w:pPr>
    </w:p>
    <w:p w14:paraId="4F281BAB" w14:textId="56752357" w:rsidR="007A6042" w:rsidRDefault="007A6042" w:rsidP="00E66315">
      <w:pPr>
        <w:tabs>
          <w:tab w:val="left" w:pos="1700"/>
        </w:tabs>
        <w:ind w:right="237"/>
        <w:jc w:val="both"/>
        <w:rPr>
          <w:rFonts w:eastAsia="Arial"/>
          <w:color w:val="000000" w:themeColor="text1"/>
          <w:sz w:val="24"/>
          <w:szCs w:val="24"/>
        </w:rPr>
      </w:pPr>
      <w:r>
        <w:rPr>
          <w:rFonts w:eastAsia="Arial"/>
          <w:color w:val="000000" w:themeColor="text1"/>
          <w:sz w:val="24"/>
          <w:szCs w:val="24"/>
        </w:rPr>
        <w:t>There are</w:t>
      </w:r>
      <w:r w:rsidR="00003FE0">
        <w:rPr>
          <w:rFonts w:eastAsia="Arial"/>
          <w:color w:val="000000" w:themeColor="text1"/>
          <w:sz w:val="24"/>
          <w:szCs w:val="24"/>
        </w:rPr>
        <w:t xml:space="preserve"> different ways of tackling repeat victimisation, and there is not a one size fits all solution for it. The action taken depends on the type of crime and the circumstances around the crime. However, one of the best ways to tackle repeat victimisation is dealing with the root cause of the problem, the offender. If we can successfully tackle repeat offending, this in turn automatically tackles repeat victimisation.</w:t>
      </w:r>
    </w:p>
    <w:p w14:paraId="46B8E58F" w14:textId="77777777" w:rsidR="00003FE0" w:rsidRDefault="00003FE0" w:rsidP="00E66315">
      <w:pPr>
        <w:tabs>
          <w:tab w:val="left" w:pos="1700"/>
        </w:tabs>
        <w:ind w:right="237"/>
        <w:jc w:val="both"/>
        <w:rPr>
          <w:rFonts w:eastAsia="Arial"/>
          <w:color w:val="000000" w:themeColor="text1"/>
          <w:sz w:val="24"/>
          <w:szCs w:val="24"/>
        </w:rPr>
      </w:pPr>
    </w:p>
    <w:p w14:paraId="0C9203F4" w14:textId="58AE4EAD" w:rsidR="002759F9" w:rsidRDefault="003E1C3B" w:rsidP="00E66315">
      <w:pPr>
        <w:tabs>
          <w:tab w:val="left" w:pos="1700"/>
        </w:tabs>
        <w:ind w:right="237"/>
        <w:jc w:val="both"/>
        <w:rPr>
          <w:rFonts w:eastAsia="Arial"/>
          <w:color w:val="000000" w:themeColor="text1"/>
          <w:sz w:val="24"/>
          <w:szCs w:val="24"/>
        </w:rPr>
      </w:pPr>
      <w:r>
        <w:rPr>
          <w:rFonts w:eastAsia="Arial"/>
          <w:color w:val="000000" w:themeColor="text1"/>
          <w:sz w:val="24"/>
          <w:szCs w:val="24"/>
        </w:rPr>
        <w:t>When looking at how best to tackle repeat offending, it is important to first understand why people re-offend</w:t>
      </w:r>
      <w:r w:rsidR="00B43A21">
        <w:rPr>
          <w:rFonts w:eastAsia="Arial"/>
          <w:color w:val="000000" w:themeColor="text1"/>
          <w:sz w:val="24"/>
          <w:szCs w:val="24"/>
        </w:rPr>
        <w:t>. By looking into the reasons that people re-offend, we can find the best solutions to preventing them from re-offending.</w:t>
      </w:r>
      <w:r w:rsidR="00533F56">
        <w:rPr>
          <w:rFonts w:eastAsia="Arial"/>
          <w:color w:val="000000" w:themeColor="text1"/>
          <w:sz w:val="24"/>
          <w:szCs w:val="24"/>
        </w:rPr>
        <w:t xml:space="preserve"> Charlotte Nickerson (2022) suggests there are multiple reasons for re-offending including: lack of employment and economic opportunity, depression, lack of reintegration into society and an unchanging lifestyle and social circle upon release. Nickerson suggests that prison doesn’t address the psychological problems that caused prisoners to commit crimes in the first place. Examples of these psychological problems include mental health issues and poor moral development. People are then released from prison into the same social environment that they came from and so behave the same way they did before going to prison and end up re-offending. There is also a stigma attached to having been imprisoned which makes it difficult for people to reintegrate into society and so they re-offend because it’s all they know.</w:t>
      </w:r>
    </w:p>
    <w:p w14:paraId="3FB89394" w14:textId="77777777" w:rsidR="002759F9" w:rsidRDefault="002759F9" w:rsidP="00E66315">
      <w:pPr>
        <w:tabs>
          <w:tab w:val="left" w:pos="1700"/>
        </w:tabs>
        <w:ind w:right="237"/>
        <w:jc w:val="both"/>
        <w:rPr>
          <w:rFonts w:eastAsia="Arial"/>
          <w:color w:val="000000" w:themeColor="text1"/>
          <w:sz w:val="24"/>
          <w:szCs w:val="24"/>
        </w:rPr>
      </w:pPr>
    </w:p>
    <w:p w14:paraId="5EE075C3" w14:textId="303C7B2C" w:rsidR="003E1C3B" w:rsidRDefault="002759F9" w:rsidP="00E66315">
      <w:pPr>
        <w:tabs>
          <w:tab w:val="left" w:pos="1700"/>
        </w:tabs>
        <w:ind w:right="237"/>
        <w:jc w:val="both"/>
        <w:rPr>
          <w:rFonts w:eastAsia="Arial"/>
          <w:color w:val="000000" w:themeColor="text1"/>
          <w:sz w:val="24"/>
          <w:szCs w:val="24"/>
        </w:rPr>
      </w:pPr>
      <w:r>
        <w:rPr>
          <w:rFonts w:eastAsia="Arial"/>
          <w:color w:val="000000" w:themeColor="text1"/>
          <w:sz w:val="24"/>
          <w:szCs w:val="24"/>
        </w:rPr>
        <w:t xml:space="preserve">The key therefore to reducing re-offending </w:t>
      </w:r>
      <w:r w:rsidR="00A50AC0">
        <w:rPr>
          <w:rFonts w:eastAsia="Arial"/>
          <w:color w:val="000000" w:themeColor="text1"/>
          <w:sz w:val="24"/>
          <w:szCs w:val="24"/>
        </w:rPr>
        <w:t>is ensuring that when people are released from prison, they are well-equipped for life on release. The Ministry of Justice (2023) state that this could be done by; engaging prisoners in education and training opportunities whilst in prison, supporting them into suitable jobs and housing on release; and addressing their addictions and other health needs, which may be driving their offending behaviour.</w:t>
      </w:r>
    </w:p>
    <w:p w14:paraId="6F53A8D1" w14:textId="77777777" w:rsidR="003E1C3B" w:rsidRDefault="003E1C3B" w:rsidP="00E66315">
      <w:pPr>
        <w:tabs>
          <w:tab w:val="left" w:pos="1700"/>
        </w:tabs>
        <w:ind w:right="237"/>
        <w:jc w:val="both"/>
        <w:rPr>
          <w:rFonts w:eastAsia="Arial"/>
          <w:color w:val="000000" w:themeColor="text1"/>
          <w:sz w:val="24"/>
          <w:szCs w:val="24"/>
        </w:rPr>
      </w:pPr>
    </w:p>
    <w:p w14:paraId="4F9B8625" w14:textId="360448AB" w:rsidR="00693E60" w:rsidRPr="006D1832" w:rsidRDefault="006D1832" w:rsidP="0001195E">
      <w:pPr>
        <w:pStyle w:val="paragraph"/>
        <w:spacing w:before="0" w:beforeAutospacing="0" w:after="0" w:afterAutospacing="0"/>
        <w:rPr>
          <w:rFonts w:ascii="Arial" w:hAnsi="Arial" w:cs="Arial"/>
        </w:rPr>
      </w:pPr>
      <w:r>
        <w:rPr>
          <w:rFonts w:ascii="Arial" w:hAnsi="Arial" w:cs="Arial"/>
        </w:rPr>
        <w:t xml:space="preserve">An appropriate way of determining what works in relation to tackling repeat victimisation and repeat re-offending </w:t>
      </w:r>
      <w:r w:rsidR="001B286D">
        <w:rPr>
          <w:rFonts w:ascii="Arial" w:hAnsi="Arial" w:cs="Arial"/>
        </w:rPr>
        <w:t>is by utilising an evidence based policing (EBP) method.</w:t>
      </w:r>
      <w:r w:rsidR="002D3EC9">
        <w:rPr>
          <w:rFonts w:ascii="Arial" w:hAnsi="Arial" w:cs="Arial"/>
        </w:rPr>
        <w:t xml:space="preserve"> EBP promotes the use of research, evaluation, analysis and scientific processes to direct police decision-making (Lum and Koper 2015). If we were to use EBP to test if ensuring people are well-equipped for life on release does in fact reduce re-offending, it would provide a rationale for either continuing to implement these strategies or discontinuing the interventions found to be ineffective or damaging (Chalmers 2003; Lum and Koper 2015). </w:t>
      </w:r>
      <w:r w:rsidR="00CA35D9">
        <w:rPr>
          <w:rFonts w:ascii="Arial" w:hAnsi="Arial" w:cs="Arial"/>
        </w:rPr>
        <w:t>For example, it could be found that by addressing a persons addictions and other health needs, this significantly reduces re-offending and so this would be something that is more widely implemented. On the other hand, it could be found that this method has no impact on a persons re-offending and so this method would be discontinued and another method found that does reduce re-offending. Evidence based policing means that the best evidence is used to inform and challenge policing policies, practices and decisions (C</w:t>
      </w:r>
      <w:r w:rsidR="00A3096D">
        <w:rPr>
          <w:rFonts w:ascii="Arial" w:hAnsi="Arial" w:cs="Arial"/>
        </w:rPr>
        <w:t>OP,</w:t>
      </w:r>
      <w:r w:rsidR="00CA35D9">
        <w:rPr>
          <w:rFonts w:ascii="Arial" w:hAnsi="Arial" w:cs="Arial"/>
        </w:rPr>
        <w:t xml:space="preserve"> 2021).</w:t>
      </w:r>
    </w:p>
    <w:p w14:paraId="31305936" w14:textId="77777777" w:rsidR="008B557E" w:rsidRDefault="008B557E" w:rsidP="0001195E">
      <w:pPr>
        <w:pStyle w:val="paragraph"/>
        <w:spacing w:before="0" w:beforeAutospacing="0" w:after="0" w:afterAutospacing="0"/>
        <w:rPr>
          <w:rFonts w:ascii="Arial" w:hAnsi="Arial" w:cs="Arial"/>
          <w:color w:val="7030A0"/>
        </w:rPr>
      </w:pPr>
    </w:p>
    <w:p w14:paraId="2082FE5A" w14:textId="3E38DA05" w:rsidR="00F7492C" w:rsidRDefault="00F7492C" w:rsidP="0001195E">
      <w:pPr>
        <w:pStyle w:val="paragraph"/>
        <w:spacing w:before="0" w:beforeAutospacing="0" w:after="0" w:afterAutospacing="0"/>
        <w:rPr>
          <w:rFonts w:ascii="Arial" w:hAnsi="Arial" w:cs="Arial"/>
        </w:rPr>
      </w:pPr>
      <w:r>
        <w:rPr>
          <w:rFonts w:ascii="Arial" w:hAnsi="Arial" w:cs="Arial"/>
        </w:rPr>
        <w:t xml:space="preserve">To conclude, there are many different approaches used by both the police and other professionals to support or manage vulnerable people or people at risk. Although all agencies have their own approaches, the most important thing is for all agencies to work together to best serve the individual needs </w:t>
      </w:r>
      <w:r w:rsidR="003D207B">
        <w:rPr>
          <w:rFonts w:ascii="Arial" w:hAnsi="Arial" w:cs="Arial"/>
        </w:rPr>
        <w:t xml:space="preserve">of people who are identified as vulnerable or at risk. Furthermore, by using an evidence based policing approach, </w:t>
      </w:r>
      <w:r w:rsidR="003D207B">
        <w:rPr>
          <w:rFonts w:ascii="Arial" w:hAnsi="Arial" w:cs="Arial"/>
        </w:rPr>
        <w:lastRenderedPageBreak/>
        <w:t>we can tackle repeat offending and therefore repeat victimisation so that it reduces the amount of people who need the support in the first place.</w:t>
      </w:r>
    </w:p>
    <w:bookmarkEnd w:id="3"/>
    <w:p w14:paraId="41005828" w14:textId="77777777" w:rsidR="008B557E" w:rsidRDefault="008B557E" w:rsidP="0001195E">
      <w:pPr>
        <w:pStyle w:val="paragraph"/>
        <w:spacing w:before="0" w:beforeAutospacing="0" w:after="0" w:afterAutospacing="0"/>
        <w:rPr>
          <w:rFonts w:ascii="Arial" w:hAnsi="Arial" w:cs="Arial"/>
          <w:color w:val="7030A0"/>
        </w:rPr>
      </w:pPr>
    </w:p>
    <w:p w14:paraId="7C29FC28" w14:textId="77777777" w:rsidR="00693E60" w:rsidRPr="00DB12B9" w:rsidRDefault="00693E60" w:rsidP="0001195E">
      <w:pPr>
        <w:pStyle w:val="paragraph"/>
        <w:spacing w:before="0" w:beforeAutospacing="0" w:after="0" w:afterAutospacing="0"/>
        <w:rPr>
          <w:rFonts w:ascii="Arial" w:hAnsi="Arial" w:cs="Arial"/>
          <w:sz w:val="28"/>
          <w:szCs w:val="28"/>
        </w:rPr>
      </w:pPr>
    </w:p>
    <w:p w14:paraId="143C7C08" w14:textId="75FDBE55" w:rsidR="003D67E9" w:rsidRPr="00DB12B9" w:rsidRDefault="00DB12B9" w:rsidP="00693E60">
      <w:pPr>
        <w:pStyle w:val="paragraph"/>
        <w:spacing w:before="0" w:beforeAutospacing="0" w:after="0" w:afterAutospacing="0"/>
        <w:rPr>
          <w:rFonts w:ascii="Arial" w:hAnsi="Arial" w:cs="Arial"/>
          <w:sz w:val="28"/>
          <w:szCs w:val="28"/>
        </w:rPr>
      </w:pPr>
      <w:r w:rsidRPr="00DB12B9">
        <w:rPr>
          <w:rFonts w:ascii="Arial" w:hAnsi="Arial" w:cs="Arial"/>
          <w:sz w:val="28"/>
          <w:szCs w:val="28"/>
        </w:rPr>
        <w:t>Word Count = 2089</w:t>
      </w:r>
    </w:p>
    <w:p w14:paraId="4980FEBD" w14:textId="77777777" w:rsidR="003D67E9" w:rsidRDefault="003D67E9" w:rsidP="003D67E9">
      <w:pPr>
        <w:pStyle w:val="paragraph"/>
        <w:spacing w:before="0" w:beforeAutospacing="0" w:after="0" w:afterAutospacing="0"/>
        <w:rPr>
          <w:rFonts w:ascii="Arial" w:hAnsi="Arial" w:cs="Arial"/>
          <w:color w:val="FF0000"/>
        </w:rPr>
      </w:pPr>
    </w:p>
    <w:p w14:paraId="2AAAE7E6" w14:textId="77777777" w:rsidR="003D67E9" w:rsidRDefault="003D67E9" w:rsidP="003D67E9">
      <w:pPr>
        <w:pStyle w:val="paragraph"/>
        <w:spacing w:before="0" w:beforeAutospacing="0" w:after="0" w:afterAutospacing="0"/>
        <w:rPr>
          <w:rFonts w:ascii="Arial" w:hAnsi="Arial" w:cs="Arial"/>
          <w:color w:val="FF0000"/>
        </w:rPr>
      </w:pPr>
    </w:p>
    <w:p w14:paraId="33379B3F" w14:textId="77777777" w:rsidR="003D67E9" w:rsidRDefault="003D67E9" w:rsidP="003D67E9">
      <w:pPr>
        <w:pStyle w:val="paragraph"/>
        <w:spacing w:before="0" w:beforeAutospacing="0" w:after="0" w:afterAutospacing="0"/>
        <w:rPr>
          <w:rFonts w:ascii="Arial" w:hAnsi="Arial" w:cs="Arial"/>
          <w:color w:val="00B0F0"/>
        </w:rPr>
      </w:pPr>
    </w:p>
    <w:p w14:paraId="4B90DD7D" w14:textId="77777777" w:rsidR="003D67E9" w:rsidRDefault="003D67E9" w:rsidP="003D67E9">
      <w:pPr>
        <w:pStyle w:val="paragraph"/>
        <w:spacing w:before="0" w:beforeAutospacing="0" w:after="0" w:afterAutospacing="0"/>
        <w:rPr>
          <w:rFonts w:ascii="Arial" w:hAnsi="Arial" w:cs="Arial"/>
          <w:color w:val="00B0F0"/>
        </w:rPr>
      </w:pPr>
    </w:p>
    <w:p w14:paraId="210FDC52" w14:textId="77777777" w:rsidR="00B10694" w:rsidRDefault="00B10694" w:rsidP="003D67E9">
      <w:pPr>
        <w:pStyle w:val="paragraph"/>
        <w:spacing w:before="0" w:beforeAutospacing="0" w:after="0" w:afterAutospacing="0"/>
        <w:rPr>
          <w:rFonts w:ascii="Arial" w:hAnsi="Arial" w:cs="Arial"/>
          <w:color w:val="660066"/>
        </w:rPr>
      </w:pPr>
    </w:p>
    <w:p w14:paraId="73966285" w14:textId="77777777" w:rsidR="00B10694" w:rsidRDefault="00B10694" w:rsidP="003D67E9">
      <w:pPr>
        <w:pStyle w:val="paragraph"/>
        <w:spacing w:before="0" w:beforeAutospacing="0" w:after="0" w:afterAutospacing="0"/>
        <w:rPr>
          <w:rFonts w:ascii="Arial" w:hAnsi="Arial" w:cs="Arial"/>
          <w:color w:val="660066"/>
        </w:rPr>
      </w:pPr>
    </w:p>
    <w:p w14:paraId="52FB0921" w14:textId="0BFADA5B" w:rsidR="69F7424F" w:rsidRPr="00693E60" w:rsidRDefault="00A221AB" w:rsidP="00B10694">
      <w:pPr>
        <w:pStyle w:val="paragraph"/>
        <w:spacing w:before="0" w:beforeAutospacing="0" w:after="0" w:afterAutospacing="0"/>
        <w:rPr>
          <w:rFonts w:ascii="Arial" w:hAnsi="Arial" w:cs="Arial"/>
          <w:color w:val="7030A0"/>
        </w:rPr>
      </w:pPr>
      <w:r w:rsidRPr="00693E60">
        <w:rPr>
          <w:rFonts w:ascii="Arial" w:hAnsi="Arial" w:cs="Arial"/>
          <w:color w:val="7030A0"/>
        </w:rPr>
        <w:br w:type="page"/>
      </w:r>
    </w:p>
    <w:p w14:paraId="5387B7C6" w14:textId="77777777" w:rsidR="0001195E" w:rsidRDefault="0001195E" w:rsidP="00510CC4">
      <w:pPr>
        <w:pStyle w:val="paragraph"/>
        <w:spacing w:before="0" w:beforeAutospacing="0" w:after="0" w:afterAutospacing="0"/>
        <w:rPr>
          <w:b/>
          <w:bCs/>
        </w:rPr>
      </w:pPr>
    </w:p>
    <w:p w14:paraId="071156CE" w14:textId="77777777" w:rsidR="00510CC4" w:rsidRDefault="00510CC4" w:rsidP="00510CC4">
      <w:pPr>
        <w:pStyle w:val="paragraph"/>
        <w:spacing w:before="0" w:beforeAutospacing="0" w:after="0" w:afterAutospacing="0"/>
        <w:rPr>
          <w:b/>
          <w:bCs/>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lastRenderedPageBreak/>
        <w:t>ANSWER:</w:t>
      </w:r>
    </w:p>
    <w:p w14:paraId="2E2A5A08" w14:textId="77777777" w:rsidR="005F1122" w:rsidRDefault="005F1122" w:rsidP="5CE196A1">
      <w:pPr>
        <w:ind w:right="237"/>
        <w:jc w:val="both"/>
        <w:rPr>
          <w:b/>
          <w:bCs/>
          <w:sz w:val="24"/>
          <w:szCs w:val="24"/>
        </w:rPr>
      </w:pPr>
    </w:p>
    <w:p w14:paraId="6261CB29" w14:textId="77777777" w:rsidR="005A390E" w:rsidRDefault="005A390E" w:rsidP="005F1122">
      <w:pPr>
        <w:tabs>
          <w:tab w:val="left" w:pos="900"/>
        </w:tabs>
        <w:ind w:right="237"/>
        <w:jc w:val="both"/>
        <w:rPr>
          <w:sz w:val="24"/>
          <w:szCs w:val="24"/>
        </w:rPr>
      </w:pPr>
    </w:p>
    <w:p w14:paraId="2B0860CA" w14:textId="77777777" w:rsidR="00D855D4" w:rsidRPr="00D855D4" w:rsidRDefault="00D855D4" w:rsidP="00D855D4">
      <w:pPr>
        <w:tabs>
          <w:tab w:val="left" w:pos="900"/>
        </w:tabs>
        <w:ind w:right="237"/>
        <w:jc w:val="both"/>
        <w:rPr>
          <w:sz w:val="24"/>
          <w:szCs w:val="24"/>
        </w:rPr>
      </w:pPr>
      <w:r w:rsidRPr="00D855D4">
        <w:rPr>
          <w:sz w:val="24"/>
          <w:szCs w:val="24"/>
        </w:rPr>
        <w:t xml:space="preserve">Domestic abuse is complex with every case being different and every victim having different needs. The impact that we as police officers have on the victims we deal with should not be underestimated; we can make such a positive and life changing impact (Barrow-Grint et al., 2022). The Crime Survey in England and Wales (CSEW) found that 73% of victims of domestic abuse confide in their friends or family and will only turn to police and official agencies when this support mechanism fails (Weir, 2020). Many victims will never come to the attention of the Criminal Justice System (CJS) because of the underreporting of domestic abuse which is why it is so important strategies are developed for effective policing when a victim does come forward so that they can be best safeguarded. In this essay I will be discussing a domestic abuse incident that I attended that was of a complex nature, in which I played a significant role in providing a response. I will then be critically assessing the challenges associated with a domestic abuse incident and the strategies developed for effective policing in such challenging situations. </w:t>
      </w:r>
    </w:p>
    <w:p w14:paraId="7B75F747" w14:textId="77777777" w:rsidR="00D855D4" w:rsidRPr="00D855D4" w:rsidRDefault="00D855D4" w:rsidP="00D855D4">
      <w:pPr>
        <w:tabs>
          <w:tab w:val="left" w:pos="900"/>
        </w:tabs>
        <w:ind w:right="237"/>
        <w:jc w:val="both"/>
        <w:rPr>
          <w:sz w:val="24"/>
          <w:szCs w:val="24"/>
        </w:rPr>
      </w:pPr>
      <w:r w:rsidRPr="00D855D4">
        <w:rPr>
          <w:sz w:val="24"/>
          <w:szCs w:val="24"/>
        </w:rPr>
        <w:t>Domestic abuse is defined in the Domestic Abuse Act 2021 as: the behaviour of a person (‘A’) towards another person (‘B’) is domestic abuse if A and B are each aged 16 or over and are personally connected to each other, and the behaviour is abusive. Behaviour is abusive if it consists of any of the following: physical or sexual abuse, violent or threatening behaviour, controlling or coercive behaviour, economic abuse, psychological, emotional, or other abuse (Domestic Abuse Act 2021). Although it was only in 2021 domestic abuse was put into law, domestic abuse is not new. There has always been violence and abusive behaviour within a family household but what has changed is society’s response to this behaviour. In the past it was deemed acceptable in many households and was almost normalised whereas now it is finally recognised as inappropriate and criminal (Barrow-Grint et al., 2022). This is often one of the challenges faced in policing, some households still believe domestic abuse is acceptable.</w:t>
      </w:r>
    </w:p>
    <w:p w14:paraId="779C4D16" w14:textId="77777777" w:rsidR="00D855D4" w:rsidRPr="00D855D4" w:rsidRDefault="00D855D4" w:rsidP="00D855D4">
      <w:pPr>
        <w:tabs>
          <w:tab w:val="left" w:pos="900"/>
        </w:tabs>
        <w:ind w:right="237"/>
        <w:jc w:val="both"/>
        <w:rPr>
          <w:sz w:val="24"/>
          <w:szCs w:val="24"/>
        </w:rPr>
      </w:pPr>
      <w:r w:rsidRPr="00D855D4">
        <w:rPr>
          <w:sz w:val="24"/>
          <w:szCs w:val="24"/>
        </w:rPr>
        <w:t>The incident I attended was passed over the radio as an abandoned 999 call with a male heard shouting in the background and a female crying. When I arrived, I was met by a female who was lying on the floor with clear injuries to her face. She was screaming and crying and there were two children in the address also crying. There was a male sat in the kitchen and so two of my colleagues went to speak with him whilst I stayed with the female and another colleague took the children to a different room. The female told me that she had fallen down the stairs and this is how she had got her injuries and that she had only called 999 for an ambulance. There were clear signs of a disturbance in the address and I suspected there was more to what had happened.</w:t>
      </w:r>
    </w:p>
    <w:p w14:paraId="42462D38" w14:textId="77777777" w:rsidR="00D855D4" w:rsidRPr="00D855D4" w:rsidRDefault="00D855D4" w:rsidP="00D855D4">
      <w:pPr>
        <w:tabs>
          <w:tab w:val="left" w:pos="900"/>
        </w:tabs>
        <w:ind w:right="237"/>
        <w:jc w:val="both"/>
        <w:rPr>
          <w:sz w:val="24"/>
          <w:szCs w:val="24"/>
        </w:rPr>
      </w:pPr>
      <w:r w:rsidRPr="00D855D4">
        <w:rPr>
          <w:sz w:val="24"/>
          <w:szCs w:val="24"/>
        </w:rPr>
        <w:t xml:space="preserve">Policing domestic abuse is not easy. Dealing with people who have been traumatised, beaten, injured, controlled, and coerced throughout their relationship and the children who witnessed such abuse is a significant responsibility. The actions taken by us as police officers can be life changing. However, where the actions taken by us have not been timely or there has been a failure to recognise risk, lives have been lost (Barrow-Grint et al., 2022). Domestic abuse is one of the most underreported crimes, with the CSEW estimating that only around 20% of victims report their abuse (Flatley, 2016). This means there is a significant gap in our understanding of who is a victim, what the nature of the abuse is, who is perpetrating the abuse and whether the victim is a repeat victim. This is why when </w:t>
      </w:r>
      <w:r w:rsidRPr="00D855D4">
        <w:rPr>
          <w:sz w:val="24"/>
          <w:szCs w:val="24"/>
        </w:rPr>
        <w:lastRenderedPageBreak/>
        <w:t>a victim picks up the phone and calls for help, it is important we take the opportunity to act.</w:t>
      </w:r>
    </w:p>
    <w:p w14:paraId="19418A4C" w14:textId="77777777" w:rsidR="00D855D4" w:rsidRPr="00D855D4" w:rsidRDefault="00D855D4" w:rsidP="00D855D4">
      <w:pPr>
        <w:tabs>
          <w:tab w:val="left" w:pos="900"/>
        </w:tabs>
        <w:ind w:right="237"/>
        <w:jc w:val="both"/>
        <w:rPr>
          <w:sz w:val="24"/>
          <w:szCs w:val="24"/>
        </w:rPr>
      </w:pPr>
      <w:r w:rsidRPr="00D855D4">
        <w:rPr>
          <w:sz w:val="24"/>
          <w:szCs w:val="24"/>
        </w:rPr>
        <w:t>The first step for a victim is picking up the phone and calling for help. However, this does not always necessarily mean they are ready to discuss the extent of the abuse have been going through for perhaps years. The first challenge associated with the domestic abuse incident I attended was trying to get the victim to disclose to me what had happened. She had called for help in a moment of desperation, fearing for her life, but she was terrified of the repercussions if she were to divulge the truth of what she had been going through. There are many hurdles victims might need to overcome to speak to police and go on to support a prosecution. Victims might feel shame or guilt, have a fear that they won’t be believed, feel embarrassed or fear or they might still be in shock from the sequence of events that have occurred (CPS, 2022). It is challenging when a victim is too afraid to disclose what has happened, so a strategy used for effective policing in this case is building a rapport with them first. If an incident is handled effectively and sympathetically the first time, a victim is more likely to have the confidence to call the police again if they find themselves in the same situation. By building a rapport with victims, it leads to more effective communication with them and they feel more comfortable disclosing what has happened. Establishing a good rapport also means the victim is more likely to cooperate with the risk assessment and safety planning process which improves the chances of preventing future incidents (COP, 2022).</w:t>
      </w:r>
    </w:p>
    <w:p w14:paraId="02634DFF" w14:textId="77777777" w:rsidR="00D855D4" w:rsidRPr="00D855D4" w:rsidRDefault="00D855D4" w:rsidP="00D855D4">
      <w:pPr>
        <w:tabs>
          <w:tab w:val="left" w:pos="900"/>
        </w:tabs>
        <w:ind w:right="237"/>
        <w:jc w:val="both"/>
        <w:rPr>
          <w:sz w:val="24"/>
          <w:szCs w:val="24"/>
        </w:rPr>
      </w:pPr>
      <w:r w:rsidRPr="00D855D4">
        <w:rPr>
          <w:sz w:val="24"/>
          <w:szCs w:val="24"/>
        </w:rPr>
        <w:t>After building that rapport with the victim I dealt with, she disclosed to me that she had not fallen down the stairs as she initially said but had been pushed by her husband who had then dragged her by her hair before kicking her repeatedly in the face. This led to positive action being taken and her husband was immediately arrested. Once her husband had been taken away, she told me about years of both physical and mental abuse she had endured. This resulted in me being able to identify the female as a vulnerable and repeat victim of domestic abuse.</w:t>
      </w:r>
    </w:p>
    <w:p w14:paraId="36B3CE95" w14:textId="77777777" w:rsidR="00D855D4" w:rsidRPr="00D855D4" w:rsidRDefault="00D855D4" w:rsidP="00D855D4">
      <w:pPr>
        <w:tabs>
          <w:tab w:val="left" w:pos="900"/>
        </w:tabs>
        <w:ind w:right="237"/>
        <w:jc w:val="both"/>
        <w:rPr>
          <w:sz w:val="24"/>
          <w:szCs w:val="24"/>
        </w:rPr>
      </w:pPr>
      <w:r w:rsidRPr="00D855D4">
        <w:rPr>
          <w:sz w:val="24"/>
          <w:szCs w:val="24"/>
        </w:rPr>
        <w:t>Not all victims will disclose what has happened which is a challenge. Regardless as to whether a criminal offence is reported or disclosed, safeguarding possible victims is a priority. This is done by a risk assessment in the form of questions asked to victims. This is known as a domestic abuse, stalking and harassment (DASH) public protection notification (PPN). DASH asks specific questions designed to predict escalation in severity and frequency (Bland and Ariel, 2015). The importance of the initial DASH questions cannot be overstated. The questions and the level of risk assigned by first response officers in their primary assessment can dictate the subsequent police response, including whether the case is reviewed and/or assigned to a specialist unit, the type and level of safeguarding allocated to the victim, and whether the case is referred to partner agencies and support services (Myhill, Hohl and Johnson, 2023).</w:t>
      </w:r>
    </w:p>
    <w:p w14:paraId="2B0904A5" w14:textId="77777777" w:rsidR="00D855D4" w:rsidRPr="00D855D4" w:rsidRDefault="00D855D4" w:rsidP="00D855D4">
      <w:pPr>
        <w:tabs>
          <w:tab w:val="left" w:pos="900"/>
        </w:tabs>
        <w:ind w:right="237"/>
        <w:jc w:val="both"/>
        <w:rPr>
          <w:sz w:val="24"/>
          <w:szCs w:val="24"/>
        </w:rPr>
      </w:pPr>
      <w:r w:rsidRPr="00D855D4">
        <w:rPr>
          <w:sz w:val="24"/>
          <w:szCs w:val="24"/>
        </w:rPr>
        <w:t xml:space="preserve">A challenge I faced was that the victim didn’t want to go through the DASH questions, which would hinder an effective risk assessment being carried out and relevant agencies being made aware. Risk assessments can only ever provide a hypothesis of what might happen and never what will happen (Walklate and Mythen 2011) however by knowing what has previously happened by going through the DASH questions, we’re better informed of what might happen because we’re more informed of the perpetrators past behaviours. Risk assessment and decision making can be challenging due to the dynamic and spontaneous nature of the policing environment, however by having a set list of questions used by all police forces it allows for a standardised approach. </w:t>
      </w:r>
    </w:p>
    <w:p w14:paraId="1404089C" w14:textId="77777777" w:rsidR="00D855D4" w:rsidRPr="00D855D4" w:rsidRDefault="00D855D4" w:rsidP="00D855D4">
      <w:pPr>
        <w:tabs>
          <w:tab w:val="left" w:pos="900"/>
        </w:tabs>
        <w:ind w:right="237"/>
        <w:jc w:val="both"/>
        <w:rPr>
          <w:sz w:val="24"/>
          <w:szCs w:val="24"/>
        </w:rPr>
      </w:pPr>
      <w:r w:rsidRPr="00D855D4">
        <w:rPr>
          <w:sz w:val="24"/>
          <w:szCs w:val="24"/>
        </w:rPr>
        <w:lastRenderedPageBreak/>
        <w:t>A strategy for effective policing when faced with a victim who does not wish to go through the DASH questions is submission of the questions to the forces public protection unit without the victims consent, making it clear they do not consent but outlining how they are at risk. This can then result in a Multi-Agency Risk Assessment Conference (MARAC). A submission of a PPN and a MARAC is the best way to assess risk and my observations are crucial if they do not go through the questions. The goal of a MARAC is to provide a forum for sharing information and taking actions to reduce harm to high-risk domestic violence victims. MARACs improve victims' safety because both police and victim data revealed that 6 in 10 victims had not been revictimized (Robinson 2006).</w:t>
      </w:r>
    </w:p>
    <w:p w14:paraId="79CAF3E7" w14:textId="77777777" w:rsidR="00D855D4" w:rsidRPr="00D855D4" w:rsidRDefault="00D855D4" w:rsidP="00D855D4">
      <w:pPr>
        <w:tabs>
          <w:tab w:val="left" w:pos="900"/>
        </w:tabs>
        <w:ind w:right="237"/>
        <w:jc w:val="both"/>
        <w:rPr>
          <w:sz w:val="24"/>
          <w:szCs w:val="24"/>
        </w:rPr>
      </w:pPr>
      <w:r w:rsidRPr="00D855D4">
        <w:rPr>
          <w:sz w:val="24"/>
          <w:szCs w:val="24"/>
        </w:rPr>
        <w:t>Another challenge I faced was dealing with children being in the address. Children can be seriously affected by witnessing domestic abuse even if they aren’t directly targeted for violence/abuse themselves (COP,2022). It is important that children are safeguarded, and I had to consider the nature of what they had been witnessing for what appeared to be their whole life and make sure it was recorded to pass on to the child safeguarding unit. Speaking to children about what they have witnessed can be challenging so a strategy used for effective policing in this situation is using a child witness interview booklet to write down a very basic account of what they are saying so that they can then go on to give their evidence through a video recorded interview (often referred to as an ABE). It is important to be compassionate and understanding when speaking to child witnesses because witnessing domestic abuse can be just as affecting as being directly abused (Ho, 2022).</w:t>
      </w:r>
    </w:p>
    <w:p w14:paraId="79FBDDB3" w14:textId="77777777" w:rsidR="00D855D4" w:rsidRPr="00D855D4" w:rsidRDefault="00D855D4" w:rsidP="00D855D4">
      <w:pPr>
        <w:tabs>
          <w:tab w:val="left" w:pos="900"/>
        </w:tabs>
        <w:ind w:right="237"/>
        <w:jc w:val="both"/>
        <w:rPr>
          <w:sz w:val="24"/>
          <w:szCs w:val="24"/>
        </w:rPr>
      </w:pPr>
      <w:r w:rsidRPr="00D855D4">
        <w:rPr>
          <w:sz w:val="24"/>
          <w:szCs w:val="24"/>
        </w:rPr>
        <w:t xml:space="preserve">After getting the initial disclosure and arresting the husband, the next challenge I faced was trying to get the victim on board to provide an official statement of complaint. This is often a challenge because victims are terrified of the repercussions they could face and are terrified of the Court process. The ‘Code of Practice for Victims of Crime in England and Wales’ (victims code) sets out the responsibilities for all relevant service providers for dealing with victims of crime (Ministry of Justice, 2021). This is a strategy developed and helps to police effectively in challenging situations like this because it is the main procedural guideline that the police will draw from whilst dealing with victims. </w:t>
      </w:r>
    </w:p>
    <w:p w14:paraId="4E7514BC" w14:textId="77777777" w:rsidR="00D855D4" w:rsidRPr="00D855D4" w:rsidRDefault="00D855D4" w:rsidP="00D855D4">
      <w:pPr>
        <w:tabs>
          <w:tab w:val="left" w:pos="900"/>
        </w:tabs>
        <w:ind w:right="237"/>
        <w:jc w:val="both"/>
        <w:rPr>
          <w:sz w:val="24"/>
          <w:szCs w:val="24"/>
        </w:rPr>
      </w:pPr>
      <w:r w:rsidRPr="00D855D4">
        <w:rPr>
          <w:sz w:val="24"/>
          <w:szCs w:val="24"/>
        </w:rPr>
        <w:t>One of the rights under the code is the right to receive support through the Courts process, this is called ‘special measures’. Special measures came into place through the Youth Justice and Criminal Evidence Act 1999 and they are different measures designed to make the Court process easier for victims who are identified as vulnerable or intimidated. This in turn helps them to give the best possible evidence and helps them to engage confidently with the Criminal Justice System. There are different measures that can be put in place such as a screen in Court, giving evidence via live link or the removal of gowns and wigs. Once I explained special measures to the victim and how she would benefit from them, she provided a statement. I also utilised an independent domestic abuse advisor (IDVA) to provide help to the victim through the Court process.</w:t>
      </w:r>
    </w:p>
    <w:p w14:paraId="7CA9621C" w14:textId="77777777" w:rsidR="00D855D4" w:rsidRPr="00D855D4" w:rsidRDefault="00D855D4" w:rsidP="00D855D4">
      <w:pPr>
        <w:tabs>
          <w:tab w:val="left" w:pos="900"/>
        </w:tabs>
        <w:ind w:right="237"/>
        <w:jc w:val="both"/>
        <w:rPr>
          <w:sz w:val="24"/>
          <w:szCs w:val="24"/>
        </w:rPr>
      </w:pPr>
      <w:r w:rsidRPr="00D855D4">
        <w:rPr>
          <w:sz w:val="24"/>
          <w:szCs w:val="24"/>
        </w:rPr>
        <w:t xml:space="preserve">After overcoming the challenge of getting a statement from the victim, the next challenge I faced was keeping them on board throughout the Criminal Justice process. Victim withdrawal remains a significant obstacle so successful domestic abuse convictions (CPS, 2016; Office for National Statistics, 2016). The victim I dealt with was too afraid to continue with the prosecution of her husband. Prosecutors must then ask the question of how to proceed with two options; they accept this request or decide to pursue the prosecution without the victim’s support. A strategy developed for effective policing in these situations is a ‘victimless’ </w:t>
      </w:r>
      <w:r w:rsidRPr="00D855D4">
        <w:rPr>
          <w:sz w:val="24"/>
          <w:szCs w:val="24"/>
        </w:rPr>
        <w:lastRenderedPageBreak/>
        <w:t>prosecution also known as an ‘evidence-led’ prosecution. This is used where a realistic prospect of conviction exists without requiring the victim to give evidence at trial, provided there is other corroborative evidence (Porter 2018). Other evidence we rely on when this challenge arises includes police body worn video, CCTV, statements from any third-party witnesses, photographs of injuries, the 999 call and medical records.</w:t>
      </w:r>
    </w:p>
    <w:p w14:paraId="1069B032" w14:textId="0925C902" w:rsidR="005F1122" w:rsidRPr="00E676F7" w:rsidRDefault="00D855D4" w:rsidP="00D855D4">
      <w:pPr>
        <w:tabs>
          <w:tab w:val="left" w:pos="900"/>
        </w:tabs>
        <w:ind w:right="237"/>
        <w:jc w:val="both"/>
        <w:rPr>
          <w:sz w:val="24"/>
          <w:szCs w:val="24"/>
        </w:rPr>
      </w:pPr>
      <w:r w:rsidRPr="00D855D4">
        <w:rPr>
          <w:sz w:val="24"/>
          <w:szCs w:val="24"/>
        </w:rPr>
        <w:t>To conclude, there is a widespread understanding in policing that domestic abuse is one of the most prolific incidents dealt with by officers. A shift does not go by without an emergency call to deal with a domestic incident of some sort (Barrow-Grint et al., 2022). Be it a minor verbal argument or a clear assault, it is important that police officers build that rapport with victims to provide them the best possible service. We may only get one chance at helping a victim of domestic abuse. It may have taken years for them to speak up and seek help from the police so we must ensure that when they do, they are safeguarded, supported, and given every opportunity to provide the best evidence they can. If victims are not managed effectively, the consequences can be disastrous. Overall, I am happy with how I overcame the challenges associated with the domestic abuse incident I attended, and I feel I did this to the best of my ability.</w:t>
      </w:r>
    </w:p>
    <w:p w14:paraId="042CB012" w14:textId="7990B428" w:rsidR="00025650" w:rsidRPr="00E676F7" w:rsidRDefault="00025650" w:rsidP="0FF883D4">
      <w:pPr>
        <w:ind w:right="237"/>
        <w:jc w:val="both"/>
        <w:rPr>
          <w:color w:val="000000" w:themeColor="text1"/>
          <w:sz w:val="24"/>
          <w:szCs w:val="24"/>
        </w:rPr>
      </w:pPr>
    </w:p>
    <w:p w14:paraId="77185B9A" w14:textId="0EEB5FC5" w:rsidR="00025650" w:rsidRPr="00E676F7" w:rsidRDefault="00D855D4" w:rsidP="0FF883D4">
      <w:pPr>
        <w:ind w:right="237"/>
        <w:jc w:val="both"/>
        <w:rPr>
          <w:color w:val="000000" w:themeColor="text1"/>
          <w:sz w:val="24"/>
          <w:szCs w:val="24"/>
        </w:rPr>
      </w:pPr>
      <w:r>
        <w:rPr>
          <w:color w:val="000000" w:themeColor="text1"/>
          <w:sz w:val="24"/>
          <w:szCs w:val="24"/>
        </w:rPr>
        <w:t>Word Count = 2179</w:t>
      </w:r>
    </w:p>
    <w:p w14:paraId="00BED0F7" w14:textId="4DDE863A" w:rsidR="00025650" w:rsidRDefault="00025650" w:rsidP="0FF883D4">
      <w:pPr>
        <w:ind w:right="237"/>
        <w:jc w:val="both"/>
        <w:rPr>
          <w:color w:val="000000" w:themeColor="text1"/>
          <w:sz w:val="24"/>
          <w:szCs w:val="24"/>
        </w:rPr>
      </w:pPr>
    </w:p>
    <w:p w14:paraId="341AA84B" w14:textId="77777777" w:rsidR="001A5DC9" w:rsidRDefault="001A5DC9" w:rsidP="0FF883D4">
      <w:pPr>
        <w:ind w:right="237"/>
        <w:jc w:val="both"/>
        <w:rPr>
          <w:color w:val="000000" w:themeColor="text1"/>
          <w:sz w:val="24"/>
          <w:szCs w:val="24"/>
        </w:rPr>
      </w:pPr>
    </w:p>
    <w:p w14:paraId="3F1EC587" w14:textId="77777777" w:rsidR="001A5DC9" w:rsidRDefault="001A5DC9" w:rsidP="0FF883D4">
      <w:pPr>
        <w:ind w:right="237"/>
        <w:jc w:val="both"/>
        <w:rPr>
          <w:color w:val="000000" w:themeColor="text1"/>
          <w:sz w:val="24"/>
          <w:szCs w:val="24"/>
        </w:rPr>
      </w:pPr>
    </w:p>
    <w:p w14:paraId="1D6087D5" w14:textId="77777777" w:rsidR="001A5DC9" w:rsidRDefault="001A5DC9" w:rsidP="0FF883D4">
      <w:pPr>
        <w:ind w:right="237"/>
        <w:jc w:val="both"/>
        <w:rPr>
          <w:color w:val="000000" w:themeColor="text1"/>
          <w:sz w:val="24"/>
          <w:szCs w:val="24"/>
        </w:rPr>
      </w:pPr>
    </w:p>
    <w:p w14:paraId="29C46BC8" w14:textId="77777777" w:rsidR="001A5DC9" w:rsidRDefault="001A5DC9" w:rsidP="0FF883D4">
      <w:pPr>
        <w:ind w:right="237"/>
        <w:jc w:val="both"/>
        <w:rPr>
          <w:color w:val="000000" w:themeColor="text1"/>
          <w:sz w:val="24"/>
          <w:szCs w:val="24"/>
        </w:rPr>
      </w:pPr>
    </w:p>
    <w:p w14:paraId="745C917C" w14:textId="77777777" w:rsidR="001A5DC9" w:rsidRDefault="001A5DC9" w:rsidP="0FF883D4">
      <w:pPr>
        <w:ind w:right="237"/>
        <w:jc w:val="both"/>
        <w:rPr>
          <w:color w:val="000000" w:themeColor="text1"/>
          <w:sz w:val="24"/>
          <w:szCs w:val="24"/>
        </w:rPr>
      </w:pPr>
    </w:p>
    <w:p w14:paraId="052C883F" w14:textId="77777777" w:rsidR="001A5DC9" w:rsidRDefault="001A5DC9" w:rsidP="0FF883D4">
      <w:pPr>
        <w:ind w:right="237"/>
        <w:jc w:val="both"/>
        <w:rPr>
          <w:color w:val="000000" w:themeColor="text1"/>
          <w:sz w:val="24"/>
          <w:szCs w:val="24"/>
        </w:rPr>
      </w:pPr>
    </w:p>
    <w:p w14:paraId="50C26B2F" w14:textId="2FBAED95" w:rsidR="001A5DC9" w:rsidRDefault="001A5DC9" w:rsidP="0FF883D4">
      <w:pPr>
        <w:ind w:right="237"/>
        <w:jc w:val="both"/>
        <w:rPr>
          <w:color w:val="000000" w:themeColor="text1"/>
          <w:sz w:val="24"/>
          <w:szCs w:val="24"/>
        </w:rPr>
      </w:pPr>
    </w:p>
    <w:p w14:paraId="79B2B450" w14:textId="77777777" w:rsidR="001A5DC9" w:rsidRDefault="001A5DC9" w:rsidP="0FF883D4">
      <w:pPr>
        <w:ind w:right="237"/>
        <w:jc w:val="both"/>
        <w:rPr>
          <w:color w:val="000000" w:themeColor="text1"/>
          <w:sz w:val="24"/>
          <w:szCs w:val="24"/>
        </w:rPr>
      </w:pPr>
    </w:p>
    <w:p w14:paraId="6D124BBB" w14:textId="77777777" w:rsidR="001A5DC9" w:rsidRDefault="001A5DC9" w:rsidP="0FF883D4">
      <w:pPr>
        <w:ind w:right="237"/>
        <w:jc w:val="both"/>
        <w:rPr>
          <w:color w:val="000000" w:themeColor="text1"/>
          <w:sz w:val="24"/>
          <w:szCs w:val="24"/>
        </w:rPr>
      </w:pPr>
    </w:p>
    <w:p w14:paraId="28A4CC88" w14:textId="77777777" w:rsidR="001A5DC9" w:rsidRDefault="001A5DC9" w:rsidP="0FF883D4">
      <w:pPr>
        <w:ind w:right="237"/>
        <w:jc w:val="both"/>
        <w:rPr>
          <w:color w:val="000000" w:themeColor="text1"/>
          <w:sz w:val="24"/>
          <w:szCs w:val="24"/>
        </w:rPr>
      </w:pPr>
    </w:p>
    <w:p w14:paraId="29F3FFB4" w14:textId="77777777" w:rsidR="001A5DC9" w:rsidRDefault="001A5DC9" w:rsidP="0FF883D4">
      <w:pPr>
        <w:ind w:right="237"/>
        <w:jc w:val="both"/>
        <w:rPr>
          <w:color w:val="000000" w:themeColor="text1"/>
          <w:sz w:val="24"/>
          <w:szCs w:val="24"/>
        </w:rPr>
      </w:pPr>
    </w:p>
    <w:p w14:paraId="32F5724D" w14:textId="77777777" w:rsidR="001A5DC9" w:rsidRDefault="001A5DC9" w:rsidP="0FF883D4">
      <w:pPr>
        <w:ind w:right="237"/>
        <w:jc w:val="both"/>
        <w:rPr>
          <w:color w:val="000000" w:themeColor="text1"/>
          <w:sz w:val="24"/>
          <w:szCs w:val="24"/>
        </w:rPr>
      </w:pPr>
    </w:p>
    <w:p w14:paraId="56D6FF07" w14:textId="77777777" w:rsidR="001A5DC9" w:rsidRDefault="001A5DC9" w:rsidP="0FF883D4">
      <w:pPr>
        <w:ind w:right="237"/>
        <w:jc w:val="both"/>
        <w:rPr>
          <w:color w:val="000000" w:themeColor="text1"/>
          <w:sz w:val="24"/>
          <w:szCs w:val="24"/>
        </w:rPr>
      </w:pPr>
    </w:p>
    <w:p w14:paraId="2B0C72E0" w14:textId="77777777" w:rsidR="001A5DC9" w:rsidRDefault="001A5DC9" w:rsidP="0FF883D4">
      <w:pPr>
        <w:ind w:right="237"/>
        <w:jc w:val="both"/>
        <w:rPr>
          <w:color w:val="000000" w:themeColor="text1"/>
          <w:sz w:val="24"/>
          <w:szCs w:val="24"/>
        </w:rPr>
      </w:pPr>
    </w:p>
    <w:p w14:paraId="690B78ED" w14:textId="77777777" w:rsidR="001A5DC9" w:rsidRDefault="001A5DC9" w:rsidP="0FF883D4">
      <w:pPr>
        <w:ind w:right="237"/>
        <w:jc w:val="both"/>
        <w:rPr>
          <w:color w:val="000000" w:themeColor="text1"/>
          <w:sz w:val="24"/>
          <w:szCs w:val="24"/>
        </w:rPr>
      </w:pPr>
    </w:p>
    <w:p w14:paraId="282050B3" w14:textId="77777777" w:rsidR="001A5DC9" w:rsidRDefault="001A5DC9" w:rsidP="0FF883D4">
      <w:pPr>
        <w:ind w:right="237"/>
        <w:jc w:val="both"/>
        <w:rPr>
          <w:color w:val="000000" w:themeColor="text1"/>
          <w:sz w:val="24"/>
          <w:szCs w:val="24"/>
        </w:rPr>
      </w:pPr>
    </w:p>
    <w:p w14:paraId="65BA02E9" w14:textId="77777777" w:rsidR="001A5DC9" w:rsidRDefault="001A5DC9" w:rsidP="0FF883D4">
      <w:pPr>
        <w:ind w:right="237"/>
        <w:jc w:val="both"/>
        <w:rPr>
          <w:color w:val="000000" w:themeColor="text1"/>
          <w:sz w:val="24"/>
          <w:szCs w:val="24"/>
        </w:rPr>
      </w:pPr>
    </w:p>
    <w:p w14:paraId="43732895" w14:textId="77777777" w:rsidR="001A5DC9" w:rsidRDefault="001A5DC9" w:rsidP="0FF883D4">
      <w:pPr>
        <w:ind w:right="237"/>
        <w:jc w:val="both"/>
        <w:rPr>
          <w:color w:val="000000" w:themeColor="text1"/>
          <w:sz w:val="24"/>
          <w:szCs w:val="24"/>
        </w:rPr>
      </w:pPr>
    </w:p>
    <w:p w14:paraId="7F049A82" w14:textId="77777777" w:rsidR="001A5DC9" w:rsidRDefault="001A5DC9" w:rsidP="0FF883D4">
      <w:pPr>
        <w:ind w:right="237"/>
        <w:jc w:val="both"/>
        <w:rPr>
          <w:color w:val="000000" w:themeColor="text1"/>
          <w:sz w:val="24"/>
          <w:szCs w:val="24"/>
        </w:rPr>
      </w:pPr>
    </w:p>
    <w:p w14:paraId="4CBA7AE2" w14:textId="77777777" w:rsidR="001A5DC9" w:rsidRDefault="001A5DC9" w:rsidP="0FF883D4">
      <w:pPr>
        <w:ind w:right="237"/>
        <w:jc w:val="both"/>
        <w:rPr>
          <w:color w:val="000000" w:themeColor="text1"/>
          <w:sz w:val="24"/>
          <w:szCs w:val="24"/>
        </w:rPr>
      </w:pPr>
    </w:p>
    <w:p w14:paraId="5A67B8E1" w14:textId="77777777" w:rsidR="001A5DC9" w:rsidRDefault="001A5DC9" w:rsidP="0FF883D4">
      <w:pPr>
        <w:ind w:right="237"/>
        <w:jc w:val="both"/>
        <w:rPr>
          <w:color w:val="000000" w:themeColor="text1"/>
          <w:sz w:val="24"/>
          <w:szCs w:val="24"/>
        </w:rPr>
      </w:pPr>
    </w:p>
    <w:p w14:paraId="3A066E02" w14:textId="77777777" w:rsidR="001A5DC9" w:rsidRDefault="001A5DC9" w:rsidP="0FF883D4">
      <w:pPr>
        <w:ind w:right="237"/>
        <w:jc w:val="both"/>
        <w:rPr>
          <w:color w:val="000000" w:themeColor="text1"/>
          <w:sz w:val="24"/>
          <w:szCs w:val="24"/>
        </w:rPr>
      </w:pPr>
    </w:p>
    <w:p w14:paraId="4273BC7C" w14:textId="77777777" w:rsidR="001A5DC9" w:rsidRDefault="001A5DC9" w:rsidP="0FF883D4">
      <w:pPr>
        <w:ind w:right="237"/>
        <w:jc w:val="both"/>
        <w:rPr>
          <w:color w:val="000000" w:themeColor="text1"/>
          <w:sz w:val="24"/>
          <w:szCs w:val="24"/>
        </w:rPr>
      </w:pPr>
    </w:p>
    <w:p w14:paraId="050B0BF3" w14:textId="77777777" w:rsidR="001A5DC9" w:rsidRDefault="001A5DC9" w:rsidP="0FF883D4">
      <w:pPr>
        <w:ind w:right="237"/>
        <w:jc w:val="both"/>
        <w:rPr>
          <w:color w:val="000000" w:themeColor="text1"/>
          <w:sz w:val="24"/>
          <w:szCs w:val="24"/>
        </w:rPr>
      </w:pPr>
    </w:p>
    <w:p w14:paraId="15A1863D" w14:textId="77777777" w:rsidR="001A5DC9" w:rsidRDefault="001A5DC9" w:rsidP="0FF883D4">
      <w:pPr>
        <w:ind w:right="237"/>
        <w:jc w:val="both"/>
        <w:rPr>
          <w:color w:val="000000" w:themeColor="text1"/>
          <w:sz w:val="24"/>
          <w:szCs w:val="24"/>
        </w:rPr>
      </w:pPr>
    </w:p>
    <w:p w14:paraId="6950A6C2" w14:textId="77777777" w:rsidR="001A5DC9" w:rsidRDefault="001A5DC9" w:rsidP="0FF883D4">
      <w:pPr>
        <w:ind w:right="237"/>
        <w:jc w:val="both"/>
        <w:rPr>
          <w:color w:val="000000" w:themeColor="text1"/>
          <w:sz w:val="24"/>
          <w:szCs w:val="24"/>
        </w:rPr>
      </w:pPr>
    </w:p>
    <w:p w14:paraId="4BFED043" w14:textId="77777777" w:rsidR="001A5DC9" w:rsidRDefault="001A5DC9" w:rsidP="0FF883D4">
      <w:pPr>
        <w:ind w:right="237"/>
        <w:jc w:val="both"/>
        <w:rPr>
          <w:color w:val="000000" w:themeColor="text1"/>
          <w:sz w:val="24"/>
          <w:szCs w:val="24"/>
        </w:rPr>
      </w:pPr>
    </w:p>
    <w:p w14:paraId="55677D27" w14:textId="77777777" w:rsidR="001A5DC9" w:rsidRDefault="001A5DC9" w:rsidP="0FF883D4">
      <w:pPr>
        <w:ind w:right="237"/>
        <w:jc w:val="both"/>
        <w:rPr>
          <w:color w:val="000000" w:themeColor="text1"/>
          <w:sz w:val="24"/>
          <w:szCs w:val="24"/>
        </w:rPr>
      </w:pPr>
    </w:p>
    <w:p w14:paraId="73E43E52" w14:textId="77777777" w:rsidR="001A5DC9" w:rsidRDefault="001A5DC9" w:rsidP="0FF883D4">
      <w:pPr>
        <w:ind w:right="237"/>
        <w:jc w:val="both"/>
        <w:rPr>
          <w:color w:val="000000" w:themeColor="text1"/>
          <w:sz w:val="24"/>
          <w:szCs w:val="24"/>
        </w:rPr>
      </w:pPr>
    </w:p>
    <w:p w14:paraId="75921C42" w14:textId="77777777" w:rsidR="001A5DC9" w:rsidRDefault="001A5DC9" w:rsidP="0FF883D4">
      <w:pPr>
        <w:ind w:right="237"/>
        <w:jc w:val="both"/>
        <w:rPr>
          <w:color w:val="000000" w:themeColor="text1"/>
          <w:sz w:val="24"/>
          <w:szCs w:val="24"/>
        </w:rPr>
      </w:pPr>
    </w:p>
    <w:p w14:paraId="6BB19A3F" w14:textId="77777777" w:rsidR="001A5DC9" w:rsidRDefault="001A5DC9" w:rsidP="0FF883D4">
      <w:pPr>
        <w:ind w:right="237"/>
        <w:jc w:val="both"/>
        <w:rPr>
          <w:color w:val="000000" w:themeColor="text1"/>
          <w:sz w:val="24"/>
          <w:szCs w:val="24"/>
        </w:rPr>
      </w:pPr>
    </w:p>
    <w:p w14:paraId="55391F15" w14:textId="77777777" w:rsidR="001A5DC9" w:rsidRDefault="001A5DC9" w:rsidP="0FF883D4">
      <w:pPr>
        <w:ind w:right="237"/>
        <w:jc w:val="both"/>
        <w:rPr>
          <w:color w:val="000000" w:themeColor="text1"/>
          <w:sz w:val="24"/>
          <w:szCs w:val="24"/>
        </w:rPr>
      </w:pPr>
    </w:p>
    <w:p w14:paraId="05F7ED9B" w14:textId="77777777" w:rsidR="001A5DC9" w:rsidRDefault="001A5DC9" w:rsidP="0FF883D4">
      <w:pPr>
        <w:ind w:right="237"/>
        <w:jc w:val="both"/>
        <w:rPr>
          <w:color w:val="000000" w:themeColor="text1"/>
          <w:sz w:val="24"/>
          <w:szCs w:val="24"/>
        </w:rPr>
      </w:pPr>
    </w:p>
    <w:p w14:paraId="5A7AEE02" w14:textId="77777777" w:rsidR="001A5DC9" w:rsidRDefault="001A5DC9" w:rsidP="0FF883D4">
      <w:pPr>
        <w:ind w:right="237"/>
        <w:jc w:val="both"/>
        <w:rPr>
          <w:color w:val="000000" w:themeColor="text1"/>
          <w:sz w:val="24"/>
          <w:szCs w:val="24"/>
        </w:rPr>
      </w:pPr>
    </w:p>
    <w:p w14:paraId="4188CFAF" w14:textId="77777777" w:rsidR="001A5DC9" w:rsidRPr="00E676F7" w:rsidRDefault="001A5DC9"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8085F9A" w14:textId="32840297" w:rsidR="0FF883D4" w:rsidRDefault="0FF883D4" w:rsidP="0FF883D4">
      <w:pPr>
        <w:ind w:right="237"/>
        <w:jc w:val="both"/>
        <w:rPr>
          <w:color w:val="000000" w:themeColor="text1"/>
          <w:sz w:val="24"/>
          <w:szCs w:val="24"/>
        </w:rPr>
      </w:pPr>
    </w:p>
    <w:p w14:paraId="7B8624C3" w14:textId="77777777" w:rsidR="00FB53E5" w:rsidRDefault="00FB53E5"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E86A280" w:rsidR="0FF883D4" w:rsidRDefault="5CE196A1" w:rsidP="5CE196A1">
      <w:r w:rsidRPr="5CE196A1">
        <w:rPr>
          <w:rFonts w:eastAsia="Arial"/>
          <w:b/>
          <w:bCs/>
          <w:color w:val="000000" w:themeColor="text1"/>
          <w:sz w:val="24"/>
          <w:szCs w:val="24"/>
        </w:rPr>
        <w:t xml:space="preserve">Signed: </w:t>
      </w:r>
      <w:r w:rsidR="00F34D82">
        <w:rPr>
          <w:rFonts w:eastAsia="Arial"/>
          <w:b/>
          <w:bCs/>
          <w:color w:val="000000" w:themeColor="text1"/>
          <w:sz w:val="24"/>
          <w:szCs w:val="24"/>
        </w:rPr>
        <w:t>C.HUGHES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99384E8" w:rsidR="0FF883D4" w:rsidRPr="00F34D82" w:rsidRDefault="5CE196A1" w:rsidP="00F34D82">
      <w:pPr>
        <w:sectPr w:rsidR="0FF883D4" w:rsidRPr="00F34D82"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F34D82">
        <w:t xml:space="preserve"> </w:t>
      </w:r>
      <w:r w:rsidR="00D855D4">
        <w:rPr>
          <w:b/>
          <w:bCs/>
          <w:sz w:val="24"/>
          <w:szCs w:val="24"/>
        </w:rPr>
        <w:t>25</w:t>
      </w:r>
      <w:r w:rsidR="00F34D82" w:rsidRPr="00F34D82">
        <w:rPr>
          <w:b/>
          <w:bCs/>
          <w:sz w:val="24"/>
          <w:szCs w:val="24"/>
        </w:rPr>
        <w:t>/0</w:t>
      </w:r>
      <w:r w:rsidR="00D855D4">
        <w:rPr>
          <w:b/>
          <w:bCs/>
          <w:sz w:val="24"/>
          <w:szCs w:val="24"/>
        </w:rPr>
        <w:t>4</w:t>
      </w:r>
      <w:r w:rsidR="00F34D82" w:rsidRPr="00F34D82">
        <w:rPr>
          <w:b/>
          <w:bCs/>
          <w:sz w:val="24"/>
          <w:szCs w:val="24"/>
        </w:rPr>
        <w:t>/2024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E727716" w14:textId="77777777" w:rsidR="00246B17" w:rsidRDefault="00246B17" w:rsidP="00EA28F1">
      <w:pPr>
        <w:keepNext/>
        <w:spacing w:before="240" w:after="60"/>
        <w:ind w:right="237"/>
        <w:jc w:val="both"/>
        <w:rPr>
          <w:sz w:val="24"/>
          <w:szCs w:val="24"/>
        </w:rPr>
      </w:pPr>
    </w:p>
    <w:p w14:paraId="7914E53E" w14:textId="644364A4" w:rsidR="00246B17" w:rsidRDefault="00246B17" w:rsidP="002F0AB4">
      <w:pPr>
        <w:keepNext/>
        <w:spacing w:before="240" w:after="60"/>
        <w:ind w:right="237"/>
        <w:rPr>
          <w:sz w:val="24"/>
          <w:szCs w:val="24"/>
        </w:rPr>
      </w:pPr>
      <w:r w:rsidRPr="00246B17">
        <w:rPr>
          <w:sz w:val="24"/>
          <w:szCs w:val="24"/>
        </w:rPr>
        <w:t xml:space="preserve">Barrow-Grint, K., Sebire, J., Turton, J. and Weir, R. (2022). </w:t>
      </w:r>
      <w:r w:rsidRPr="00246B17">
        <w:rPr>
          <w:i/>
          <w:iCs/>
          <w:sz w:val="24"/>
          <w:szCs w:val="24"/>
        </w:rPr>
        <w:t>Policing Domestic Abuse</w:t>
      </w:r>
      <w:r w:rsidRPr="00246B17">
        <w:rPr>
          <w:sz w:val="24"/>
          <w:szCs w:val="24"/>
        </w:rPr>
        <w:t>. Taylor &amp; Francis.</w:t>
      </w:r>
    </w:p>
    <w:p w14:paraId="5E7CBCF2" w14:textId="77777777" w:rsidR="002F0AB4" w:rsidRDefault="002F0AB4" w:rsidP="002F0AB4">
      <w:pPr>
        <w:keepNext/>
        <w:spacing w:before="240" w:after="60"/>
        <w:ind w:right="237"/>
        <w:rPr>
          <w:sz w:val="24"/>
          <w:szCs w:val="24"/>
        </w:rPr>
      </w:pPr>
    </w:p>
    <w:p w14:paraId="74501E99" w14:textId="208BC1AD" w:rsidR="00371537" w:rsidRDefault="00371537" w:rsidP="002F0AB4">
      <w:pPr>
        <w:keepNext/>
        <w:spacing w:before="240" w:after="60"/>
        <w:ind w:right="237"/>
        <w:rPr>
          <w:sz w:val="24"/>
          <w:szCs w:val="24"/>
        </w:rPr>
      </w:pPr>
      <w:r w:rsidRPr="00371537">
        <w:rPr>
          <w:sz w:val="24"/>
          <w:szCs w:val="24"/>
        </w:rPr>
        <w:t xml:space="preserve">Bettinson V, Bishop C (2017) Evidencing domestic violence, including behaviour that falls under the new offence of ‘controlling or coercive behaviour. </w:t>
      </w:r>
      <w:r w:rsidRPr="00371537">
        <w:rPr>
          <w:i/>
          <w:iCs/>
          <w:sz w:val="24"/>
          <w:szCs w:val="24"/>
        </w:rPr>
        <w:t xml:space="preserve">International Journal of Evidence and Proof </w:t>
      </w:r>
      <w:r w:rsidRPr="00371537">
        <w:rPr>
          <w:sz w:val="24"/>
          <w:szCs w:val="24"/>
        </w:rPr>
        <w:t>22(1): 3.</w:t>
      </w:r>
    </w:p>
    <w:p w14:paraId="53A0050A" w14:textId="77777777" w:rsidR="002F0AB4" w:rsidRDefault="002F0AB4" w:rsidP="002F0AB4">
      <w:pPr>
        <w:keepNext/>
        <w:spacing w:before="240" w:after="60"/>
        <w:ind w:right="237"/>
        <w:rPr>
          <w:sz w:val="24"/>
          <w:szCs w:val="24"/>
        </w:rPr>
      </w:pPr>
    </w:p>
    <w:p w14:paraId="3236BFEA" w14:textId="16B90466" w:rsidR="00246B17" w:rsidRDefault="00246B17" w:rsidP="002F0AB4">
      <w:pPr>
        <w:keepNext/>
        <w:spacing w:before="240" w:after="60"/>
        <w:ind w:right="237"/>
        <w:rPr>
          <w:sz w:val="24"/>
          <w:szCs w:val="24"/>
        </w:rPr>
      </w:pPr>
      <w:r w:rsidRPr="00246B17">
        <w:rPr>
          <w:sz w:val="24"/>
          <w:szCs w:val="24"/>
        </w:rPr>
        <w:t xml:space="preserve">Bland, M. and Ariel, B. (2015). Targeting Escalation in Reported Domestic Abuse. </w:t>
      </w:r>
      <w:r w:rsidRPr="00246B17">
        <w:rPr>
          <w:i/>
          <w:iCs/>
          <w:sz w:val="24"/>
          <w:szCs w:val="24"/>
        </w:rPr>
        <w:t>International Criminal Justice Review</w:t>
      </w:r>
      <w:r w:rsidRPr="00246B17">
        <w:rPr>
          <w:sz w:val="24"/>
          <w:szCs w:val="24"/>
        </w:rPr>
        <w:t>, [online] 25(1), pp.30–53. doi:https://doi.org/10.1177/1057567715574382</w:t>
      </w:r>
      <w:r>
        <w:rPr>
          <w:sz w:val="24"/>
          <w:szCs w:val="24"/>
        </w:rPr>
        <w:t xml:space="preserve">   </w:t>
      </w:r>
    </w:p>
    <w:p w14:paraId="197E2302" w14:textId="77777777" w:rsidR="002F0AB4" w:rsidRDefault="002F0AB4" w:rsidP="002F0AB4">
      <w:pPr>
        <w:keepNext/>
        <w:spacing w:before="240" w:after="60"/>
        <w:ind w:right="237"/>
        <w:rPr>
          <w:sz w:val="24"/>
          <w:szCs w:val="24"/>
        </w:rPr>
      </w:pPr>
    </w:p>
    <w:p w14:paraId="4EAF9566" w14:textId="03032A7E" w:rsidR="0052508B" w:rsidRDefault="001742A6" w:rsidP="002F0AB4">
      <w:pPr>
        <w:keepNext/>
        <w:spacing w:before="240" w:after="60"/>
        <w:ind w:right="237"/>
        <w:rPr>
          <w:rStyle w:val="Hyperlink"/>
          <w:sz w:val="24"/>
          <w:szCs w:val="24"/>
        </w:rPr>
      </w:pPr>
      <w:r w:rsidRPr="001742A6">
        <w:rPr>
          <w:sz w:val="24"/>
          <w:szCs w:val="24"/>
        </w:rPr>
        <w:t xml:space="preserve">Bryan, T. and Trickett, L., 2021. “It’s not Really Hate Crime” – Reframing Hate Crime as not Police Business” – Police Narratives of Resistance and Denial. Journal of Hate Studies, 17(1), p.74–84.DOI: </w:t>
      </w:r>
      <w:hyperlink r:id="rId16" w:history="1">
        <w:r w:rsidR="003939D4" w:rsidRPr="00907BC6">
          <w:rPr>
            <w:rStyle w:val="Hyperlink"/>
            <w:sz w:val="24"/>
            <w:szCs w:val="24"/>
          </w:rPr>
          <w:t>https://doi.org/10.33972/jhs.206</w:t>
        </w:r>
      </w:hyperlink>
    </w:p>
    <w:p w14:paraId="20AAB52A" w14:textId="77777777" w:rsidR="002F0AB4" w:rsidRDefault="002F0AB4" w:rsidP="002F0AB4">
      <w:pPr>
        <w:keepNext/>
        <w:spacing w:before="240" w:after="60"/>
        <w:ind w:right="237"/>
        <w:rPr>
          <w:rStyle w:val="Hyperlink"/>
          <w:sz w:val="24"/>
          <w:szCs w:val="24"/>
        </w:rPr>
      </w:pPr>
    </w:p>
    <w:p w14:paraId="77CBF9F9" w14:textId="0A4DF3A6" w:rsidR="00371537" w:rsidRDefault="00371537" w:rsidP="002F0AB4">
      <w:pPr>
        <w:keepNext/>
        <w:spacing w:before="240" w:after="60"/>
        <w:ind w:right="237"/>
        <w:rPr>
          <w:sz w:val="24"/>
          <w:szCs w:val="24"/>
        </w:rPr>
      </w:pPr>
      <w:r w:rsidRPr="00371537">
        <w:rPr>
          <w:sz w:val="24"/>
          <w:szCs w:val="24"/>
        </w:rPr>
        <w:t xml:space="preserve">Burton M (2008) </w:t>
      </w:r>
      <w:r w:rsidRPr="00371537">
        <w:rPr>
          <w:i/>
          <w:iCs/>
          <w:sz w:val="24"/>
          <w:szCs w:val="24"/>
        </w:rPr>
        <w:t>Legal Responses to Domestic Violence</w:t>
      </w:r>
      <w:r w:rsidRPr="00371537">
        <w:rPr>
          <w:sz w:val="24"/>
          <w:szCs w:val="24"/>
        </w:rPr>
        <w:t>. Singapore: Cavendish.</w:t>
      </w:r>
    </w:p>
    <w:p w14:paraId="5AD38D2C" w14:textId="77777777" w:rsidR="002F0AB4" w:rsidRDefault="002F0AB4" w:rsidP="002F0AB4">
      <w:pPr>
        <w:keepNext/>
        <w:spacing w:before="240" w:after="60"/>
        <w:ind w:right="237"/>
        <w:rPr>
          <w:sz w:val="24"/>
          <w:szCs w:val="24"/>
        </w:rPr>
      </w:pPr>
    </w:p>
    <w:p w14:paraId="45EDE8DD" w14:textId="54710AAF" w:rsidR="00964906" w:rsidRDefault="00964906" w:rsidP="002F0AB4">
      <w:pPr>
        <w:keepNext/>
        <w:spacing w:before="240" w:after="60"/>
        <w:ind w:right="237"/>
        <w:rPr>
          <w:sz w:val="24"/>
          <w:szCs w:val="24"/>
        </w:rPr>
      </w:pPr>
      <w:r>
        <w:rPr>
          <w:sz w:val="24"/>
          <w:szCs w:val="24"/>
        </w:rPr>
        <w:t>Chalotte Nickerson</w:t>
      </w:r>
      <w:r w:rsidRPr="00964906">
        <w:rPr>
          <w:sz w:val="24"/>
          <w:szCs w:val="24"/>
        </w:rPr>
        <w:t>, (2022). Recidivism: Definition, Causes &amp; Examples. [online] Available</w:t>
      </w:r>
      <w:r>
        <w:rPr>
          <w:sz w:val="24"/>
          <w:szCs w:val="24"/>
        </w:rPr>
        <w:t xml:space="preserve"> at: </w:t>
      </w:r>
      <w:hyperlink r:id="rId17" w:anchor=":~:text=These%20peer%20generation%20effects%20can" w:history="1">
        <w:r w:rsidR="002F0AB4" w:rsidRPr="001C1C11">
          <w:rPr>
            <w:rStyle w:val="Hyperlink"/>
            <w:sz w:val="24"/>
            <w:szCs w:val="24"/>
          </w:rPr>
          <w:t>https://www.simplypsychology.org/recidivism.html#:~:text=These%20peer%20generation%20effects%20can</w:t>
        </w:r>
      </w:hyperlink>
      <w:r>
        <w:rPr>
          <w:sz w:val="24"/>
          <w:szCs w:val="24"/>
        </w:rPr>
        <w:t xml:space="preserve"> </w:t>
      </w:r>
    </w:p>
    <w:p w14:paraId="4892FEA6" w14:textId="52636116" w:rsidR="00371537" w:rsidRDefault="00371537" w:rsidP="002F0AB4">
      <w:pPr>
        <w:keepNext/>
        <w:spacing w:before="240" w:after="60"/>
        <w:ind w:right="237"/>
        <w:rPr>
          <w:sz w:val="24"/>
          <w:szCs w:val="24"/>
        </w:rPr>
      </w:pPr>
      <w:r w:rsidRPr="00371537">
        <w:rPr>
          <w:sz w:val="24"/>
          <w:szCs w:val="24"/>
        </w:rPr>
        <w:t xml:space="preserve">College of Policing (2022) </w:t>
      </w:r>
      <w:r w:rsidRPr="00371537">
        <w:rPr>
          <w:i/>
          <w:iCs/>
          <w:sz w:val="24"/>
          <w:szCs w:val="24"/>
        </w:rPr>
        <w:t>Domestic Abuse</w:t>
      </w:r>
      <w:r w:rsidRPr="00371537">
        <w:rPr>
          <w:sz w:val="24"/>
          <w:szCs w:val="24"/>
        </w:rPr>
        <w:t xml:space="preserve">. Available at: </w:t>
      </w:r>
      <w:hyperlink r:id="rId18" w:history="1">
        <w:r w:rsidRPr="001C1C11">
          <w:rPr>
            <w:rStyle w:val="Hyperlink"/>
            <w:sz w:val="24"/>
            <w:szCs w:val="24"/>
          </w:rPr>
          <w:t>https://www.college.police.uk/app/major-investigation-and-public-protection/domestic-abuse</w:t>
        </w:r>
      </w:hyperlink>
      <w:r>
        <w:rPr>
          <w:sz w:val="24"/>
          <w:szCs w:val="24"/>
        </w:rPr>
        <w:t xml:space="preserve"> </w:t>
      </w:r>
      <w:r w:rsidRPr="00371537">
        <w:rPr>
          <w:sz w:val="24"/>
          <w:szCs w:val="24"/>
        </w:rPr>
        <w:t xml:space="preserve"> (Accessed 23rd April 2024)</w:t>
      </w:r>
    </w:p>
    <w:p w14:paraId="42838195" w14:textId="5B55A562" w:rsidR="007F1EF0" w:rsidRDefault="007F1EF0" w:rsidP="002F0AB4">
      <w:pPr>
        <w:keepNext/>
        <w:spacing w:before="240" w:after="60"/>
        <w:ind w:right="237"/>
        <w:rPr>
          <w:sz w:val="24"/>
          <w:szCs w:val="24"/>
        </w:rPr>
      </w:pPr>
      <w:r>
        <w:rPr>
          <w:sz w:val="24"/>
          <w:szCs w:val="24"/>
        </w:rPr>
        <w:t xml:space="preserve">College of Policing (2021) </w:t>
      </w:r>
      <w:r w:rsidRPr="007F1EF0">
        <w:rPr>
          <w:i/>
          <w:iCs/>
          <w:sz w:val="24"/>
          <w:szCs w:val="24"/>
        </w:rPr>
        <w:t>Evidence-based policing</w:t>
      </w:r>
      <w:r>
        <w:rPr>
          <w:sz w:val="24"/>
          <w:szCs w:val="24"/>
        </w:rPr>
        <w:t xml:space="preserve">. Available at: </w:t>
      </w:r>
      <w:hyperlink r:id="rId19" w:history="1">
        <w:r w:rsidRPr="00907BC6">
          <w:rPr>
            <w:rStyle w:val="Hyperlink"/>
            <w:sz w:val="24"/>
            <w:szCs w:val="24"/>
          </w:rPr>
          <w:t>https://www.college.police.uk/research/evidence-based-policing-EBP</w:t>
        </w:r>
      </w:hyperlink>
      <w:r>
        <w:rPr>
          <w:sz w:val="24"/>
          <w:szCs w:val="24"/>
        </w:rPr>
        <w:t xml:space="preserve"> </w:t>
      </w:r>
    </w:p>
    <w:p w14:paraId="7FB30B4D" w14:textId="4077E30F" w:rsidR="003939D4" w:rsidRDefault="003939D4" w:rsidP="002F0AB4">
      <w:pPr>
        <w:keepNext/>
        <w:spacing w:before="240" w:after="60"/>
        <w:ind w:right="237"/>
        <w:rPr>
          <w:sz w:val="24"/>
          <w:szCs w:val="24"/>
        </w:rPr>
      </w:pPr>
      <w:r>
        <w:rPr>
          <w:sz w:val="24"/>
          <w:szCs w:val="24"/>
        </w:rPr>
        <w:t xml:space="preserve">College of Policing (2021) </w:t>
      </w:r>
      <w:r w:rsidRPr="003939D4">
        <w:rPr>
          <w:i/>
          <w:iCs/>
          <w:sz w:val="24"/>
          <w:szCs w:val="24"/>
        </w:rPr>
        <w:t>Identifying vulnerability – new guidelines to support police</w:t>
      </w:r>
      <w:r>
        <w:rPr>
          <w:i/>
          <w:iCs/>
          <w:sz w:val="24"/>
          <w:szCs w:val="24"/>
        </w:rPr>
        <w:t xml:space="preserve">. </w:t>
      </w:r>
      <w:r>
        <w:rPr>
          <w:sz w:val="24"/>
          <w:szCs w:val="24"/>
        </w:rPr>
        <w:t xml:space="preserve">Available at: </w:t>
      </w:r>
      <w:hyperlink r:id="rId20" w:history="1">
        <w:r w:rsidRPr="00907BC6">
          <w:rPr>
            <w:rStyle w:val="Hyperlink"/>
            <w:sz w:val="24"/>
            <w:szCs w:val="24"/>
          </w:rPr>
          <w:t>https://www.college.police.uk/article/identifying-vulnerability-new-guidelines-support-police</w:t>
        </w:r>
      </w:hyperlink>
      <w:r>
        <w:rPr>
          <w:sz w:val="24"/>
          <w:szCs w:val="24"/>
        </w:rPr>
        <w:t xml:space="preserve"> (Accessed 28th January)</w:t>
      </w:r>
    </w:p>
    <w:p w14:paraId="6AE95D40" w14:textId="0F6480A7" w:rsidR="00272EA6" w:rsidRDefault="00272EA6" w:rsidP="002F0AB4">
      <w:pPr>
        <w:keepNext/>
        <w:spacing w:before="240" w:after="60"/>
        <w:ind w:right="237"/>
        <w:rPr>
          <w:sz w:val="24"/>
          <w:szCs w:val="24"/>
        </w:rPr>
      </w:pPr>
      <w:r w:rsidRPr="00272EA6">
        <w:rPr>
          <w:sz w:val="24"/>
          <w:szCs w:val="24"/>
        </w:rPr>
        <w:t xml:space="preserve">Cottrill, N. and Cottrill, N. (2016). </w:t>
      </w:r>
      <w:r w:rsidRPr="00272EA6">
        <w:rPr>
          <w:i/>
          <w:iCs/>
          <w:sz w:val="24"/>
          <w:szCs w:val="24"/>
        </w:rPr>
        <w:t>Domestic abuse in England and Wales - Office for National Statistics</w:t>
      </w:r>
      <w:r w:rsidRPr="00272EA6">
        <w:rPr>
          <w:sz w:val="24"/>
          <w:szCs w:val="24"/>
        </w:rPr>
        <w:t xml:space="preserve">. [online] Ons.gov.uk. Available at: </w:t>
      </w:r>
      <w:hyperlink r:id="rId21" w:history="1">
        <w:r w:rsidRPr="001C1C11">
          <w:rPr>
            <w:rStyle w:val="Hyperlink"/>
            <w:sz w:val="24"/>
            <w:szCs w:val="24"/>
          </w:rPr>
          <w:t>https://www.ons.gov.uk/peoplepopulationandcommunity/crimeandjustice/bulletins/domesticabuseinenglandandwales/yeare</w:t>
        </w:r>
      </w:hyperlink>
      <w:r>
        <w:rPr>
          <w:sz w:val="24"/>
          <w:szCs w:val="24"/>
        </w:rPr>
        <w:t xml:space="preserve"> </w:t>
      </w:r>
    </w:p>
    <w:p w14:paraId="0C76DC1D" w14:textId="77777777" w:rsidR="0001195E" w:rsidRDefault="00E910C6" w:rsidP="002F0AB4">
      <w:pPr>
        <w:keepNext/>
        <w:spacing w:before="240" w:after="60"/>
        <w:ind w:right="237"/>
        <w:rPr>
          <w:sz w:val="24"/>
          <w:szCs w:val="24"/>
        </w:rPr>
      </w:pPr>
      <w:r w:rsidRPr="00E910C6">
        <w:rPr>
          <w:i/>
          <w:iCs/>
          <w:sz w:val="24"/>
          <w:szCs w:val="24"/>
        </w:rPr>
        <w:t>Crime and disorder Act 1998</w:t>
      </w:r>
      <w:r>
        <w:rPr>
          <w:sz w:val="24"/>
          <w:szCs w:val="24"/>
        </w:rPr>
        <w:t xml:space="preserve">. Available at: </w:t>
      </w:r>
      <w:hyperlink r:id="rId22" w:history="1">
        <w:r w:rsidRPr="00E258E3">
          <w:rPr>
            <w:rStyle w:val="Hyperlink"/>
            <w:sz w:val="24"/>
            <w:szCs w:val="24"/>
          </w:rPr>
          <w:t>https://www.legislation.gov.uk/ukpga/1998/37/contents</w:t>
        </w:r>
      </w:hyperlink>
      <w:r>
        <w:rPr>
          <w:sz w:val="24"/>
          <w:szCs w:val="24"/>
        </w:rPr>
        <w:t xml:space="preserve"> (Accessed 27th of February 2024)</w:t>
      </w:r>
    </w:p>
    <w:p w14:paraId="57E9475D" w14:textId="21574781" w:rsidR="006A22A0" w:rsidRDefault="006A22A0" w:rsidP="002F0AB4">
      <w:pPr>
        <w:keepNext/>
        <w:spacing w:before="240" w:after="60"/>
        <w:ind w:right="237"/>
        <w:rPr>
          <w:sz w:val="24"/>
          <w:szCs w:val="24"/>
        </w:rPr>
      </w:pPr>
      <w:r w:rsidRPr="006A22A0">
        <w:rPr>
          <w:i/>
          <w:iCs/>
          <w:sz w:val="24"/>
          <w:szCs w:val="24"/>
        </w:rPr>
        <w:t>Youth Justice and Criminal Evidence Act 1999</w:t>
      </w:r>
      <w:r>
        <w:rPr>
          <w:sz w:val="24"/>
          <w:szCs w:val="24"/>
        </w:rPr>
        <w:t xml:space="preserve">. Available at: </w:t>
      </w:r>
      <w:hyperlink r:id="rId23" w:history="1">
        <w:r w:rsidRPr="001C1C11">
          <w:rPr>
            <w:rStyle w:val="Hyperlink"/>
            <w:sz w:val="24"/>
            <w:szCs w:val="24"/>
          </w:rPr>
          <w:t>https://www.legislation.gov.uk/ukpga/1999/23/contents</w:t>
        </w:r>
      </w:hyperlink>
      <w:r>
        <w:rPr>
          <w:sz w:val="24"/>
          <w:szCs w:val="24"/>
        </w:rPr>
        <w:t xml:space="preserve"> (Accessed 25th of April 2024)</w:t>
      </w:r>
    </w:p>
    <w:p w14:paraId="3EFF607A" w14:textId="4C96331C" w:rsidR="00371537" w:rsidRDefault="00371537" w:rsidP="002F0AB4">
      <w:pPr>
        <w:keepNext/>
        <w:spacing w:before="240" w:after="60"/>
        <w:ind w:right="237"/>
        <w:rPr>
          <w:sz w:val="24"/>
          <w:szCs w:val="24"/>
        </w:rPr>
      </w:pPr>
      <w:r w:rsidRPr="00371537">
        <w:rPr>
          <w:sz w:val="24"/>
          <w:szCs w:val="24"/>
        </w:rPr>
        <w:t xml:space="preserve">Crown Prosecution Service (2022) </w:t>
      </w:r>
      <w:r w:rsidRPr="00371537">
        <w:rPr>
          <w:i/>
          <w:iCs/>
          <w:sz w:val="24"/>
          <w:szCs w:val="24"/>
        </w:rPr>
        <w:t>Domestic abuse: Context and challenges.</w:t>
      </w:r>
      <w:r w:rsidRPr="00371537">
        <w:rPr>
          <w:sz w:val="24"/>
          <w:szCs w:val="24"/>
        </w:rPr>
        <w:t xml:space="preserve"> Available at: </w:t>
      </w:r>
      <w:hyperlink r:id="rId24" w:anchor=":~:text=Shame%2C%20guilt%2C%20fear%20of%20the,on%20to%20support%20a%20prosecution" w:history="1">
        <w:r w:rsidRPr="001C1C11">
          <w:rPr>
            <w:rStyle w:val="Hyperlink"/>
            <w:sz w:val="24"/>
            <w:szCs w:val="24"/>
          </w:rPr>
          <w:t>https://www.cps.gov.uk/domestic-abuse-context-and-</w:t>
        </w:r>
        <w:r w:rsidRPr="001C1C11">
          <w:rPr>
            <w:rStyle w:val="Hyperlink"/>
            <w:sz w:val="24"/>
            <w:szCs w:val="24"/>
          </w:rPr>
          <w:lastRenderedPageBreak/>
          <w:t>challenges#:~:text=Shame%2C%20guilt%2C%20fear%20of%20the,on%20to%20support%20a%20prosecution</w:t>
        </w:r>
      </w:hyperlink>
      <w:r w:rsidRPr="00371537">
        <w:rPr>
          <w:sz w:val="24"/>
          <w:szCs w:val="24"/>
        </w:rPr>
        <w:t>.</w:t>
      </w:r>
      <w:r>
        <w:rPr>
          <w:sz w:val="24"/>
          <w:szCs w:val="24"/>
        </w:rPr>
        <w:t xml:space="preserve"> </w:t>
      </w:r>
      <w:r w:rsidRPr="00371537">
        <w:rPr>
          <w:sz w:val="24"/>
          <w:szCs w:val="24"/>
        </w:rPr>
        <w:t xml:space="preserve"> (Accessed 23rd April 2024)</w:t>
      </w:r>
    </w:p>
    <w:p w14:paraId="5B3EAEDC" w14:textId="18F2DBA1" w:rsidR="00371537" w:rsidRDefault="00371537" w:rsidP="002F0AB4">
      <w:pPr>
        <w:keepNext/>
        <w:spacing w:before="240" w:after="60"/>
        <w:ind w:right="237"/>
        <w:rPr>
          <w:sz w:val="24"/>
          <w:szCs w:val="24"/>
        </w:rPr>
      </w:pPr>
      <w:r w:rsidRPr="00371537">
        <w:rPr>
          <w:i/>
          <w:iCs/>
          <w:sz w:val="24"/>
          <w:szCs w:val="24"/>
        </w:rPr>
        <w:t>Domestic Abuse Act 2021</w:t>
      </w:r>
      <w:r w:rsidRPr="00371537">
        <w:rPr>
          <w:sz w:val="24"/>
          <w:szCs w:val="24"/>
        </w:rPr>
        <w:t xml:space="preserve">. Available at: </w:t>
      </w:r>
      <w:hyperlink r:id="rId25" w:history="1">
        <w:r w:rsidRPr="001C1C11">
          <w:rPr>
            <w:rStyle w:val="Hyperlink"/>
            <w:sz w:val="24"/>
            <w:szCs w:val="24"/>
          </w:rPr>
          <w:t>https://www.legislation.gov.uk/ukpga/2021/17/part/1/enacted</w:t>
        </w:r>
      </w:hyperlink>
      <w:r>
        <w:rPr>
          <w:sz w:val="24"/>
          <w:szCs w:val="24"/>
        </w:rPr>
        <w:t xml:space="preserve">  </w:t>
      </w:r>
      <w:r w:rsidRPr="00371537">
        <w:rPr>
          <w:sz w:val="24"/>
          <w:szCs w:val="24"/>
        </w:rPr>
        <w:t>(Accessed 23rd April 2024)</w:t>
      </w:r>
    </w:p>
    <w:p w14:paraId="676C2995" w14:textId="462EE5A0" w:rsidR="00371537" w:rsidRDefault="00371537" w:rsidP="002F0AB4">
      <w:pPr>
        <w:keepNext/>
        <w:spacing w:before="240" w:after="60"/>
        <w:ind w:right="237"/>
        <w:rPr>
          <w:sz w:val="24"/>
          <w:szCs w:val="24"/>
        </w:rPr>
      </w:pPr>
      <w:r w:rsidRPr="00371537">
        <w:rPr>
          <w:sz w:val="24"/>
          <w:szCs w:val="24"/>
        </w:rPr>
        <w:t xml:space="preserve">Ellison L (2002) Prosecuting domestic violence without victim participation. </w:t>
      </w:r>
      <w:r w:rsidRPr="00371537">
        <w:rPr>
          <w:i/>
          <w:iCs/>
          <w:sz w:val="24"/>
          <w:szCs w:val="24"/>
        </w:rPr>
        <w:t>The Modern Law Review</w:t>
      </w:r>
      <w:r w:rsidRPr="00371537">
        <w:rPr>
          <w:sz w:val="24"/>
          <w:szCs w:val="24"/>
        </w:rPr>
        <w:t xml:space="preserve"> 65(6): 834.</w:t>
      </w:r>
    </w:p>
    <w:p w14:paraId="04B01EEE" w14:textId="77777777" w:rsidR="00371537" w:rsidRDefault="00371537" w:rsidP="002F0AB4">
      <w:pPr>
        <w:keepNext/>
        <w:spacing w:before="240" w:after="60"/>
        <w:ind w:right="237"/>
        <w:rPr>
          <w:sz w:val="24"/>
          <w:szCs w:val="24"/>
        </w:rPr>
      </w:pPr>
    </w:p>
    <w:p w14:paraId="7DCDC58C" w14:textId="77777777" w:rsidR="002F0AB4" w:rsidRDefault="002F0AB4" w:rsidP="002F0AB4">
      <w:pPr>
        <w:keepNext/>
        <w:spacing w:before="240" w:after="60"/>
        <w:ind w:right="237"/>
        <w:rPr>
          <w:sz w:val="24"/>
          <w:szCs w:val="24"/>
        </w:rPr>
      </w:pPr>
    </w:p>
    <w:p w14:paraId="2EE64556" w14:textId="77777777" w:rsidR="002F0AB4" w:rsidRDefault="002F0AB4" w:rsidP="002F0AB4">
      <w:pPr>
        <w:keepNext/>
        <w:spacing w:before="240" w:after="60"/>
        <w:ind w:right="237"/>
        <w:rPr>
          <w:sz w:val="24"/>
          <w:szCs w:val="24"/>
        </w:rPr>
      </w:pPr>
    </w:p>
    <w:p w14:paraId="107D581C" w14:textId="77777777" w:rsidR="002F0AB4" w:rsidRDefault="002F0AB4" w:rsidP="002F0AB4">
      <w:pPr>
        <w:keepNext/>
        <w:spacing w:before="240" w:after="60"/>
        <w:ind w:right="237"/>
        <w:rPr>
          <w:sz w:val="24"/>
          <w:szCs w:val="24"/>
        </w:rPr>
      </w:pPr>
    </w:p>
    <w:p w14:paraId="19CAF6E6" w14:textId="77777777" w:rsidR="002F0AB4" w:rsidRDefault="002F0AB4" w:rsidP="002F0AB4">
      <w:pPr>
        <w:keepNext/>
        <w:spacing w:before="240" w:after="60"/>
        <w:ind w:right="237"/>
        <w:rPr>
          <w:sz w:val="24"/>
          <w:szCs w:val="24"/>
        </w:rPr>
      </w:pPr>
    </w:p>
    <w:p w14:paraId="1DA5A86B" w14:textId="77777777" w:rsidR="002F0AB4" w:rsidRDefault="002F0AB4" w:rsidP="002F0AB4">
      <w:pPr>
        <w:keepNext/>
        <w:spacing w:before="240" w:after="60"/>
        <w:ind w:right="237"/>
        <w:rPr>
          <w:sz w:val="24"/>
          <w:szCs w:val="24"/>
        </w:rPr>
      </w:pPr>
    </w:p>
    <w:p w14:paraId="24AAFA95" w14:textId="77777777" w:rsidR="002F0AB4" w:rsidRDefault="002F0AB4" w:rsidP="002F0AB4">
      <w:pPr>
        <w:keepNext/>
        <w:spacing w:before="240" w:after="60"/>
        <w:ind w:right="237"/>
        <w:rPr>
          <w:sz w:val="24"/>
          <w:szCs w:val="24"/>
        </w:rPr>
      </w:pPr>
    </w:p>
    <w:p w14:paraId="395DEB71" w14:textId="77777777" w:rsidR="002F0AB4" w:rsidRDefault="002F0AB4" w:rsidP="002F0AB4">
      <w:pPr>
        <w:keepNext/>
        <w:spacing w:before="240" w:after="60"/>
        <w:ind w:right="237"/>
        <w:rPr>
          <w:sz w:val="24"/>
          <w:szCs w:val="24"/>
        </w:rPr>
      </w:pPr>
    </w:p>
    <w:p w14:paraId="76872390" w14:textId="4E5BF8A0" w:rsidR="0047489E" w:rsidRDefault="0047489E" w:rsidP="002F0AB4">
      <w:pPr>
        <w:keepNext/>
        <w:spacing w:before="240" w:after="60"/>
        <w:ind w:right="237"/>
        <w:rPr>
          <w:sz w:val="24"/>
          <w:szCs w:val="24"/>
        </w:rPr>
      </w:pPr>
      <w:r>
        <w:rPr>
          <w:sz w:val="24"/>
          <w:szCs w:val="24"/>
        </w:rPr>
        <w:t>Home office (2013) Supporting vulnerable people who encounter the police: A strategic guide for police forces and their partners the issues. [online] Available</w:t>
      </w:r>
      <w:r w:rsidR="00964906">
        <w:rPr>
          <w:sz w:val="24"/>
          <w:szCs w:val="24"/>
        </w:rPr>
        <w:t xml:space="preserve"> at: </w:t>
      </w:r>
      <w:hyperlink r:id="rId26" w:history="1">
        <w:r w:rsidR="00964906" w:rsidRPr="00907BC6">
          <w:rPr>
            <w:rStyle w:val="Hyperlink"/>
            <w:sz w:val="24"/>
            <w:szCs w:val="24"/>
          </w:rPr>
          <w:t>https://assets.publishing.service.gov.uk/media/5a81597440f0b629d33/6.379_Supporting_guidance_web_doc_v3.pdf</w:t>
        </w:r>
      </w:hyperlink>
      <w:r>
        <w:rPr>
          <w:sz w:val="24"/>
          <w:szCs w:val="24"/>
        </w:rPr>
        <w:t xml:space="preserve"> </w:t>
      </w:r>
    </w:p>
    <w:p w14:paraId="3EBE68B6" w14:textId="4B386405" w:rsidR="00371537" w:rsidRDefault="00371537" w:rsidP="002F0AB4">
      <w:pPr>
        <w:keepNext/>
        <w:spacing w:before="240" w:after="60"/>
        <w:ind w:right="237"/>
        <w:rPr>
          <w:sz w:val="24"/>
          <w:szCs w:val="24"/>
        </w:rPr>
      </w:pPr>
      <w:r w:rsidRPr="00371537">
        <w:rPr>
          <w:sz w:val="24"/>
          <w:szCs w:val="24"/>
        </w:rPr>
        <w:t>Ho, N.G. (2022). Children – the hidden or direct victims of domestic abuse? Journal of Social Welfare and Family Law, 44(4), pp.1–17. doi:https://doi.org/10.1080/09649069.2022.2136711</w:t>
      </w:r>
    </w:p>
    <w:p w14:paraId="31C8804C" w14:textId="219041FE" w:rsidR="00541357" w:rsidRDefault="00541357" w:rsidP="002F0AB4">
      <w:pPr>
        <w:keepNext/>
        <w:spacing w:before="240" w:after="60"/>
        <w:ind w:right="237"/>
        <w:rPr>
          <w:sz w:val="24"/>
          <w:szCs w:val="24"/>
        </w:rPr>
      </w:pPr>
      <w:r w:rsidRPr="00541357">
        <w:rPr>
          <w:sz w:val="24"/>
          <w:szCs w:val="24"/>
        </w:rPr>
        <w:t>Johannes Knutsson and Tompson, L. (2017). Advances in evidence-based policing. London ; New York: Routledge, Taylor &amp; Francis Group.</w:t>
      </w:r>
    </w:p>
    <w:p w14:paraId="5F38051E" w14:textId="214F33DF" w:rsidR="004334EB" w:rsidRPr="003939D4" w:rsidRDefault="004334EB" w:rsidP="002F0AB4">
      <w:pPr>
        <w:keepNext/>
        <w:spacing w:before="240" w:after="60"/>
        <w:ind w:right="237"/>
        <w:rPr>
          <w:sz w:val="24"/>
          <w:szCs w:val="24"/>
        </w:rPr>
      </w:pPr>
      <w:r>
        <w:rPr>
          <w:sz w:val="24"/>
          <w:szCs w:val="24"/>
        </w:rPr>
        <w:t xml:space="preserve">K Pease (2002) Crime Reduction on M Maguire R Morgan R Reiner (eds.) The Oxford Handbook of Criminology OUP, Oxford: 947-979 </w:t>
      </w:r>
    </w:p>
    <w:p w14:paraId="31C46539" w14:textId="318CC6BB" w:rsidR="00301904" w:rsidRDefault="00301904" w:rsidP="002F0AB4">
      <w:pPr>
        <w:keepNext/>
        <w:spacing w:before="240" w:after="60"/>
        <w:ind w:right="237"/>
        <w:rPr>
          <w:sz w:val="24"/>
          <w:szCs w:val="24"/>
        </w:rPr>
      </w:pPr>
      <w:r w:rsidRPr="001742A6">
        <w:rPr>
          <w:sz w:val="24"/>
          <w:szCs w:val="24"/>
        </w:rPr>
        <w:t>Kusminder Chahal (2017). Supporting victims of hate crime : a practitioner guide. Bristol: Policy Press.</w:t>
      </w:r>
    </w:p>
    <w:p w14:paraId="079A2441" w14:textId="75E5F688" w:rsidR="00ED18A1" w:rsidRDefault="00ED18A1" w:rsidP="002F0AB4">
      <w:pPr>
        <w:keepNext/>
        <w:spacing w:before="240" w:after="60"/>
        <w:ind w:right="237"/>
        <w:rPr>
          <w:sz w:val="24"/>
          <w:szCs w:val="24"/>
        </w:rPr>
      </w:pPr>
      <w:r w:rsidRPr="00ED18A1">
        <w:rPr>
          <w:sz w:val="24"/>
          <w:szCs w:val="24"/>
        </w:rPr>
        <w:t xml:space="preserve">Language barriers in the criminal justice system Initial research findings relating to victims and witnesses. (n.d.). Available at: </w:t>
      </w:r>
      <w:hyperlink r:id="rId27" w:history="1">
        <w:r w:rsidRPr="00907BC6">
          <w:rPr>
            <w:rStyle w:val="Hyperlink"/>
            <w:sz w:val="24"/>
            <w:szCs w:val="24"/>
          </w:rPr>
          <w:t>https://www.victimsupport.org.uk/wp-</w:t>
        </w:r>
        <w:r w:rsidRPr="00907BC6">
          <w:rPr>
            <w:rStyle w:val="Hyperlink"/>
            <w:sz w:val="24"/>
            <w:szCs w:val="24"/>
          </w:rPr>
          <w:lastRenderedPageBreak/>
          <w:t>content/uploads/2021/03/VS_Briefing_VictimsLanguageBarriersintheCJS_February2021.pdf</w:t>
        </w:r>
      </w:hyperlink>
      <w:r w:rsidRPr="00ED18A1">
        <w:rPr>
          <w:sz w:val="24"/>
          <w:szCs w:val="24"/>
        </w:rPr>
        <w:t>.</w:t>
      </w:r>
      <w:r>
        <w:rPr>
          <w:sz w:val="24"/>
          <w:szCs w:val="24"/>
        </w:rPr>
        <w:t xml:space="preserve"> </w:t>
      </w:r>
    </w:p>
    <w:p w14:paraId="499A5BF5" w14:textId="6ADB35D7" w:rsidR="00424DA9" w:rsidRDefault="00424DA9" w:rsidP="002F0AB4">
      <w:pPr>
        <w:keepNext/>
        <w:spacing w:before="240" w:after="60"/>
        <w:ind w:right="237"/>
        <w:rPr>
          <w:sz w:val="24"/>
          <w:szCs w:val="24"/>
        </w:rPr>
      </w:pPr>
      <w:r w:rsidRPr="00424DA9">
        <w:rPr>
          <w:sz w:val="24"/>
          <w:szCs w:val="24"/>
        </w:rPr>
        <w:t xml:space="preserve">Laura Boulton, Rebecca Phythian, Stuart Kirby, Ian Dawson, Taking an Evidence-Based Approach to Evidence-Based Policing Research, Policing: A Journal of Policy and Practice, Volume 15, Issue 2, June 2021, Pages 1290–1305, </w:t>
      </w:r>
      <w:hyperlink r:id="rId28" w:history="1">
        <w:r w:rsidRPr="00907BC6">
          <w:rPr>
            <w:rStyle w:val="Hyperlink"/>
            <w:sz w:val="24"/>
            <w:szCs w:val="24"/>
          </w:rPr>
          <w:t>https://doi.org/10.1093/police/paaa057</w:t>
        </w:r>
      </w:hyperlink>
      <w:r>
        <w:rPr>
          <w:sz w:val="24"/>
          <w:szCs w:val="24"/>
        </w:rPr>
        <w:t xml:space="preserve"> </w:t>
      </w:r>
    </w:p>
    <w:p w14:paraId="63A96735" w14:textId="7B9E9B0B" w:rsidR="00371537" w:rsidRDefault="00371537" w:rsidP="002F0AB4">
      <w:pPr>
        <w:keepNext/>
        <w:spacing w:before="240" w:after="60"/>
        <w:ind w:right="237"/>
        <w:rPr>
          <w:sz w:val="24"/>
          <w:szCs w:val="24"/>
        </w:rPr>
      </w:pPr>
      <w:r w:rsidRPr="00371537">
        <w:rPr>
          <w:sz w:val="24"/>
          <w:szCs w:val="24"/>
        </w:rPr>
        <w:t>Porter, A. (2018). Prosecuting Domestic Abuse in England and Wales: Crown Prosecution Service ‘Working Practice’ and New Public Managerialism. Social &amp; Legal Studies, 28(4), pp.493–516. doi:https://doi.org/10.1177/0964663918796699.</w:t>
      </w:r>
      <w:r>
        <w:rPr>
          <w:sz w:val="24"/>
          <w:szCs w:val="24"/>
        </w:rPr>
        <w:t xml:space="preserve">  </w:t>
      </w:r>
    </w:p>
    <w:p w14:paraId="57DBA7D2" w14:textId="4AAFEC99" w:rsidR="00F06E4B" w:rsidRDefault="00F06E4B" w:rsidP="002F0AB4">
      <w:pPr>
        <w:keepNext/>
        <w:spacing w:before="240" w:after="60"/>
        <w:ind w:right="237"/>
        <w:rPr>
          <w:sz w:val="24"/>
          <w:szCs w:val="24"/>
        </w:rPr>
      </w:pPr>
      <w:r w:rsidRPr="00F06E4B">
        <w:rPr>
          <w:sz w:val="24"/>
          <w:szCs w:val="24"/>
        </w:rPr>
        <w:t xml:space="preserve">Ministry of Justice. (n.d.). Reducing reoffending. [online] Available at: </w:t>
      </w:r>
      <w:hyperlink r:id="rId29" w:anchor=":~:text=The%20key%20to%20reducing%20reoffending" w:history="1">
        <w:r w:rsidRPr="00907BC6">
          <w:rPr>
            <w:rStyle w:val="Hyperlink"/>
            <w:sz w:val="24"/>
            <w:szCs w:val="24"/>
          </w:rPr>
          <w:t>https://jobs.justice.gov.uk/role/reducing-reoffending/#:~:text=The%20key%20to%20reducing%20reoffending</w:t>
        </w:r>
      </w:hyperlink>
      <w:r w:rsidRPr="00F06E4B">
        <w:rPr>
          <w:sz w:val="24"/>
          <w:szCs w:val="24"/>
        </w:rPr>
        <w:t>.</w:t>
      </w:r>
      <w:r>
        <w:rPr>
          <w:sz w:val="24"/>
          <w:szCs w:val="24"/>
        </w:rPr>
        <w:t xml:space="preserve"> </w:t>
      </w:r>
    </w:p>
    <w:p w14:paraId="1FD39AB4" w14:textId="6C1F3AAB" w:rsidR="00371537" w:rsidRDefault="00371537" w:rsidP="002F0AB4">
      <w:pPr>
        <w:keepNext/>
        <w:spacing w:before="240" w:after="60"/>
        <w:ind w:right="237"/>
        <w:rPr>
          <w:sz w:val="24"/>
          <w:szCs w:val="24"/>
        </w:rPr>
      </w:pPr>
      <w:r w:rsidRPr="00371537">
        <w:rPr>
          <w:sz w:val="24"/>
          <w:szCs w:val="24"/>
        </w:rPr>
        <w:t>Myhill, A., Hohl, K. and Johnson, K. (2023). The ‘officer effect’ in risk assessment for domestic abuse: Findings from a mixed methods study in England and Wales.</w:t>
      </w:r>
      <w:r w:rsidR="002F0AB4">
        <w:rPr>
          <w:sz w:val="24"/>
          <w:szCs w:val="24"/>
        </w:rPr>
        <w:t xml:space="preserve"> </w:t>
      </w:r>
      <w:r w:rsidRPr="00371537">
        <w:rPr>
          <w:i/>
          <w:iCs/>
          <w:sz w:val="24"/>
          <w:szCs w:val="24"/>
        </w:rPr>
        <w:t>European Journal of Criminology</w:t>
      </w:r>
      <w:r w:rsidRPr="00371537">
        <w:rPr>
          <w:sz w:val="24"/>
          <w:szCs w:val="24"/>
        </w:rPr>
        <w:t>, [online] 20(3), p.147737082311563. doi:https://doi.org/10.1177/14773708231156331.</w:t>
      </w:r>
    </w:p>
    <w:p w14:paraId="135FFBFC" w14:textId="0CB95996" w:rsidR="001B4203" w:rsidRDefault="001B4203" w:rsidP="002F0AB4">
      <w:pPr>
        <w:keepNext/>
        <w:spacing w:before="240" w:after="60"/>
        <w:ind w:right="237"/>
        <w:rPr>
          <w:sz w:val="24"/>
          <w:szCs w:val="24"/>
        </w:rPr>
      </w:pPr>
      <w:r w:rsidRPr="001B4203">
        <w:rPr>
          <w:i/>
          <w:iCs/>
          <w:sz w:val="24"/>
          <w:szCs w:val="24"/>
        </w:rPr>
        <w:t>Offences Against the Person Act 1861</w:t>
      </w:r>
      <w:r w:rsidRPr="001B4203">
        <w:rPr>
          <w:sz w:val="24"/>
          <w:szCs w:val="24"/>
        </w:rPr>
        <w:t xml:space="preserve">. Available at: </w:t>
      </w:r>
      <w:hyperlink r:id="rId30" w:history="1">
        <w:r w:rsidRPr="00E258E3">
          <w:rPr>
            <w:rStyle w:val="Hyperlink"/>
            <w:sz w:val="24"/>
            <w:szCs w:val="24"/>
          </w:rPr>
          <w:t>https://www.legislation.gov.uk/ukpga/Vict/24-25/100/contents</w:t>
        </w:r>
      </w:hyperlink>
      <w:r>
        <w:rPr>
          <w:sz w:val="24"/>
          <w:szCs w:val="24"/>
        </w:rPr>
        <w:t xml:space="preserve"> (Accessed 27th of February 2024)</w:t>
      </w:r>
    </w:p>
    <w:p w14:paraId="6B1CB32D" w14:textId="2F58E957" w:rsidR="00371537" w:rsidRDefault="00371537" w:rsidP="002F0AB4">
      <w:pPr>
        <w:keepNext/>
        <w:spacing w:before="240" w:after="60"/>
        <w:ind w:right="237"/>
        <w:rPr>
          <w:sz w:val="24"/>
          <w:szCs w:val="24"/>
        </w:rPr>
      </w:pPr>
      <w:r w:rsidRPr="00371537">
        <w:rPr>
          <w:sz w:val="24"/>
          <w:szCs w:val="24"/>
        </w:rPr>
        <w:t>Robinson, A.L. (2006). Reducing Repeat Victimization Among High-Risk Victims of Domestic Violence. Violence Against Women, 12(8), pp.761–788. doi:https://doi.org/10.1177/1077801206291477.</w:t>
      </w:r>
      <w:r>
        <w:rPr>
          <w:sz w:val="24"/>
          <w:szCs w:val="24"/>
        </w:rPr>
        <w:t xml:space="preserve"> </w:t>
      </w:r>
    </w:p>
    <w:p w14:paraId="037449B7" w14:textId="4BEF4BB5" w:rsidR="0001195E" w:rsidRDefault="0001195E" w:rsidP="002F0AB4">
      <w:pPr>
        <w:keepNext/>
        <w:spacing w:before="240" w:after="60"/>
        <w:ind w:right="237"/>
        <w:rPr>
          <w:sz w:val="24"/>
          <w:szCs w:val="24"/>
        </w:rPr>
      </w:pPr>
      <w:r w:rsidRPr="0001195E">
        <w:rPr>
          <w:i/>
          <w:iCs/>
          <w:sz w:val="24"/>
          <w:szCs w:val="24"/>
        </w:rPr>
        <w:t>The Sentencing Act 2020</w:t>
      </w:r>
      <w:r>
        <w:rPr>
          <w:sz w:val="24"/>
          <w:szCs w:val="24"/>
        </w:rPr>
        <w:t xml:space="preserve">. Available at: </w:t>
      </w:r>
      <w:hyperlink r:id="rId31" w:history="1">
        <w:r w:rsidRPr="00E258E3">
          <w:rPr>
            <w:rStyle w:val="Hyperlink"/>
            <w:sz w:val="24"/>
            <w:szCs w:val="24"/>
          </w:rPr>
          <w:t>https://www.legislation.gov.uk/ukpga/2020/17/contents</w:t>
        </w:r>
      </w:hyperlink>
      <w:r>
        <w:rPr>
          <w:sz w:val="24"/>
          <w:szCs w:val="24"/>
        </w:rPr>
        <w:t xml:space="preserve"> (Accessed 27th of February 2024)</w:t>
      </w:r>
    </w:p>
    <w:p w14:paraId="77667447" w14:textId="562349B6" w:rsidR="0052508B" w:rsidRDefault="0052508B" w:rsidP="002F0AB4">
      <w:pPr>
        <w:keepNext/>
        <w:spacing w:before="240" w:after="60"/>
        <w:ind w:right="237"/>
        <w:rPr>
          <w:sz w:val="24"/>
          <w:szCs w:val="24"/>
        </w:rPr>
      </w:pPr>
      <w:r w:rsidRPr="0052508B">
        <w:rPr>
          <w:sz w:val="24"/>
          <w:szCs w:val="24"/>
        </w:rPr>
        <w:t>SIN, C.H., SHEIKH, S. and KHANNA, M., 2012. Police readiness for tackling hate crime against people with learning disabilities - areas for improvement and examples of good practice. Safer Communities, 11(3), pp. 145-153.</w:t>
      </w:r>
    </w:p>
    <w:p w14:paraId="2A7AABCD" w14:textId="56F30EB1" w:rsidR="00023D40" w:rsidRDefault="00023D40" w:rsidP="002F0AB4">
      <w:pPr>
        <w:keepNext/>
        <w:spacing w:before="240" w:after="60"/>
        <w:ind w:right="237"/>
        <w:rPr>
          <w:sz w:val="24"/>
          <w:szCs w:val="24"/>
        </w:rPr>
      </w:pPr>
      <w:r w:rsidRPr="00023D40">
        <w:rPr>
          <w:sz w:val="24"/>
          <w:szCs w:val="24"/>
        </w:rPr>
        <w:t>Victim Support (2022). How can crime affect you? [online] Victim Support. Available at:https://www.victimsupport.org.uk/help-and-support/coping-crime/how-can-crime-affect-you/</w:t>
      </w:r>
      <w:r w:rsidR="00693E60">
        <w:rPr>
          <w:sz w:val="24"/>
          <w:szCs w:val="24"/>
        </w:rPr>
        <w:t xml:space="preserve">. </w:t>
      </w:r>
    </w:p>
    <w:p w14:paraId="26279286" w14:textId="29D8DF48" w:rsidR="005972AB" w:rsidRPr="00023D40" w:rsidRDefault="005972AB" w:rsidP="002F0AB4">
      <w:pPr>
        <w:keepNext/>
        <w:spacing w:before="240" w:after="60"/>
        <w:ind w:right="237"/>
        <w:rPr>
          <w:sz w:val="24"/>
          <w:szCs w:val="24"/>
        </w:rPr>
      </w:pPr>
      <w:r w:rsidRPr="005972AB">
        <w:rPr>
          <w:sz w:val="24"/>
          <w:szCs w:val="24"/>
        </w:rPr>
        <w:t>Von Hirsch A and others. (1999). 'Criminal Deterrence and Sentence Severity'. Oxford: Hart Publishing.</w:t>
      </w:r>
    </w:p>
    <w:p w14:paraId="692E7650" w14:textId="1E209238" w:rsidR="00C12718" w:rsidRPr="001742A6" w:rsidRDefault="00C12718" w:rsidP="002F0AB4">
      <w:pPr>
        <w:keepNext/>
        <w:spacing w:before="240" w:after="60"/>
        <w:ind w:right="237"/>
        <w:rPr>
          <w:sz w:val="24"/>
          <w:szCs w:val="24"/>
        </w:rPr>
      </w:pPr>
      <w:bookmarkStart w:id="4" w:name="_Hlk157358734"/>
      <w:r w:rsidRPr="00C12718">
        <w:rPr>
          <w:sz w:val="24"/>
          <w:szCs w:val="24"/>
        </w:rPr>
        <w:t xml:space="preserve">Vulnerability Knowledge and Practice Programme. (n.d.). National Vulnerability Action Plan (NVAP) by VKPP. [online] Available at: </w:t>
      </w:r>
      <w:hyperlink r:id="rId32" w:history="1">
        <w:r w:rsidR="00693E60" w:rsidRPr="00E258E3">
          <w:rPr>
            <w:rStyle w:val="Hyperlink"/>
            <w:sz w:val="24"/>
            <w:szCs w:val="24"/>
          </w:rPr>
          <w:t>https://www.vkpp.org.uk/vkpp-work/national-vulnerability-action-plan-nvap/</w:t>
        </w:r>
      </w:hyperlink>
      <w:r w:rsidRPr="00C12718">
        <w:rPr>
          <w:sz w:val="24"/>
          <w:szCs w:val="24"/>
        </w:rPr>
        <w:t>.</w:t>
      </w:r>
      <w:r w:rsidR="00693E60">
        <w:rPr>
          <w:sz w:val="24"/>
          <w:szCs w:val="24"/>
        </w:rPr>
        <w:t xml:space="preserve"> </w:t>
      </w:r>
    </w:p>
    <w:bookmarkEnd w:id="4"/>
    <w:p w14:paraId="1CCAC610" w14:textId="2770DADA" w:rsidR="00B11976" w:rsidRDefault="00B11976" w:rsidP="00B11976">
      <w:pPr>
        <w:keepNext/>
        <w:spacing w:before="240" w:after="60"/>
        <w:ind w:right="237"/>
        <w:jc w:val="both"/>
      </w:pPr>
    </w:p>
    <w:sectPr w:rsidR="00B1197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FE0"/>
    <w:rsid w:val="000045B8"/>
    <w:rsid w:val="0001195E"/>
    <w:rsid w:val="00020EEC"/>
    <w:rsid w:val="000211C0"/>
    <w:rsid w:val="00023D40"/>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30C"/>
    <w:rsid w:val="00093720"/>
    <w:rsid w:val="000938E6"/>
    <w:rsid w:val="00093B3C"/>
    <w:rsid w:val="000941A9"/>
    <w:rsid w:val="00094335"/>
    <w:rsid w:val="0009488C"/>
    <w:rsid w:val="00095C1B"/>
    <w:rsid w:val="00096DEA"/>
    <w:rsid w:val="000A4240"/>
    <w:rsid w:val="000A469A"/>
    <w:rsid w:val="000A6FD8"/>
    <w:rsid w:val="000B0B44"/>
    <w:rsid w:val="000B1E96"/>
    <w:rsid w:val="000C378F"/>
    <w:rsid w:val="000C6892"/>
    <w:rsid w:val="000C6FFE"/>
    <w:rsid w:val="000D0BB6"/>
    <w:rsid w:val="000E26B0"/>
    <w:rsid w:val="000F1599"/>
    <w:rsid w:val="000F1769"/>
    <w:rsid w:val="000F6196"/>
    <w:rsid w:val="000F7ECD"/>
    <w:rsid w:val="00102418"/>
    <w:rsid w:val="00102E64"/>
    <w:rsid w:val="0010312C"/>
    <w:rsid w:val="00106DC7"/>
    <w:rsid w:val="00112391"/>
    <w:rsid w:val="00114F52"/>
    <w:rsid w:val="0012135C"/>
    <w:rsid w:val="00123A9F"/>
    <w:rsid w:val="00130E83"/>
    <w:rsid w:val="00133069"/>
    <w:rsid w:val="001347F8"/>
    <w:rsid w:val="00137BB5"/>
    <w:rsid w:val="00137E05"/>
    <w:rsid w:val="0014179A"/>
    <w:rsid w:val="001447F6"/>
    <w:rsid w:val="00147DE3"/>
    <w:rsid w:val="00150794"/>
    <w:rsid w:val="0015722F"/>
    <w:rsid w:val="001608C4"/>
    <w:rsid w:val="001664D0"/>
    <w:rsid w:val="00171418"/>
    <w:rsid w:val="001742A6"/>
    <w:rsid w:val="00190913"/>
    <w:rsid w:val="001961CF"/>
    <w:rsid w:val="001A59BB"/>
    <w:rsid w:val="001A5DC9"/>
    <w:rsid w:val="001A6A51"/>
    <w:rsid w:val="001A79C4"/>
    <w:rsid w:val="001B286D"/>
    <w:rsid w:val="001B331A"/>
    <w:rsid w:val="001B4203"/>
    <w:rsid w:val="001C0E74"/>
    <w:rsid w:val="001C6CEC"/>
    <w:rsid w:val="001D229F"/>
    <w:rsid w:val="001D6162"/>
    <w:rsid w:val="001E53B2"/>
    <w:rsid w:val="001E6FAD"/>
    <w:rsid w:val="001E7592"/>
    <w:rsid w:val="001F3878"/>
    <w:rsid w:val="001F4552"/>
    <w:rsid w:val="00200D7A"/>
    <w:rsid w:val="002019EB"/>
    <w:rsid w:val="002030F2"/>
    <w:rsid w:val="00205051"/>
    <w:rsid w:val="00211F65"/>
    <w:rsid w:val="00213A97"/>
    <w:rsid w:val="0021564C"/>
    <w:rsid w:val="0022001B"/>
    <w:rsid w:val="00220D06"/>
    <w:rsid w:val="002219BA"/>
    <w:rsid w:val="002246A0"/>
    <w:rsid w:val="00224AF9"/>
    <w:rsid w:val="00230439"/>
    <w:rsid w:val="00235176"/>
    <w:rsid w:val="00236061"/>
    <w:rsid w:val="0024100E"/>
    <w:rsid w:val="00241C1B"/>
    <w:rsid w:val="002423B2"/>
    <w:rsid w:val="0024288B"/>
    <w:rsid w:val="00244E73"/>
    <w:rsid w:val="00246B17"/>
    <w:rsid w:val="00247740"/>
    <w:rsid w:val="00255D8E"/>
    <w:rsid w:val="00264E5F"/>
    <w:rsid w:val="002657E9"/>
    <w:rsid w:val="0026665E"/>
    <w:rsid w:val="00266B3E"/>
    <w:rsid w:val="002672F6"/>
    <w:rsid w:val="00270363"/>
    <w:rsid w:val="00270EEB"/>
    <w:rsid w:val="0027147E"/>
    <w:rsid w:val="00272EA6"/>
    <w:rsid w:val="00274DE8"/>
    <w:rsid w:val="002759F9"/>
    <w:rsid w:val="002761F4"/>
    <w:rsid w:val="002775E1"/>
    <w:rsid w:val="00277979"/>
    <w:rsid w:val="002808EB"/>
    <w:rsid w:val="0028095D"/>
    <w:rsid w:val="00291ADD"/>
    <w:rsid w:val="00294868"/>
    <w:rsid w:val="00295CA1"/>
    <w:rsid w:val="002A291A"/>
    <w:rsid w:val="002A5604"/>
    <w:rsid w:val="002A6498"/>
    <w:rsid w:val="002B1701"/>
    <w:rsid w:val="002B23C3"/>
    <w:rsid w:val="002B443A"/>
    <w:rsid w:val="002B5B35"/>
    <w:rsid w:val="002C256A"/>
    <w:rsid w:val="002C37AC"/>
    <w:rsid w:val="002C496D"/>
    <w:rsid w:val="002D05EB"/>
    <w:rsid w:val="002D2F29"/>
    <w:rsid w:val="002D2FD3"/>
    <w:rsid w:val="002D3EC9"/>
    <w:rsid w:val="002E7017"/>
    <w:rsid w:val="002F0AB4"/>
    <w:rsid w:val="002F4F6E"/>
    <w:rsid w:val="003015C3"/>
    <w:rsid w:val="00301904"/>
    <w:rsid w:val="0030698D"/>
    <w:rsid w:val="003109BE"/>
    <w:rsid w:val="0031350A"/>
    <w:rsid w:val="00314B0F"/>
    <w:rsid w:val="00316815"/>
    <w:rsid w:val="003168CA"/>
    <w:rsid w:val="003207A1"/>
    <w:rsid w:val="00321255"/>
    <w:rsid w:val="0032230D"/>
    <w:rsid w:val="00322A0B"/>
    <w:rsid w:val="00326972"/>
    <w:rsid w:val="00332F54"/>
    <w:rsid w:val="00335FC5"/>
    <w:rsid w:val="00340E9A"/>
    <w:rsid w:val="003471BB"/>
    <w:rsid w:val="003516C0"/>
    <w:rsid w:val="00352E59"/>
    <w:rsid w:val="00354DBE"/>
    <w:rsid w:val="00355210"/>
    <w:rsid w:val="003555D5"/>
    <w:rsid w:val="00365DF9"/>
    <w:rsid w:val="0036668D"/>
    <w:rsid w:val="00371537"/>
    <w:rsid w:val="00372DB4"/>
    <w:rsid w:val="0037490C"/>
    <w:rsid w:val="00375AF5"/>
    <w:rsid w:val="003761BD"/>
    <w:rsid w:val="003769F6"/>
    <w:rsid w:val="00385414"/>
    <w:rsid w:val="00390074"/>
    <w:rsid w:val="003939D4"/>
    <w:rsid w:val="00394EC2"/>
    <w:rsid w:val="0039762B"/>
    <w:rsid w:val="003A0C37"/>
    <w:rsid w:val="003A1B6B"/>
    <w:rsid w:val="003A2F82"/>
    <w:rsid w:val="003A46C0"/>
    <w:rsid w:val="003A600E"/>
    <w:rsid w:val="003A6513"/>
    <w:rsid w:val="003B16C7"/>
    <w:rsid w:val="003B2AAF"/>
    <w:rsid w:val="003C19F1"/>
    <w:rsid w:val="003C4186"/>
    <w:rsid w:val="003C458C"/>
    <w:rsid w:val="003C6185"/>
    <w:rsid w:val="003D0D2D"/>
    <w:rsid w:val="003D207B"/>
    <w:rsid w:val="003D4710"/>
    <w:rsid w:val="003D67E9"/>
    <w:rsid w:val="003E16D7"/>
    <w:rsid w:val="003E197E"/>
    <w:rsid w:val="003E1C3B"/>
    <w:rsid w:val="003F7418"/>
    <w:rsid w:val="004034DF"/>
    <w:rsid w:val="004046F0"/>
    <w:rsid w:val="0040668F"/>
    <w:rsid w:val="00412677"/>
    <w:rsid w:val="00417925"/>
    <w:rsid w:val="00424DA9"/>
    <w:rsid w:val="004334EB"/>
    <w:rsid w:val="004348AE"/>
    <w:rsid w:val="00435E9A"/>
    <w:rsid w:val="004367FA"/>
    <w:rsid w:val="004376C0"/>
    <w:rsid w:val="00437BAC"/>
    <w:rsid w:val="00440557"/>
    <w:rsid w:val="0044115F"/>
    <w:rsid w:val="0044223A"/>
    <w:rsid w:val="0044421C"/>
    <w:rsid w:val="00446792"/>
    <w:rsid w:val="00446F80"/>
    <w:rsid w:val="00450C83"/>
    <w:rsid w:val="00451851"/>
    <w:rsid w:val="00453343"/>
    <w:rsid w:val="004608B9"/>
    <w:rsid w:val="00460ADB"/>
    <w:rsid w:val="00465947"/>
    <w:rsid w:val="004672C1"/>
    <w:rsid w:val="00470BB1"/>
    <w:rsid w:val="004718F7"/>
    <w:rsid w:val="00473153"/>
    <w:rsid w:val="004743AF"/>
    <w:rsid w:val="0047489E"/>
    <w:rsid w:val="00482C17"/>
    <w:rsid w:val="004911B4"/>
    <w:rsid w:val="0049196A"/>
    <w:rsid w:val="004923DA"/>
    <w:rsid w:val="00493434"/>
    <w:rsid w:val="00494BE0"/>
    <w:rsid w:val="004962F9"/>
    <w:rsid w:val="004968E2"/>
    <w:rsid w:val="004A07F1"/>
    <w:rsid w:val="004A14C4"/>
    <w:rsid w:val="004A19FE"/>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CC4"/>
    <w:rsid w:val="00510D6A"/>
    <w:rsid w:val="00513C7D"/>
    <w:rsid w:val="005169D1"/>
    <w:rsid w:val="00521123"/>
    <w:rsid w:val="00521221"/>
    <w:rsid w:val="0052508B"/>
    <w:rsid w:val="00533F56"/>
    <w:rsid w:val="00536FA9"/>
    <w:rsid w:val="00541357"/>
    <w:rsid w:val="005414F4"/>
    <w:rsid w:val="00542BFE"/>
    <w:rsid w:val="00546187"/>
    <w:rsid w:val="005463F1"/>
    <w:rsid w:val="005510F6"/>
    <w:rsid w:val="00557D77"/>
    <w:rsid w:val="00562EAA"/>
    <w:rsid w:val="00563B58"/>
    <w:rsid w:val="005640C4"/>
    <w:rsid w:val="00564C53"/>
    <w:rsid w:val="0056684C"/>
    <w:rsid w:val="005724BC"/>
    <w:rsid w:val="00574A0C"/>
    <w:rsid w:val="00576E4C"/>
    <w:rsid w:val="0057780F"/>
    <w:rsid w:val="00581E0A"/>
    <w:rsid w:val="00582870"/>
    <w:rsid w:val="00586D89"/>
    <w:rsid w:val="005916B8"/>
    <w:rsid w:val="00593D00"/>
    <w:rsid w:val="005949DC"/>
    <w:rsid w:val="005972AB"/>
    <w:rsid w:val="005A1B4C"/>
    <w:rsid w:val="005A1BA3"/>
    <w:rsid w:val="005A390E"/>
    <w:rsid w:val="005A3E49"/>
    <w:rsid w:val="005A545C"/>
    <w:rsid w:val="005B68BE"/>
    <w:rsid w:val="005C1567"/>
    <w:rsid w:val="005C6CE5"/>
    <w:rsid w:val="005C76DE"/>
    <w:rsid w:val="005D3F07"/>
    <w:rsid w:val="005D583E"/>
    <w:rsid w:val="005E13EA"/>
    <w:rsid w:val="005E53BD"/>
    <w:rsid w:val="005F1122"/>
    <w:rsid w:val="00606E27"/>
    <w:rsid w:val="006108C9"/>
    <w:rsid w:val="00615C7E"/>
    <w:rsid w:val="00620CC5"/>
    <w:rsid w:val="0062158D"/>
    <w:rsid w:val="00630F39"/>
    <w:rsid w:val="006326D1"/>
    <w:rsid w:val="00632E0A"/>
    <w:rsid w:val="00633165"/>
    <w:rsid w:val="00636B6C"/>
    <w:rsid w:val="006447DE"/>
    <w:rsid w:val="0065276E"/>
    <w:rsid w:val="00654329"/>
    <w:rsid w:val="00654CEC"/>
    <w:rsid w:val="00655507"/>
    <w:rsid w:val="0066341C"/>
    <w:rsid w:val="006712A7"/>
    <w:rsid w:val="006733CC"/>
    <w:rsid w:val="00674FC2"/>
    <w:rsid w:val="00677E42"/>
    <w:rsid w:val="00682334"/>
    <w:rsid w:val="00684B16"/>
    <w:rsid w:val="00693E60"/>
    <w:rsid w:val="00694C00"/>
    <w:rsid w:val="00696F65"/>
    <w:rsid w:val="006A22A0"/>
    <w:rsid w:val="006A7A6D"/>
    <w:rsid w:val="006B5E67"/>
    <w:rsid w:val="006C2EB5"/>
    <w:rsid w:val="006D1832"/>
    <w:rsid w:val="006D18A3"/>
    <w:rsid w:val="006D5970"/>
    <w:rsid w:val="006E481E"/>
    <w:rsid w:val="006E622A"/>
    <w:rsid w:val="006E795F"/>
    <w:rsid w:val="00700249"/>
    <w:rsid w:val="00700C3A"/>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5CCB"/>
    <w:rsid w:val="0075704F"/>
    <w:rsid w:val="00763B2D"/>
    <w:rsid w:val="00772924"/>
    <w:rsid w:val="00784EC4"/>
    <w:rsid w:val="007872F2"/>
    <w:rsid w:val="007874BC"/>
    <w:rsid w:val="007908E0"/>
    <w:rsid w:val="00793EB3"/>
    <w:rsid w:val="00794205"/>
    <w:rsid w:val="00797012"/>
    <w:rsid w:val="007A1F6A"/>
    <w:rsid w:val="007A6042"/>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1EF0"/>
    <w:rsid w:val="007F2DED"/>
    <w:rsid w:val="007F3F7E"/>
    <w:rsid w:val="007F5497"/>
    <w:rsid w:val="008121F9"/>
    <w:rsid w:val="00813CEC"/>
    <w:rsid w:val="0081534C"/>
    <w:rsid w:val="008171E4"/>
    <w:rsid w:val="008208EA"/>
    <w:rsid w:val="00821EBD"/>
    <w:rsid w:val="00824E67"/>
    <w:rsid w:val="00825A64"/>
    <w:rsid w:val="00826F48"/>
    <w:rsid w:val="008308AE"/>
    <w:rsid w:val="0083166E"/>
    <w:rsid w:val="00831DC3"/>
    <w:rsid w:val="008322C7"/>
    <w:rsid w:val="00834F1D"/>
    <w:rsid w:val="00834FC7"/>
    <w:rsid w:val="00836FEC"/>
    <w:rsid w:val="00841F9D"/>
    <w:rsid w:val="008420E1"/>
    <w:rsid w:val="00843D58"/>
    <w:rsid w:val="00843EBA"/>
    <w:rsid w:val="00844D98"/>
    <w:rsid w:val="00846D84"/>
    <w:rsid w:val="0085230E"/>
    <w:rsid w:val="0085355E"/>
    <w:rsid w:val="00854E2D"/>
    <w:rsid w:val="008550A1"/>
    <w:rsid w:val="00861035"/>
    <w:rsid w:val="00861038"/>
    <w:rsid w:val="00865008"/>
    <w:rsid w:val="00866B50"/>
    <w:rsid w:val="008708F1"/>
    <w:rsid w:val="00880539"/>
    <w:rsid w:val="008859E8"/>
    <w:rsid w:val="0088737B"/>
    <w:rsid w:val="00891515"/>
    <w:rsid w:val="00892716"/>
    <w:rsid w:val="00893067"/>
    <w:rsid w:val="008933DE"/>
    <w:rsid w:val="008954AF"/>
    <w:rsid w:val="00895FCE"/>
    <w:rsid w:val="00897F3E"/>
    <w:rsid w:val="008A1BA8"/>
    <w:rsid w:val="008A21B4"/>
    <w:rsid w:val="008A4576"/>
    <w:rsid w:val="008B07DE"/>
    <w:rsid w:val="008B28E7"/>
    <w:rsid w:val="008B557E"/>
    <w:rsid w:val="008C14C7"/>
    <w:rsid w:val="008C2FFB"/>
    <w:rsid w:val="008C6EEA"/>
    <w:rsid w:val="008D5813"/>
    <w:rsid w:val="008D634E"/>
    <w:rsid w:val="008D778A"/>
    <w:rsid w:val="008F22BD"/>
    <w:rsid w:val="009079BD"/>
    <w:rsid w:val="00912BD9"/>
    <w:rsid w:val="00916CFB"/>
    <w:rsid w:val="00920E5B"/>
    <w:rsid w:val="009213A1"/>
    <w:rsid w:val="009249F8"/>
    <w:rsid w:val="00926436"/>
    <w:rsid w:val="0093018C"/>
    <w:rsid w:val="009304F7"/>
    <w:rsid w:val="00932CCA"/>
    <w:rsid w:val="00934643"/>
    <w:rsid w:val="009544C0"/>
    <w:rsid w:val="00954FA4"/>
    <w:rsid w:val="00956AE9"/>
    <w:rsid w:val="00964906"/>
    <w:rsid w:val="00964CC6"/>
    <w:rsid w:val="00991FDA"/>
    <w:rsid w:val="009927A1"/>
    <w:rsid w:val="0099774D"/>
    <w:rsid w:val="009A310E"/>
    <w:rsid w:val="009A5F3B"/>
    <w:rsid w:val="009B0B61"/>
    <w:rsid w:val="009B28C0"/>
    <w:rsid w:val="009B395A"/>
    <w:rsid w:val="009B7136"/>
    <w:rsid w:val="009B7806"/>
    <w:rsid w:val="009B7DD3"/>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19AC"/>
    <w:rsid w:val="00A221AB"/>
    <w:rsid w:val="00A22441"/>
    <w:rsid w:val="00A23F3B"/>
    <w:rsid w:val="00A24406"/>
    <w:rsid w:val="00A25F64"/>
    <w:rsid w:val="00A27CC2"/>
    <w:rsid w:val="00A3096D"/>
    <w:rsid w:val="00A3273B"/>
    <w:rsid w:val="00A40ED6"/>
    <w:rsid w:val="00A470EE"/>
    <w:rsid w:val="00A47621"/>
    <w:rsid w:val="00A479CD"/>
    <w:rsid w:val="00A50AC0"/>
    <w:rsid w:val="00A50CFC"/>
    <w:rsid w:val="00A54D67"/>
    <w:rsid w:val="00A55A3F"/>
    <w:rsid w:val="00A56BC4"/>
    <w:rsid w:val="00A652F6"/>
    <w:rsid w:val="00A732EA"/>
    <w:rsid w:val="00A7489E"/>
    <w:rsid w:val="00A8015F"/>
    <w:rsid w:val="00A80BD2"/>
    <w:rsid w:val="00A84C7B"/>
    <w:rsid w:val="00A85039"/>
    <w:rsid w:val="00A851F7"/>
    <w:rsid w:val="00A906AA"/>
    <w:rsid w:val="00A94C5E"/>
    <w:rsid w:val="00AA241A"/>
    <w:rsid w:val="00AA252C"/>
    <w:rsid w:val="00AA666E"/>
    <w:rsid w:val="00AB5518"/>
    <w:rsid w:val="00AC01D4"/>
    <w:rsid w:val="00AC4A04"/>
    <w:rsid w:val="00AD336F"/>
    <w:rsid w:val="00AD3550"/>
    <w:rsid w:val="00AE1C74"/>
    <w:rsid w:val="00AE2564"/>
    <w:rsid w:val="00AE301F"/>
    <w:rsid w:val="00AE3302"/>
    <w:rsid w:val="00AE7077"/>
    <w:rsid w:val="00AF61C2"/>
    <w:rsid w:val="00AF6CC6"/>
    <w:rsid w:val="00B011CD"/>
    <w:rsid w:val="00B0296A"/>
    <w:rsid w:val="00B101E0"/>
    <w:rsid w:val="00B10694"/>
    <w:rsid w:val="00B11976"/>
    <w:rsid w:val="00B12295"/>
    <w:rsid w:val="00B137BE"/>
    <w:rsid w:val="00B17FA0"/>
    <w:rsid w:val="00B24344"/>
    <w:rsid w:val="00B26769"/>
    <w:rsid w:val="00B31C91"/>
    <w:rsid w:val="00B3747F"/>
    <w:rsid w:val="00B43194"/>
    <w:rsid w:val="00B43A21"/>
    <w:rsid w:val="00B47734"/>
    <w:rsid w:val="00B50FBA"/>
    <w:rsid w:val="00B51A89"/>
    <w:rsid w:val="00B558EB"/>
    <w:rsid w:val="00B577D3"/>
    <w:rsid w:val="00B60466"/>
    <w:rsid w:val="00B6548C"/>
    <w:rsid w:val="00B6548F"/>
    <w:rsid w:val="00B67426"/>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B7BA8"/>
    <w:rsid w:val="00BC0401"/>
    <w:rsid w:val="00BC04FA"/>
    <w:rsid w:val="00BC1C22"/>
    <w:rsid w:val="00BC460B"/>
    <w:rsid w:val="00BC5725"/>
    <w:rsid w:val="00BD30B1"/>
    <w:rsid w:val="00BE0F7B"/>
    <w:rsid w:val="00BE10C2"/>
    <w:rsid w:val="00BE5E1A"/>
    <w:rsid w:val="00C01D14"/>
    <w:rsid w:val="00C025B4"/>
    <w:rsid w:val="00C0275F"/>
    <w:rsid w:val="00C11F61"/>
    <w:rsid w:val="00C12718"/>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0D52"/>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35D9"/>
    <w:rsid w:val="00CA7F4F"/>
    <w:rsid w:val="00CB258E"/>
    <w:rsid w:val="00CB3C8F"/>
    <w:rsid w:val="00CB75CE"/>
    <w:rsid w:val="00CC02F1"/>
    <w:rsid w:val="00CC11A6"/>
    <w:rsid w:val="00CC135E"/>
    <w:rsid w:val="00CD40BE"/>
    <w:rsid w:val="00CD5D3F"/>
    <w:rsid w:val="00CE3A49"/>
    <w:rsid w:val="00CE6CF3"/>
    <w:rsid w:val="00CF1E90"/>
    <w:rsid w:val="00CF3DB3"/>
    <w:rsid w:val="00D052BC"/>
    <w:rsid w:val="00D07026"/>
    <w:rsid w:val="00D07BAB"/>
    <w:rsid w:val="00D1081B"/>
    <w:rsid w:val="00D11C62"/>
    <w:rsid w:val="00D22C8F"/>
    <w:rsid w:val="00D26AEF"/>
    <w:rsid w:val="00D33491"/>
    <w:rsid w:val="00D44F8E"/>
    <w:rsid w:val="00D44FD0"/>
    <w:rsid w:val="00D52E8E"/>
    <w:rsid w:val="00D5733C"/>
    <w:rsid w:val="00D607EF"/>
    <w:rsid w:val="00D60F88"/>
    <w:rsid w:val="00D625E7"/>
    <w:rsid w:val="00D646BD"/>
    <w:rsid w:val="00D70239"/>
    <w:rsid w:val="00D71201"/>
    <w:rsid w:val="00D720C7"/>
    <w:rsid w:val="00D77A04"/>
    <w:rsid w:val="00D81D06"/>
    <w:rsid w:val="00D855D4"/>
    <w:rsid w:val="00D8652C"/>
    <w:rsid w:val="00D876E6"/>
    <w:rsid w:val="00DA1025"/>
    <w:rsid w:val="00DA22EC"/>
    <w:rsid w:val="00DA3CF4"/>
    <w:rsid w:val="00DA5860"/>
    <w:rsid w:val="00DB12B9"/>
    <w:rsid w:val="00DB2767"/>
    <w:rsid w:val="00DC4729"/>
    <w:rsid w:val="00DD186D"/>
    <w:rsid w:val="00DE556F"/>
    <w:rsid w:val="00E03B6D"/>
    <w:rsid w:val="00E0649E"/>
    <w:rsid w:val="00E11C9E"/>
    <w:rsid w:val="00E17160"/>
    <w:rsid w:val="00E35BEC"/>
    <w:rsid w:val="00E3698E"/>
    <w:rsid w:val="00E50821"/>
    <w:rsid w:val="00E50EF8"/>
    <w:rsid w:val="00E51F91"/>
    <w:rsid w:val="00E52FEC"/>
    <w:rsid w:val="00E66315"/>
    <w:rsid w:val="00E676F7"/>
    <w:rsid w:val="00E7086E"/>
    <w:rsid w:val="00E7226F"/>
    <w:rsid w:val="00E7374A"/>
    <w:rsid w:val="00E73C41"/>
    <w:rsid w:val="00E7598F"/>
    <w:rsid w:val="00E76F60"/>
    <w:rsid w:val="00E83D90"/>
    <w:rsid w:val="00E83F28"/>
    <w:rsid w:val="00E83F91"/>
    <w:rsid w:val="00E90023"/>
    <w:rsid w:val="00E9107A"/>
    <w:rsid w:val="00E910C6"/>
    <w:rsid w:val="00E91F62"/>
    <w:rsid w:val="00E929FD"/>
    <w:rsid w:val="00E93240"/>
    <w:rsid w:val="00E9479B"/>
    <w:rsid w:val="00EA28F1"/>
    <w:rsid w:val="00EA4D48"/>
    <w:rsid w:val="00EB2173"/>
    <w:rsid w:val="00EB62E6"/>
    <w:rsid w:val="00ED18A1"/>
    <w:rsid w:val="00ED1B30"/>
    <w:rsid w:val="00ED250E"/>
    <w:rsid w:val="00ED6535"/>
    <w:rsid w:val="00EE1AC1"/>
    <w:rsid w:val="00EE39D6"/>
    <w:rsid w:val="00EE413C"/>
    <w:rsid w:val="00EE52AD"/>
    <w:rsid w:val="00F01F92"/>
    <w:rsid w:val="00F06E4B"/>
    <w:rsid w:val="00F10A08"/>
    <w:rsid w:val="00F139CF"/>
    <w:rsid w:val="00F22AC5"/>
    <w:rsid w:val="00F254D1"/>
    <w:rsid w:val="00F32B82"/>
    <w:rsid w:val="00F34D82"/>
    <w:rsid w:val="00F4043E"/>
    <w:rsid w:val="00F40CB5"/>
    <w:rsid w:val="00F41BBC"/>
    <w:rsid w:val="00F43B9D"/>
    <w:rsid w:val="00F444F0"/>
    <w:rsid w:val="00F50847"/>
    <w:rsid w:val="00F51F30"/>
    <w:rsid w:val="00F53F27"/>
    <w:rsid w:val="00F546D1"/>
    <w:rsid w:val="00F6513F"/>
    <w:rsid w:val="00F66272"/>
    <w:rsid w:val="00F6ACA0"/>
    <w:rsid w:val="00F709C0"/>
    <w:rsid w:val="00F7492C"/>
    <w:rsid w:val="00F8610A"/>
    <w:rsid w:val="00F927A1"/>
    <w:rsid w:val="00F92E4D"/>
    <w:rsid w:val="00F94392"/>
    <w:rsid w:val="00FA3764"/>
    <w:rsid w:val="00FA56ED"/>
    <w:rsid w:val="00FB05AC"/>
    <w:rsid w:val="00FB53E5"/>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5A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2508B"/>
    <w:rPr>
      <w:color w:val="605E5C"/>
      <w:shd w:val="clear" w:color="auto" w:fill="E1DFDD"/>
    </w:rPr>
  </w:style>
  <w:style w:type="character" w:styleId="FollowedHyperlink">
    <w:name w:val="FollowedHyperlink"/>
    <w:basedOn w:val="DefaultParagraphFont"/>
    <w:uiPriority w:val="99"/>
    <w:semiHidden/>
    <w:unhideWhenUsed/>
    <w:rsid w:val="00A50A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 TargetMode="External"/><Relationship Id="rId26" Type="http://schemas.openxmlformats.org/officeDocument/2006/relationships/hyperlink" Target="https://assets.publishing.service.gov.uk/media/5a81597440f0b629d33/6.379_Supporting_guidance_web_doc_v3.pdf" TargetMode="External"/><Relationship Id="rId3" Type="http://schemas.openxmlformats.org/officeDocument/2006/relationships/customXml" Target="../customXml/item3.xml"/><Relationship Id="rId21" Type="http://schemas.openxmlformats.org/officeDocument/2006/relationships/hyperlink" Target="https://www.ons.gov.uk/peoplepopulationandcommunity/crimeandjustice/bulletins/domesticabuseinenglandandwales/year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implypsychology.org/recidivism.html" TargetMode="External"/><Relationship Id="rId25" Type="http://schemas.openxmlformats.org/officeDocument/2006/relationships/hyperlink" Target="https://www.legislation.gov.uk/ukpga/2021/17/part/1/enacte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972/jhs.206" TargetMode="External"/><Relationship Id="rId20" Type="http://schemas.openxmlformats.org/officeDocument/2006/relationships/hyperlink" Target="https://www.college.police.uk/article/identifying-vulnerability-new-guidelines-support-police" TargetMode="External"/><Relationship Id="rId29" Type="http://schemas.openxmlformats.org/officeDocument/2006/relationships/hyperlink" Target="https://jobs.justice.gov.uk/role/reducing-reoffend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domestic-abuse-context-and-challenges" TargetMode="External"/><Relationship Id="rId32" Type="http://schemas.openxmlformats.org/officeDocument/2006/relationships/hyperlink" Target="https://www.vkpp.org.uk/vkpp-work/national-vulnerability-action-plan-nvap/"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legislation.gov.uk/ukpga/1999/23/contents" TargetMode="External"/><Relationship Id="rId28" Type="http://schemas.openxmlformats.org/officeDocument/2006/relationships/hyperlink" Target="https://doi.org/10.1093/police/paaa057" TargetMode="External"/><Relationship Id="rId10" Type="http://schemas.openxmlformats.org/officeDocument/2006/relationships/endnotes" Target="endnotes.xml"/><Relationship Id="rId19" Type="http://schemas.openxmlformats.org/officeDocument/2006/relationships/hyperlink" Target="https://www.college.police.uk/research/evidence-based-policing-EBP" TargetMode="External"/><Relationship Id="rId31" Type="http://schemas.openxmlformats.org/officeDocument/2006/relationships/hyperlink" Target="https://www.legislation.gov.uk/ukpga/2020/17/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98/37/contents" TargetMode="External"/><Relationship Id="rId27" Type="http://schemas.openxmlformats.org/officeDocument/2006/relationships/hyperlink" Target="https://www.victimsupport.org.uk/wp-content/uploads/2021/03/VS_Briefing_VictimsLanguageBarriersintheCJS_February2021.pdf" TargetMode="External"/><Relationship Id="rId30" Type="http://schemas.openxmlformats.org/officeDocument/2006/relationships/hyperlink" Target="https://www.legislation.gov.uk/ukpga/Vict/24-25/100/contents"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25</Pages>
  <Words>6523</Words>
  <Characters>38189</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Hughes,Chloe swp8396</cp:lastModifiedBy>
  <cp:revision>96</cp:revision>
  <cp:lastPrinted>2014-08-26T08:55:00Z</cp:lastPrinted>
  <dcterms:created xsi:type="dcterms:W3CDTF">2023-09-28T15:04:00Z</dcterms:created>
  <dcterms:modified xsi:type="dcterms:W3CDTF">2024-04-25T11:15:00Z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2023-09-28T15:04:58Z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4f88ab32-7fd8-4a53-8aec-bd2a59131a5c</vt:lpwstr>
  </property>
  <property fmtid="{D5CDD505-2E9C-101B-9397-08002B2CF9AE}" pid="9" name="MSIP_Label_66cf8fe5-b7b7-4df7-b38d-1c61ac2f6639_ContentBits">
    <vt:lpwstr>0</vt:lpwstr>
  </property>
</Properties>
</file>