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A309BA" w:rsidP="5BB656D9" w:rsidRDefault="1CA309BA" w14:paraId="769871E5" w14:textId="7460989F">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32"/>
          <w:szCs w:val="32"/>
          <w:lang w:val="en-GB"/>
        </w:rPr>
      </w:pPr>
      <w:r w:rsidRPr="5BB656D9" w:rsidR="1CA309BA">
        <w:rPr>
          <w:rFonts w:ascii="Arial" w:hAnsi="Arial" w:eastAsia="Arial" w:cs="Arial"/>
          <w:b w:val="1"/>
          <w:bCs w:val="1"/>
          <w:noProof w:val="0"/>
          <w:sz w:val="32"/>
          <w:szCs w:val="32"/>
          <w:lang w:val="en-GB"/>
        </w:rPr>
        <w:t>TITLE</w:t>
      </w:r>
    </w:p>
    <w:p w:rsidR="1CA309BA" w:rsidP="5BB656D9" w:rsidRDefault="1CA309BA" w14:paraId="649C5DB6" w14:textId="74B895A8">
      <w:pPr>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BB656D9" w:rsidR="1CA309BA">
        <w:rPr>
          <w:rFonts w:ascii="Arial" w:hAnsi="Arial" w:eastAsia="Arial" w:cs="Arial"/>
          <w:b w:val="1"/>
          <w:bCs w:val="1"/>
          <w:i w:val="0"/>
          <w:iCs w:val="0"/>
          <w:caps w:val="0"/>
          <w:smallCaps w:val="0"/>
          <w:noProof w:val="0"/>
          <w:color w:val="000000" w:themeColor="text1" w:themeTint="FF" w:themeShade="FF"/>
          <w:sz w:val="22"/>
          <w:szCs w:val="22"/>
          <w:lang w:val="en-GB"/>
        </w:rPr>
        <w:t>NAME: RANI SAIMA</w:t>
      </w:r>
    </w:p>
    <w:p w:rsidR="1CA309BA" w:rsidP="5BB656D9" w:rsidRDefault="1CA309BA" w14:paraId="6FE09016" w14:textId="1275FBE6">
      <w:pPr>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BB656D9" w:rsidR="1CA309BA">
        <w:rPr>
          <w:rFonts w:ascii="Arial" w:hAnsi="Arial" w:eastAsia="Arial" w:cs="Arial"/>
          <w:b w:val="1"/>
          <w:bCs w:val="1"/>
          <w:i w:val="0"/>
          <w:iCs w:val="0"/>
          <w:caps w:val="0"/>
          <w:smallCaps w:val="0"/>
          <w:noProof w:val="0"/>
          <w:color w:val="000000" w:themeColor="text1" w:themeTint="FF" w:themeShade="FF"/>
          <w:sz w:val="22"/>
          <w:szCs w:val="22"/>
          <w:lang w:val="en-GB"/>
        </w:rPr>
        <w:t>STUDENT NUMBER: 2440153</w:t>
      </w:r>
    </w:p>
    <w:p w:rsidR="1CA309BA" w:rsidP="5BB656D9" w:rsidRDefault="1CA309BA" w14:paraId="39D95A69" w14:textId="75DF0EDE">
      <w:pPr>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BB656D9" w:rsidR="1CA309BA">
        <w:rPr>
          <w:rFonts w:ascii="Arial" w:hAnsi="Arial" w:eastAsia="Arial" w:cs="Arial"/>
          <w:b w:val="1"/>
          <w:bCs w:val="1"/>
          <w:i w:val="0"/>
          <w:iCs w:val="0"/>
          <w:caps w:val="0"/>
          <w:smallCaps w:val="0"/>
          <w:noProof w:val="0"/>
          <w:color w:val="000000" w:themeColor="text1" w:themeTint="FF" w:themeShade="FF"/>
          <w:sz w:val="22"/>
          <w:szCs w:val="22"/>
          <w:lang w:val="en-GB"/>
        </w:rPr>
        <w:t>MODULE CODE: BMHP5016</w:t>
      </w:r>
    </w:p>
    <w:p w:rsidR="1CA309BA" w:rsidP="5BB656D9" w:rsidRDefault="1CA309BA" w14:paraId="3AA0EE7C" w14:textId="74247C11">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1CA309BA">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5BB656D9" w:rsidR="1CA309BA">
        <w:rPr>
          <w:rFonts w:ascii="Arial" w:hAnsi="Arial" w:eastAsia="Arial" w:cs="Arial"/>
          <w:b w:val="1"/>
          <w:bCs w:val="1"/>
          <w:noProof w:val="0"/>
          <w:sz w:val="22"/>
          <w:szCs w:val="22"/>
          <w:lang w:val="en-GB"/>
        </w:rPr>
        <w:t>COMPONENT 2: WRITTEN ASSIGNMENT (REPORT)</w:t>
      </w:r>
    </w:p>
    <w:p w:rsidR="1CA309BA" w:rsidP="5BB656D9" w:rsidRDefault="1CA309BA" w14:paraId="41025CA3" w14:textId="05FF1393">
      <w:pPr>
        <w:suppressLineNumbers w:val="0"/>
        <w:bidi w:val="0"/>
        <w:spacing w:before="0" w:beforeAutospacing="off" w:after="160" w:afterAutospacing="off" w:line="360" w:lineRule="auto"/>
        <w:ind w:left="0" w:right="0"/>
        <w:jc w:val="left"/>
      </w:pPr>
      <w:r w:rsidRPr="5BB656D9" w:rsidR="1CA309BA">
        <w:rPr>
          <w:rFonts w:ascii="Arial" w:hAnsi="Arial" w:eastAsia="Arial" w:cs="Arial"/>
          <w:b w:val="1"/>
          <w:bCs w:val="1"/>
          <w:i w:val="0"/>
          <w:iCs w:val="0"/>
          <w:caps w:val="0"/>
          <w:smallCaps w:val="0"/>
          <w:noProof w:val="0"/>
          <w:color w:val="000000" w:themeColor="text1" w:themeTint="FF" w:themeShade="FF"/>
          <w:sz w:val="22"/>
          <w:szCs w:val="22"/>
          <w:lang w:val="en-GB"/>
        </w:rPr>
        <w:t>LECTURER NAME: RIZWAN NADIM.</w:t>
      </w:r>
    </w:p>
    <w:p w:rsidR="5BB656D9" w:rsidP="5BB656D9" w:rsidRDefault="5BB656D9" w14:paraId="4C6E4B52" w14:textId="6BB26CE1">
      <w:pPr>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BB656D9" w:rsidP="5BB656D9" w:rsidRDefault="5BB656D9" w14:paraId="6FFC41E3" w14:textId="7FDA5A0E">
      <w:pPr>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BB656D9" w:rsidP="5BB656D9" w:rsidRDefault="5BB656D9" w14:paraId="2817AE8D" w14:textId="2E58BDD8">
      <w:pPr>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tbl>
      <w:tblPr>
        <w:tblStyle w:val="TableGridLight"/>
        <w:bidiVisual w:val="0"/>
        <w:tblW w:w="0" w:type="auto"/>
        <w:tblLook w:val="06A0" w:firstRow="1" w:lastRow="0" w:firstColumn="1" w:lastColumn="0" w:noHBand="1" w:noVBand="1"/>
      </w:tblPr>
      <w:tblGrid>
        <w:gridCol w:w="9181"/>
      </w:tblGrid>
      <w:tr w:rsidR="5BB656D9" w:rsidTr="5BB656D9" w14:paraId="0B0B247D">
        <w:trPr>
          <w:trHeight w:val="300"/>
        </w:trPr>
        <w:tc>
          <w:tcPr>
            <w:tcW w:w="9181" w:type="dxa"/>
            <w:tcMar/>
          </w:tcPr>
          <w:p w:rsidR="5BB656D9" w:rsidP="5BB656D9" w:rsidRDefault="5BB656D9" w14:paraId="7E4E8151" w14:textId="36405244">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8"/>
                <w:szCs w:val="28"/>
              </w:rPr>
            </w:pPr>
            <w:r w:rsidRPr="5BB656D9" w:rsidR="5BB656D9">
              <w:rPr>
                <w:rFonts w:ascii="Arial" w:hAnsi="Arial" w:eastAsia="Arial" w:cs="Arial"/>
                <w:b w:val="1"/>
                <w:bCs w:val="1"/>
                <w:sz w:val="28"/>
                <w:szCs w:val="28"/>
              </w:rPr>
              <w:t>Table of Content</w:t>
            </w:r>
            <w:r w:rsidRPr="5BB656D9" w:rsidR="46244D65">
              <w:rPr>
                <w:rFonts w:ascii="Arial" w:hAnsi="Arial" w:eastAsia="Arial" w:cs="Arial"/>
                <w:b w:val="1"/>
                <w:bCs w:val="1"/>
                <w:sz w:val="28"/>
                <w:szCs w:val="28"/>
              </w:rPr>
              <w:t>s</w:t>
            </w:r>
          </w:p>
        </w:tc>
      </w:tr>
      <w:tr w:rsidR="5BB656D9" w:rsidTr="5BB656D9" w14:paraId="2575612E">
        <w:trPr>
          <w:trHeight w:val="300"/>
        </w:trPr>
        <w:tc>
          <w:tcPr>
            <w:tcW w:w="9181" w:type="dxa"/>
            <w:tcMar/>
          </w:tcPr>
          <w:p w:rsidR="5BB656D9" w:rsidP="5BB656D9" w:rsidRDefault="5BB656D9" w14:paraId="6EFDE9C5" w14:textId="28BC7D4E">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1. Introduction</w:t>
            </w:r>
          </w:p>
        </w:tc>
      </w:tr>
      <w:tr w:rsidR="5BB656D9" w:rsidTr="5BB656D9" w14:paraId="5D2438D8">
        <w:trPr>
          <w:trHeight w:val="300"/>
        </w:trPr>
        <w:tc>
          <w:tcPr>
            <w:tcW w:w="9181" w:type="dxa"/>
            <w:tcMar/>
          </w:tcPr>
          <w:p w:rsidR="5BB656D9" w:rsidP="5BB656D9" w:rsidRDefault="5BB656D9" w14:paraId="3ED7B51D" w14:textId="6BDD9120">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2. Person-Centred Care</w:t>
            </w:r>
          </w:p>
        </w:tc>
      </w:tr>
      <w:tr w:rsidR="5BB656D9" w:rsidTr="5BB656D9" w14:paraId="328B444A">
        <w:trPr>
          <w:trHeight w:val="300"/>
        </w:trPr>
        <w:tc>
          <w:tcPr>
            <w:tcW w:w="9181" w:type="dxa"/>
            <w:tcMar/>
          </w:tcPr>
          <w:p w:rsidR="5BB656D9" w:rsidP="5BB656D9" w:rsidRDefault="5BB656D9" w14:paraId="3D6F67FC" w14:textId="59EBDED2">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 xml:space="preserve">   2.1 Definition of Person-Centred Care</w:t>
            </w:r>
          </w:p>
        </w:tc>
      </w:tr>
      <w:tr w:rsidR="5BB656D9" w:rsidTr="5BB656D9" w14:paraId="098A33D7">
        <w:trPr>
          <w:trHeight w:val="300"/>
        </w:trPr>
        <w:tc>
          <w:tcPr>
            <w:tcW w:w="9181" w:type="dxa"/>
            <w:tcMar/>
          </w:tcPr>
          <w:p w:rsidR="5BB656D9" w:rsidP="5BB656D9" w:rsidRDefault="5BB656D9" w14:paraId="68E17F66" w14:textId="2769A85F">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 xml:space="preserve">   2.2 Benefits of Person-Centred Care</w:t>
            </w:r>
          </w:p>
        </w:tc>
      </w:tr>
      <w:tr w:rsidR="5BB656D9" w:rsidTr="5BB656D9" w14:paraId="2617BDA8">
        <w:trPr>
          <w:trHeight w:val="300"/>
        </w:trPr>
        <w:tc>
          <w:tcPr>
            <w:tcW w:w="9181" w:type="dxa"/>
            <w:tcMar/>
          </w:tcPr>
          <w:p w:rsidR="5BB656D9" w:rsidP="5BB656D9" w:rsidRDefault="5BB656D9" w14:paraId="58D73BAA" w14:textId="2C3BAAD9">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 xml:space="preserve">   2.3 Limitations of Person-Centred Care</w:t>
            </w:r>
          </w:p>
        </w:tc>
      </w:tr>
      <w:tr w:rsidR="5BB656D9" w:rsidTr="5BB656D9" w14:paraId="68EA2B29">
        <w:trPr>
          <w:trHeight w:val="300"/>
        </w:trPr>
        <w:tc>
          <w:tcPr>
            <w:tcW w:w="9181" w:type="dxa"/>
            <w:tcMar/>
          </w:tcPr>
          <w:p w:rsidR="5BB656D9" w:rsidP="5BB656D9" w:rsidRDefault="5BB656D9" w14:paraId="3F74BA0E" w14:textId="74D0242D">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3. Bronfenbrenner's Ecological Model: A Theory Underpinning Person-Centred Care</w:t>
            </w:r>
          </w:p>
        </w:tc>
      </w:tr>
      <w:tr w:rsidR="5BB656D9" w:rsidTr="5BB656D9" w14:paraId="1EE8AD45">
        <w:trPr>
          <w:trHeight w:val="300"/>
        </w:trPr>
        <w:tc>
          <w:tcPr>
            <w:tcW w:w="9181" w:type="dxa"/>
            <w:tcMar/>
          </w:tcPr>
          <w:p w:rsidR="5BB656D9" w:rsidP="5BB656D9" w:rsidRDefault="5BB656D9" w14:paraId="7B7757EC" w14:textId="07EF9B5C">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4. Ethical Principles in Health and Social Care</w:t>
            </w:r>
          </w:p>
        </w:tc>
      </w:tr>
      <w:tr w:rsidR="5BB656D9" w:rsidTr="5BB656D9" w14:paraId="233ACE32">
        <w:trPr>
          <w:trHeight w:val="300"/>
        </w:trPr>
        <w:tc>
          <w:tcPr>
            <w:tcW w:w="9181" w:type="dxa"/>
            <w:tcMar/>
          </w:tcPr>
          <w:p w:rsidR="5BB656D9" w:rsidP="5BB656D9" w:rsidRDefault="5BB656D9" w14:paraId="730E1901" w14:textId="754D7916">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5. Partnership Working in Health and Social Care</w:t>
            </w:r>
          </w:p>
        </w:tc>
      </w:tr>
      <w:tr w:rsidR="5BB656D9" w:rsidTr="5BB656D9" w14:paraId="164D4F3C">
        <w:trPr>
          <w:trHeight w:val="300"/>
        </w:trPr>
        <w:tc>
          <w:tcPr>
            <w:tcW w:w="9181" w:type="dxa"/>
            <w:tcMar/>
          </w:tcPr>
          <w:p w:rsidR="5BB656D9" w:rsidP="5BB656D9" w:rsidRDefault="5BB656D9" w14:paraId="0997EE5E" w14:textId="0CAF478A">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6. Application of Partnership Working in a Health and Social Care Setting</w:t>
            </w:r>
          </w:p>
        </w:tc>
      </w:tr>
      <w:tr w:rsidR="5BB656D9" w:rsidTr="5BB656D9" w14:paraId="16AE334A">
        <w:trPr>
          <w:trHeight w:val="300"/>
        </w:trPr>
        <w:tc>
          <w:tcPr>
            <w:tcW w:w="9181" w:type="dxa"/>
            <w:tcMar/>
          </w:tcPr>
          <w:p w:rsidR="5BB656D9" w:rsidP="5BB656D9" w:rsidRDefault="5BB656D9" w14:paraId="59C2FBCA" w14:textId="3A75B11B">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7. Relevant UK Policies and Legislation</w:t>
            </w:r>
          </w:p>
        </w:tc>
      </w:tr>
      <w:tr w:rsidR="5BB656D9" w:rsidTr="5BB656D9" w14:paraId="1E26CFFB">
        <w:trPr>
          <w:trHeight w:val="300"/>
        </w:trPr>
        <w:tc>
          <w:tcPr>
            <w:tcW w:w="9181" w:type="dxa"/>
            <w:tcMar/>
          </w:tcPr>
          <w:p w:rsidR="5BB656D9" w:rsidP="5BB656D9" w:rsidRDefault="5BB656D9" w14:paraId="6EAAE840" w14:textId="25C4B2D7">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8. Recommendations for Future Development of Person-Centred Care and Partnership Working</w:t>
            </w:r>
          </w:p>
        </w:tc>
      </w:tr>
      <w:tr w:rsidR="5BB656D9" w:rsidTr="5BB656D9" w14:paraId="2346E7CB">
        <w:trPr>
          <w:trHeight w:val="300"/>
        </w:trPr>
        <w:tc>
          <w:tcPr>
            <w:tcW w:w="9181" w:type="dxa"/>
            <w:tcMar/>
          </w:tcPr>
          <w:p w:rsidR="5BB656D9" w:rsidP="5BB656D9" w:rsidRDefault="5BB656D9" w14:paraId="3733DACB" w14:textId="0B9BFF84">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9. Conclusion</w:t>
            </w:r>
          </w:p>
        </w:tc>
      </w:tr>
      <w:tr w:rsidR="5BB656D9" w:rsidTr="5BB656D9" w14:paraId="7FAD3199">
        <w:trPr>
          <w:trHeight w:val="300"/>
        </w:trPr>
        <w:tc>
          <w:tcPr>
            <w:tcW w:w="9181" w:type="dxa"/>
            <w:tcMar/>
          </w:tcPr>
          <w:p w:rsidR="5BB656D9" w:rsidP="5BB656D9" w:rsidRDefault="5BB656D9" w14:paraId="6616E732" w14:textId="3D3E0656">
            <w:pPr>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5BB656D9" w:rsidR="5BB656D9">
              <w:rPr>
                <w:rFonts w:ascii="Arial" w:hAnsi="Arial" w:eastAsia="Arial" w:cs="Arial"/>
                <w:b w:val="0"/>
                <w:bCs w:val="0"/>
                <w:sz w:val="22"/>
                <w:szCs w:val="22"/>
              </w:rPr>
              <w:t>References</w:t>
            </w:r>
          </w:p>
        </w:tc>
      </w:tr>
    </w:tbl>
    <w:p w:rsidR="5BB656D9" w:rsidP="5BB656D9" w:rsidRDefault="5BB656D9" w14:paraId="2ED30802" w14:textId="1BF62C8D">
      <w:pPr>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BB656D9" w:rsidP="5BB656D9" w:rsidRDefault="5BB656D9" w14:paraId="778D6343" w14:textId="7F69E34A">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5BB656D9" w:rsidP="5BB656D9" w:rsidRDefault="5BB656D9" w14:paraId="07F12608" w14:textId="17F90AB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5BB656D9" w:rsidP="5BB656D9" w:rsidRDefault="5BB656D9" w14:paraId="0C397DC0" w14:textId="7028E397">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4B372C24" w:rsidP="5BB656D9" w:rsidRDefault="4B372C24" w14:paraId="08A78506" w14:textId="1D1CE5A5">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8"/>
          <w:szCs w:val="28"/>
          <w:lang w:val="en-GB"/>
        </w:rPr>
      </w:pPr>
      <w:r w:rsidRPr="5BB656D9" w:rsidR="4B372C24">
        <w:rPr>
          <w:rFonts w:ascii="Arial" w:hAnsi="Arial" w:eastAsia="Arial" w:cs="Arial"/>
          <w:b w:val="1"/>
          <w:bCs w:val="1"/>
          <w:noProof w:val="0"/>
          <w:sz w:val="28"/>
          <w:szCs w:val="28"/>
          <w:lang w:val="en-GB"/>
        </w:rPr>
        <w:t>COMPONENT</w:t>
      </w:r>
      <w:r w:rsidRPr="5BB656D9" w:rsidR="4B372C24">
        <w:rPr>
          <w:rFonts w:ascii="Arial" w:hAnsi="Arial" w:eastAsia="Arial" w:cs="Arial"/>
          <w:b w:val="1"/>
          <w:bCs w:val="1"/>
          <w:noProof w:val="0"/>
          <w:sz w:val="28"/>
          <w:szCs w:val="28"/>
          <w:lang w:val="en-GB"/>
        </w:rPr>
        <w:t xml:space="preserve"> 2: WRITTEN ASSIGNMENT </w:t>
      </w:r>
    </w:p>
    <w:p w:rsidR="4B372C24" w:rsidP="5BB656D9" w:rsidRDefault="4B372C24" w14:paraId="34E2EA3C" w14:textId="5A52784B">
      <w:pPr>
        <w:pStyle w:val="Normal"/>
        <w:suppressLineNumbers w:val="0"/>
        <w:bidi w:val="0"/>
        <w:spacing w:before="0" w:beforeAutospacing="off" w:after="160" w:afterAutospacing="off" w:line="360" w:lineRule="auto"/>
        <w:ind w:left="0" w:right="0"/>
        <w:jc w:val="left"/>
      </w:pPr>
      <w:r w:rsidRPr="5BB656D9" w:rsidR="4B372C24">
        <w:rPr>
          <w:rFonts w:ascii="Arial" w:hAnsi="Arial" w:eastAsia="Arial" w:cs="Arial"/>
          <w:b w:val="1"/>
          <w:bCs w:val="1"/>
          <w:noProof w:val="0"/>
          <w:sz w:val="28"/>
          <w:szCs w:val="28"/>
          <w:lang w:val="en-GB"/>
        </w:rPr>
        <w:t>PROMOTING PERSON-CENTRED CARE THROUGH EFFECTIVE PARTNERSHIP WORKING IN HEALTH AND SOCIAL CARE</w:t>
      </w:r>
    </w:p>
    <w:p w:rsidR="5BB656D9" w:rsidP="5BB656D9" w:rsidRDefault="5BB656D9" w14:paraId="23E24426" w14:textId="645E88EC">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8"/>
          <w:szCs w:val="28"/>
          <w:lang w:val="en-GB"/>
        </w:rPr>
      </w:pPr>
    </w:p>
    <w:p w:rsidR="1DF4DC96" w:rsidP="5BB656D9" w:rsidRDefault="1DF4DC96" w14:paraId="04BFDDF1" w14:textId="326FADA2">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1DF4DC96">
        <w:rPr>
          <w:rFonts w:ascii="Arial" w:hAnsi="Arial" w:eastAsia="Arial" w:cs="Arial"/>
          <w:b w:val="1"/>
          <w:bCs w:val="1"/>
          <w:noProof w:val="0"/>
          <w:sz w:val="22"/>
          <w:szCs w:val="22"/>
          <w:lang w:val="en-GB"/>
        </w:rPr>
        <w:t>Introduction</w:t>
      </w:r>
    </w:p>
    <w:p w:rsidR="1DF4DC96" w:rsidP="5BB656D9" w:rsidRDefault="1DF4DC96" w14:paraId="16CF4991" w14:textId="3AF7F34E">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1DF4DC96">
        <w:rPr>
          <w:rFonts w:ascii="Arial" w:hAnsi="Arial" w:eastAsia="Arial" w:cs="Arial"/>
          <w:noProof w:val="0"/>
          <w:sz w:val="22"/>
          <w:szCs w:val="22"/>
          <w:lang w:val="en-GB"/>
        </w:rPr>
        <w:t>Person-centred care and partnership working are fundamental principles of modern health and social care in the United Kingdom. They aim to ensure that individuals are treated with dignity, respect, and compassion while remaining actively involved in decisions about their own care. Rather than focusing only on illness or treatment, this approach recognises each person’s unique needs, values, preferences, and life circumstances (The Health Foundation, 2016). Effective collaboration between healthcare professionals, service users, families, carers, and other organisations also helps deliver coordinated, safe, and high-quality support. The NHS highlights that working closely with people and communities strengthens relationships, improves health outcomes, and reduces inequalities across services (NHS England, 2022). Likewise, person-centred practice encourages care that is tailored to individual priorities instead of adopting a standardised approach (The Health Foundation, 2016). This report critically evaluates the principles of person-centred care and partnership working, examines the theories and ethical foundations that support these approaches, discusses relevant UK legislation and policies, and provides recommendations for strengthening future practice.</w:t>
      </w:r>
    </w:p>
    <w:p w:rsidR="680A0044" w:rsidP="5BB656D9" w:rsidRDefault="680A0044" w14:paraId="4BAB96EB" w14:textId="7969CD49">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680A0044">
        <w:rPr>
          <w:rFonts w:ascii="Arial" w:hAnsi="Arial" w:eastAsia="Arial" w:cs="Arial"/>
          <w:b w:val="1"/>
          <w:bCs w:val="1"/>
          <w:noProof w:val="0"/>
          <w:sz w:val="22"/>
          <w:szCs w:val="22"/>
          <w:lang w:val="en-GB"/>
        </w:rPr>
        <w:t>2. Person-Centred Care</w:t>
      </w:r>
    </w:p>
    <w:p w:rsidR="680A0044" w:rsidP="5BB656D9" w:rsidRDefault="680A0044" w14:paraId="5739E8C6" w14:textId="637E920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680A0044">
        <w:rPr>
          <w:rFonts w:ascii="Arial" w:hAnsi="Arial" w:eastAsia="Arial" w:cs="Arial"/>
          <w:b w:val="1"/>
          <w:bCs w:val="1"/>
          <w:noProof w:val="0"/>
          <w:sz w:val="22"/>
          <w:szCs w:val="22"/>
          <w:lang w:val="en-GB"/>
        </w:rPr>
        <w:t xml:space="preserve">2.1 Definition of Person-Centred Care </w:t>
      </w:r>
      <w:r w:rsidRPr="5BB656D9" w:rsidR="18151D5B">
        <w:rPr>
          <w:rFonts w:ascii="Arial" w:hAnsi="Arial" w:eastAsia="Arial" w:cs="Arial"/>
          <w:b w:val="1"/>
          <w:bCs w:val="1"/>
          <w:noProof w:val="0"/>
          <w:sz w:val="22"/>
          <w:szCs w:val="22"/>
          <w:lang w:val="en-GB"/>
        </w:rPr>
        <w:t xml:space="preserve"> </w:t>
      </w:r>
    </w:p>
    <w:p w:rsidR="680A0044" w:rsidP="5BB656D9" w:rsidRDefault="680A0044" w14:paraId="3BD5F857" w14:textId="5D12BE72">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680A0044">
        <w:rPr>
          <w:rFonts w:ascii="Arial" w:hAnsi="Arial" w:eastAsia="Arial" w:cs="Arial"/>
          <w:noProof w:val="0"/>
          <w:sz w:val="22"/>
          <w:szCs w:val="22"/>
          <w:lang w:val="en-GB"/>
        </w:rPr>
        <w:t>Person-centred care places the individual, rather than the condition or organisation, at the heart of support. It requires practitioners to understand a person’s priorities, circumstances, abilities and preferred outcomes before agreeing how assistance should be delivered. The British Association of Social Workers describes this approach as collaborative, coordinated and tailored, with dignity, compassion and respect embedded throughout practice (BASW, n.d.). NHS Education for Scotland similarly explains that people should be enabled to make choices, manage their health and retain independence wherever possible (NHS Education for Scotland, 2025). Therefore, care is undertaken with individuals rather than simply done to them consistently.</w:t>
      </w:r>
    </w:p>
    <w:p w:rsidR="680A0044" w:rsidP="5BB656D9" w:rsidRDefault="680A0044" w14:paraId="302874E1" w14:textId="21846DC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680A0044">
        <w:rPr>
          <w:rFonts w:ascii="Arial" w:hAnsi="Arial" w:eastAsia="Arial" w:cs="Arial"/>
          <w:b w:val="1"/>
          <w:bCs w:val="1"/>
          <w:noProof w:val="0"/>
          <w:sz w:val="22"/>
          <w:szCs w:val="22"/>
          <w:lang w:val="en-GB"/>
        </w:rPr>
        <w:t xml:space="preserve">2.2 Benefits of Person-Centred Care </w:t>
      </w:r>
    </w:p>
    <w:p w:rsidR="680A0044" w:rsidP="5BB656D9" w:rsidRDefault="680A0044" w14:paraId="7E5BFF88" w14:textId="6AB0ABE9">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680A0044">
        <w:rPr>
          <w:rFonts w:ascii="Arial" w:hAnsi="Arial" w:eastAsia="Arial" w:cs="Arial"/>
          <w:noProof w:val="0"/>
          <w:sz w:val="22"/>
          <w:szCs w:val="22"/>
          <w:lang w:val="en-GB"/>
        </w:rPr>
        <w:t>This approach can strengthen involvement, confidence and autonomy because service users actively contribute to decisions affecting their lives. Such participation may improve understanding of treatment choices, encourage self-management and produce goals reflecting what genuinely matters to the individual. It can also build trust between practitioners, families and those receiving support, making communication more open and care plans more meaningful. NHS Education for Scotland (2025) links positive patient experience with safety and clinical effectiveness, suggesting that respectful participation can support interpersonal and practical quality. Personalised planning may improve continuity when professionals understand the same priorities. For people with disabilities or complex needs, an individualised plan can recognise communication preferences, daily routines, relationships and community participation instead of concentrating narrowly on diagnosis. Idrees et al. (2025) found that community connections, accessibility and cooperation across sectors supported person-centred planning, showing that its value can extend beyond treatment to inclusion, independence and everyday wellbeing.</w:t>
      </w:r>
    </w:p>
    <w:p w:rsidR="680A0044" w:rsidP="5BB656D9" w:rsidRDefault="680A0044" w14:paraId="00350ED8" w14:textId="201E6772">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680A0044">
        <w:rPr>
          <w:rFonts w:ascii="Arial" w:hAnsi="Arial" w:eastAsia="Arial" w:cs="Arial"/>
          <w:b w:val="1"/>
          <w:bCs w:val="1"/>
          <w:noProof w:val="0"/>
          <w:sz w:val="22"/>
          <w:szCs w:val="22"/>
          <w:lang w:val="en-GB"/>
        </w:rPr>
        <w:t>2.3 Limitations of Person-Centred Care</w:t>
      </w:r>
    </w:p>
    <w:p w:rsidR="680A0044" w:rsidP="5BB656D9" w:rsidRDefault="680A0044" w14:paraId="1A3ACFDC" w14:textId="15342C34">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680A0044">
        <w:rPr>
          <w:rFonts w:ascii="Arial" w:hAnsi="Arial" w:eastAsia="Arial" w:cs="Arial"/>
          <w:noProof w:val="0"/>
          <w:sz w:val="22"/>
          <w:szCs w:val="22"/>
          <w:lang w:val="en-GB"/>
        </w:rPr>
        <w:t>Despite its strengths, person-centred care is not achieved by using personalised language or completing a care-plan document. Implementation may demand changes in organisational culture, professional roles and relationships with service users (BASW, n.d.). Moore et al. (2017) identified barriers across healthcare contexts, including routines, limited resources and inconsistent interpretations of the approach. Practitioners may value participation yet struggle to provide it when appointments are brief, workloads are heavy or continuity is poor. Some individuals may experience communication difficulties, fluctuating capacity or limited confidence in expressing preferences, making advocacy and accessible information essential. Evidence from Canadian community care highlights inadequate funding, staffing shortages, weak integration between services and obstacles to community inclusion (Idrees et al., 2025). These findings are relevant to UK practice because pressures can restrict choice and coordination. Preferences may conflict with professional judgement, safeguarding duties or available provision. Therefore, delivery requires skilled communication, flexibility, staffing, supportive leadership and options.</w:t>
      </w:r>
    </w:p>
    <w:p w:rsidR="20971333" w:rsidP="5BB656D9" w:rsidRDefault="20971333" w14:paraId="35EA8037" w14:textId="563A0F44">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20971333">
        <w:rPr>
          <w:rFonts w:ascii="Arial" w:hAnsi="Arial" w:eastAsia="Arial" w:cs="Arial"/>
          <w:b w:val="1"/>
          <w:bCs w:val="1"/>
          <w:noProof w:val="0"/>
          <w:sz w:val="22"/>
          <w:szCs w:val="22"/>
          <w:lang w:val="en-GB"/>
        </w:rPr>
        <w:t>3. Bronfenbrenner's Ecological Model: A Theory Underpinning Person-Centred Care</w:t>
      </w:r>
    </w:p>
    <w:p w:rsidR="20971333" w:rsidP="5BB656D9" w:rsidRDefault="20971333" w14:paraId="41182BE1" w14:textId="182769D6">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20971333">
        <w:rPr>
          <w:rFonts w:ascii="Arial" w:hAnsi="Arial" w:eastAsia="Arial" w:cs="Arial"/>
          <w:noProof w:val="0"/>
          <w:sz w:val="22"/>
          <w:szCs w:val="22"/>
          <w:lang w:val="en-GB"/>
        </w:rPr>
        <w:t>Bronfenbrenner's Ecological Model explains that an individual's health and wellbeing are shaped by a range of interconnected environmental systems rather than by personal factors alone. The model identifies five levels of influence: the microsystem, mesosystem, exosystem, macrosystem and chronosystem. Together, these systems demonstrate how relationships, communities, organisations, culture and life experiences interact to influence health outcomes. This holistic perspective aligns closely with person-centred care because it encourages professionals to understand the wider circumstances affecting each individual rather than focusing solely on a medical condition.</w:t>
      </w:r>
    </w:p>
    <w:p w:rsidR="20971333" w:rsidP="5BB656D9" w:rsidRDefault="20971333" w14:paraId="4D84FA37" w14:textId="2399F5F2">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20971333">
        <w:rPr>
          <w:rFonts w:ascii="Arial" w:hAnsi="Arial" w:eastAsia="Arial" w:cs="Arial"/>
          <w:noProof w:val="0"/>
          <w:sz w:val="22"/>
          <w:szCs w:val="22"/>
          <w:lang w:val="en-GB"/>
        </w:rPr>
        <w:t>Within health and social care, the model supports assessment beyond physical needs by recognising the importance of family relationships, social networks, financial circumstances, education, housing and community resources. It also highlights that collaboration between healthcare professionals, carers and external organisations is essential for delivering coordinated and personalised support. By considering these multiple influences, practitioners can develop care plans that reflect the individual's preferences, lived experiences and changing needs throughout different stages of life (Phelan and Kirwan, 2020).</w:t>
      </w:r>
    </w:p>
    <w:p w:rsidR="20971333" w:rsidP="5BB656D9" w:rsidRDefault="20971333" w14:paraId="0B1D040D" w14:textId="1664CEF1">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20971333">
        <w:rPr>
          <w:rFonts w:ascii="Arial" w:hAnsi="Arial" w:eastAsia="Arial" w:cs="Arial"/>
          <w:noProof w:val="0"/>
          <w:sz w:val="22"/>
          <w:szCs w:val="22"/>
          <w:lang w:val="en-GB"/>
        </w:rPr>
        <w:t>The model also strengthens partnership working because it acknowledges that effective care depends on cooperation across different systems. Tong and An (2024) argue that ecological perspectives help professionals appreciate the complex interaction between personal, social and environmental influences, promoting more comprehensive and inclusive interventions. This understanding supports shared decision-making and enables practitioners to respond to diverse needs in a respectful and flexible manner.</w:t>
      </w:r>
    </w:p>
    <w:p w:rsidR="20971333" w:rsidP="5BB656D9" w:rsidRDefault="20971333" w14:paraId="6B7F0A19" w14:textId="4ACF2ED6">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20971333">
        <w:rPr>
          <w:rFonts w:ascii="Arial" w:hAnsi="Arial" w:eastAsia="Arial" w:cs="Arial"/>
          <w:noProof w:val="0"/>
          <w:sz w:val="22"/>
          <w:szCs w:val="22"/>
          <w:lang w:val="en-GB"/>
        </w:rPr>
        <w:t>Despite these advantages, the Ecological Model has limitations. Assessing every environmental influence can be time-consuming and may require input from several organisations, making implementation challenging when resources or communication are limited. Some external factors, such as socioeconomic inequality or national policy, remain beyond the control of individual practitioners. Nevertheless, Bronfenbrenner's Ecological Model provides a valuable framework for person-centred care by encouraging holistic assessment, multidisciplinary collaboration and tailored interventions that recognise the uniqueness of every individual.</w:t>
      </w:r>
    </w:p>
    <w:p w:rsidR="4F4868F0" w:rsidP="5BB656D9" w:rsidRDefault="4F4868F0" w14:paraId="77D520B2" w14:textId="61A2CAC4">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4F4868F0">
        <w:rPr>
          <w:rFonts w:ascii="Arial" w:hAnsi="Arial" w:eastAsia="Arial" w:cs="Arial"/>
          <w:b w:val="1"/>
          <w:bCs w:val="1"/>
          <w:noProof w:val="0"/>
          <w:sz w:val="22"/>
          <w:szCs w:val="22"/>
          <w:lang w:val="en-GB"/>
        </w:rPr>
        <w:t>4. Ethical Principles in Health and Social Care</w:t>
      </w:r>
    </w:p>
    <w:p w:rsidR="4F4868F0" w:rsidP="5BB656D9" w:rsidRDefault="4F4868F0" w14:paraId="743770B5" w14:textId="4672BE3C">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4F4868F0">
        <w:rPr>
          <w:rFonts w:ascii="Arial" w:hAnsi="Arial" w:eastAsia="Arial" w:cs="Arial"/>
          <w:noProof w:val="0"/>
          <w:sz w:val="22"/>
          <w:szCs w:val="22"/>
          <w:lang w:val="en-GB"/>
        </w:rPr>
        <w:t>Ethical principles provide a foundation for professional decision-making and help ensure that care is delivered safely, fairly and respectfully. They guide practitioners when balancing individual preferences with professional responsibilities and legal obligations. Applying ethical principles consistently promotes trust, protects human rights and supports high-quality care across diverse health and social care settings.</w:t>
      </w:r>
    </w:p>
    <w:p w:rsidR="4F4868F0" w:rsidP="5BB656D9" w:rsidRDefault="4F4868F0" w14:paraId="4978360A" w14:textId="561A4453">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4F4868F0">
        <w:rPr>
          <w:rFonts w:ascii="Arial" w:hAnsi="Arial" w:eastAsia="Arial" w:cs="Arial"/>
          <w:noProof w:val="0"/>
          <w:sz w:val="22"/>
          <w:szCs w:val="22"/>
          <w:lang w:val="en-GB"/>
        </w:rPr>
        <w:t xml:space="preserve">The principle of </w:t>
      </w:r>
      <w:r w:rsidRPr="5BB656D9" w:rsidR="4F4868F0">
        <w:rPr>
          <w:rFonts w:ascii="Arial" w:hAnsi="Arial" w:eastAsia="Arial" w:cs="Arial"/>
          <w:b w:val="1"/>
          <w:bCs w:val="1"/>
          <w:noProof w:val="0"/>
          <w:sz w:val="22"/>
          <w:szCs w:val="22"/>
          <w:lang w:val="en-GB"/>
        </w:rPr>
        <w:t>autonomy</w:t>
      </w:r>
      <w:r w:rsidRPr="5BB656D9" w:rsidR="4F4868F0">
        <w:rPr>
          <w:rFonts w:ascii="Arial" w:hAnsi="Arial" w:eastAsia="Arial" w:cs="Arial"/>
          <w:noProof w:val="0"/>
          <w:sz w:val="22"/>
          <w:szCs w:val="22"/>
          <w:lang w:val="en-GB"/>
        </w:rPr>
        <w:t xml:space="preserve"> recognises every person's right to make informed decisions about their own care. Healthcare professionals should provide clear, accurate information so that individuals can make voluntary choices without pressure or unnecessary influence. Respecting autonomy also means accepting a person's decision, even when professionals may personally disagree, provided the individual has the capacity to decide (Dowie, 2025).</w:t>
      </w:r>
    </w:p>
    <w:p w:rsidR="4F4868F0" w:rsidP="5BB656D9" w:rsidRDefault="4F4868F0" w14:paraId="5D97E9DB" w14:textId="63509902">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4F4868F0">
        <w:rPr>
          <w:rFonts w:ascii="Arial" w:hAnsi="Arial" w:eastAsia="Arial" w:cs="Arial"/>
          <w:b w:val="1"/>
          <w:bCs w:val="1"/>
          <w:noProof w:val="0"/>
          <w:sz w:val="22"/>
          <w:szCs w:val="22"/>
          <w:lang w:val="en-GB"/>
        </w:rPr>
        <w:t>Beneficence</w:t>
      </w:r>
      <w:r w:rsidRPr="5BB656D9" w:rsidR="4F4868F0">
        <w:rPr>
          <w:rFonts w:ascii="Arial" w:hAnsi="Arial" w:eastAsia="Arial" w:cs="Arial"/>
          <w:noProof w:val="0"/>
          <w:sz w:val="22"/>
          <w:szCs w:val="22"/>
          <w:lang w:val="en-GB"/>
        </w:rPr>
        <w:t xml:space="preserve"> requires practitioners to act in the best interests of those receiving care by promoting wellbeing and improving health outcomes. Closely linked to this is </w:t>
      </w:r>
      <w:r w:rsidRPr="5BB656D9" w:rsidR="4F4868F0">
        <w:rPr>
          <w:rFonts w:ascii="Arial" w:hAnsi="Arial" w:eastAsia="Arial" w:cs="Arial"/>
          <w:b w:val="1"/>
          <w:bCs w:val="1"/>
          <w:noProof w:val="0"/>
          <w:sz w:val="22"/>
          <w:szCs w:val="22"/>
          <w:lang w:val="en-GB"/>
        </w:rPr>
        <w:t>non-maleficence</w:t>
      </w:r>
      <w:r w:rsidRPr="5BB656D9" w:rsidR="4F4868F0">
        <w:rPr>
          <w:rFonts w:ascii="Arial" w:hAnsi="Arial" w:eastAsia="Arial" w:cs="Arial"/>
          <w:noProof w:val="0"/>
          <w:sz w:val="22"/>
          <w:szCs w:val="22"/>
          <w:lang w:val="en-GB"/>
        </w:rPr>
        <w:t>, which requires professionals to avoid causing unnecessary harm. Although some treatments may cause temporary discomfort, ethical practice requires that any potential harm is justified by a greater therapeutic benefit and delivered as safely as possible (Dowie, 2025).</w:t>
      </w:r>
    </w:p>
    <w:p w:rsidR="4F4868F0" w:rsidP="5BB656D9" w:rsidRDefault="4F4868F0" w14:paraId="4C86EDC0" w14:textId="7B37BD0F">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4F4868F0">
        <w:rPr>
          <w:rFonts w:ascii="Arial" w:hAnsi="Arial" w:eastAsia="Arial" w:cs="Arial"/>
          <w:noProof w:val="0"/>
          <w:sz w:val="22"/>
          <w:szCs w:val="22"/>
          <w:lang w:val="en-GB"/>
        </w:rPr>
        <w:t xml:space="preserve">The principle of </w:t>
      </w:r>
      <w:r w:rsidRPr="5BB656D9" w:rsidR="4F4868F0">
        <w:rPr>
          <w:rFonts w:ascii="Arial" w:hAnsi="Arial" w:eastAsia="Arial" w:cs="Arial"/>
          <w:b w:val="1"/>
          <w:bCs w:val="1"/>
          <w:noProof w:val="0"/>
          <w:sz w:val="22"/>
          <w:szCs w:val="22"/>
          <w:lang w:val="en-GB"/>
        </w:rPr>
        <w:t>justice</w:t>
      </w:r>
      <w:r w:rsidRPr="5BB656D9" w:rsidR="4F4868F0">
        <w:rPr>
          <w:rFonts w:ascii="Arial" w:hAnsi="Arial" w:eastAsia="Arial" w:cs="Arial"/>
          <w:noProof w:val="0"/>
          <w:sz w:val="22"/>
          <w:szCs w:val="22"/>
          <w:lang w:val="en-GB"/>
        </w:rPr>
        <w:t xml:space="preserve"> focuses on fairness, equality and equitable access to healthcare services. It requires professionals to distribute care according to individual need while avoiding discrimination or prejudice. In practice, justice may involve allocating additional support to people with greater health or social care needs rather than providing identical services to everyone. Applying these ethical principles together enables practitioners to deliver compassionate, person-centred care while maintaining professional accountability, safeguarding patient rights and complying with recognised standards of healthcare practice.</w:t>
      </w:r>
    </w:p>
    <w:p w:rsidR="6A51EFE5" w:rsidP="5BB656D9" w:rsidRDefault="6A51EFE5" w14:paraId="5F3C03F3" w14:textId="690927FA">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6A51EFE5">
        <w:rPr>
          <w:rFonts w:ascii="Arial" w:hAnsi="Arial" w:eastAsia="Arial" w:cs="Arial"/>
          <w:b w:val="1"/>
          <w:bCs w:val="1"/>
          <w:noProof w:val="0"/>
          <w:sz w:val="22"/>
          <w:szCs w:val="22"/>
          <w:lang w:val="en-GB"/>
        </w:rPr>
        <w:t>5. Partnership Working in Health and Social Care</w:t>
      </w:r>
    </w:p>
    <w:p w:rsidR="6A51EFE5" w:rsidP="5BB656D9" w:rsidRDefault="6A51EFE5" w14:paraId="4E5C5BCF" w14:textId="1FE6E185">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6A51EFE5">
        <w:rPr>
          <w:rFonts w:ascii="Arial" w:hAnsi="Arial" w:eastAsia="Arial" w:cs="Arial"/>
          <w:noProof w:val="0"/>
          <w:sz w:val="22"/>
          <w:szCs w:val="22"/>
          <w:lang w:val="en-GB"/>
        </w:rPr>
        <w:t>Partnership working is a collaborative approach in which health and social care professionals, organisations, service users and carers work together to achieve shared goals and improve the quality of care. Rather than operating independently, different professionals combine their expertise to provide coordinated, continuous and personalised support. This approach is particularly valuable for individuals with complex or long-term conditions because it enables care to be planned around the person's needs instead of being delivered through fragmented services.</w:t>
      </w:r>
    </w:p>
    <w:p w:rsidR="6A51EFE5" w:rsidP="5BB656D9" w:rsidRDefault="6A51EFE5" w14:paraId="19A9A864" w14:textId="0E37195E">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6A51EFE5">
        <w:rPr>
          <w:rFonts w:ascii="Arial" w:hAnsi="Arial" w:eastAsia="Arial" w:cs="Arial"/>
          <w:noProof w:val="0"/>
          <w:sz w:val="22"/>
          <w:szCs w:val="22"/>
          <w:lang w:val="en-GB"/>
        </w:rPr>
        <w:t>Effective partnership working encourages open communication, shared responsibility and joint decision-making between multidisciplinary teams. Healthcare professionals, including nurses, doctors, social workers, therapists and community practitioners, contribute different knowledge and skills, allowing care to be delivered more efficiently and safely. Collaborative practice also reduces unnecessary duplication of services, strengthens continuity of care and supports earlier identification of changing health needs. Consequently, individuals are more likely to experience seamless transitions between health and social care services while remaining actively involved in decisions affecting their wellbeing.</w:t>
      </w:r>
    </w:p>
    <w:p w:rsidR="6A51EFE5" w:rsidP="5BB656D9" w:rsidRDefault="6A51EFE5" w14:paraId="36769775" w14:textId="3ECF8543">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6A51EFE5">
        <w:rPr>
          <w:rFonts w:ascii="Arial" w:hAnsi="Arial" w:eastAsia="Arial" w:cs="Arial"/>
          <w:noProof w:val="0"/>
          <w:sz w:val="22"/>
          <w:szCs w:val="22"/>
          <w:lang w:val="en-GB"/>
        </w:rPr>
        <w:t>Thana et al. (2025) found that multidisciplinary teams were viewed by frontline staff as an essential mechanism for improving integrated service delivery in England. Participants reported that effective collaboration strengthened professional relationships, improved information sharing and enabled more coordinated support for people with multiple long-term conditions. However, the study also identified several barriers, including organisational differences, inconsistent communication, varying professional priorities and limited resources, all of which reduced the effectiveness of integrated working. These findings demonstrate that successful partnership working depends not only on bringing professionals together but also on developing mutual trust, strong leadership and clear governance arrangements. Although challenges remain, collaborative practice continues to play a vital role in delivering person-centred care by ensuring that services are coordinated, responsive and focused on achieving the best possible outcomes for individuals and their families.</w:t>
      </w:r>
    </w:p>
    <w:p w:rsidR="3DF48731" w:rsidP="5BB656D9" w:rsidRDefault="3DF48731" w14:paraId="3D3699CB" w14:textId="135A0D3C">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3DF48731">
        <w:rPr>
          <w:rFonts w:ascii="Arial" w:hAnsi="Arial" w:eastAsia="Arial" w:cs="Arial"/>
          <w:b w:val="1"/>
          <w:bCs w:val="1"/>
          <w:noProof w:val="0"/>
          <w:sz w:val="22"/>
          <w:szCs w:val="22"/>
          <w:lang w:val="en-GB"/>
        </w:rPr>
        <w:t>6. Application of Partnership Working in a Health and Social Care Setting</w:t>
      </w:r>
    </w:p>
    <w:p w:rsidR="3DF48731" w:rsidP="5BB656D9" w:rsidRDefault="3DF48731" w14:paraId="2275C373" w14:textId="2E9EFB52">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3DF48731">
        <w:rPr>
          <w:rFonts w:ascii="Arial" w:hAnsi="Arial" w:eastAsia="Arial" w:cs="Arial"/>
          <w:noProof w:val="0"/>
          <w:sz w:val="22"/>
          <w:szCs w:val="22"/>
          <w:lang w:val="en-GB"/>
        </w:rPr>
        <w:t xml:space="preserve">An example of effective partnership working can be seen in the </w:t>
      </w:r>
      <w:r w:rsidRPr="5BB656D9" w:rsidR="3DF48731">
        <w:rPr>
          <w:rFonts w:ascii="Arial" w:hAnsi="Arial" w:eastAsia="Arial" w:cs="Arial"/>
          <w:b w:val="1"/>
          <w:bCs w:val="1"/>
          <w:noProof w:val="0"/>
          <w:sz w:val="22"/>
          <w:szCs w:val="22"/>
          <w:lang w:val="en-GB"/>
        </w:rPr>
        <w:t>Connecting Care for Children (CC4C)</w:t>
      </w:r>
      <w:r w:rsidRPr="5BB656D9" w:rsidR="3DF48731">
        <w:rPr>
          <w:rFonts w:ascii="Arial" w:hAnsi="Arial" w:eastAsia="Arial" w:cs="Arial"/>
          <w:noProof w:val="0"/>
          <w:sz w:val="22"/>
          <w:szCs w:val="22"/>
          <w:lang w:val="en-GB"/>
        </w:rPr>
        <w:t xml:space="preserve"> model introduced by NHS England. This neighbourhood multidisciplinary team (MDT) approach brings together general practitioners, paediatricians, community nurses, mental health practitioners, health visitors, social workers and other professionals to provide coordinated support for children, young people and their families. Rather than delivering care through separate services, professionals work collectively to discuss complex cases, share expertise and agree on the most appropriate care pathway (NHS England, 2025).</w:t>
      </w:r>
    </w:p>
    <w:p w:rsidR="3DF48731" w:rsidP="5BB656D9" w:rsidRDefault="3DF48731" w14:paraId="478F10C0" w14:textId="1BE76AB7">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3DF48731">
        <w:rPr>
          <w:rFonts w:ascii="Arial" w:hAnsi="Arial" w:eastAsia="Arial" w:cs="Arial"/>
          <w:noProof w:val="0"/>
          <w:sz w:val="22"/>
          <w:szCs w:val="22"/>
          <w:lang w:val="en-GB"/>
        </w:rPr>
        <w:t>A key feature of this model is regular multidisciplinary meetings, where healthcare professionals jointly review individual cases and develop personalised care plans. Families are encouraged to participate in discussions, ensuring that decisions reflect the child’s needs, preferences and circumstances. This collaborative approach improves communication between professionals, reduces duplication of services and enables earlier intervention when concerns are identified. It also strengthens continuity of care because information is shared across organisations, allowing families to receive more consistent and coordinated support.</w:t>
      </w:r>
    </w:p>
    <w:p w:rsidR="3DF48731" w:rsidP="5BB656D9" w:rsidRDefault="3DF48731" w14:paraId="5774A264" w14:textId="31EABC9C">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3DF48731">
        <w:rPr>
          <w:rFonts w:ascii="Arial" w:hAnsi="Arial" w:eastAsia="Arial" w:cs="Arial"/>
          <w:noProof w:val="0"/>
          <w:sz w:val="22"/>
          <w:szCs w:val="22"/>
          <w:lang w:val="en-GB"/>
        </w:rPr>
        <w:t>NHS England (2025) reports that the model has improved both patient experience and service efficiency. Following implementation, new hospital outpatient appointments and paediatric admissions reduced, while more children received appropriate care within community settings. Families also reported greater confidence in their healthcare professionals and felt more involved in decisions regarding their child's care. Furthermore, professionals highlighted stronger working relationships, improved knowledge sharing and increased confidence in managing complex cases through collaborative practice. Although successful partnership working requires effective communication, shared responsibility and sufficient resources, this example demonstrates how multidisciplinary collaboration can enhance person-centred care by delivering integrated, accessible and responsive services that improve outcomes for children, young people and their families.</w:t>
      </w:r>
    </w:p>
    <w:p w:rsidR="2189E6B9" w:rsidP="5BB656D9" w:rsidRDefault="2189E6B9" w14:paraId="58F3F39D" w14:textId="0CB8A0A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2189E6B9">
        <w:rPr>
          <w:rFonts w:ascii="Arial" w:hAnsi="Arial" w:eastAsia="Arial" w:cs="Arial"/>
          <w:b w:val="1"/>
          <w:bCs w:val="1"/>
          <w:noProof w:val="0"/>
          <w:sz w:val="22"/>
          <w:szCs w:val="22"/>
          <w:lang w:val="en-GB"/>
        </w:rPr>
        <w:t>7. Relevant UK Policies and Legislation</w:t>
      </w:r>
    </w:p>
    <w:p w:rsidR="2189E6B9" w:rsidP="5BB656D9" w:rsidRDefault="2189E6B9" w14:paraId="6620EDB4" w14:textId="69F0A802">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2189E6B9">
        <w:rPr>
          <w:rFonts w:ascii="Arial" w:hAnsi="Arial" w:eastAsia="Arial" w:cs="Arial"/>
          <w:noProof w:val="0"/>
          <w:sz w:val="22"/>
          <w:szCs w:val="22"/>
          <w:lang w:val="en-GB"/>
        </w:rPr>
        <w:t xml:space="preserve">UK health and social care policy places significant importance on involving people and communities in decisions that affect their health and wellbeing. NHS England’s </w:t>
      </w:r>
      <w:r w:rsidRPr="5BB656D9" w:rsidR="2189E6B9">
        <w:rPr>
          <w:rFonts w:ascii="Arial" w:hAnsi="Arial" w:eastAsia="Arial" w:cs="Arial"/>
          <w:i w:val="1"/>
          <w:iCs w:val="1"/>
          <w:noProof w:val="0"/>
          <w:sz w:val="22"/>
          <w:szCs w:val="22"/>
          <w:lang w:val="en-GB"/>
        </w:rPr>
        <w:t>Policy on Working in Partnership with People and Communities</w:t>
      </w:r>
      <w:r w:rsidRPr="5BB656D9" w:rsidR="2189E6B9">
        <w:rPr>
          <w:rFonts w:ascii="Arial" w:hAnsi="Arial" w:eastAsia="Arial" w:cs="Arial"/>
          <w:noProof w:val="0"/>
          <w:sz w:val="22"/>
          <w:szCs w:val="22"/>
          <w:lang w:val="en-GB"/>
        </w:rPr>
        <w:t xml:space="preserve"> establishes a framework for meaningful engagement, ensuring that patients, carers and members of the public contribute to service planning, development and evaluation. Rather than viewing individuals as passive recipients of care, the policy promotes collaboration, co-production and shared decision-making, recognising that lived experience provides valuable insight into improving healthcare quality (NHS England, 2025).</w:t>
      </w:r>
    </w:p>
    <w:p w:rsidR="2189E6B9" w:rsidP="5BB656D9" w:rsidRDefault="2189E6B9" w14:paraId="4AA8F97F" w14:textId="512395E4">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2189E6B9">
        <w:rPr>
          <w:rFonts w:ascii="Arial" w:hAnsi="Arial" w:eastAsia="Arial" w:cs="Arial"/>
          <w:b w:val="0"/>
          <w:bCs w:val="0"/>
          <w:noProof w:val="0"/>
          <w:sz w:val="22"/>
          <w:szCs w:val="22"/>
          <w:lang w:val="en-GB"/>
        </w:rPr>
        <w:t xml:space="preserve">The policy also reinforces NHS England’s legal responsibility to involve the public under </w:t>
      </w:r>
      <w:r w:rsidRPr="5BB656D9" w:rsidR="2189E6B9">
        <w:rPr>
          <w:rFonts w:ascii="Arial" w:hAnsi="Arial" w:eastAsia="Arial" w:cs="Arial"/>
          <w:b w:val="0"/>
          <w:bCs w:val="0"/>
          <w:noProof w:val="0"/>
          <w:sz w:val="22"/>
          <w:szCs w:val="22"/>
          <w:lang w:val="en-GB"/>
        </w:rPr>
        <w:t>Section 13Q of the National Health Service Act 2006</w:t>
      </w:r>
      <w:r w:rsidRPr="5BB656D9" w:rsidR="2189E6B9">
        <w:rPr>
          <w:rFonts w:ascii="Arial" w:hAnsi="Arial" w:eastAsia="Arial" w:cs="Arial"/>
          <w:b w:val="0"/>
          <w:bCs w:val="0"/>
          <w:noProof w:val="0"/>
          <w:sz w:val="22"/>
          <w:szCs w:val="22"/>
          <w:lang w:val="en-GB"/>
        </w:rPr>
        <w:t xml:space="preserve">, as amended by the </w:t>
      </w:r>
      <w:r w:rsidRPr="5BB656D9" w:rsidR="2189E6B9">
        <w:rPr>
          <w:rFonts w:ascii="Arial" w:hAnsi="Arial" w:eastAsia="Arial" w:cs="Arial"/>
          <w:b w:val="0"/>
          <w:bCs w:val="0"/>
          <w:noProof w:val="0"/>
          <w:sz w:val="22"/>
          <w:szCs w:val="22"/>
          <w:lang w:val="en-GB"/>
        </w:rPr>
        <w:t>Health and Care Act 2022</w:t>
      </w:r>
      <w:r w:rsidRPr="5BB656D9" w:rsidR="2189E6B9">
        <w:rPr>
          <w:rFonts w:ascii="Arial" w:hAnsi="Arial" w:eastAsia="Arial" w:cs="Arial"/>
          <w:b w:val="0"/>
          <w:bCs w:val="0"/>
          <w:noProof w:val="0"/>
          <w:sz w:val="22"/>
          <w:szCs w:val="22"/>
          <w:lang w:val="en-GB"/>
        </w:rPr>
        <w:t>.</w:t>
      </w:r>
      <w:r w:rsidRPr="5BB656D9" w:rsidR="2189E6B9">
        <w:rPr>
          <w:rFonts w:ascii="Arial" w:hAnsi="Arial" w:eastAsia="Arial" w:cs="Arial"/>
          <w:noProof w:val="0"/>
          <w:sz w:val="22"/>
          <w:szCs w:val="22"/>
          <w:lang w:val="en-GB"/>
        </w:rPr>
        <w:t xml:space="preserve"> It emphasises that partnership working should be embedded throughout healthcare organisations to reduce health inequalities, improve population </w:t>
      </w:r>
      <w:r w:rsidRPr="5BB656D9" w:rsidR="2189E6B9">
        <w:rPr>
          <w:rFonts w:ascii="Arial" w:hAnsi="Arial" w:eastAsia="Arial" w:cs="Arial"/>
          <w:noProof w:val="0"/>
          <w:sz w:val="22"/>
          <w:szCs w:val="22"/>
          <w:lang w:val="en-GB"/>
        </w:rPr>
        <w:t>health</w:t>
      </w:r>
      <w:r w:rsidRPr="5BB656D9" w:rsidR="2189E6B9">
        <w:rPr>
          <w:rFonts w:ascii="Arial" w:hAnsi="Arial" w:eastAsia="Arial" w:cs="Arial"/>
          <w:noProof w:val="0"/>
          <w:sz w:val="22"/>
          <w:szCs w:val="22"/>
          <w:lang w:val="en-GB"/>
        </w:rPr>
        <w:t xml:space="preserve"> and support personalised care. Furthermore, the guidance encourages professionals to remove barriers that may prevent participation, particularly for disadvantaged or underrepresented communities, ensuring that services are inclusive and responsive to diverse needs. By promoting transparency, equality and continuous engagement, the policy strengthens person-centred care while supporting integrated working across health and social care organisations. Consequently, these principles contribute to more informed decision-making, greater public trust and improved outcomes for individuals, </w:t>
      </w:r>
      <w:r w:rsidRPr="5BB656D9" w:rsidR="2189E6B9">
        <w:rPr>
          <w:rFonts w:ascii="Arial" w:hAnsi="Arial" w:eastAsia="Arial" w:cs="Arial"/>
          <w:noProof w:val="0"/>
          <w:sz w:val="22"/>
          <w:szCs w:val="22"/>
          <w:lang w:val="en-GB"/>
        </w:rPr>
        <w:t>families</w:t>
      </w:r>
      <w:r w:rsidRPr="5BB656D9" w:rsidR="2189E6B9">
        <w:rPr>
          <w:rFonts w:ascii="Arial" w:hAnsi="Arial" w:eastAsia="Arial" w:cs="Arial"/>
          <w:noProof w:val="0"/>
          <w:sz w:val="22"/>
          <w:szCs w:val="22"/>
          <w:lang w:val="en-GB"/>
        </w:rPr>
        <w:t xml:space="preserve"> and local communities</w:t>
      </w:r>
      <w:r w:rsidRPr="5BB656D9" w:rsidR="6E16CAD6">
        <w:rPr>
          <w:rFonts w:ascii="Arial" w:hAnsi="Arial" w:eastAsia="Arial" w:cs="Arial"/>
          <w:noProof w:val="0"/>
          <w:sz w:val="22"/>
          <w:szCs w:val="22"/>
          <w:lang w:val="en-GB"/>
        </w:rPr>
        <w:t xml:space="preserve"> (Department of Health and Social Care, 2023). </w:t>
      </w:r>
    </w:p>
    <w:p w:rsidR="3BF67860" w:rsidP="5BB656D9" w:rsidRDefault="3BF67860" w14:paraId="1882E214" w14:textId="41C11C9A">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3BF67860">
        <w:rPr>
          <w:rFonts w:ascii="Arial" w:hAnsi="Arial" w:eastAsia="Arial" w:cs="Arial"/>
          <w:b w:val="1"/>
          <w:bCs w:val="1"/>
          <w:noProof w:val="0"/>
          <w:sz w:val="22"/>
          <w:szCs w:val="22"/>
          <w:lang w:val="en-GB"/>
        </w:rPr>
        <w:t>8. Recommendations for Future Development of Person-Centred Care and Partnership Working</w:t>
      </w:r>
    </w:p>
    <w:p w:rsidR="3BF67860" w:rsidP="5BB656D9" w:rsidRDefault="3BF67860" w14:paraId="31FBA68F" w14:textId="6EADB7EC">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3BF67860">
        <w:rPr>
          <w:rFonts w:ascii="Arial" w:hAnsi="Arial" w:eastAsia="Arial" w:cs="Arial"/>
          <w:noProof w:val="0"/>
          <w:sz w:val="22"/>
          <w:szCs w:val="22"/>
          <w:lang w:val="en-GB"/>
        </w:rPr>
        <w:t>Future improvement should prioritise stronger cooperation between NHS bodies, local authorities, voluntary organisations and communities. Integrated Care Systems require sufficient funding, shared information arrangements and reliable measures that reflect experience, safety, prevention and equality. Lalani et al. (2025) emphasise that lasting progress depends on trust, co-production and relationships across organisational boundaries. Services should also involve individuals earlier when designing support, particularly those from marginalised populations. Gould et al. (2025) indicate that integrated strategies need clearly defined goals, aligned responsibilities and sustained collaboration. Workforce development, protected communication time and transparent evaluation would strengthen personalised provision while reducing fragmentation and duplicated activity.</w:t>
      </w:r>
    </w:p>
    <w:p w:rsidR="07333B08" w:rsidP="5BB656D9" w:rsidRDefault="07333B08" w14:paraId="5C0FD587" w14:textId="123A3C45">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07333B08">
        <w:rPr>
          <w:rFonts w:ascii="Arial" w:hAnsi="Arial" w:eastAsia="Arial" w:cs="Arial"/>
          <w:b w:val="1"/>
          <w:bCs w:val="1"/>
          <w:noProof w:val="0"/>
          <w:sz w:val="22"/>
          <w:szCs w:val="22"/>
          <w:lang w:val="en-GB"/>
        </w:rPr>
        <w:t>9. Conclusion</w:t>
      </w:r>
    </w:p>
    <w:p w:rsidR="07333B08" w:rsidP="5BB656D9" w:rsidRDefault="07333B08" w14:paraId="4BA3D394" w14:textId="13A0A608">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5BB656D9" w:rsidR="07333B08">
        <w:rPr>
          <w:rFonts w:ascii="Arial" w:hAnsi="Arial" w:eastAsia="Arial" w:cs="Arial"/>
          <w:noProof w:val="0"/>
          <w:sz w:val="22"/>
          <w:szCs w:val="22"/>
          <w:lang w:val="en-GB"/>
        </w:rPr>
        <w:t xml:space="preserve">Person-centred care and partnership working are essential for delivering safe, </w:t>
      </w:r>
      <w:r w:rsidRPr="5BB656D9" w:rsidR="07333B08">
        <w:rPr>
          <w:rFonts w:ascii="Arial" w:hAnsi="Arial" w:eastAsia="Arial" w:cs="Arial"/>
          <w:noProof w:val="0"/>
          <w:sz w:val="22"/>
          <w:szCs w:val="22"/>
          <w:lang w:val="en-GB"/>
        </w:rPr>
        <w:t>effective</w:t>
      </w:r>
      <w:r w:rsidRPr="5BB656D9" w:rsidR="07333B08">
        <w:rPr>
          <w:rFonts w:ascii="Arial" w:hAnsi="Arial" w:eastAsia="Arial" w:cs="Arial"/>
          <w:noProof w:val="0"/>
          <w:sz w:val="22"/>
          <w:szCs w:val="22"/>
          <w:lang w:val="en-GB"/>
        </w:rPr>
        <w:t xml:space="preserve"> and compassionate health and social care services. Together, they promote dignity, respect, shared </w:t>
      </w:r>
      <w:r w:rsidRPr="5BB656D9" w:rsidR="07333B08">
        <w:rPr>
          <w:rFonts w:ascii="Arial" w:hAnsi="Arial" w:eastAsia="Arial" w:cs="Arial"/>
          <w:noProof w:val="0"/>
          <w:sz w:val="22"/>
          <w:szCs w:val="22"/>
          <w:lang w:val="en-GB"/>
        </w:rPr>
        <w:t>decision-making</w:t>
      </w:r>
      <w:r w:rsidRPr="5BB656D9" w:rsidR="07333B08">
        <w:rPr>
          <w:rFonts w:ascii="Arial" w:hAnsi="Arial" w:eastAsia="Arial" w:cs="Arial"/>
          <w:noProof w:val="0"/>
          <w:sz w:val="22"/>
          <w:szCs w:val="22"/>
          <w:lang w:val="en-GB"/>
        </w:rPr>
        <w:t xml:space="preserve"> and coordinated support that reflects </w:t>
      </w:r>
      <w:r w:rsidRPr="5BB656D9" w:rsidR="07333B08">
        <w:rPr>
          <w:rFonts w:ascii="Arial" w:hAnsi="Arial" w:eastAsia="Arial" w:cs="Arial"/>
          <w:noProof w:val="0"/>
          <w:sz w:val="22"/>
          <w:szCs w:val="22"/>
          <w:lang w:val="en-GB"/>
        </w:rPr>
        <w:t>everyone's</w:t>
      </w:r>
      <w:r w:rsidRPr="5BB656D9" w:rsidR="07333B08">
        <w:rPr>
          <w:rFonts w:ascii="Arial" w:hAnsi="Arial" w:eastAsia="Arial" w:cs="Arial"/>
          <w:noProof w:val="0"/>
          <w:sz w:val="22"/>
          <w:szCs w:val="22"/>
          <w:lang w:val="en-GB"/>
        </w:rPr>
        <w:t xml:space="preserve"> needs and preferences. The report has </w:t>
      </w:r>
      <w:r w:rsidRPr="5BB656D9" w:rsidR="07333B08">
        <w:rPr>
          <w:rFonts w:ascii="Arial" w:hAnsi="Arial" w:eastAsia="Arial" w:cs="Arial"/>
          <w:noProof w:val="0"/>
          <w:sz w:val="22"/>
          <w:szCs w:val="22"/>
          <w:lang w:val="en-GB"/>
        </w:rPr>
        <w:t>demonstrated</w:t>
      </w:r>
      <w:r w:rsidRPr="5BB656D9" w:rsidR="07333B08">
        <w:rPr>
          <w:rFonts w:ascii="Arial" w:hAnsi="Arial" w:eastAsia="Arial" w:cs="Arial"/>
          <w:noProof w:val="0"/>
          <w:sz w:val="22"/>
          <w:szCs w:val="22"/>
          <w:lang w:val="en-GB"/>
        </w:rPr>
        <w:t xml:space="preserve"> that ethical principles, relevant theories, multidisciplinary </w:t>
      </w:r>
      <w:r w:rsidRPr="5BB656D9" w:rsidR="07333B08">
        <w:rPr>
          <w:rFonts w:ascii="Arial" w:hAnsi="Arial" w:eastAsia="Arial" w:cs="Arial"/>
          <w:noProof w:val="0"/>
          <w:sz w:val="22"/>
          <w:szCs w:val="22"/>
          <w:lang w:val="en-GB"/>
        </w:rPr>
        <w:t>collaboration</w:t>
      </w:r>
      <w:r w:rsidRPr="5BB656D9" w:rsidR="07333B08">
        <w:rPr>
          <w:rFonts w:ascii="Arial" w:hAnsi="Arial" w:eastAsia="Arial" w:cs="Arial"/>
          <w:noProof w:val="0"/>
          <w:sz w:val="22"/>
          <w:szCs w:val="22"/>
          <w:lang w:val="en-GB"/>
        </w:rPr>
        <w:t xml:space="preserve"> and UK legislation all contribute to improving care quality and patient experiences. Although challenges such as limited resources, communication barriers and organisational pressures </w:t>
      </w:r>
      <w:r w:rsidRPr="5BB656D9" w:rsidR="07333B08">
        <w:rPr>
          <w:rFonts w:ascii="Arial" w:hAnsi="Arial" w:eastAsia="Arial" w:cs="Arial"/>
          <w:noProof w:val="0"/>
          <w:sz w:val="22"/>
          <w:szCs w:val="22"/>
          <w:lang w:val="en-GB"/>
        </w:rPr>
        <w:t>remain</w:t>
      </w:r>
      <w:r w:rsidRPr="5BB656D9" w:rsidR="07333B08">
        <w:rPr>
          <w:rFonts w:ascii="Arial" w:hAnsi="Arial" w:eastAsia="Arial" w:cs="Arial"/>
          <w:noProof w:val="0"/>
          <w:sz w:val="22"/>
          <w:szCs w:val="22"/>
          <w:lang w:val="en-GB"/>
        </w:rPr>
        <w:t xml:space="preserve">, continued investment in integrated working and meaningful public involvement can strengthen future practice. </w:t>
      </w:r>
      <w:r w:rsidRPr="5BB656D9" w:rsidR="07333B08">
        <w:rPr>
          <w:rFonts w:ascii="Arial" w:hAnsi="Arial" w:eastAsia="Arial" w:cs="Arial"/>
          <w:noProof w:val="0"/>
          <w:sz w:val="22"/>
          <w:szCs w:val="22"/>
          <w:lang w:val="en-GB"/>
        </w:rPr>
        <w:t>Ultimately, these</w:t>
      </w:r>
      <w:r w:rsidRPr="5BB656D9" w:rsidR="07333B08">
        <w:rPr>
          <w:rFonts w:ascii="Arial" w:hAnsi="Arial" w:eastAsia="Arial" w:cs="Arial"/>
          <w:noProof w:val="0"/>
          <w:sz w:val="22"/>
          <w:szCs w:val="22"/>
          <w:lang w:val="en-GB"/>
        </w:rPr>
        <w:t xml:space="preserve"> approaches support better outcomes while encouraging high-quality, </w:t>
      </w:r>
      <w:r w:rsidRPr="5BB656D9" w:rsidR="07333B08">
        <w:rPr>
          <w:rFonts w:ascii="Arial" w:hAnsi="Arial" w:eastAsia="Arial" w:cs="Arial"/>
          <w:noProof w:val="0"/>
          <w:sz w:val="22"/>
          <w:szCs w:val="22"/>
          <w:lang w:val="en-GB"/>
        </w:rPr>
        <w:t>responsive</w:t>
      </w:r>
      <w:r w:rsidRPr="5BB656D9" w:rsidR="07333B08">
        <w:rPr>
          <w:rFonts w:ascii="Arial" w:hAnsi="Arial" w:eastAsia="Arial" w:cs="Arial"/>
          <w:noProof w:val="0"/>
          <w:sz w:val="22"/>
          <w:szCs w:val="22"/>
          <w:lang w:val="en-GB"/>
        </w:rPr>
        <w:t xml:space="preserve"> and inclusive care across the United Kingdom.</w:t>
      </w:r>
    </w:p>
    <w:p w:rsidR="5BB656D9" w:rsidP="5BB656D9" w:rsidRDefault="5BB656D9" w14:paraId="1D99A6FB" w14:textId="5D6F8C07">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BB656D9" w:rsidP="5BB656D9" w:rsidRDefault="5BB656D9" w14:paraId="542E1951" w14:textId="23C89BF9">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BB656D9" w:rsidP="5BB656D9" w:rsidRDefault="5BB656D9" w14:paraId="19E674AB" w14:textId="020E1F3F">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BB656D9" w:rsidP="5BB656D9" w:rsidRDefault="5BB656D9" w14:paraId="6FF6AD3B" w14:textId="00E8539A">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BB656D9" w:rsidP="5BB656D9" w:rsidRDefault="5BB656D9" w14:paraId="6617A1B6" w14:textId="4B11E37D">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BB656D9" w:rsidP="5BB656D9" w:rsidRDefault="5BB656D9" w14:paraId="703B7A30" w14:textId="376C4EC9">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BB656D9" w:rsidP="5BB656D9" w:rsidRDefault="5BB656D9" w14:paraId="6ECD91FF" w14:textId="7D72A535">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5BB656D9" w:rsidP="5BB656D9" w:rsidRDefault="5BB656D9" w14:paraId="5D22036B" w14:textId="4984B6A1">
      <w:pPr>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14179B94" w:rsidP="5BB656D9" w:rsidRDefault="14179B94" w14:paraId="185B951F" w14:textId="765C2414">
      <w:pPr>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5BB656D9" w:rsidR="14179B94">
        <w:rPr>
          <w:rFonts w:ascii="Arial" w:hAnsi="Arial" w:eastAsia="Arial" w:cs="Arial"/>
          <w:b w:val="1"/>
          <w:bCs w:val="1"/>
          <w:noProof w:val="0"/>
          <w:sz w:val="22"/>
          <w:szCs w:val="22"/>
          <w:lang w:val="en-GB"/>
        </w:rPr>
        <w:t>REFERENCES</w:t>
      </w:r>
    </w:p>
    <w:p w:rsidR="5BB656D9" w:rsidP="5BB656D9" w:rsidRDefault="5BB656D9" w14:paraId="7B19C823" w14:textId="151A0491">
      <w:pPr>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14179B94" w:rsidP="5BB656D9" w:rsidRDefault="14179B94" w14:paraId="434708FA" w14:textId="3CBA81E0">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14179B94">
        <w:rPr>
          <w:rFonts w:ascii="Arial" w:hAnsi="Arial" w:eastAsia="Arial" w:cs="Arial"/>
          <w:noProof w:val="0"/>
          <w:sz w:val="22"/>
          <w:szCs w:val="22"/>
          <w:lang w:val="en-GB"/>
        </w:rPr>
        <w:t xml:space="preserve">NHS England (2022) </w:t>
      </w:r>
      <w:r w:rsidRPr="5BB656D9" w:rsidR="14179B94">
        <w:rPr>
          <w:rFonts w:ascii="Arial" w:hAnsi="Arial" w:eastAsia="Arial" w:cs="Arial"/>
          <w:i w:val="1"/>
          <w:iCs w:val="1"/>
          <w:noProof w:val="0"/>
          <w:sz w:val="22"/>
          <w:szCs w:val="22"/>
          <w:lang w:val="en-GB"/>
        </w:rPr>
        <w:t>Working in partnership with people and communities: Statutory guidance</w:t>
      </w:r>
      <w:r w:rsidRPr="5BB656D9" w:rsidR="14179B94">
        <w:rPr>
          <w:rFonts w:ascii="Arial" w:hAnsi="Arial" w:eastAsia="Arial" w:cs="Arial"/>
          <w:noProof w:val="0"/>
          <w:sz w:val="22"/>
          <w:szCs w:val="22"/>
          <w:lang w:val="en-GB"/>
        </w:rPr>
        <w:t xml:space="preserve">. Updated 21 May 2026. Available at: </w:t>
      </w:r>
      <w:hyperlink r:id="Rb792d3b7c8c14f84">
        <w:r w:rsidRPr="5BB656D9" w:rsidR="14179B94">
          <w:rPr>
            <w:rStyle w:val="Hyperlink"/>
            <w:rFonts w:ascii="Arial" w:hAnsi="Arial" w:eastAsia="Arial" w:cs="Arial"/>
            <w:noProof w:val="0"/>
            <w:sz w:val="22"/>
            <w:szCs w:val="22"/>
            <w:lang w:val="en-GB"/>
          </w:rPr>
          <w:t>https://www.england.nhs.uk/long-read/working-in-partnership-with-people-and-communities-statutory-guidance/</w:t>
        </w:r>
      </w:hyperlink>
      <w:r w:rsidRPr="5BB656D9" w:rsidR="14179B94">
        <w:rPr>
          <w:rFonts w:ascii="Arial" w:hAnsi="Arial" w:eastAsia="Arial" w:cs="Arial"/>
          <w:noProof w:val="0"/>
          <w:sz w:val="22"/>
          <w:szCs w:val="22"/>
          <w:lang w:val="en-GB"/>
        </w:rPr>
        <w:t xml:space="preserve"> (Accessed: 24 July 2026).</w:t>
      </w:r>
    </w:p>
    <w:p w:rsidR="5BB656D9" w:rsidP="5BB656D9" w:rsidRDefault="5BB656D9" w14:paraId="4CD383E8" w14:textId="5EB69C2B">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14179B94" w:rsidP="5BB656D9" w:rsidRDefault="14179B94" w14:paraId="796E7EC1" w14:textId="1569F309">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14179B94">
        <w:rPr>
          <w:rFonts w:ascii="Arial" w:hAnsi="Arial" w:eastAsia="Arial" w:cs="Arial"/>
          <w:noProof w:val="0"/>
          <w:sz w:val="22"/>
          <w:szCs w:val="22"/>
          <w:lang w:val="en-GB"/>
        </w:rPr>
        <w:t>The Health Foundation (2016) Person-centred care made simple. London: The Health Foundation. Available at: https://www.health.org.uk/sites/default/files/PersonCentredCareMadeSimple.pdf (Accessed: 24 July 2026).</w:t>
      </w:r>
    </w:p>
    <w:p w:rsidR="5BB656D9" w:rsidP="5BB656D9" w:rsidRDefault="5BB656D9" w14:paraId="34B985B2" w14:textId="537392E7">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39D1EBB4" w:rsidP="5BB656D9" w:rsidRDefault="39D1EBB4" w14:paraId="4F817A46" w14:textId="5CC039F7">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39D1EBB4">
        <w:rPr>
          <w:rFonts w:ascii="Arial" w:hAnsi="Arial" w:eastAsia="Arial" w:cs="Arial"/>
          <w:noProof w:val="0"/>
          <w:sz w:val="22"/>
          <w:szCs w:val="22"/>
          <w:lang w:val="en-GB"/>
        </w:rPr>
        <w:t xml:space="preserve">British Association of Social Workers (BASW) (n.d.) </w:t>
      </w:r>
      <w:r w:rsidRPr="5BB656D9" w:rsidR="39D1EBB4">
        <w:rPr>
          <w:rFonts w:ascii="Arial" w:hAnsi="Arial" w:eastAsia="Arial" w:cs="Arial"/>
          <w:i w:val="1"/>
          <w:iCs w:val="1"/>
          <w:noProof w:val="0"/>
          <w:sz w:val="22"/>
          <w:szCs w:val="22"/>
          <w:lang w:val="en-GB"/>
        </w:rPr>
        <w:t>Person-centred care made simple</w:t>
      </w:r>
      <w:r w:rsidRPr="5BB656D9" w:rsidR="39D1EBB4">
        <w:rPr>
          <w:rFonts w:ascii="Arial" w:hAnsi="Arial" w:eastAsia="Arial" w:cs="Arial"/>
          <w:noProof w:val="0"/>
          <w:sz w:val="22"/>
          <w:szCs w:val="22"/>
          <w:lang w:val="en-GB"/>
        </w:rPr>
        <w:t xml:space="preserve">. Available at: </w:t>
      </w:r>
      <w:hyperlink r:id="Rcacbf96589bd43af">
        <w:r w:rsidRPr="5BB656D9" w:rsidR="39D1EBB4">
          <w:rPr>
            <w:rStyle w:val="Hyperlink"/>
            <w:rFonts w:ascii="Arial" w:hAnsi="Arial" w:eastAsia="Arial" w:cs="Arial"/>
            <w:noProof w:val="0"/>
            <w:sz w:val="22"/>
            <w:szCs w:val="22"/>
            <w:lang w:val="en-GB"/>
          </w:rPr>
          <w:t>https://basw.co.uk/policy-and-practice/resources/person-centred-care-made-simple</w:t>
        </w:r>
      </w:hyperlink>
      <w:r w:rsidRPr="5BB656D9" w:rsidR="39D1EBB4">
        <w:rPr>
          <w:rFonts w:ascii="Arial" w:hAnsi="Arial" w:eastAsia="Arial" w:cs="Arial"/>
          <w:noProof w:val="0"/>
          <w:sz w:val="22"/>
          <w:szCs w:val="22"/>
          <w:lang w:val="en-GB"/>
        </w:rPr>
        <w:t xml:space="preserve"> (Accessed: 24 July 2026).</w:t>
      </w:r>
    </w:p>
    <w:p w:rsidR="5BB656D9" w:rsidP="5BB656D9" w:rsidRDefault="5BB656D9" w14:paraId="556ED293" w14:textId="6721D65C">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39D1EBB4" w:rsidP="5BB656D9" w:rsidRDefault="39D1EBB4" w14:paraId="3667BC52" w14:textId="2F573EAA">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39D1EBB4">
        <w:rPr>
          <w:rFonts w:ascii="Arial" w:hAnsi="Arial" w:eastAsia="Arial" w:cs="Arial"/>
          <w:noProof w:val="0"/>
          <w:sz w:val="22"/>
          <w:szCs w:val="22"/>
          <w:lang w:val="en-GB"/>
        </w:rPr>
        <w:t xml:space="preserve">Idrees, S., Dong, M., Young, G., Meredith, L., Ryan, D., Lunsky, Y. and Mathews, M. (2025) ‘Supports and barriers to creating and implementing person-centred plans in the community care sector in Canada: A qualitative analysis of three perspectives’, </w:t>
      </w:r>
      <w:r w:rsidRPr="5BB656D9" w:rsidR="39D1EBB4">
        <w:rPr>
          <w:rFonts w:ascii="Arial" w:hAnsi="Arial" w:eastAsia="Arial" w:cs="Arial"/>
          <w:i w:val="1"/>
          <w:iCs w:val="1"/>
          <w:noProof w:val="0"/>
          <w:sz w:val="22"/>
          <w:szCs w:val="22"/>
          <w:lang w:val="en-GB"/>
        </w:rPr>
        <w:t>SSM – Health Systems</w:t>
      </w:r>
      <w:r w:rsidRPr="5BB656D9" w:rsidR="39D1EBB4">
        <w:rPr>
          <w:rFonts w:ascii="Arial" w:hAnsi="Arial" w:eastAsia="Arial" w:cs="Arial"/>
          <w:noProof w:val="0"/>
          <w:sz w:val="22"/>
          <w:szCs w:val="22"/>
          <w:lang w:val="en-GB"/>
        </w:rPr>
        <w:t xml:space="preserve">, 4, article 100054. Available at: </w:t>
      </w:r>
      <w:hyperlink r:id="Ra6090b8cedcb48a3">
        <w:r w:rsidRPr="5BB656D9" w:rsidR="39D1EBB4">
          <w:rPr>
            <w:rStyle w:val="Hyperlink"/>
            <w:rFonts w:ascii="Arial" w:hAnsi="Arial" w:eastAsia="Arial" w:cs="Arial"/>
            <w:noProof w:val="0"/>
            <w:sz w:val="22"/>
            <w:szCs w:val="22"/>
            <w:lang w:val="en-GB"/>
          </w:rPr>
          <w:t>https://doi.org/10.1016/j.ssmhs.2025.100054</w:t>
        </w:r>
      </w:hyperlink>
      <w:r w:rsidRPr="5BB656D9" w:rsidR="39D1EBB4">
        <w:rPr>
          <w:rFonts w:ascii="Arial" w:hAnsi="Arial" w:eastAsia="Arial" w:cs="Arial"/>
          <w:noProof w:val="0"/>
          <w:sz w:val="22"/>
          <w:szCs w:val="22"/>
          <w:lang w:val="en-GB"/>
        </w:rPr>
        <w:t xml:space="preserve"> (Accessed: 24 July 2026).</w:t>
      </w:r>
    </w:p>
    <w:p w:rsidR="5BB656D9" w:rsidP="5BB656D9" w:rsidRDefault="5BB656D9" w14:paraId="773D913B" w14:textId="5394CFAB">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39D1EBB4" w:rsidP="5BB656D9" w:rsidRDefault="39D1EBB4" w14:paraId="30468D58" w14:textId="1DDDEE83">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39D1EBB4">
        <w:rPr>
          <w:rFonts w:ascii="Arial" w:hAnsi="Arial" w:eastAsia="Arial" w:cs="Arial"/>
          <w:noProof w:val="0"/>
          <w:sz w:val="22"/>
          <w:szCs w:val="22"/>
          <w:lang w:val="en-GB"/>
        </w:rPr>
        <w:t xml:space="preserve">Moore, L., Britten, N., Lydahl, D., Naldemirci, Ö., Elam, M. and Wolf, A. (2017) ‘Barriers and facilitators to the implementation of person-centred care in different healthcare contexts’, </w:t>
      </w:r>
      <w:r w:rsidRPr="5BB656D9" w:rsidR="39D1EBB4">
        <w:rPr>
          <w:rFonts w:ascii="Arial" w:hAnsi="Arial" w:eastAsia="Arial" w:cs="Arial"/>
          <w:i w:val="1"/>
          <w:iCs w:val="1"/>
          <w:noProof w:val="0"/>
          <w:sz w:val="22"/>
          <w:szCs w:val="22"/>
          <w:lang w:val="en-GB"/>
        </w:rPr>
        <w:t>Scandinavian Journal of Caring Sciences</w:t>
      </w:r>
      <w:r w:rsidRPr="5BB656D9" w:rsidR="39D1EBB4">
        <w:rPr>
          <w:rFonts w:ascii="Arial" w:hAnsi="Arial" w:eastAsia="Arial" w:cs="Arial"/>
          <w:noProof w:val="0"/>
          <w:sz w:val="22"/>
          <w:szCs w:val="22"/>
          <w:lang w:val="en-GB"/>
        </w:rPr>
        <w:t xml:space="preserve">, 31(4), pp. 662–673. Available at: </w:t>
      </w:r>
      <w:hyperlink r:id="Re63b7e585d7d4026">
        <w:r w:rsidRPr="5BB656D9" w:rsidR="39D1EBB4">
          <w:rPr>
            <w:rStyle w:val="Hyperlink"/>
            <w:rFonts w:ascii="Arial" w:hAnsi="Arial" w:eastAsia="Arial" w:cs="Arial"/>
            <w:noProof w:val="0"/>
            <w:sz w:val="22"/>
            <w:szCs w:val="22"/>
            <w:lang w:val="en-GB"/>
          </w:rPr>
          <w:t>https://doi.org/10.1111/scs.12376</w:t>
        </w:r>
      </w:hyperlink>
      <w:r w:rsidRPr="5BB656D9" w:rsidR="39D1EBB4">
        <w:rPr>
          <w:rFonts w:ascii="Arial" w:hAnsi="Arial" w:eastAsia="Arial" w:cs="Arial"/>
          <w:noProof w:val="0"/>
          <w:sz w:val="22"/>
          <w:szCs w:val="22"/>
          <w:lang w:val="en-GB"/>
        </w:rPr>
        <w:t xml:space="preserve"> (Accessed: 24 July 2026).</w:t>
      </w:r>
    </w:p>
    <w:p w:rsidR="5BB656D9" w:rsidP="5BB656D9" w:rsidRDefault="5BB656D9" w14:paraId="10DBA00E" w14:textId="107C8602">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39D1EBB4" w:rsidP="5BB656D9" w:rsidRDefault="39D1EBB4" w14:paraId="363B636B" w14:textId="2A239612">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39D1EBB4">
        <w:rPr>
          <w:rFonts w:ascii="Arial" w:hAnsi="Arial" w:eastAsia="Arial" w:cs="Arial"/>
          <w:noProof w:val="0"/>
          <w:sz w:val="22"/>
          <w:szCs w:val="22"/>
          <w:lang w:val="en-GB"/>
        </w:rPr>
        <w:t xml:space="preserve">NHS Education for Scotland (2025) </w:t>
      </w:r>
      <w:r w:rsidRPr="5BB656D9" w:rsidR="39D1EBB4">
        <w:rPr>
          <w:rFonts w:ascii="Arial" w:hAnsi="Arial" w:eastAsia="Arial" w:cs="Arial"/>
          <w:i w:val="1"/>
          <w:iCs w:val="1"/>
          <w:noProof w:val="0"/>
          <w:sz w:val="22"/>
          <w:szCs w:val="22"/>
          <w:lang w:val="en-GB"/>
        </w:rPr>
        <w:t>Person centred care</w:t>
      </w:r>
      <w:r w:rsidRPr="5BB656D9" w:rsidR="39D1EBB4">
        <w:rPr>
          <w:rFonts w:ascii="Arial" w:hAnsi="Arial" w:eastAsia="Arial" w:cs="Arial"/>
          <w:noProof w:val="0"/>
          <w:sz w:val="22"/>
          <w:szCs w:val="22"/>
          <w:lang w:val="en-GB"/>
        </w:rPr>
        <w:t xml:space="preserve">. Available at: </w:t>
      </w:r>
      <w:hyperlink r:id="Rdac5839e41364f2e">
        <w:r w:rsidRPr="5BB656D9" w:rsidR="39D1EBB4">
          <w:rPr>
            <w:rStyle w:val="Hyperlink"/>
            <w:rFonts w:ascii="Arial" w:hAnsi="Arial" w:eastAsia="Arial" w:cs="Arial"/>
            <w:noProof w:val="0"/>
            <w:sz w:val="22"/>
            <w:szCs w:val="22"/>
            <w:lang w:val="en-GB"/>
          </w:rPr>
          <w:t>https://www.nes.scot.nhs.uk/our-work/person-centred-care/</w:t>
        </w:r>
      </w:hyperlink>
      <w:r w:rsidRPr="5BB656D9" w:rsidR="39D1EBB4">
        <w:rPr>
          <w:rFonts w:ascii="Arial" w:hAnsi="Arial" w:eastAsia="Arial" w:cs="Arial"/>
          <w:noProof w:val="0"/>
          <w:sz w:val="22"/>
          <w:szCs w:val="22"/>
          <w:lang w:val="en-GB"/>
        </w:rPr>
        <w:t xml:space="preserve"> (Accessed: 24 July 2026).</w:t>
      </w:r>
    </w:p>
    <w:p w:rsidR="5BB656D9" w:rsidP="5BB656D9" w:rsidRDefault="5BB656D9" w14:paraId="766B233B" w14:textId="59FDF23C">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769D2A03" w:rsidP="5BB656D9" w:rsidRDefault="769D2A03" w14:paraId="7CB6104B" w14:textId="37D74A68">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769D2A03">
        <w:rPr>
          <w:rFonts w:ascii="Arial" w:hAnsi="Arial" w:eastAsia="Arial" w:cs="Arial"/>
          <w:noProof w:val="0"/>
          <w:sz w:val="22"/>
          <w:szCs w:val="22"/>
          <w:lang w:val="en-GB"/>
        </w:rPr>
        <w:t xml:space="preserve">Phelan, A. and Kirwan, M. (2020) ‘Health and wellbeing: The contribution of Bronfenbrenner’s Ecological Model’, </w:t>
      </w:r>
      <w:r w:rsidRPr="5BB656D9" w:rsidR="769D2A03">
        <w:rPr>
          <w:rFonts w:ascii="Arial" w:hAnsi="Arial" w:eastAsia="Arial" w:cs="Arial"/>
          <w:i w:val="1"/>
          <w:iCs w:val="1"/>
          <w:noProof w:val="0"/>
          <w:sz w:val="22"/>
          <w:szCs w:val="22"/>
          <w:lang w:val="en-GB"/>
        </w:rPr>
        <w:t>Journal of Clinical Nursing</w:t>
      </w:r>
      <w:r w:rsidRPr="5BB656D9" w:rsidR="769D2A03">
        <w:rPr>
          <w:rFonts w:ascii="Arial" w:hAnsi="Arial" w:eastAsia="Arial" w:cs="Arial"/>
          <w:noProof w:val="0"/>
          <w:sz w:val="22"/>
          <w:szCs w:val="22"/>
          <w:lang w:val="en-GB"/>
        </w:rPr>
        <w:t xml:space="preserve">. First published 21 June 2020. Available at: </w:t>
      </w:r>
      <w:hyperlink r:id="Rfe99b02a5c4547a0">
        <w:r w:rsidRPr="5BB656D9" w:rsidR="769D2A03">
          <w:rPr>
            <w:rStyle w:val="Hyperlink"/>
            <w:rFonts w:ascii="Arial" w:hAnsi="Arial" w:eastAsia="Arial" w:cs="Arial"/>
            <w:noProof w:val="0"/>
            <w:sz w:val="22"/>
            <w:szCs w:val="22"/>
            <w:lang w:val="en-GB"/>
          </w:rPr>
          <w:t>https://onlinelibrary.wiley.com/doi/abs/10.1111/jocn.15391</w:t>
        </w:r>
      </w:hyperlink>
      <w:r w:rsidRPr="5BB656D9" w:rsidR="769D2A03">
        <w:rPr>
          <w:rFonts w:ascii="Arial" w:hAnsi="Arial" w:eastAsia="Arial" w:cs="Arial"/>
          <w:noProof w:val="0"/>
          <w:sz w:val="22"/>
          <w:szCs w:val="22"/>
          <w:lang w:val="en-GB"/>
        </w:rPr>
        <w:t xml:space="preserve"> (Accessed: 24 July 2026).</w:t>
      </w:r>
    </w:p>
    <w:p w:rsidR="5BB656D9" w:rsidP="5BB656D9" w:rsidRDefault="5BB656D9" w14:paraId="0D8ED44C" w14:textId="75263009">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769D2A03" w:rsidP="5BB656D9" w:rsidRDefault="769D2A03" w14:paraId="753216A3" w14:textId="6D2C668B">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769D2A03">
        <w:rPr>
          <w:rFonts w:ascii="Arial" w:hAnsi="Arial" w:eastAsia="Arial" w:cs="Arial"/>
          <w:noProof w:val="0"/>
          <w:sz w:val="22"/>
          <w:szCs w:val="22"/>
          <w:lang w:val="en-GB"/>
        </w:rPr>
        <w:t xml:space="preserve">Tong, P. and An, I.S. (2024) ‘Bronfenbrenner’s ecological systems theory and its application to health and wellbeing’, </w:t>
      </w:r>
      <w:r w:rsidRPr="5BB656D9" w:rsidR="769D2A03">
        <w:rPr>
          <w:rFonts w:ascii="Arial" w:hAnsi="Arial" w:eastAsia="Arial" w:cs="Arial"/>
          <w:i w:val="1"/>
          <w:iCs w:val="1"/>
          <w:noProof w:val="0"/>
          <w:sz w:val="22"/>
          <w:szCs w:val="22"/>
          <w:lang w:val="en-GB"/>
        </w:rPr>
        <w:t>Frontiers in Psychology</w:t>
      </w:r>
      <w:r w:rsidRPr="5BB656D9" w:rsidR="769D2A03">
        <w:rPr>
          <w:rFonts w:ascii="Arial" w:hAnsi="Arial" w:eastAsia="Arial" w:cs="Arial"/>
          <w:noProof w:val="0"/>
          <w:sz w:val="22"/>
          <w:szCs w:val="22"/>
          <w:lang w:val="en-GB"/>
        </w:rPr>
        <w:t xml:space="preserve">, 15. Available at: </w:t>
      </w:r>
      <w:hyperlink r:id="R713cbe0b11d54e68">
        <w:r w:rsidRPr="5BB656D9" w:rsidR="769D2A03">
          <w:rPr>
            <w:rStyle w:val="Hyperlink"/>
            <w:rFonts w:ascii="Arial" w:hAnsi="Arial" w:eastAsia="Arial" w:cs="Arial"/>
            <w:noProof w:val="0"/>
            <w:sz w:val="22"/>
            <w:szCs w:val="22"/>
            <w:lang w:val="en-GB"/>
          </w:rPr>
          <w:t>https://pmc.ncbi.nlm.nih.gov/articles/PMC10801006/</w:t>
        </w:r>
      </w:hyperlink>
      <w:r w:rsidRPr="5BB656D9" w:rsidR="769D2A03">
        <w:rPr>
          <w:rFonts w:ascii="Arial" w:hAnsi="Arial" w:eastAsia="Arial" w:cs="Arial"/>
          <w:noProof w:val="0"/>
          <w:sz w:val="22"/>
          <w:szCs w:val="22"/>
          <w:lang w:val="en-GB"/>
        </w:rPr>
        <w:t xml:space="preserve"> (Accessed: 24 July 2026).</w:t>
      </w:r>
    </w:p>
    <w:p w:rsidR="5BB656D9" w:rsidP="5BB656D9" w:rsidRDefault="5BB656D9" w14:paraId="77EF8D01" w14:textId="3DE7F4DF">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7AB104F7" w:rsidP="5BB656D9" w:rsidRDefault="7AB104F7" w14:paraId="0B1114A4" w14:textId="05A0FCCE">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7AB104F7">
        <w:rPr>
          <w:rFonts w:ascii="Arial" w:hAnsi="Arial" w:eastAsia="Arial" w:cs="Arial"/>
          <w:noProof w:val="0"/>
          <w:sz w:val="22"/>
          <w:szCs w:val="22"/>
          <w:lang w:val="en-GB"/>
        </w:rPr>
        <w:t xml:space="preserve">Dowie, I. (2025) ‘Ethics and community nursing’, </w:t>
      </w:r>
      <w:r w:rsidRPr="5BB656D9" w:rsidR="7AB104F7">
        <w:rPr>
          <w:rFonts w:ascii="Arial" w:hAnsi="Arial" w:eastAsia="Arial" w:cs="Arial"/>
          <w:i w:val="1"/>
          <w:iCs w:val="1"/>
          <w:noProof w:val="0"/>
          <w:sz w:val="22"/>
          <w:szCs w:val="22"/>
          <w:lang w:val="en-GB"/>
        </w:rPr>
        <w:t>British Journal of Community Nursing</w:t>
      </w:r>
      <w:r w:rsidRPr="5BB656D9" w:rsidR="7AB104F7">
        <w:rPr>
          <w:rFonts w:ascii="Arial" w:hAnsi="Arial" w:eastAsia="Arial" w:cs="Arial"/>
          <w:noProof w:val="0"/>
          <w:sz w:val="22"/>
          <w:szCs w:val="22"/>
          <w:lang w:val="en-GB"/>
        </w:rPr>
        <w:t xml:space="preserve">, 30(1), pp. 16–17. doi:10.12968/bjcn.2024.0165. Available at: </w:t>
      </w:r>
      <w:hyperlink r:id="R74bb46e2d7f84a10">
        <w:r w:rsidRPr="5BB656D9" w:rsidR="7AB104F7">
          <w:rPr>
            <w:rStyle w:val="Hyperlink"/>
            <w:rFonts w:ascii="Arial" w:hAnsi="Arial" w:eastAsia="Arial" w:cs="Arial"/>
            <w:noProof w:val="0"/>
            <w:sz w:val="22"/>
            <w:szCs w:val="22"/>
            <w:lang w:val="en-GB"/>
          </w:rPr>
          <w:t>https://www.britishjournalofcommunitynursing.com/content/policy/ethics-and-community-nursing/</w:t>
        </w:r>
      </w:hyperlink>
      <w:r w:rsidRPr="5BB656D9" w:rsidR="7AB104F7">
        <w:rPr>
          <w:rFonts w:ascii="Arial" w:hAnsi="Arial" w:eastAsia="Arial" w:cs="Arial"/>
          <w:noProof w:val="0"/>
          <w:sz w:val="22"/>
          <w:szCs w:val="22"/>
          <w:lang w:val="en-GB"/>
        </w:rPr>
        <w:t xml:space="preserve"> (Accessed: 24 July 2026).</w:t>
      </w:r>
    </w:p>
    <w:p w:rsidR="5BB656D9" w:rsidP="5BB656D9" w:rsidRDefault="5BB656D9" w14:paraId="1FD1F323" w14:textId="1E9CEC53">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1875F1AC" w:rsidP="5BB656D9" w:rsidRDefault="1875F1AC" w14:paraId="16A86B1E" w14:textId="6E6C8250">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1875F1AC">
        <w:rPr>
          <w:rFonts w:ascii="Arial" w:hAnsi="Arial" w:eastAsia="Arial" w:cs="Arial"/>
          <w:noProof w:val="0"/>
          <w:sz w:val="22"/>
          <w:szCs w:val="22"/>
          <w:lang w:val="en-GB"/>
        </w:rPr>
        <w:t xml:space="preserve">Thana, L., Wistow, G., Durand, M.A., Pacho, A., Rehackova, L., Douglas, N., Al-Haboubi, M. and Mays, N. (2025) ‘Frontline staff perspectives on multi-disciplinary team working and the effectiveness of integrated service delivery: Findings from the evaluation of the Integrated Care and Support Pioneers in England’, </w:t>
      </w:r>
      <w:r w:rsidRPr="5BB656D9" w:rsidR="1875F1AC">
        <w:rPr>
          <w:rFonts w:ascii="Arial" w:hAnsi="Arial" w:eastAsia="Arial" w:cs="Arial"/>
          <w:i w:val="1"/>
          <w:iCs w:val="1"/>
          <w:noProof w:val="0"/>
          <w:sz w:val="22"/>
          <w:szCs w:val="22"/>
          <w:lang w:val="en-GB"/>
        </w:rPr>
        <w:t>Journal of Health Services Research &amp; Policy</w:t>
      </w:r>
      <w:r w:rsidRPr="5BB656D9" w:rsidR="1875F1AC">
        <w:rPr>
          <w:rFonts w:ascii="Arial" w:hAnsi="Arial" w:eastAsia="Arial" w:cs="Arial"/>
          <w:noProof w:val="0"/>
          <w:sz w:val="22"/>
          <w:szCs w:val="22"/>
          <w:lang w:val="en-GB"/>
        </w:rPr>
        <w:t xml:space="preserve">, 30(1 Suppl), pp. 36–47. Available at: </w:t>
      </w:r>
      <w:hyperlink r:id="Rf5e6b46fab754528">
        <w:r w:rsidRPr="5BB656D9" w:rsidR="1875F1AC">
          <w:rPr>
            <w:rStyle w:val="Hyperlink"/>
            <w:rFonts w:ascii="Arial" w:hAnsi="Arial" w:eastAsia="Arial" w:cs="Arial"/>
            <w:noProof w:val="0"/>
            <w:sz w:val="22"/>
            <w:szCs w:val="22"/>
            <w:lang w:val="en-GB"/>
          </w:rPr>
          <w:t>https://pmc.ncbi.nlm.nih.gov/articles/PMC12423457/</w:t>
        </w:r>
      </w:hyperlink>
      <w:r w:rsidRPr="5BB656D9" w:rsidR="1875F1AC">
        <w:rPr>
          <w:rFonts w:ascii="Arial" w:hAnsi="Arial" w:eastAsia="Arial" w:cs="Arial"/>
          <w:noProof w:val="0"/>
          <w:sz w:val="22"/>
          <w:szCs w:val="22"/>
          <w:lang w:val="en-GB"/>
        </w:rPr>
        <w:t xml:space="preserve"> (Accessed: 24 July 2026).</w:t>
      </w:r>
    </w:p>
    <w:p w:rsidR="5BB656D9" w:rsidP="5BB656D9" w:rsidRDefault="5BB656D9" w14:paraId="034858A1" w14:textId="7C0FC164">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5BB656D9" w:rsidP="5BB656D9" w:rsidRDefault="5BB656D9" w14:paraId="497C107D" w14:textId="2566A878">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p w:rsidR="4791789A" w:rsidP="5BB656D9" w:rsidRDefault="4791789A" w14:paraId="1B99EFFC" w14:textId="3794890F">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4791789A">
        <w:rPr>
          <w:rFonts w:ascii="Arial" w:hAnsi="Arial" w:eastAsia="Arial" w:cs="Arial"/>
          <w:noProof w:val="0"/>
          <w:sz w:val="22"/>
          <w:szCs w:val="22"/>
          <w:lang w:val="en-GB"/>
        </w:rPr>
        <w:t xml:space="preserve">NHS England (2025) </w:t>
      </w:r>
      <w:r w:rsidRPr="5BB656D9" w:rsidR="4791789A">
        <w:rPr>
          <w:rFonts w:ascii="Arial" w:hAnsi="Arial" w:eastAsia="Arial" w:cs="Arial"/>
          <w:i w:val="1"/>
          <w:iCs w:val="1"/>
          <w:noProof w:val="0"/>
          <w:sz w:val="22"/>
          <w:szCs w:val="22"/>
          <w:lang w:val="en-GB"/>
        </w:rPr>
        <w:t>Strong working relationships as the bedrock of neighbourhood multidisciplinary teams (children and young people focused)</w:t>
      </w:r>
      <w:r w:rsidRPr="5BB656D9" w:rsidR="4791789A">
        <w:rPr>
          <w:rFonts w:ascii="Arial" w:hAnsi="Arial" w:eastAsia="Arial" w:cs="Arial"/>
          <w:noProof w:val="0"/>
          <w:sz w:val="22"/>
          <w:szCs w:val="22"/>
          <w:lang w:val="en-GB"/>
        </w:rPr>
        <w:t xml:space="preserve">. Available at: </w:t>
      </w:r>
      <w:hyperlink r:id="R9c4cd9d782d44ed7">
        <w:r w:rsidRPr="5BB656D9" w:rsidR="4791789A">
          <w:rPr>
            <w:rStyle w:val="Hyperlink"/>
            <w:rFonts w:ascii="Arial" w:hAnsi="Arial" w:eastAsia="Arial" w:cs="Arial"/>
            <w:noProof w:val="0"/>
            <w:sz w:val="22"/>
            <w:szCs w:val="22"/>
            <w:lang w:val="en-GB"/>
          </w:rPr>
          <w:t>https://www.england.nhs.uk/long-read/strong-working-relationships-as-the-bedrock-of-neighbourhood-multidisciplinary-teams-children-and-young-people-focused/</w:t>
        </w:r>
      </w:hyperlink>
      <w:r w:rsidRPr="5BB656D9" w:rsidR="4791789A">
        <w:rPr>
          <w:rFonts w:ascii="Arial" w:hAnsi="Arial" w:eastAsia="Arial" w:cs="Arial"/>
          <w:noProof w:val="0"/>
          <w:sz w:val="22"/>
          <w:szCs w:val="22"/>
          <w:lang w:val="en-GB"/>
        </w:rPr>
        <w:t xml:space="preserve"> </w:t>
      </w:r>
      <w:r w:rsidRPr="5BB656D9" w:rsidR="360EC30F">
        <w:rPr>
          <w:rFonts w:ascii="Arial" w:hAnsi="Arial" w:eastAsia="Arial" w:cs="Arial"/>
          <w:noProof w:val="0"/>
          <w:sz w:val="22"/>
          <w:szCs w:val="22"/>
          <w:lang w:val="en-GB"/>
        </w:rPr>
        <w:t>(Accessed: 24 July 2026).</w:t>
      </w:r>
    </w:p>
    <w:p w:rsidR="5BB656D9" w:rsidP="5BB656D9" w:rsidRDefault="5BB656D9" w14:paraId="1418A1D6" w14:textId="2BCDFEDB">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63396EF2" w:rsidP="5BB656D9" w:rsidRDefault="63396EF2" w14:paraId="63050C83" w14:textId="7D67830D">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63396EF2">
        <w:rPr>
          <w:rFonts w:ascii="Arial" w:hAnsi="Arial" w:eastAsia="Arial" w:cs="Arial"/>
          <w:noProof w:val="0"/>
          <w:sz w:val="22"/>
          <w:szCs w:val="22"/>
          <w:lang w:val="en-GB"/>
        </w:rPr>
        <w:t xml:space="preserve">NHS England (2025) </w:t>
      </w:r>
      <w:r w:rsidRPr="5BB656D9" w:rsidR="63396EF2">
        <w:rPr>
          <w:rFonts w:ascii="Arial" w:hAnsi="Arial" w:eastAsia="Arial" w:cs="Arial"/>
          <w:i w:val="1"/>
          <w:iCs w:val="1"/>
          <w:noProof w:val="0"/>
          <w:sz w:val="22"/>
          <w:szCs w:val="22"/>
          <w:lang w:val="en-GB"/>
        </w:rPr>
        <w:t>Policy on working in partnership with people and communities</w:t>
      </w:r>
      <w:r w:rsidRPr="5BB656D9" w:rsidR="63396EF2">
        <w:rPr>
          <w:rFonts w:ascii="Arial" w:hAnsi="Arial" w:eastAsia="Arial" w:cs="Arial"/>
          <w:noProof w:val="0"/>
          <w:sz w:val="22"/>
          <w:szCs w:val="22"/>
          <w:lang w:val="en-GB"/>
        </w:rPr>
        <w:t xml:space="preserve">. Updated 19 June 2026. Available at: </w:t>
      </w:r>
      <w:hyperlink r:id="Rfba9539728a94ff9">
        <w:r w:rsidRPr="5BB656D9" w:rsidR="63396EF2">
          <w:rPr>
            <w:rStyle w:val="Hyperlink"/>
            <w:rFonts w:ascii="Arial" w:hAnsi="Arial" w:eastAsia="Arial" w:cs="Arial"/>
            <w:noProof w:val="0"/>
            <w:sz w:val="22"/>
            <w:szCs w:val="22"/>
            <w:lang w:val="en-GB"/>
          </w:rPr>
          <w:t>https://www.england.nhs.uk/long-read/policy-on-working-in-partnership-with-people-and-communities/</w:t>
        </w:r>
      </w:hyperlink>
      <w:r w:rsidRPr="5BB656D9" w:rsidR="63396EF2">
        <w:rPr>
          <w:rFonts w:ascii="Arial" w:hAnsi="Arial" w:eastAsia="Arial" w:cs="Arial"/>
          <w:noProof w:val="0"/>
          <w:sz w:val="22"/>
          <w:szCs w:val="22"/>
          <w:lang w:val="en-GB"/>
        </w:rPr>
        <w:t xml:space="preserve"> </w:t>
      </w:r>
      <w:r w:rsidRPr="5BB656D9" w:rsidR="2B203123">
        <w:rPr>
          <w:rFonts w:ascii="Arial" w:hAnsi="Arial" w:eastAsia="Arial" w:cs="Arial"/>
          <w:noProof w:val="0"/>
          <w:sz w:val="22"/>
          <w:szCs w:val="22"/>
          <w:lang w:val="en-GB"/>
        </w:rPr>
        <w:t>(Ac</w:t>
      </w:r>
      <w:r w:rsidRPr="5BB656D9" w:rsidR="4791789A">
        <w:rPr>
          <w:rFonts w:ascii="Arial" w:hAnsi="Arial" w:eastAsia="Arial" w:cs="Arial"/>
          <w:noProof w:val="0"/>
          <w:sz w:val="22"/>
          <w:szCs w:val="22"/>
          <w:lang w:val="en-GB"/>
        </w:rPr>
        <w:t>cessed: 24 July 2026).</w:t>
      </w:r>
    </w:p>
    <w:p w:rsidR="5BB656D9" w:rsidP="5BB656D9" w:rsidRDefault="5BB656D9" w14:paraId="0B75EACD" w14:textId="5B40D991">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52BD87FE" w:rsidP="5BB656D9" w:rsidRDefault="52BD87FE" w14:paraId="07A8F99E" w14:textId="11A241AD">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52BD87FE">
        <w:rPr>
          <w:rFonts w:ascii="Arial" w:hAnsi="Arial" w:eastAsia="Arial" w:cs="Arial"/>
          <w:noProof w:val="0"/>
          <w:sz w:val="22"/>
          <w:szCs w:val="22"/>
          <w:lang w:val="en-GB"/>
        </w:rPr>
        <w:t xml:space="preserve">Department of Health and Social Care (2023) </w:t>
      </w:r>
      <w:r w:rsidRPr="5BB656D9" w:rsidR="52BD87FE">
        <w:rPr>
          <w:rFonts w:ascii="Arial" w:hAnsi="Arial" w:eastAsia="Arial" w:cs="Arial"/>
          <w:i w:val="1"/>
          <w:iCs w:val="1"/>
          <w:noProof w:val="0"/>
          <w:sz w:val="22"/>
          <w:szCs w:val="22"/>
          <w:lang w:val="en-GB"/>
        </w:rPr>
        <w:t>The NHS Constitution for England</w:t>
      </w:r>
      <w:r w:rsidRPr="5BB656D9" w:rsidR="52BD87FE">
        <w:rPr>
          <w:rFonts w:ascii="Arial" w:hAnsi="Arial" w:eastAsia="Arial" w:cs="Arial"/>
          <w:noProof w:val="0"/>
          <w:sz w:val="22"/>
          <w:szCs w:val="22"/>
          <w:lang w:val="en-GB"/>
        </w:rPr>
        <w:t xml:space="preserve">. Updated 17 August 2023. Available at: </w:t>
      </w:r>
      <w:hyperlink r:id="R8664ec5f5f794627">
        <w:r w:rsidRPr="5BB656D9" w:rsidR="52BD87FE">
          <w:rPr>
            <w:rStyle w:val="Hyperlink"/>
            <w:rFonts w:ascii="Arial" w:hAnsi="Arial" w:eastAsia="Arial" w:cs="Arial"/>
            <w:noProof w:val="0"/>
            <w:sz w:val="22"/>
            <w:szCs w:val="22"/>
            <w:lang w:val="en-GB"/>
          </w:rPr>
          <w:t>https://www.gov.uk/government/publications/the-nhs-constitution-for-england/the-nhs-constitution-for-england</w:t>
        </w:r>
      </w:hyperlink>
      <w:r w:rsidRPr="5BB656D9" w:rsidR="52BD87FE">
        <w:rPr>
          <w:rFonts w:ascii="Arial" w:hAnsi="Arial" w:eastAsia="Arial" w:cs="Arial"/>
          <w:noProof w:val="0"/>
          <w:sz w:val="22"/>
          <w:szCs w:val="22"/>
          <w:lang w:val="en-GB"/>
        </w:rPr>
        <w:t xml:space="preserve"> (Accessed: 24 July 2026).</w:t>
      </w:r>
    </w:p>
    <w:p w:rsidR="5BB656D9" w:rsidP="5BB656D9" w:rsidRDefault="5BB656D9" w14:paraId="6F1A231D" w14:textId="6874C276">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3BE779F1" w:rsidP="5BB656D9" w:rsidRDefault="3BE779F1" w14:paraId="2BFC1901" w14:textId="4B857C80">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3BE779F1">
        <w:rPr>
          <w:rFonts w:ascii="Arial" w:hAnsi="Arial" w:eastAsia="Arial" w:cs="Arial"/>
          <w:noProof w:val="0"/>
          <w:sz w:val="22"/>
          <w:szCs w:val="22"/>
          <w:lang w:val="en-GB"/>
        </w:rPr>
        <w:t xml:space="preserve">Lalani, M., Peters, M., Sugavanam, T., Crocker, H., Caiels, J., Hay, H., Gunn, S., Hogan, H., Page, B. and Fitzpatrick, R. (2025) ‘New ways of working to manage and improve quality in Integrated Care Systems in England’, </w:t>
      </w:r>
      <w:r w:rsidRPr="5BB656D9" w:rsidR="3BE779F1">
        <w:rPr>
          <w:rFonts w:ascii="Arial" w:hAnsi="Arial" w:eastAsia="Arial" w:cs="Arial"/>
          <w:i w:val="1"/>
          <w:iCs w:val="1"/>
          <w:noProof w:val="0"/>
          <w:sz w:val="22"/>
          <w:szCs w:val="22"/>
          <w:lang w:val="en-GB"/>
        </w:rPr>
        <w:t>International Journal of Health Policy and Management</w:t>
      </w:r>
      <w:r w:rsidRPr="5BB656D9" w:rsidR="3BE779F1">
        <w:rPr>
          <w:rFonts w:ascii="Arial" w:hAnsi="Arial" w:eastAsia="Arial" w:cs="Arial"/>
          <w:noProof w:val="0"/>
          <w:sz w:val="22"/>
          <w:szCs w:val="22"/>
          <w:lang w:val="en-GB"/>
        </w:rPr>
        <w:t xml:space="preserve">, </w:t>
      </w:r>
      <w:r w:rsidRPr="5BB656D9" w:rsidR="3BE779F1">
        <w:rPr>
          <w:rFonts w:ascii="Arial" w:hAnsi="Arial" w:eastAsia="Arial" w:cs="Arial"/>
          <w:b w:val="1"/>
          <w:bCs w:val="1"/>
          <w:noProof w:val="0"/>
          <w:sz w:val="22"/>
          <w:szCs w:val="22"/>
          <w:lang w:val="en-GB"/>
        </w:rPr>
        <w:t>14</w:t>
      </w:r>
      <w:r w:rsidRPr="5BB656D9" w:rsidR="3BE779F1">
        <w:rPr>
          <w:rFonts w:ascii="Arial" w:hAnsi="Arial" w:eastAsia="Arial" w:cs="Arial"/>
          <w:noProof w:val="0"/>
          <w:sz w:val="22"/>
          <w:szCs w:val="22"/>
          <w:lang w:val="en-GB"/>
        </w:rPr>
        <w:t xml:space="preserve">, article 8424. Available at: </w:t>
      </w:r>
      <w:hyperlink r:id="Rad496695959142a5">
        <w:r w:rsidRPr="5BB656D9" w:rsidR="3BE779F1">
          <w:rPr>
            <w:rStyle w:val="Hyperlink"/>
            <w:rFonts w:ascii="Arial" w:hAnsi="Arial" w:eastAsia="Arial" w:cs="Arial"/>
            <w:b w:val="0"/>
            <w:bCs w:val="0"/>
            <w:noProof w:val="0"/>
            <w:sz w:val="22"/>
            <w:szCs w:val="22"/>
            <w:lang w:val="en-GB"/>
          </w:rPr>
          <w:t>https://pmc.ncbi.nlm.nih.gov/articles/PMC11845859/</w:t>
        </w:r>
      </w:hyperlink>
      <w:r w:rsidRPr="5BB656D9" w:rsidR="3BE779F1">
        <w:rPr>
          <w:rFonts w:ascii="Arial" w:hAnsi="Arial" w:eastAsia="Arial" w:cs="Arial"/>
          <w:b w:val="0"/>
          <w:bCs w:val="0"/>
          <w:noProof w:val="0"/>
          <w:sz w:val="22"/>
          <w:szCs w:val="22"/>
          <w:lang w:val="en-GB"/>
        </w:rPr>
        <w:t xml:space="preserve"> </w:t>
      </w:r>
      <w:r w:rsidRPr="5BB656D9" w:rsidR="3BE779F1">
        <w:rPr>
          <w:rFonts w:ascii="Arial" w:hAnsi="Arial" w:eastAsia="Arial" w:cs="Arial"/>
          <w:noProof w:val="0"/>
          <w:sz w:val="22"/>
          <w:szCs w:val="22"/>
          <w:lang w:val="en-GB"/>
        </w:rPr>
        <w:t>(Accessed: 24 July 2026).</w:t>
      </w:r>
    </w:p>
    <w:p w:rsidR="5BB656D9" w:rsidP="5BB656D9" w:rsidRDefault="5BB656D9" w14:paraId="23F3DC43" w14:textId="24D44D0E">
      <w:pPr>
        <w:pStyle w:val="ListParagraph"/>
        <w:suppressLineNumbers w:val="0"/>
        <w:bidi w:val="0"/>
        <w:spacing w:before="0" w:beforeAutospacing="off" w:after="160" w:afterAutospacing="off" w:line="360" w:lineRule="auto"/>
        <w:ind w:left="720" w:right="0"/>
        <w:jc w:val="left"/>
        <w:rPr>
          <w:rFonts w:ascii="Arial" w:hAnsi="Arial" w:eastAsia="Arial" w:cs="Arial"/>
          <w:noProof w:val="0"/>
          <w:sz w:val="22"/>
          <w:szCs w:val="22"/>
          <w:lang w:val="en-GB"/>
        </w:rPr>
      </w:pPr>
    </w:p>
    <w:p w:rsidR="3BE779F1" w:rsidP="5BB656D9" w:rsidRDefault="3BE779F1" w14:paraId="2A867E6C" w14:textId="5ADFA69E">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GB"/>
        </w:rPr>
      </w:pPr>
      <w:r w:rsidRPr="5BB656D9" w:rsidR="3BE779F1">
        <w:rPr>
          <w:rFonts w:ascii="Arial" w:hAnsi="Arial" w:eastAsia="Arial" w:cs="Arial"/>
          <w:noProof w:val="0"/>
          <w:sz w:val="22"/>
          <w:szCs w:val="22"/>
          <w:lang w:val="en-GB"/>
        </w:rPr>
        <w:t xml:space="preserve">Gould, B., Tucker, D., Majdzadeh, R. and Di Cesare, M. (2025) ‘Integrated care services: Developing strategies for integrated care – A relational content analysis’, </w:t>
      </w:r>
      <w:r w:rsidRPr="5BB656D9" w:rsidR="3BE779F1">
        <w:rPr>
          <w:rFonts w:ascii="Arial" w:hAnsi="Arial" w:eastAsia="Arial" w:cs="Arial"/>
          <w:i w:val="1"/>
          <w:iCs w:val="1"/>
          <w:noProof w:val="0"/>
          <w:sz w:val="22"/>
          <w:szCs w:val="22"/>
          <w:lang w:val="en-GB"/>
        </w:rPr>
        <w:t>Public Health</w:t>
      </w:r>
      <w:r w:rsidRPr="5BB656D9" w:rsidR="3BE779F1">
        <w:rPr>
          <w:rFonts w:ascii="Arial" w:hAnsi="Arial" w:eastAsia="Arial" w:cs="Arial"/>
          <w:noProof w:val="0"/>
          <w:sz w:val="22"/>
          <w:szCs w:val="22"/>
          <w:lang w:val="en-GB"/>
        </w:rPr>
        <w:t xml:space="preserve">, </w:t>
      </w:r>
      <w:r w:rsidRPr="5BB656D9" w:rsidR="3BE779F1">
        <w:rPr>
          <w:rFonts w:ascii="Arial" w:hAnsi="Arial" w:eastAsia="Arial" w:cs="Arial"/>
          <w:b w:val="0"/>
          <w:bCs w:val="0"/>
          <w:noProof w:val="0"/>
          <w:sz w:val="22"/>
          <w:szCs w:val="22"/>
          <w:lang w:val="en-GB"/>
        </w:rPr>
        <w:t>249</w:t>
      </w:r>
      <w:r w:rsidRPr="5BB656D9" w:rsidR="3BE779F1">
        <w:rPr>
          <w:rFonts w:ascii="Arial" w:hAnsi="Arial" w:eastAsia="Arial" w:cs="Arial"/>
          <w:noProof w:val="0"/>
          <w:sz w:val="22"/>
          <w:szCs w:val="22"/>
          <w:lang w:val="en-GB"/>
        </w:rPr>
        <w:t xml:space="preserve">, article 106043. Available at: </w:t>
      </w:r>
      <w:hyperlink r:id="R0f70987aee8a4b13">
        <w:r w:rsidRPr="5BB656D9" w:rsidR="3BE779F1">
          <w:rPr>
            <w:rStyle w:val="Hyperlink"/>
            <w:rFonts w:ascii="Arial" w:hAnsi="Arial" w:eastAsia="Arial" w:cs="Arial"/>
            <w:b w:val="1"/>
            <w:bCs w:val="1"/>
            <w:noProof w:val="0"/>
            <w:sz w:val="22"/>
            <w:szCs w:val="22"/>
            <w:lang w:val="en-GB"/>
          </w:rPr>
          <w:t>https://www.sciencedirect.com/science/article/abs/pii/S0033350625004895</w:t>
        </w:r>
      </w:hyperlink>
      <w:r w:rsidRPr="5BB656D9" w:rsidR="3BE779F1">
        <w:rPr>
          <w:rFonts w:ascii="Arial" w:hAnsi="Arial" w:eastAsia="Arial" w:cs="Arial"/>
          <w:noProof w:val="0"/>
          <w:sz w:val="22"/>
          <w:szCs w:val="22"/>
          <w:lang w:val="en-GB"/>
        </w:rPr>
        <w:t xml:space="preserve"> (Accessed: 24 July 2026).</w:t>
      </w:r>
    </w:p>
    <w:p w:rsidR="5BB656D9" w:rsidP="5BB656D9" w:rsidRDefault="5BB656D9" w14:paraId="367AF48C" w14:textId="7BC74818">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e7863267dd32411c"/>
      <w:footerReference w:type="default" r:id="R177eed8863344d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BB656D9" w:rsidTr="5BB656D9" w14:paraId="78C87E51">
      <w:trPr>
        <w:trHeight w:val="300"/>
      </w:trPr>
      <w:tc>
        <w:tcPr>
          <w:tcW w:w="3005" w:type="dxa"/>
          <w:tcMar/>
        </w:tcPr>
        <w:p w:rsidR="5BB656D9" w:rsidP="5BB656D9" w:rsidRDefault="5BB656D9" w14:paraId="0219F432" w14:textId="65316329">
          <w:pPr>
            <w:pStyle w:val="Header"/>
            <w:bidi w:val="0"/>
            <w:ind w:left="-115"/>
            <w:jc w:val="left"/>
          </w:pPr>
        </w:p>
      </w:tc>
      <w:tc>
        <w:tcPr>
          <w:tcW w:w="3005" w:type="dxa"/>
          <w:tcMar/>
        </w:tcPr>
        <w:p w:rsidR="5BB656D9" w:rsidP="5BB656D9" w:rsidRDefault="5BB656D9" w14:paraId="7DE982B5" w14:textId="1BEC8BE0">
          <w:pPr>
            <w:pStyle w:val="Header"/>
            <w:bidi w:val="0"/>
            <w:jc w:val="center"/>
          </w:pPr>
        </w:p>
      </w:tc>
      <w:tc>
        <w:tcPr>
          <w:tcW w:w="3005" w:type="dxa"/>
          <w:tcMar/>
        </w:tcPr>
        <w:p w:rsidR="5BB656D9" w:rsidP="5BB656D9" w:rsidRDefault="5BB656D9" w14:paraId="669F38EF" w14:textId="66EBD277">
          <w:pPr>
            <w:pStyle w:val="Header"/>
            <w:bidi w:val="0"/>
            <w:ind w:right="-115"/>
            <w:jc w:val="right"/>
          </w:pPr>
          <w:r>
            <w:fldChar w:fldCharType="begin"/>
          </w:r>
          <w:r>
            <w:instrText xml:space="preserve">PAGE</w:instrText>
          </w:r>
          <w:r>
            <w:fldChar w:fldCharType="separate"/>
          </w:r>
          <w:r>
            <w:fldChar w:fldCharType="end"/>
          </w:r>
        </w:p>
      </w:tc>
    </w:tr>
  </w:tbl>
  <w:p w:rsidR="5BB656D9" w:rsidP="5BB656D9" w:rsidRDefault="5BB656D9" w14:paraId="454D7076" w14:textId="3F755A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BB656D9" w:rsidTr="5BB656D9" w14:paraId="148D0BC9">
      <w:trPr>
        <w:trHeight w:val="300"/>
      </w:trPr>
      <w:tc>
        <w:tcPr>
          <w:tcW w:w="3005" w:type="dxa"/>
          <w:tcMar/>
        </w:tcPr>
        <w:p w:rsidR="5BB656D9" w:rsidP="5BB656D9" w:rsidRDefault="5BB656D9" w14:paraId="52D90F72" w14:textId="239342FB">
          <w:pPr>
            <w:pStyle w:val="Header"/>
            <w:bidi w:val="0"/>
            <w:ind w:left="-115"/>
            <w:jc w:val="left"/>
          </w:pPr>
        </w:p>
      </w:tc>
      <w:tc>
        <w:tcPr>
          <w:tcW w:w="3005" w:type="dxa"/>
          <w:tcMar/>
        </w:tcPr>
        <w:p w:rsidR="5BB656D9" w:rsidP="5BB656D9" w:rsidRDefault="5BB656D9" w14:paraId="3789A625" w14:textId="6F082737">
          <w:pPr>
            <w:pStyle w:val="Header"/>
            <w:bidi w:val="0"/>
            <w:jc w:val="center"/>
          </w:pPr>
        </w:p>
      </w:tc>
      <w:tc>
        <w:tcPr>
          <w:tcW w:w="3005" w:type="dxa"/>
          <w:tcMar/>
        </w:tcPr>
        <w:p w:rsidR="5BB656D9" w:rsidP="5BB656D9" w:rsidRDefault="5BB656D9" w14:paraId="2FE681CB" w14:textId="4D833755">
          <w:pPr>
            <w:pStyle w:val="Header"/>
            <w:bidi w:val="0"/>
            <w:ind w:right="-115"/>
            <w:jc w:val="right"/>
          </w:pPr>
        </w:p>
      </w:tc>
    </w:tr>
  </w:tbl>
  <w:p w:rsidR="5BB656D9" w:rsidP="5BB656D9" w:rsidRDefault="5BB656D9" w14:paraId="15007EAE" w14:textId="6F7B9DC7">
    <w:pPr>
      <w:pStyle w:val="Header"/>
      <w:bidi w:val="0"/>
    </w:pPr>
  </w:p>
</w:hdr>
</file>

<file path=word/numbering.xml><?xml version="1.0" encoding="utf-8"?>
<w:numbering xmlns:w="http://schemas.openxmlformats.org/wordprocessingml/2006/main">
  <w:abstractNum xmlns:w="http://schemas.openxmlformats.org/wordprocessingml/2006/main" w:abstractNumId="1">
    <w:nsid w:val="2e11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E68093"/>
    <w:rsid w:val="009EF47D"/>
    <w:rsid w:val="027832E8"/>
    <w:rsid w:val="0723A830"/>
    <w:rsid w:val="07333B08"/>
    <w:rsid w:val="09E1519E"/>
    <w:rsid w:val="0BA5F401"/>
    <w:rsid w:val="0CE68093"/>
    <w:rsid w:val="0F4EC211"/>
    <w:rsid w:val="0FEF6959"/>
    <w:rsid w:val="1180C369"/>
    <w:rsid w:val="11DA627F"/>
    <w:rsid w:val="12FBFAC3"/>
    <w:rsid w:val="14179B94"/>
    <w:rsid w:val="18151D5B"/>
    <w:rsid w:val="1875F1AC"/>
    <w:rsid w:val="1948F7B3"/>
    <w:rsid w:val="1CA309BA"/>
    <w:rsid w:val="1D39FAB2"/>
    <w:rsid w:val="1DF4DC96"/>
    <w:rsid w:val="20971333"/>
    <w:rsid w:val="20A638DD"/>
    <w:rsid w:val="21842EAC"/>
    <w:rsid w:val="2189E6B9"/>
    <w:rsid w:val="275C5A6C"/>
    <w:rsid w:val="2793704E"/>
    <w:rsid w:val="2793704E"/>
    <w:rsid w:val="27EEBF5F"/>
    <w:rsid w:val="2B203123"/>
    <w:rsid w:val="3495996A"/>
    <w:rsid w:val="360EC30F"/>
    <w:rsid w:val="39D1EBB4"/>
    <w:rsid w:val="3BE779F1"/>
    <w:rsid w:val="3BF67860"/>
    <w:rsid w:val="3DD326D0"/>
    <w:rsid w:val="3DF48731"/>
    <w:rsid w:val="3EADFAA3"/>
    <w:rsid w:val="416F6167"/>
    <w:rsid w:val="42298639"/>
    <w:rsid w:val="43E02987"/>
    <w:rsid w:val="46244D65"/>
    <w:rsid w:val="4791789A"/>
    <w:rsid w:val="4B372C24"/>
    <w:rsid w:val="4BD2DA54"/>
    <w:rsid w:val="4F4868F0"/>
    <w:rsid w:val="5106EC86"/>
    <w:rsid w:val="52BD87FE"/>
    <w:rsid w:val="59252E91"/>
    <w:rsid w:val="5BB656D9"/>
    <w:rsid w:val="63396EF2"/>
    <w:rsid w:val="6408FB99"/>
    <w:rsid w:val="64334CFF"/>
    <w:rsid w:val="680A0044"/>
    <w:rsid w:val="6A51EFE5"/>
    <w:rsid w:val="6E16CAD6"/>
    <w:rsid w:val="729E4D5A"/>
    <w:rsid w:val="744C1F37"/>
    <w:rsid w:val="769D2A03"/>
    <w:rsid w:val="7AB104F7"/>
    <w:rsid w:val="7BFA8307"/>
    <w:rsid w:val="7C2950BA"/>
    <w:rsid w:val="7F89E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FB650"/>
  <w15:chartTrackingRefBased/>
  <w15:docId w15:val="{52CB62C6-9CF5-459F-8024-03B0C88D71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BB656D9"/>
    <w:rPr>
      <w:color w:val="467886"/>
      <w:u w:val="single"/>
    </w:rPr>
  </w:style>
  <w:style w:type="paragraph" w:styleId="ListParagraph">
    <w:uiPriority w:val="34"/>
    <w:name w:val="List Paragraph"/>
    <w:basedOn w:val="Normal"/>
    <w:qFormat/>
    <w:rsid w:val="5BB656D9"/>
    <w:pPr>
      <w:spacing/>
      <w:ind w:left="720"/>
      <w:contextualSpacing/>
    </w:pPr>
  </w:style>
  <w:style w:type="paragraph" w:styleId="Header">
    <w:uiPriority w:val="99"/>
    <w:name w:val="header"/>
    <w:basedOn w:val="Normal"/>
    <w:unhideWhenUsed/>
    <w:rsid w:val="5BB656D9"/>
    <w:pPr>
      <w:tabs>
        <w:tab w:val="center" w:leader="none" w:pos="4680"/>
        <w:tab w:val="right" w:leader="none" w:pos="9360"/>
      </w:tabs>
      <w:spacing w:after="0" w:line="240" w:lineRule="auto"/>
    </w:pPr>
  </w:style>
  <w:style w:type="paragraph" w:styleId="Footer">
    <w:uiPriority w:val="99"/>
    <w:name w:val="footer"/>
    <w:basedOn w:val="Normal"/>
    <w:unhideWhenUsed/>
    <w:rsid w:val="5BB656D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long-read/working-in-partnership-with-people-and-communities-statutory-guidance/" TargetMode="External" Id="Rb792d3b7c8c14f84" /><Relationship Type="http://schemas.openxmlformats.org/officeDocument/2006/relationships/hyperlink" Target="https://basw.co.uk/policy-and-practice/resources/person-centred-care-made-simple" TargetMode="External" Id="Rcacbf96589bd43af" /><Relationship Type="http://schemas.openxmlformats.org/officeDocument/2006/relationships/hyperlink" Target="https://doi.org/10.1016/j.ssmhs.2025.100054" TargetMode="External" Id="Ra6090b8cedcb48a3" /><Relationship Type="http://schemas.openxmlformats.org/officeDocument/2006/relationships/hyperlink" Target="https://doi.org/10.1111/scs.12376" TargetMode="External" Id="Re63b7e585d7d4026" /><Relationship Type="http://schemas.openxmlformats.org/officeDocument/2006/relationships/hyperlink" Target="https://www.nes.scot.nhs.uk/our-work/person-centred-care/" TargetMode="External" Id="Rdac5839e41364f2e" /><Relationship Type="http://schemas.openxmlformats.org/officeDocument/2006/relationships/hyperlink" Target="https://onlinelibrary.wiley.com/doi/abs/10.1111/jocn.15391" TargetMode="External" Id="Rfe99b02a5c4547a0" /><Relationship Type="http://schemas.openxmlformats.org/officeDocument/2006/relationships/hyperlink" Target="https://pmc.ncbi.nlm.nih.gov/articles/PMC10801006/" TargetMode="External" Id="R713cbe0b11d54e68" /><Relationship Type="http://schemas.openxmlformats.org/officeDocument/2006/relationships/hyperlink" Target="https://www.britishjournalofcommunitynursing.com/content/policy/ethics-and-community-nursing/" TargetMode="External" Id="R74bb46e2d7f84a10" /><Relationship Type="http://schemas.openxmlformats.org/officeDocument/2006/relationships/hyperlink" Target="https://pmc.ncbi.nlm.nih.gov/articles/PMC12423457/" TargetMode="External" Id="Rf5e6b46fab754528" /><Relationship Type="http://schemas.openxmlformats.org/officeDocument/2006/relationships/hyperlink" Target="https://www.england.nhs.uk/long-read/strong-working-relationships-as-the-bedrock-of-neighbourhood-multidisciplinary-teams-children-and-young-people-focused/" TargetMode="External" Id="R9c4cd9d782d44ed7" /><Relationship Type="http://schemas.openxmlformats.org/officeDocument/2006/relationships/hyperlink" Target="https://www.england.nhs.uk/long-read/policy-on-working-in-partnership-with-people-and-communities/" TargetMode="External" Id="Rfba9539728a94ff9" /><Relationship Type="http://schemas.openxmlformats.org/officeDocument/2006/relationships/hyperlink" Target="https://www.gov.uk/government/publications/the-nhs-constitution-for-england/the-nhs-constitution-for-england" TargetMode="External" Id="R8664ec5f5f794627" /><Relationship Type="http://schemas.openxmlformats.org/officeDocument/2006/relationships/hyperlink" Target="https://pmc.ncbi.nlm.nih.gov/articles/PMC11845859/?utm_source=chatgpt.com" TargetMode="External" Id="Rad496695959142a5" /><Relationship Type="http://schemas.openxmlformats.org/officeDocument/2006/relationships/hyperlink" Target="https://www.sciencedirect.com/science/article/abs/pii/S0033350625004895?utm_source=chatgpt.com" TargetMode="External" Id="R0f70987aee8a4b13" /><Relationship Type="http://schemas.openxmlformats.org/officeDocument/2006/relationships/header" Target="/word/header.xml" Id="Re7863267dd32411c" /><Relationship Type="http://schemas.openxmlformats.org/officeDocument/2006/relationships/footer" Target="/word/footer.xml" Id="R177eed8863344dae" /><Relationship Type="http://schemas.openxmlformats.org/officeDocument/2006/relationships/numbering" Target="/word/numbering.xml" Id="R5d2fce2e8c1a40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Rani Saima (2440153)</dc:creator>
  <keywords/>
  <dc:description/>
  <lastModifiedBy>Rani Saima (2440153)</lastModifiedBy>
  <revision>2</revision>
  <dcterms:created xsi:type="dcterms:W3CDTF">2026-07-24T17:07:29.8992372Z</dcterms:created>
  <dcterms:modified xsi:type="dcterms:W3CDTF">2026-07-24T20:29:24.3034690Z</dcterms:modified>
</coreProperties>
</file>