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2"/>
          <w:szCs w:val="22"/>
        </w:rPr>
        <w:id w:val="1699360443"/>
        <w:docPartObj>
          <w:docPartGallery w:val="Cover Pages"/>
          <w:docPartUnique/>
        </w:docPartObj>
      </w:sdtPr>
      <w:sdtContent>
        <w:p w14:paraId="2A7587E2" w14:textId="25AE815D" w:rsidR="00AB1D83" w:rsidRDefault="00AB1D83">
          <w:pPr>
            <w:rPr>
              <w:rFonts w:ascii="Arial" w:hAnsi="Arial" w:cs="Arial"/>
              <w:sz w:val="22"/>
              <w:szCs w:val="22"/>
            </w:rPr>
          </w:pPr>
          <w:r w:rsidRPr="00AB1D83">
            <w:rPr>
              <w:rFonts w:ascii="Arial" w:hAnsi="Arial" w:cs="Arial"/>
              <w:noProof/>
              <w:color w:val="FFFFFF" w:themeColor="background1"/>
              <w:sz w:val="22"/>
              <w:szCs w:val="22"/>
            </w:rPr>
            <mc:AlternateContent>
              <mc:Choice Requires="wpg">
                <w:drawing>
                  <wp:anchor distT="0" distB="0" distL="114300" distR="114300" simplePos="0" relativeHeight="251659264" behindDoc="0" locked="0" layoutInCell="1" allowOverlap="1" wp14:anchorId="2ED1D487" wp14:editId="42D31669">
                    <wp:simplePos x="0" y="0"/>
                    <wp:positionH relativeFrom="page">
                      <wp:align>center</wp:align>
                    </wp:positionH>
                    <wp:positionV relativeFrom="page">
                      <wp:align>center</wp:align>
                    </wp:positionV>
                    <wp:extent cx="6858000" cy="9144000"/>
                    <wp:effectExtent l="0" t="0" r="2540" b="635"/>
                    <wp:wrapNone/>
                    <wp:docPr id="11" name="Group 40"/>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3C0962F6" w14:textId="2EF7E78E" w:rsidR="00AB1D83" w:rsidRDefault="00C35F59">
                                      <w:pPr>
                                        <w:pStyle w:val="NoSpacing"/>
                                        <w:spacing w:after="120"/>
                                        <w:rPr>
                                          <w:rFonts w:asciiTheme="majorHAnsi" w:eastAsiaTheme="majorEastAsia" w:hAnsiTheme="majorHAnsi" w:cstheme="majorBidi"/>
                                          <w:color w:val="FFFFFF" w:themeColor="background1"/>
                                          <w:sz w:val="84"/>
                                          <w:szCs w:val="84"/>
                                        </w:rPr>
                                      </w:pPr>
                                      <w:r w:rsidRPr="00C35F59">
                                        <w:rPr>
                                          <w:rFonts w:asciiTheme="majorHAnsi" w:eastAsiaTheme="majorEastAsia" w:hAnsiTheme="majorHAnsi" w:cstheme="majorBidi"/>
                                          <w:color w:val="FFFFFF" w:themeColor="background1"/>
                                          <w:sz w:val="84"/>
                                          <w:szCs w:val="84"/>
                                        </w:rPr>
                                        <w:t>Module Name</w:t>
                                      </w:r>
                                      <w:r>
                                        <w:rPr>
                                          <w:rFonts w:asciiTheme="majorHAnsi" w:eastAsiaTheme="majorEastAsia" w:hAnsiTheme="majorHAnsi" w:cstheme="majorBidi"/>
                                          <w:color w:val="FFFFFF" w:themeColor="background1"/>
                                          <w:sz w:val="84"/>
                                          <w:szCs w:val="84"/>
                                        </w:rPr>
                                        <w:t xml:space="preserve"> and Code</w:t>
                                      </w:r>
                                      <w:r w:rsidRPr="00C35F59">
                                        <w:rPr>
                                          <w:rFonts w:asciiTheme="majorHAnsi" w:eastAsiaTheme="majorEastAsia" w:hAnsiTheme="majorHAnsi" w:cstheme="majorBidi"/>
                                          <w:color w:val="FFFFFF" w:themeColor="background1"/>
                                          <w:sz w:val="84"/>
                                          <w:szCs w:val="84"/>
                                        </w:rPr>
                                        <w:t>:</w:t>
                                      </w:r>
                                      <w:r>
                                        <w:rPr>
                                          <w:rFonts w:asciiTheme="majorHAnsi" w:eastAsiaTheme="majorEastAsia" w:hAnsiTheme="majorHAnsi" w:cstheme="majorBidi"/>
                                          <w:color w:val="FFFFFF" w:themeColor="background1"/>
                                          <w:sz w:val="84"/>
                                          <w:szCs w:val="84"/>
                                        </w:rPr>
                                        <w:t xml:space="preserve"> </w:t>
                                      </w:r>
                                      <w:r w:rsidRPr="00C35F59">
                                        <w:rPr>
                                          <w:rFonts w:asciiTheme="majorHAnsi" w:eastAsiaTheme="majorEastAsia" w:hAnsiTheme="majorHAnsi" w:cstheme="majorBidi"/>
                                          <w:color w:val="FFFFFF" w:themeColor="background1"/>
                                          <w:sz w:val="84"/>
                                          <w:szCs w:val="84"/>
                                        </w:rPr>
                                        <w:t>Introduction to Independent Research Skills (BMHP5019)</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4F2638EE" w14:textId="04809E69" w:rsidR="00AB1D83" w:rsidRDefault="00C35F59">
                                      <w:pPr>
                                        <w:pStyle w:val="NoSpacing"/>
                                        <w:rPr>
                                          <w:color w:val="FFFFFF" w:themeColor="background1"/>
                                          <w:sz w:val="28"/>
                                          <w:szCs w:val="28"/>
                                        </w:rPr>
                                      </w:pPr>
                                      <w:r w:rsidRPr="00C35F59">
                                        <w:rPr>
                                          <w:color w:val="FFFFFF" w:themeColor="background1"/>
                                          <w:sz w:val="28"/>
                                          <w:szCs w:val="28"/>
                                        </w:rPr>
                                        <w:t>Assignment Title:</w:t>
                                      </w:r>
                                      <w:r>
                                        <w:rPr>
                                          <w:color w:val="FFFFFF" w:themeColor="background1"/>
                                          <w:sz w:val="28"/>
                                          <w:szCs w:val="28"/>
                                        </w:rPr>
                                        <w:t xml:space="preserve"> </w:t>
                                      </w:r>
                                      <w:r w:rsidRPr="00C35F59">
                                        <w:rPr>
                                          <w:color w:val="FFFFFF" w:themeColor="background1"/>
                                          <w:sz w:val="28"/>
                                          <w:szCs w:val="28"/>
                                        </w:rPr>
                                        <w:t>Individual Research Project (Scoping Review)</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534B6BE9" w14:textId="64A9E1FA" w:rsidR="00AB1D83" w:rsidRDefault="00AB1D83">
                                      <w:pPr>
                                        <w:pStyle w:val="NoSpacing"/>
                                        <w:rPr>
                                          <w:color w:val="FFFFFF" w:themeColor="background1"/>
                                          <w:sz w:val="32"/>
                                          <w:szCs w:val="32"/>
                                        </w:rPr>
                                      </w:pPr>
                                      <w:r>
                                        <w:rPr>
                                          <w:color w:val="FFFFFF" w:themeColor="background1"/>
                                          <w:sz w:val="32"/>
                                          <w:szCs w:val="32"/>
                                        </w:rPr>
                                        <w:t>Nafeesa Bibi (2331120)</w:t>
                                      </w:r>
                                    </w:p>
                                  </w:sdtContent>
                                </w:sdt>
                                <w:p w14:paraId="0F77B7F1" w14:textId="66A560F6" w:rsidR="00AB1D83" w:rsidRDefault="00AB1D83">
                                  <w:pPr>
                                    <w:pStyle w:val="NoSpacing"/>
                                    <w:rPr>
                                      <w:color w:val="FFFFFF" w:themeColor="background1"/>
                                      <w:sz w:val="18"/>
                                      <w:szCs w:val="18"/>
                                    </w:rPr>
                                  </w:pPr>
                                  <w:r>
                                    <w:rPr>
                                      <w:color w:val="FFFFFF" w:themeColor="background1"/>
                                      <w:sz w:val="18"/>
                                      <w:szCs w:val="18"/>
                                    </w:rPr>
                                    <w:t> </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ED1D487" id="Group 40"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" fillcolor="black [3213]" stroked="f" strokeweight="1.5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3C0962F6" w14:textId="2EF7E78E" w:rsidR="00AB1D83" w:rsidRDefault="00C35F59">
                                <w:pPr>
                                  <w:pStyle w:val="NoSpacing"/>
                                  <w:spacing w:after="120"/>
                                  <w:rPr>
                                    <w:rFonts w:asciiTheme="majorHAnsi" w:eastAsiaTheme="majorEastAsia" w:hAnsiTheme="majorHAnsi" w:cstheme="majorBidi"/>
                                    <w:color w:val="FFFFFF" w:themeColor="background1"/>
                                    <w:sz w:val="84"/>
                                    <w:szCs w:val="84"/>
                                  </w:rPr>
                                </w:pPr>
                                <w:r w:rsidRPr="00C35F59">
                                  <w:rPr>
                                    <w:rFonts w:asciiTheme="majorHAnsi" w:eastAsiaTheme="majorEastAsia" w:hAnsiTheme="majorHAnsi" w:cstheme="majorBidi"/>
                                    <w:color w:val="FFFFFF" w:themeColor="background1"/>
                                    <w:sz w:val="84"/>
                                    <w:szCs w:val="84"/>
                                  </w:rPr>
                                  <w:t>Module Name</w:t>
                                </w:r>
                                <w:r>
                                  <w:rPr>
                                    <w:rFonts w:asciiTheme="majorHAnsi" w:eastAsiaTheme="majorEastAsia" w:hAnsiTheme="majorHAnsi" w:cstheme="majorBidi"/>
                                    <w:color w:val="FFFFFF" w:themeColor="background1"/>
                                    <w:sz w:val="84"/>
                                    <w:szCs w:val="84"/>
                                  </w:rPr>
                                  <w:t xml:space="preserve"> and Code</w:t>
                                </w:r>
                                <w:r w:rsidRPr="00C35F59">
                                  <w:rPr>
                                    <w:rFonts w:asciiTheme="majorHAnsi" w:eastAsiaTheme="majorEastAsia" w:hAnsiTheme="majorHAnsi" w:cstheme="majorBidi"/>
                                    <w:color w:val="FFFFFF" w:themeColor="background1"/>
                                    <w:sz w:val="84"/>
                                    <w:szCs w:val="84"/>
                                  </w:rPr>
                                  <w:t>:</w:t>
                                </w:r>
                                <w:r>
                                  <w:rPr>
                                    <w:rFonts w:asciiTheme="majorHAnsi" w:eastAsiaTheme="majorEastAsia" w:hAnsiTheme="majorHAnsi" w:cstheme="majorBidi"/>
                                    <w:color w:val="FFFFFF" w:themeColor="background1"/>
                                    <w:sz w:val="84"/>
                                    <w:szCs w:val="84"/>
                                  </w:rPr>
                                  <w:t xml:space="preserve"> </w:t>
                                </w:r>
                                <w:r w:rsidRPr="00C35F59">
                                  <w:rPr>
                                    <w:rFonts w:asciiTheme="majorHAnsi" w:eastAsiaTheme="majorEastAsia" w:hAnsiTheme="majorHAnsi" w:cstheme="majorBidi"/>
                                    <w:color w:val="FFFFFF" w:themeColor="background1"/>
                                    <w:sz w:val="84"/>
                                    <w:szCs w:val="84"/>
                                  </w:rPr>
                                  <w:t>Introduction to Independent Research Skills (BMHP5019)</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4F2638EE" w14:textId="04809E69" w:rsidR="00AB1D83" w:rsidRDefault="00C35F59">
                                <w:pPr>
                                  <w:pStyle w:val="NoSpacing"/>
                                  <w:rPr>
                                    <w:color w:val="FFFFFF" w:themeColor="background1"/>
                                    <w:sz w:val="28"/>
                                    <w:szCs w:val="28"/>
                                  </w:rPr>
                                </w:pPr>
                                <w:r w:rsidRPr="00C35F59">
                                  <w:rPr>
                                    <w:color w:val="FFFFFF" w:themeColor="background1"/>
                                    <w:sz w:val="28"/>
                                    <w:szCs w:val="28"/>
                                  </w:rPr>
                                  <w:t>Assignment Title:</w:t>
                                </w:r>
                                <w:r>
                                  <w:rPr>
                                    <w:color w:val="FFFFFF" w:themeColor="background1"/>
                                    <w:sz w:val="28"/>
                                    <w:szCs w:val="28"/>
                                  </w:rPr>
                                  <w:t xml:space="preserve"> </w:t>
                                </w:r>
                                <w:r w:rsidRPr="00C35F59">
                                  <w:rPr>
                                    <w:color w:val="FFFFFF" w:themeColor="background1"/>
                                    <w:sz w:val="28"/>
                                    <w:szCs w:val="28"/>
                                  </w:rPr>
                                  <w:t>Individual Research Project (Scoping Review)</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" fillcolor="gray [1629]" stroked="f" strokeweight="1.5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534B6BE9" w14:textId="64A9E1FA" w:rsidR="00AB1D83" w:rsidRDefault="00AB1D83">
                                <w:pPr>
                                  <w:pStyle w:val="NoSpacing"/>
                                  <w:rPr>
                                    <w:color w:val="FFFFFF" w:themeColor="background1"/>
                                    <w:sz w:val="32"/>
                                    <w:szCs w:val="32"/>
                                  </w:rPr>
                                </w:pPr>
                                <w:r>
                                  <w:rPr>
                                    <w:color w:val="FFFFFF" w:themeColor="background1"/>
                                    <w:sz w:val="32"/>
                                    <w:szCs w:val="32"/>
                                  </w:rPr>
                                  <w:t>Nafeesa Bibi (2331120)</w:t>
                                </w:r>
                              </w:p>
                            </w:sdtContent>
                          </w:sdt>
                          <w:p w14:paraId="0F77B7F1" w14:textId="66A560F6" w:rsidR="00AB1D83" w:rsidRDefault="00AB1D83">
                            <w:pPr>
                              <w:pStyle w:val="NoSpacing"/>
                              <w:rPr>
                                <w:color w:val="FFFFFF" w:themeColor="background1"/>
                                <w:sz w:val="18"/>
                                <w:szCs w:val="18"/>
                              </w:rPr>
                            </w:pPr>
                            <w:r>
                              <w:rPr>
                                <w:color w:val="FFFFFF" w:themeColor="background1"/>
                                <w:sz w:val="18"/>
                                <w:szCs w:val="18"/>
                              </w:rPr>
                              <w:t> </w:t>
                            </w:r>
                          </w:p>
                        </w:txbxContent>
                      </v:textbox>
                    </v:shape>
                    <w10:wrap anchorx="page" anchory="page"/>
                  </v:group>
                </w:pict>
              </mc:Fallback>
            </mc:AlternateContent>
          </w:r>
          <w:r>
            <w:rPr>
              <w:rFonts w:ascii="Arial" w:hAnsi="Arial" w:cs="Arial"/>
              <w:sz w:val="22"/>
              <w:szCs w:val="22"/>
            </w:rPr>
            <w:br w:type="page"/>
          </w:r>
        </w:p>
      </w:sdtContent>
    </w:sdt>
    <w:p w14:paraId="2BE3078B" w14:textId="1E0E6CED" w:rsidR="00A6024B" w:rsidRPr="00AB1D83" w:rsidRDefault="00A6024B" w:rsidP="00A6024B">
      <w:pPr>
        <w:jc w:val="both"/>
        <w:rPr>
          <w:rFonts w:ascii="Arial" w:hAnsi="Arial" w:cs="Arial"/>
          <w:b/>
          <w:bCs/>
          <w:sz w:val="22"/>
          <w:szCs w:val="22"/>
        </w:rPr>
      </w:pPr>
      <w:r w:rsidRPr="00AB1D83">
        <w:rPr>
          <w:rFonts w:ascii="Arial" w:hAnsi="Arial" w:cs="Arial"/>
          <w:b/>
          <w:bCs/>
          <w:sz w:val="22"/>
          <w:szCs w:val="22"/>
        </w:rPr>
        <w:lastRenderedPageBreak/>
        <w:t>Title</w:t>
      </w:r>
    </w:p>
    <w:p w14:paraId="3FA538BC" w14:textId="77777777" w:rsidR="00A6024B" w:rsidRPr="00AB1D83" w:rsidRDefault="00A6024B" w:rsidP="00A6024B">
      <w:pPr>
        <w:jc w:val="both"/>
        <w:rPr>
          <w:rFonts w:ascii="Arial" w:hAnsi="Arial" w:cs="Arial"/>
          <w:b/>
          <w:bCs/>
          <w:sz w:val="22"/>
          <w:szCs w:val="22"/>
        </w:rPr>
      </w:pPr>
      <w:r w:rsidRPr="00AB1D83">
        <w:rPr>
          <w:rFonts w:ascii="Arial" w:hAnsi="Arial" w:cs="Arial"/>
          <w:sz w:val="22"/>
          <w:szCs w:val="22"/>
        </w:rPr>
        <w:t>A Scoping Review of the Effects of Digital Health Applications on Self-Management in Adults with Type 2 Diabetes in the UK</w:t>
      </w:r>
    </w:p>
    <w:p w14:paraId="15BFF031" w14:textId="105DB5D7" w:rsidR="00A6024B" w:rsidRPr="00AB1D83" w:rsidRDefault="00A6024B" w:rsidP="00014C4B">
      <w:pPr>
        <w:pStyle w:val="ListParagraph"/>
        <w:numPr>
          <w:ilvl w:val="0"/>
          <w:numId w:val="1"/>
        </w:numPr>
        <w:jc w:val="both"/>
        <w:rPr>
          <w:rFonts w:ascii="Arial" w:hAnsi="Arial" w:cs="Arial"/>
          <w:b/>
          <w:bCs/>
          <w:sz w:val="22"/>
          <w:szCs w:val="22"/>
        </w:rPr>
      </w:pPr>
      <w:r w:rsidRPr="00AB1D83">
        <w:rPr>
          <w:rFonts w:ascii="Arial" w:hAnsi="Arial" w:cs="Arial"/>
          <w:b/>
          <w:bCs/>
          <w:sz w:val="22"/>
          <w:szCs w:val="22"/>
        </w:rPr>
        <w:t>Introduction</w:t>
      </w:r>
    </w:p>
    <w:p w14:paraId="7E076853" w14:textId="77777777" w:rsidR="00B24329" w:rsidRPr="00AB1D83" w:rsidRDefault="00B24329" w:rsidP="00B24329">
      <w:pPr>
        <w:spacing w:after="0" w:line="240" w:lineRule="auto"/>
        <w:rPr>
          <w:rFonts w:ascii="Arial" w:hAnsi="Arial" w:cs="Arial"/>
          <w:sz w:val="22"/>
          <w:szCs w:val="22"/>
        </w:rPr>
      </w:pPr>
      <w:r w:rsidRPr="00AB1D83">
        <w:rPr>
          <w:rFonts w:ascii="Arial" w:hAnsi="Arial" w:cs="Arial"/>
          <w:sz w:val="22"/>
          <w:szCs w:val="22"/>
        </w:rPr>
        <w:t>Type 2 diabetes (T2DM) is a chronic, progressive metabolic condition marked by insulin resistance and poor glucose metabolism. It is one of the most urgent public health issues in the UK, impacting around four million people and leading to increased morbidity, premature death, and significant healthcare costs (NHS England, 2023). T2DM treatment needs continuing self-care, which includes regular blood glucose testing, adherence to prescribed medicines, keeping a balanced diet, and participating in persistent physical exercise. The intricacy of these responsibilities, along with the fact that the illness is lifelong, causes a considerable load on both patients and healthcare providers.</w:t>
      </w:r>
    </w:p>
    <w:p w14:paraId="3640C50B" w14:textId="77777777" w:rsidR="00014C4B" w:rsidRPr="00AB1D83" w:rsidRDefault="00014C4B" w:rsidP="00014C4B">
      <w:pPr>
        <w:spacing w:after="0" w:line="240" w:lineRule="auto"/>
        <w:jc w:val="both"/>
        <w:rPr>
          <w:rFonts w:ascii="Arial" w:hAnsi="Arial" w:cs="Arial"/>
          <w:sz w:val="22"/>
          <w:szCs w:val="22"/>
        </w:rPr>
      </w:pPr>
    </w:p>
    <w:p w14:paraId="14621BDB" w14:textId="77777777" w:rsidR="00B24329" w:rsidRPr="00AB1D83" w:rsidRDefault="00B24329" w:rsidP="00B24329">
      <w:pPr>
        <w:spacing w:after="0" w:line="240" w:lineRule="auto"/>
        <w:jc w:val="both"/>
        <w:rPr>
          <w:rFonts w:ascii="Arial" w:hAnsi="Arial" w:cs="Arial"/>
          <w:sz w:val="22"/>
          <w:szCs w:val="22"/>
        </w:rPr>
      </w:pPr>
      <w:r w:rsidRPr="00B24329">
        <w:rPr>
          <w:rFonts w:ascii="Arial" w:hAnsi="Arial" w:cs="Arial"/>
          <w:sz w:val="22"/>
          <w:szCs w:val="22"/>
        </w:rPr>
        <w:t>In recent years, digital health technologies, particularly mobile health (mHealth) applications, have emerged as novel tools to assist people in managing chronic illnesses such as T2DM. These programs include a variety of functions, including as real-time glucose tracking, automatic medication reminders, lifestyle and nutritional advice, and tailored feedback based on user data. Such features can boost patient involvement, aid in self-management, and perhaps improve therapeutic results. Reflecting their expanding relevance, digital health solutions are increasingly being advocated within UK healthcare policy frameworks such as the NHS Long Term Plan and the Digital Health and treatment Plan, which stress patient empowerment, accessibility, and the use of technology into everyday treatment.</w:t>
      </w:r>
    </w:p>
    <w:p w14:paraId="73A20812" w14:textId="06660F35" w:rsidR="00B24329" w:rsidRPr="00AB1D83" w:rsidRDefault="00014C4B" w:rsidP="00B24329">
      <w:pPr>
        <w:spacing w:after="0" w:line="240" w:lineRule="auto"/>
        <w:jc w:val="both"/>
        <w:rPr>
          <w:rFonts w:ascii="Arial" w:hAnsi="Arial" w:cs="Arial"/>
          <w:sz w:val="22"/>
          <w:szCs w:val="22"/>
        </w:rPr>
      </w:pPr>
      <w:r w:rsidRPr="00AB1D83">
        <w:rPr>
          <w:rFonts w:ascii="Arial" w:hAnsi="Arial" w:cs="Arial"/>
          <w:sz w:val="22"/>
          <w:szCs w:val="22"/>
        </w:rPr>
        <w:br/>
      </w:r>
      <w:r w:rsidR="00B24329" w:rsidRPr="00AB1D83">
        <w:rPr>
          <w:rFonts w:ascii="Arial" w:hAnsi="Arial" w:cs="Arial"/>
          <w:sz w:val="22"/>
          <w:szCs w:val="22"/>
        </w:rPr>
        <w:t>Despite their potential, issues persist about equal access, computer literacy, and the long-term effectiveness of these initiatives. Socioeconomic inequities, age-related technological challenges, and varied degrees of health literacy may all restrict the accessibility and effectiveness of digital health apps. As a result, the purpose of this scoping review is to comprehensively investigate the available evidence on digital health applications and their impact on self-management in T2DM patients in the United Kingdom. This review aims to influence future research, policy choices, and practical methods for optimising the use of digital technologies in diabetes care by mapping the literature, identifying major themes, and emphasising knowledge gaps.</w:t>
      </w:r>
    </w:p>
    <w:p w14:paraId="4B0EF96E" w14:textId="77777777" w:rsidR="00014C4B" w:rsidRPr="00AB1D83" w:rsidRDefault="00014C4B" w:rsidP="00014C4B">
      <w:pPr>
        <w:spacing w:after="0" w:line="240" w:lineRule="auto"/>
        <w:jc w:val="both"/>
        <w:rPr>
          <w:rFonts w:ascii="Arial" w:hAnsi="Arial" w:cs="Arial"/>
          <w:sz w:val="22"/>
          <w:szCs w:val="22"/>
        </w:rPr>
      </w:pPr>
    </w:p>
    <w:p w14:paraId="10BD1CEB" w14:textId="0650A459" w:rsidR="00014C4B" w:rsidRPr="00AB1D83" w:rsidRDefault="00014C4B" w:rsidP="00014C4B">
      <w:pPr>
        <w:spacing w:after="0" w:line="240" w:lineRule="auto"/>
        <w:jc w:val="both"/>
        <w:rPr>
          <w:rFonts w:ascii="Arial" w:hAnsi="Arial" w:cs="Arial"/>
          <w:sz w:val="22"/>
          <w:szCs w:val="22"/>
        </w:rPr>
      </w:pPr>
      <w:r w:rsidRPr="00AB1D83">
        <w:rPr>
          <w:rFonts w:ascii="Arial" w:hAnsi="Arial" w:cs="Arial"/>
          <w:b/>
          <w:bCs/>
          <w:sz w:val="22"/>
          <w:szCs w:val="22"/>
        </w:rPr>
        <w:t xml:space="preserve">Review Question:  </w:t>
      </w:r>
      <w:r w:rsidR="00C211B3" w:rsidRPr="00AB1D83">
        <w:rPr>
          <w:rFonts w:ascii="Arial" w:hAnsi="Arial" w:cs="Arial"/>
          <w:sz w:val="22"/>
          <w:szCs w:val="22"/>
        </w:rPr>
        <w:t xml:space="preserve">The primary research question that guides this study is: What effect do digital health applications have on autonomy among people with type 2 diabetes in the United Kingdom? This inquiry investigates how the use of digital technologies affects patients' capacity to manage their condition independently, make educated health decisions, and actively engage in self-care. It also </w:t>
      </w:r>
      <w:r w:rsidR="00C211B3" w:rsidRPr="00AB1D83">
        <w:rPr>
          <w:rFonts w:ascii="Arial" w:hAnsi="Arial" w:cs="Arial"/>
          <w:sz w:val="22"/>
          <w:szCs w:val="22"/>
        </w:rPr>
        <w:t>considers</w:t>
      </w:r>
      <w:r w:rsidR="00C211B3" w:rsidRPr="00AB1D83">
        <w:rPr>
          <w:rFonts w:ascii="Arial" w:hAnsi="Arial" w:cs="Arial"/>
          <w:sz w:val="22"/>
          <w:szCs w:val="22"/>
        </w:rPr>
        <w:t xml:space="preserve"> how these apps integrate with current healthcare services, promote patient empowerment, and handle possible hurdles to autonomous illness management. By concentrating on autonomy, the project intends to assess not just clinical results but also the broader impact of digital health technology on patient confidence, self-efficacy, and involvement in the UK healthcare system. </w:t>
      </w:r>
    </w:p>
    <w:p w14:paraId="76998061" w14:textId="77777777" w:rsidR="00014C4B" w:rsidRPr="00AB1D83" w:rsidRDefault="00014C4B" w:rsidP="00014C4B">
      <w:pPr>
        <w:spacing w:after="0" w:line="240" w:lineRule="auto"/>
        <w:jc w:val="both"/>
        <w:rPr>
          <w:rFonts w:ascii="Arial" w:hAnsi="Arial" w:cs="Arial"/>
          <w:b/>
          <w:bCs/>
          <w:sz w:val="22"/>
          <w:szCs w:val="22"/>
        </w:rPr>
      </w:pPr>
    </w:p>
    <w:p w14:paraId="7BAB0F1B" w14:textId="43C45FC8" w:rsidR="00014C4B" w:rsidRPr="00AB1D83" w:rsidRDefault="00014C4B" w:rsidP="00014C4B">
      <w:pPr>
        <w:spacing w:after="0" w:line="240" w:lineRule="auto"/>
        <w:jc w:val="both"/>
        <w:rPr>
          <w:rFonts w:ascii="Arial" w:hAnsi="Arial" w:cs="Arial"/>
          <w:b/>
          <w:bCs/>
          <w:sz w:val="22"/>
          <w:szCs w:val="22"/>
        </w:rPr>
      </w:pPr>
      <w:r w:rsidRPr="00AB1D83">
        <w:rPr>
          <w:rFonts w:ascii="Arial" w:hAnsi="Arial" w:cs="Arial"/>
          <w:b/>
          <w:bCs/>
          <w:sz w:val="22"/>
          <w:szCs w:val="22"/>
        </w:rPr>
        <w:t xml:space="preserve">Objectives: </w:t>
      </w:r>
    </w:p>
    <w:p w14:paraId="635CEFA1" w14:textId="77777777" w:rsidR="00014C4B" w:rsidRPr="00AB1D83" w:rsidRDefault="00014C4B" w:rsidP="00014C4B">
      <w:pPr>
        <w:spacing w:after="0" w:line="240" w:lineRule="auto"/>
        <w:jc w:val="both"/>
        <w:rPr>
          <w:rFonts w:ascii="Arial" w:hAnsi="Arial" w:cs="Arial"/>
          <w:b/>
          <w:bCs/>
          <w:sz w:val="22"/>
          <w:szCs w:val="22"/>
        </w:rPr>
      </w:pPr>
    </w:p>
    <w:p w14:paraId="77306E28" w14:textId="77777777" w:rsidR="00014C4B" w:rsidRPr="00AB1D83" w:rsidRDefault="00014C4B" w:rsidP="00014C4B">
      <w:pPr>
        <w:pStyle w:val="ListParagraph"/>
        <w:numPr>
          <w:ilvl w:val="0"/>
          <w:numId w:val="3"/>
        </w:numPr>
        <w:spacing w:after="0" w:line="240" w:lineRule="auto"/>
        <w:jc w:val="both"/>
        <w:rPr>
          <w:rFonts w:ascii="Arial" w:hAnsi="Arial" w:cs="Arial"/>
          <w:sz w:val="22"/>
          <w:szCs w:val="22"/>
        </w:rPr>
      </w:pPr>
      <w:r w:rsidRPr="00AB1D83">
        <w:rPr>
          <w:rFonts w:ascii="Arial" w:hAnsi="Arial" w:cs="Arial"/>
          <w:sz w:val="22"/>
          <w:szCs w:val="22"/>
        </w:rPr>
        <w:t>Identify significant scholarly studies on digital health applications.</w:t>
      </w:r>
    </w:p>
    <w:p w14:paraId="2B95607F" w14:textId="77777777" w:rsidR="00014C4B" w:rsidRPr="00AB1D83" w:rsidRDefault="00014C4B" w:rsidP="00014C4B">
      <w:pPr>
        <w:pStyle w:val="ListParagraph"/>
        <w:numPr>
          <w:ilvl w:val="0"/>
          <w:numId w:val="3"/>
        </w:numPr>
        <w:spacing w:after="0" w:line="240" w:lineRule="auto"/>
        <w:jc w:val="both"/>
        <w:rPr>
          <w:rFonts w:ascii="Arial" w:hAnsi="Arial" w:cs="Arial"/>
          <w:sz w:val="22"/>
          <w:szCs w:val="22"/>
        </w:rPr>
      </w:pPr>
      <w:r w:rsidRPr="00AB1D83">
        <w:rPr>
          <w:rFonts w:ascii="Arial" w:hAnsi="Arial" w:cs="Arial"/>
          <w:sz w:val="22"/>
          <w:szCs w:val="22"/>
        </w:rPr>
        <w:t xml:space="preserve">To assess the merits and limits of various technology.  </w:t>
      </w:r>
    </w:p>
    <w:p w14:paraId="5F8B3F68" w14:textId="77777777" w:rsidR="00014C4B" w:rsidRPr="00AB1D83" w:rsidRDefault="00014C4B" w:rsidP="00014C4B">
      <w:pPr>
        <w:pStyle w:val="ListParagraph"/>
        <w:numPr>
          <w:ilvl w:val="0"/>
          <w:numId w:val="3"/>
        </w:numPr>
        <w:spacing w:after="0" w:line="240" w:lineRule="auto"/>
        <w:jc w:val="both"/>
        <w:rPr>
          <w:rFonts w:ascii="Arial" w:hAnsi="Arial" w:cs="Arial"/>
          <w:sz w:val="22"/>
          <w:szCs w:val="22"/>
        </w:rPr>
      </w:pPr>
      <w:r w:rsidRPr="00AB1D83">
        <w:rPr>
          <w:rFonts w:ascii="Arial" w:hAnsi="Arial" w:cs="Arial"/>
          <w:sz w:val="22"/>
          <w:szCs w:val="22"/>
        </w:rPr>
        <w:t xml:space="preserve">To investigate their influence on managing oneself results.  </w:t>
      </w:r>
    </w:p>
    <w:p w14:paraId="23A38052" w14:textId="77777777" w:rsidR="009E7062" w:rsidRPr="00AB1D83" w:rsidRDefault="00014C4B" w:rsidP="009E7062">
      <w:pPr>
        <w:pStyle w:val="ListParagraph"/>
        <w:numPr>
          <w:ilvl w:val="0"/>
          <w:numId w:val="3"/>
        </w:numPr>
        <w:spacing w:after="0" w:line="240" w:lineRule="auto"/>
        <w:jc w:val="both"/>
        <w:rPr>
          <w:rFonts w:ascii="Arial" w:hAnsi="Arial" w:cs="Arial"/>
          <w:sz w:val="22"/>
          <w:szCs w:val="22"/>
        </w:rPr>
      </w:pPr>
      <w:r w:rsidRPr="00AB1D83">
        <w:rPr>
          <w:rFonts w:ascii="Arial" w:hAnsi="Arial" w:cs="Arial"/>
          <w:sz w:val="22"/>
          <w:szCs w:val="22"/>
        </w:rPr>
        <w:t xml:space="preserve">To investigate the consequences for UK healthcare practice and policy.  </w:t>
      </w:r>
    </w:p>
    <w:p w14:paraId="1BB13B98" w14:textId="77777777" w:rsidR="009E7062" w:rsidRPr="00AB1D83" w:rsidRDefault="009E7062" w:rsidP="009E7062">
      <w:pPr>
        <w:spacing w:after="0" w:line="240" w:lineRule="auto"/>
        <w:ind w:left="360"/>
        <w:jc w:val="both"/>
        <w:rPr>
          <w:rFonts w:ascii="Arial" w:hAnsi="Arial" w:cs="Arial"/>
          <w:sz w:val="22"/>
          <w:szCs w:val="22"/>
        </w:rPr>
      </w:pPr>
      <w:r w:rsidRPr="00AB1D83">
        <w:rPr>
          <w:rFonts w:ascii="Arial" w:hAnsi="Arial" w:cs="Arial"/>
          <w:sz w:val="22"/>
          <w:szCs w:val="22"/>
        </w:rPr>
        <w:t xml:space="preserve"> </w:t>
      </w:r>
    </w:p>
    <w:p w14:paraId="1E7E2D85" w14:textId="77777777" w:rsidR="009E7062" w:rsidRPr="00AB1D83" w:rsidRDefault="009E7062" w:rsidP="009E7062">
      <w:pPr>
        <w:pStyle w:val="ListParagraph"/>
        <w:numPr>
          <w:ilvl w:val="0"/>
          <w:numId w:val="1"/>
        </w:numPr>
        <w:spacing w:after="0" w:line="240" w:lineRule="auto"/>
        <w:jc w:val="both"/>
        <w:rPr>
          <w:rFonts w:ascii="Arial" w:hAnsi="Arial" w:cs="Arial"/>
          <w:b/>
          <w:bCs/>
          <w:sz w:val="22"/>
          <w:szCs w:val="22"/>
        </w:rPr>
      </w:pPr>
      <w:r w:rsidRPr="00AB1D83">
        <w:rPr>
          <w:rFonts w:ascii="Arial" w:hAnsi="Arial" w:cs="Arial"/>
          <w:b/>
          <w:bCs/>
          <w:sz w:val="22"/>
          <w:szCs w:val="22"/>
        </w:rPr>
        <w:t>Background</w:t>
      </w:r>
    </w:p>
    <w:p w14:paraId="69BD5EF8" w14:textId="77777777" w:rsidR="009E7062" w:rsidRPr="00AB1D83" w:rsidRDefault="009E7062" w:rsidP="009E7062">
      <w:pPr>
        <w:spacing w:after="0" w:line="240" w:lineRule="auto"/>
        <w:jc w:val="both"/>
        <w:rPr>
          <w:rFonts w:ascii="Arial" w:hAnsi="Arial" w:cs="Arial"/>
          <w:b/>
          <w:bCs/>
          <w:sz w:val="22"/>
          <w:szCs w:val="22"/>
        </w:rPr>
      </w:pPr>
    </w:p>
    <w:p w14:paraId="0848D1EF" w14:textId="27F3F585" w:rsidR="00C211B3" w:rsidRPr="00AB1D83" w:rsidRDefault="009E7062" w:rsidP="00C211B3">
      <w:pPr>
        <w:spacing w:after="0" w:line="240" w:lineRule="auto"/>
        <w:jc w:val="both"/>
        <w:rPr>
          <w:rFonts w:ascii="Arial" w:hAnsi="Arial" w:cs="Arial"/>
          <w:sz w:val="22"/>
          <w:szCs w:val="22"/>
        </w:rPr>
      </w:pPr>
      <w:r w:rsidRPr="00AB1D83">
        <w:rPr>
          <w:rFonts w:ascii="Arial" w:hAnsi="Arial" w:cs="Arial"/>
          <w:sz w:val="22"/>
          <w:szCs w:val="22"/>
        </w:rPr>
        <w:lastRenderedPageBreak/>
        <w:t xml:space="preserve">Factors such as ageing populations, sedentary lifestyles, and obesity have all contributed to </w:t>
      </w:r>
      <w:r w:rsidR="00C211B3" w:rsidRPr="00AB1D83">
        <w:rPr>
          <w:rFonts w:ascii="Arial" w:hAnsi="Arial" w:cs="Arial"/>
          <w:sz w:val="22"/>
          <w:szCs w:val="22"/>
        </w:rPr>
        <w:t>the</w:t>
      </w:r>
      <w:r w:rsidR="00C211B3" w:rsidRPr="00AB1D83">
        <w:rPr>
          <w:rFonts w:ascii="Arial" w:hAnsi="Arial" w:cs="Arial"/>
          <w:sz w:val="22"/>
          <w:szCs w:val="22"/>
        </w:rPr>
        <w:t xml:space="preserve"> prevalence of type 2 diabetes mellitus (T2DM) has increased significantly in recent years, mirroring larger trends in lifestyle-related and metabolic health issues. This growing load puts a pressure on the NHS, increasing demand for primary care services, specialist consultations, and long-term monitoring, all while adding to rising healthcare expenditures. The increased prevalence emphasises the critical need for effective, long-term, and patient-centr</w:t>
      </w:r>
      <w:r w:rsidR="00C211B3" w:rsidRPr="00AB1D83">
        <w:rPr>
          <w:rFonts w:ascii="Arial" w:hAnsi="Arial" w:cs="Arial"/>
          <w:sz w:val="22"/>
          <w:szCs w:val="22"/>
        </w:rPr>
        <w:t>ic</w:t>
      </w:r>
      <w:r w:rsidR="00C211B3" w:rsidRPr="00AB1D83">
        <w:rPr>
          <w:rFonts w:ascii="Arial" w:hAnsi="Arial" w:cs="Arial"/>
          <w:sz w:val="22"/>
          <w:szCs w:val="22"/>
        </w:rPr>
        <w:t xml:space="preserve"> management options that can support both clinical results and self-management outside of typical treatment settings.</w:t>
      </w:r>
    </w:p>
    <w:p w14:paraId="029FD122" w14:textId="5C70931B" w:rsidR="009E7062" w:rsidRPr="00AB1D83" w:rsidRDefault="009E7062" w:rsidP="009E7062">
      <w:pPr>
        <w:spacing w:after="0" w:line="240" w:lineRule="auto"/>
        <w:jc w:val="both"/>
        <w:rPr>
          <w:rFonts w:ascii="Arial" w:hAnsi="Arial" w:cs="Arial"/>
          <w:sz w:val="22"/>
          <w:szCs w:val="22"/>
        </w:rPr>
      </w:pPr>
      <w:r w:rsidRPr="00AB1D83">
        <w:rPr>
          <w:rFonts w:ascii="Arial" w:hAnsi="Arial" w:cs="Arial"/>
          <w:sz w:val="22"/>
          <w:szCs w:val="22"/>
        </w:rPr>
        <w:br/>
      </w:r>
      <w:r w:rsidR="00C211B3" w:rsidRPr="00AB1D83">
        <w:rPr>
          <w:rFonts w:ascii="Arial" w:hAnsi="Arial" w:cs="Arial"/>
          <w:sz w:val="22"/>
          <w:szCs w:val="22"/>
        </w:rPr>
        <w:t xml:space="preserve">The United Kingdom's healthcare policy emphasises digital transformation as a crucial approach of resolving these issues. The NHS Long Term Plan (2019) emphasises the expansion of digital services to improve patient care, streamline service delivery, and alleviate strain on healthcare resources. In addition, the Digital Health and Care Plan (DHSC, 2022) </w:t>
      </w:r>
      <w:r w:rsidR="00C211B3" w:rsidRPr="00AB1D83">
        <w:rPr>
          <w:rFonts w:ascii="Arial" w:hAnsi="Arial" w:cs="Arial"/>
          <w:sz w:val="22"/>
          <w:szCs w:val="22"/>
        </w:rPr>
        <w:t>support</w:t>
      </w:r>
      <w:r w:rsidR="00C211B3" w:rsidRPr="00AB1D83">
        <w:rPr>
          <w:rFonts w:ascii="Arial" w:hAnsi="Arial" w:cs="Arial"/>
          <w:sz w:val="22"/>
          <w:szCs w:val="22"/>
        </w:rPr>
        <w:t xml:space="preserve"> the use of new technology in healthcare delivery, highlighting digital tools as critical for increasing patient empowerment, facilitating self-management, and improving access to prompt treatment. Together, these policy efforts demonstrate a deliberate commitment to using technology as a key component of healthcare reform, particularly in the management of chronic illnesses like type 2 diabetes.</w:t>
      </w:r>
    </w:p>
    <w:p w14:paraId="6728606E" w14:textId="4826BFA5" w:rsidR="009E7062" w:rsidRPr="00AB1D83" w:rsidRDefault="009E7062" w:rsidP="009E7062">
      <w:pPr>
        <w:spacing w:after="0" w:line="240" w:lineRule="auto"/>
        <w:jc w:val="both"/>
        <w:rPr>
          <w:rFonts w:ascii="Arial" w:hAnsi="Arial" w:cs="Arial"/>
          <w:sz w:val="22"/>
          <w:szCs w:val="22"/>
        </w:rPr>
      </w:pPr>
      <w:r w:rsidRPr="00AB1D83">
        <w:rPr>
          <w:rFonts w:ascii="Arial" w:hAnsi="Arial" w:cs="Arial"/>
          <w:sz w:val="22"/>
          <w:szCs w:val="22"/>
        </w:rPr>
        <w:br/>
        <w:t>Digital health applications help with managing oneself by enabling:</w:t>
      </w:r>
    </w:p>
    <w:p w14:paraId="15A79CD4" w14:textId="4FE3EA61" w:rsidR="00014C4B" w:rsidRPr="00AB1D83" w:rsidRDefault="00014C4B" w:rsidP="009E7062">
      <w:pPr>
        <w:spacing w:after="0" w:line="240" w:lineRule="auto"/>
        <w:jc w:val="both"/>
        <w:rPr>
          <w:rFonts w:ascii="Arial" w:hAnsi="Arial" w:cs="Arial"/>
          <w:b/>
          <w:bCs/>
          <w:sz w:val="22"/>
          <w:szCs w:val="22"/>
        </w:rPr>
      </w:pPr>
    </w:p>
    <w:p w14:paraId="71524778" w14:textId="77777777" w:rsidR="009E7062" w:rsidRPr="00AB1D83" w:rsidRDefault="009E7062" w:rsidP="009E7062">
      <w:pPr>
        <w:pStyle w:val="ListParagraph"/>
        <w:numPr>
          <w:ilvl w:val="0"/>
          <w:numId w:val="4"/>
        </w:numPr>
        <w:spacing w:after="0" w:line="240" w:lineRule="auto"/>
        <w:jc w:val="both"/>
        <w:rPr>
          <w:rFonts w:ascii="Arial" w:hAnsi="Arial" w:cs="Arial"/>
          <w:sz w:val="22"/>
          <w:szCs w:val="22"/>
        </w:rPr>
      </w:pPr>
      <w:r w:rsidRPr="00AB1D83">
        <w:rPr>
          <w:rFonts w:ascii="Arial" w:hAnsi="Arial" w:cs="Arial"/>
          <w:sz w:val="22"/>
          <w:szCs w:val="22"/>
        </w:rPr>
        <w:t>Blood glucose levels are continuously monitored</w:t>
      </w:r>
    </w:p>
    <w:p w14:paraId="57C56FC7" w14:textId="77777777" w:rsidR="009E7062" w:rsidRPr="00AB1D83" w:rsidRDefault="009E7062" w:rsidP="009E7062">
      <w:pPr>
        <w:pStyle w:val="ListParagraph"/>
        <w:numPr>
          <w:ilvl w:val="0"/>
          <w:numId w:val="4"/>
        </w:numPr>
        <w:spacing w:after="0" w:line="240" w:lineRule="auto"/>
        <w:jc w:val="both"/>
        <w:rPr>
          <w:rFonts w:ascii="Arial" w:hAnsi="Arial" w:cs="Arial"/>
          <w:sz w:val="22"/>
          <w:szCs w:val="22"/>
        </w:rPr>
      </w:pPr>
      <w:r w:rsidRPr="00AB1D83">
        <w:rPr>
          <w:rFonts w:ascii="Arial" w:hAnsi="Arial" w:cs="Arial"/>
          <w:sz w:val="22"/>
          <w:szCs w:val="22"/>
        </w:rPr>
        <w:t>Medication compliance with reminders</w:t>
      </w:r>
    </w:p>
    <w:p w14:paraId="797BB4A0" w14:textId="77777777" w:rsidR="009E7062" w:rsidRPr="00AB1D83" w:rsidRDefault="009E7062" w:rsidP="009E7062">
      <w:pPr>
        <w:pStyle w:val="ListParagraph"/>
        <w:numPr>
          <w:ilvl w:val="0"/>
          <w:numId w:val="4"/>
        </w:numPr>
        <w:spacing w:after="0" w:line="240" w:lineRule="auto"/>
        <w:jc w:val="both"/>
        <w:rPr>
          <w:rFonts w:ascii="Arial" w:hAnsi="Arial" w:cs="Arial"/>
          <w:sz w:val="22"/>
          <w:szCs w:val="22"/>
        </w:rPr>
      </w:pPr>
      <w:r w:rsidRPr="00AB1D83">
        <w:rPr>
          <w:rFonts w:ascii="Arial" w:hAnsi="Arial" w:cs="Arial"/>
          <w:sz w:val="22"/>
          <w:szCs w:val="22"/>
        </w:rPr>
        <w:t xml:space="preserve">Setting goals to change behaviour </w:t>
      </w:r>
    </w:p>
    <w:p w14:paraId="5F259D95" w14:textId="2FA3E4B1" w:rsidR="009E7062" w:rsidRPr="00AB1D83" w:rsidRDefault="009E7062" w:rsidP="009E7062">
      <w:pPr>
        <w:pStyle w:val="ListParagraph"/>
        <w:numPr>
          <w:ilvl w:val="0"/>
          <w:numId w:val="4"/>
        </w:numPr>
        <w:spacing w:after="0" w:line="240" w:lineRule="auto"/>
        <w:jc w:val="both"/>
        <w:rPr>
          <w:rFonts w:ascii="Arial" w:hAnsi="Arial" w:cs="Arial"/>
          <w:sz w:val="22"/>
          <w:szCs w:val="22"/>
        </w:rPr>
      </w:pPr>
      <w:r w:rsidRPr="00AB1D83">
        <w:rPr>
          <w:rFonts w:ascii="Arial" w:hAnsi="Arial" w:cs="Arial"/>
          <w:sz w:val="22"/>
          <w:szCs w:val="22"/>
        </w:rPr>
        <w:t xml:space="preserve">Access to educational materials </w:t>
      </w:r>
    </w:p>
    <w:p w14:paraId="7167F24C" w14:textId="77777777" w:rsidR="00C211B3" w:rsidRPr="00AB1D83" w:rsidRDefault="009E7062" w:rsidP="00C211B3">
      <w:pPr>
        <w:spacing w:after="0" w:line="240" w:lineRule="auto"/>
        <w:jc w:val="both"/>
        <w:rPr>
          <w:rFonts w:ascii="Arial" w:hAnsi="Arial" w:cs="Arial"/>
          <w:sz w:val="22"/>
          <w:szCs w:val="22"/>
        </w:rPr>
      </w:pPr>
      <w:r w:rsidRPr="00AB1D83">
        <w:rPr>
          <w:rFonts w:ascii="Arial" w:hAnsi="Arial" w:cs="Arial"/>
          <w:sz w:val="22"/>
          <w:szCs w:val="22"/>
        </w:rPr>
        <w:br/>
      </w:r>
      <w:r w:rsidRPr="00AB1D83">
        <w:rPr>
          <w:rFonts w:ascii="Arial" w:hAnsi="Arial" w:cs="Arial"/>
          <w:sz w:val="22"/>
          <w:szCs w:val="22"/>
        </w:rPr>
        <w:br/>
      </w:r>
      <w:r w:rsidR="00C211B3" w:rsidRPr="00AB1D83">
        <w:rPr>
          <w:rFonts w:ascii="Arial" w:hAnsi="Arial" w:cs="Arial"/>
          <w:sz w:val="22"/>
          <w:szCs w:val="22"/>
        </w:rPr>
        <w:t>According to study, digital health technologies have the potential to improve glycaemic control and patient engagement in self-care by providing customised feedback, real-time monitoring, and instructional materials. These technologies can help patients take an active part in controlling their disease, perhaps improving clinical results and overall quality of life. However, considerable challenges persist, such as digital exclusion, particularly among older persons and low-income groups, which may restrict the accessibility and efficacy of these interventions (WHO, 2022). Addressing these issues is critical to ensuring equal benefits for all patient groups.</w:t>
      </w:r>
    </w:p>
    <w:p w14:paraId="062F4A25" w14:textId="3BC739A8" w:rsidR="009E7062" w:rsidRPr="00AB1D83" w:rsidRDefault="009E7062" w:rsidP="009E7062">
      <w:pPr>
        <w:spacing w:after="0" w:line="240" w:lineRule="auto"/>
        <w:jc w:val="both"/>
        <w:rPr>
          <w:rFonts w:ascii="Arial" w:hAnsi="Arial" w:cs="Arial"/>
          <w:sz w:val="22"/>
          <w:szCs w:val="22"/>
        </w:rPr>
      </w:pPr>
    </w:p>
    <w:p w14:paraId="7BAF1A3E" w14:textId="5CE4628C" w:rsidR="00C211B3" w:rsidRPr="00AB1D83" w:rsidRDefault="00C211B3" w:rsidP="009E7062">
      <w:pPr>
        <w:spacing w:after="0" w:line="240" w:lineRule="auto"/>
        <w:jc w:val="both"/>
        <w:rPr>
          <w:rFonts w:ascii="Arial" w:hAnsi="Arial" w:cs="Arial"/>
          <w:sz w:val="22"/>
          <w:szCs w:val="22"/>
        </w:rPr>
      </w:pPr>
      <w:r w:rsidRPr="00C211B3">
        <w:rPr>
          <w:rFonts w:ascii="Arial" w:hAnsi="Arial" w:cs="Arial"/>
          <w:sz w:val="22"/>
          <w:szCs w:val="22"/>
        </w:rPr>
        <w:t>Given these factors, a thorough scoping research is required to synthesise current information, map the ecosystem of accessible digital health applications, and identify knowledge gaps. Such a study can give a thorough knowledge of the efficacy, usability, and implementation issues of these technologies in the UK healthcare system, guiding future research, policy creation, and practical methods for enhancing patient care.</w:t>
      </w:r>
    </w:p>
    <w:p w14:paraId="1A6C0ACA" w14:textId="77777777" w:rsidR="009E7062" w:rsidRPr="00AB1D83" w:rsidRDefault="009E7062" w:rsidP="009E7062">
      <w:pPr>
        <w:spacing w:after="0" w:line="240" w:lineRule="auto"/>
        <w:jc w:val="both"/>
        <w:rPr>
          <w:rFonts w:ascii="Arial" w:hAnsi="Arial" w:cs="Arial"/>
          <w:b/>
          <w:bCs/>
          <w:sz w:val="22"/>
          <w:szCs w:val="22"/>
        </w:rPr>
      </w:pPr>
    </w:p>
    <w:p w14:paraId="3E175C73" w14:textId="6C161246" w:rsidR="003076BF" w:rsidRPr="00AB1D83" w:rsidRDefault="00B51978" w:rsidP="00B51978">
      <w:pPr>
        <w:pStyle w:val="ListParagraph"/>
        <w:numPr>
          <w:ilvl w:val="0"/>
          <w:numId w:val="1"/>
        </w:numPr>
        <w:spacing w:after="0" w:line="240" w:lineRule="auto"/>
        <w:jc w:val="both"/>
        <w:rPr>
          <w:rFonts w:ascii="Arial" w:hAnsi="Arial" w:cs="Arial"/>
          <w:b/>
          <w:bCs/>
          <w:sz w:val="22"/>
          <w:szCs w:val="22"/>
        </w:rPr>
      </w:pPr>
      <w:r w:rsidRPr="00AB1D83">
        <w:rPr>
          <w:rFonts w:ascii="Arial" w:hAnsi="Arial" w:cs="Arial"/>
          <w:b/>
          <w:bCs/>
          <w:sz w:val="22"/>
          <w:szCs w:val="22"/>
        </w:rPr>
        <w:t xml:space="preserve">         </w:t>
      </w:r>
      <w:r w:rsidR="007749CD" w:rsidRPr="00AB1D83">
        <w:rPr>
          <w:rFonts w:ascii="Arial" w:hAnsi="Arial" w:cs="Arial"/>
          <w:b/>
          <w:bCs/>
          <w:sz w:val="22"/>
          <w:szCs w:val="22"/>
        </w:rPr>
        <w:t>Methods</w:t>
      </w:r>
    </w:p>
    <w:p w14:paraId="67AFAE6F" w14:textId="77777777" w:rsidR="00014C4B" w:rsidRPr="00AB1D83" w:rsidRDefault="00014C4B" w:rsidP="00014C4B">
      <w:pPr>
        <w:spacing w:after="0" w:line="240" w:lineRule="auto"/>
        <w:jc w:val="both"/>
        <w:rPr>
          <w:rFonts w:ascii="Arial" w:hAnsi="Arial" w:cs="Arial"/>
          <w:b/>
          <w:bCs/>
          <w:sz w:val="22"/>
          <w:szCs w:val="22"/>
        </w:rPr>
      </w:pPr>
    </w:p>
    <w:p w14:paraId="39F990D8" w14:textId="369C4DEB" w:rsidR="004D7BD3" w:rsidRPr="00AB1D83" w:rsidRDefault="00B51978" w:rsidP="004D7BD3">
      <w:pPr>
        <w:spacing w:after="0" w:line="240" w:lineRule="auto"/>
        <w:jc w:val="both"/>
        <w:rPr>
          <w:rFonts w:ascii="Arial" w:hAnsi="Arial" w:cs="Arial"/>
          <w:sz w:val="22"/>
          <w:szCs w:val="22"/>
        </w:rPr>
      </w:pPr>
      <w:r w:rsidRPr="00AB1D83">
        <w:rPr>
          <w:rFonts w:ascii="Arial" w:hAnsi="Arial" w:cs="Arial"/>
          <w:b/>
          <w:bCs/>
          <w:sz w:val="22"/>
          <w:szCs w:val="22"/>
        </w:rPr>
        <w:t>3.1 Study Design</w:t>
      </w:r>
      <w:r w:rsidRPr="00AB1D83">
        <w:rPr>
          <w:rFonts w:ascii="Arial" w:hAnsi="Arial" w:cs="Arial"/>
          <w:b/>
          <w:bCs/>
          <w:sz w:val="22"/>
          <w:szCs w:val="22"/>
        </w:rPr>
        <w:t xml:space="preserve">: </w:t>
      </w:r>
      <w:r w:rsidR="004D7BD3" w:rsidRPr="00AB1D83">
        <w:rPr>
          <w:rFonts w:ascii="Arial" w:hAnsi="Arial" w:cs="Arial"/>
          <w:sz w:val="22"/>
          <w:szCs w:val="22"/>
        </w:rPr>
        <w:t xml:space="preserve">This study uses a scoping review technique, which is driven by the framework proposed by Arksey and O'Malley (2005) and improved by the Joanna Briggs Institute (Peters et al., 2020). This method is especially useful for mapping the breadth of current literature on digital health applications and finding major themes, trends, and gaps in the evidence base. By methodically investigating a wide range of research designs and sources, the approach provides a thorough perspective of how digital technologies are applied and assessed in the UK healthcare setting. Furthermore, the scoping review methodology facilitates the synthesis of data from various treatments and populations, laying a solid platform for future study and policy development. Finally, this technique promotes a clear </w:t>
      </w:r>
      <w:r w:rsidR="004D7BD3" w:rsidRPr="00AB1D83">
        <w:rPr>
          <w:rFonts w:ascii="Arial" w:hAnsi="Arial" w:cs="Arial"/>
          <w:sz w:val="22"/>
          <w:szCs w:val="22"/>
        </w:rPr>
        <w:lastRenderedPageBreak/>
        <w:t>comprehension of the existing state of knowledge while identifying areas that require more research.</w:t>
      </w:r>
    </w:p>
    <w:p w14:paraId="358716AB" w14:textId="77777777" w:rsidR="00B51978" w:rsidRPr="00AB1D83" w:rsidRDefault="00B51978" w:rsidP="00B51978">
      <w:pPr>
        <w:spacing w:after="0" w:line="240" w:lineRule="auto"/>
        <w:jc w:val="both"/>
        <w:rPr>
          <w:rFonts w:ascii="Arial" w:hAnsi="Arial" w:cs="Arial"/>
          <w:sz w:val="22"/>
          <w:szCs w:val="22"/>
        </w:rPr>
      </w:pPr>
    </w:p>
    <w:p w14:paraId="09329F8B" w14:textId="2B8AE305" w:rsidR="00B51978" w:rsidRPr="00AB1D83" w:rsidRDefault="00B51978" w:rsidP="00B51978">
      <w:pPr>
        <w:spacing w:after="0" w:line="240" w:lineRule="auto"/>
        <w:jc w:val="both"/>
        <w:rPr>
          <w:rFonts w:ascii="Arial" w:hAnsi="Arial" w:cs="Arial"/>
          <w:sz w:val="22"/>
          <w:szCs w:val="22"/>
        </w:rPr>
      </w:pPr>
      <w:r w:rsidRPr="00AB1D83">
        <w:rPr>
          <w:rFonts w:ascii="Arial" w:hAnsi="Arial" w:cs="Arial"/>
          <w:b/>
          <w:bCs/>
          <w:sz w:val="22"/>
          <w:szCs w:val="22"/>
        </w:rPr>
        <w:t>3.2 Search Strategy</w:t>
      </w:r>
      <w:r w:rsidRPr="00AB1D83">
        <w:rPr>
          <w:rFonts w:ascii="Arial" w:hAnsi="Arial" w:cs="Arial"/>
          <w:b/>
          <w:bCs/>
          <w:sz w:val="22"/>
          <w:szCs w:val="22"/>
        </w:rPr>
        <w:t xml:space="preserve">: </w:t>
      </w:r>
      <w:r w:rsidRPr="00AB1D83">
        <w:rPr>
          <w:rFonts w:ascii="Arial" w:hAnsi="Arial" w:cs="Arial"/>
          <w:sz w:val="22"/>
          <w:szCs w:val="22"/>
        </w:rPr>
        <w:t>A systematic search was carried out across the following databases:</w:t>
      </w:r>
      <w:r w:rsidRPr="00AB1D83">
        <w:rPr>
          <w:rFonts w:ascii="Arial" w:hAnsi="Arial" w:cs="Arial"/>
          <w:sz w:val="22"/>
          <w:szCs w:val="22"/>
        </w:rPr>
        <w:br/>
        <w:t>Resources include PubMed, CINAHL, Scopus, and Google Scholar.</w:t>
      </w:r>
      <w:r w:rsidRPr="00AB1D83">
        <w:rPr>
          <w:rFonts w:ascii="Arial" w:hAnsi="Arial" w:cs="Arial"/>
          <w:sz w:val="22"/>
          <w:szCs w:val="22"/>
        </w:rPr>
        <w:t xml:space="preserve">  </w:t>
      </w:r>
    </w:p>
    <w:p w14:paraId="21C3C3A5" w14:textId="77777777" w:rsidR="00B51978" w:rsidRPr="00AB1D83" w:rsidRDefault="00B51978" w:rsidP="00B51978">
      <w:pPr>
        <w:spacing w:after="0" w:line="240" w:lineRule="auto"/>
        <w:jc w:val="both"/>
        <w:rPr>
          <w:rFonts w:ascii="Arial" w:hAnsi="Arial" w:cs="Arial"/>
          <w:sz w:val="22"/>
          <w:szCs w:val="22"/>
        </w:rPr>
      </w:pPr>
      <w:r w:rsidRPr="00AB1D83">
        <w:rPr>
          <w:rFonts w:ascii="Arial" w:hAnsi="Arial" w:cs="Arial"/>
          <w:sz w:val="22"/>
          <w:szCs w:val="22"/>
        </w:rPr>
        <w:br/>
        <w:t>Keywords included:</w:t>
      </w:r>
      <w:r w:rsidRPr="00AB1D83">
        <w:rPr>
          <w:rFonts w:ascii="Arial" w:hAnsi="Arial" w:cs="Arial"/>
          <w:sz w:val="22"/>
          <w:szCs w:val="22"/>
        </w:rPr>
        <w:t xml:space="preserve">  </w:t>
      </w:r>
    </w:p>
    <w:p w14:paraId="00E0EA24" w14:textId="5C659E2B" w:rsidR="00B51978" w:rsidRPr="00AB1D83" w:rsidRDefault="00B51978" w:rsidP="00B51978">
      <w:pPr>
        <w:spacing w:after="0" w:line="240" w:lineRule="auto"/>
        <w:jc w:val="both"/>
        <w:rPr>
          <w:rFonts w:ascii="Arial" w:hAnsi="Arial" w:cs="Arial"/>
          <w:sz w:val="22"/>
          <w:szCs w:val="22"/>
        </w:rPr>
      </w:pPr>
      <w:r w:rsidRPr="00AB1D83">
        <w:rPr>
          <w:rFonts w:ascii="Arial" w:hAnsi="Arial" w:cs="Arial"/>
          <w:sz w:val="22"/>
          <w:szCs w:val="22"/>
        </w:rPr>
        <w:t>"Type 2 diabetes",</w:t>
      </w:r>
      <w:r w:rsidRPr="00AB1D83">
        <w:rPr>
          <w:rFonts w:ascii="Arial" w:hAnsi="Arial" w:cs="Arial"/>
          <w:sz w:val="22"/>
          <w:szCs w:val="22"/>
        </w:rPr>
        <w:t xml:space="preserve"> </w:t>
      </w:r>
      <w:r w:rsidRPr="00AB1D83">
        <w:rPr>
          <w:rFonts w:ascii="Arial" w:hAnsi="Arial" w:cs="Arial"/>
          <w:sz w:val="22"/>
          <w:szCs w:val="22"/>
        </w:rPr>
        <w:t>"digital health", "mobile health apps", "self-management", or "United Kingdom".</w:t>
      </w:r>
    </w:p>
    <w:p w14:paraId="4391D7F1" w14:textId="77777777" w:rsidR="00B51978" w:rsidRPr="00AB1D83" w:rsidRDefault="00B51978" w:rsidP="00B51978">
      <w:pPr>
        <w:spacing w:after="0" w:line="240" w:lineRule="auto"/>
        <w:jc w:val="both"/>
        <w:rPr>
          <w:rFonts w:ascii="Arial" w:hAnsi="Arial" w:cs="Arial"/>
          <w:sz w:val="22"/>
          <w:szCs w:val="22"/>
        </w:rPr>
      </w:pPr>
    </w:p>
    <w:p w14:paraId="0635141F" w14:textId="77777777" w:rsidR="00B51978" w:rsidRPr="00AB1D83" w:rsidRDefault="00B51978" w:rsidP="00B51978">
      <w:pPr>
        <w:spacing w:after="0" w:line="240" w:lineRule="auto"/>
        <w:jc w:val="both"/>
        <w:rPr>
          <w:rFonts w:ascii="Arial" w:hAnsi="Arial" w:cs="Arial"/>
          <w:b/>
          <w:bCs/>
          <w:sz w:val="22"/>
          <w:szCs w:val="22"/>
        </w:rPr>
      </w:pPr>
      <w:r w:rsidRPr="00AB1D83">
        <w:rPr>
          <w:rFonts w:ascii="Arial" w:hAnsi="Arial" w:cs="Arial"/>
          <w:b/>
          <w:bCs/>
          <w:sz w:val="22"/>
          <w:szCs w:val="22"/>
        </w:rPr>
        <w:t>3.3 Inclusion Criteria</w:t>
      </w:r>
      <w:r w:rsidRPr="00AB1D83">
        <w:rPr>
          <w:rFonts w:ascii="Arial" w:hAnsi="Arial" w:cs="Arial"/>
          <w:b/>
          <w:bCs/>
          <w:sz w:val="22"/>
          <w:szCs w:val="22"/>
        </w:rPr>
        <w:t xml:space="preserve"> </w:t>
      </w:r>
    </w:p>
    <w:p w14:paraId="7E61570E" w14:textId="77777777" w:rsidR="00B51978" w:rsidRPr="00AB1D83" w:rsidRDefault="00B51978" w:rsidP="00B51978">
      <w:pPr>
        <w:spacing w:after="0" w:line="240" w:lineRule="auto"/>
        <w:jc w:val="both"/>
        <w:rPr>
          <w:rFonts w:ascii="Arial" w:hAnsi="Arial" w:cs="Arial"/>
          <w:sz w:val="22"/>
          <w:szCs w:val="22"/>
        </w:rPr>
      </w:pPr>
    </w:p>
    <w:p w14:paraId="5C84DC94" w14:textId="77777777" w:rsidR="00B51978" w:rsidRPr="00AB1D83" w:rsidRDefault="00B51978" w:rsidP="00B51978">
      <w:pPr>
        <w:pStyle w:val="ListParagraph"/>
        <w:numPr>
          <w:ilvl w:val="0"/>
          <w:numId w:val="6"/>
        </w:numPr>
        <w:spacing w:after="0" w:line="240" w:lineRule="auto"/>
        <w:jc w:val="both"/>
        <w:rPr>
          <w:rFonts w:ascii="Arial" w:hAnsi="Arial" w:cs="Arial"/>
          <w:sz w:val="22"/>
          <w:szCs w:val="22"/>
        </w:rPr>
      </w:pPr>
      <w:r w:rsidRPr="00AB1D83">
        <w:rPr>
          <w:rFonts w:ascii="Arial" w:hAnsi="Arial" w:cs="Arial"/>
          <w:sz w:val="22"/>
          <w:szCs w:val="22"/>
        </w:rPr>
        <w:t>Journal publications that have undergone peer review</w:t>
      </w:r>
      <w:r w:rsidRPr="00AB1D83">
        <w:rPr>
          <w:rFonts w:ascii="Arial" w:hAnsi="Arial" w:cs="Arial"/>
          <w:sz w:val="22"/>
          <w:szCs w:val="22"/>
        </w:rPr>
        <w:t xml:space="preserve">  </w:t>
      </w:r>
    </w:p>
    <w:p w14:paraId="2FA3BC02" w14:textId="77777777" w:rsidR="00B51978" w:rsidRPr="00AB1D83" w:rsidRDefault="00B51978" w:rsidP="00B51978">
      <w:pPr>
        <w:pStyle w:val="ListParagraph"/>
        <w:numPr>
          <w:ilvl w:val="0"/>
          <w:numId w:val="6"/>
        </w:numPr>
        <w:spacing w:after="0" w:line="240" w:lineRule="auto"/>
        <w:jc w:val="both"/>
        <w:rPr>
          <w:rFonts w:ascii="Arial" w:hAnsi="Arial" w:cs="Arial"/>
          <w:sz w:val="22"/>
          <w:szCs w:val="22"/>
        </w:rPr>
      </w:pPr>
      <w:r w:rsidRPr="00AB1D83">
        <w:rPr>
          <w:rFonts w:ascii="Arial" w:hAnsi="Arial" w:cs="Arial"/>
          <w:sz w:val="22"/>
          <w:szCs w:val="22"/>
        </w:rPr>
        <w:t xml:space="preserve">Published during 2019-2025.  </w:t>
      </w:r>
    </w:p>
    <w:p w14:paraId="5A07EC59" w14:textId="77777777" w:rsidR="00B51978" w:rsidRPr="00AB1D83" w:rsidRDefault="00B51978" w:rsidP="00B51978">
      <w:pPr>
        <w:pStyle w:val="ListParagraph"/>
        <w:numPr>
          <w:ilvl w:val="0"/>
          <w:numId w:val="6"/>
        </w:numPr>
        <w:spacing w:after="0" w:line="240" w:lineRule="auto"/>
        <w:jc w:val="both"/>
        <w:rPr>
          <w:rFonts w:ascii="Arial" w:hAnsi="Arial" w:cs="Arial"/>
          <w:sz w:val="22"/>
          <w:szCs w:val="22"/>
        </w:rPr>
      </w:pPr>
      <w:r w:rsidRPr="00AB1D83">
        <w:rPr>
          <w:rFonts w:ascii="Arial" w:hAnsi="Arial" w:cs="Arial"/>
          <w:sz w:val="22"/>
          <w:szCs w:val="22"/>
        </w:rPr>
        <w:t>Concentrate on digital healthcare applications.</w:t>
      </w:r>
      <w:r w:rsidRPr="00AB1D83">
        <w:rPr>
          <w:rFonts w:ascii="Arial" w:hAnsi="Arial" w:cs="Arial"/>
          <w:sz w:val="22"/>
          <w:szCs w:val="22"/>
        </w:rPr>
        <w:t xml:space="preserve">  </w:t>
      </w:r>
    </w:p>
    <w:p w14:paraId="4C17BE21" w14:textId="2FAB024D" w:rsidR="00B51978" w:rsidRPr="00AB1D83" w:rsidRDefault="00B51978" w:rsidP="00B51978">
      <w:pPr>
        <w:pStyle w:val="ListParagraph"/>
        <w:numPr>
          <w:ilvl w:val="0"/>
          <w:numId w:val="6"/>
        </w:numPr>
        <w:spacing w:after="0" w:line="240" w:lineRule="auto"/>
        <w:jc w:val="both"/>
        <w:rPr>
          <w:rFonts w:ascii="Arial" w:hAnsi="Arial" w:cs="Arial"/>
          <w:sz w:val="22"/>
          <w:szCs w:val="22"/>
        </w:rPr>
      </w:pPr>
      <w:r w:rsidRPr="00AB1D83">
        <w:rPr>
          <w:rFonts w:ascii="Arial" w:hAnsi="Arial" w:cs="Arial"/>
          <w:sz w:val="22"/>
          <w:szCs w:val="22"/>
        </w:rPr>
        <w:t>Relevant to the UK healthcare context</w:t>
      </w:r>
      <w:r w:rsidRPr="00AB1D83">
        <w:rPr>
          <w:rFonts w:ascii="Arial" w:hAnsi="Arial" w:cs="Arial"/>
          <w:sz w:val="22"/>
          <w:szCs w:val="22"/>
        </w:rPr>
        <w:t xml:space="preserve">   </w:t>
      </w:r>
    </w:p>
    <w:p w14:paraId="2D404214" w14:textId="77777777" w:rsidR="00B51978" w:rsidRPr="00AB1D83" w:rsidRDefault="00B51978" w:rsidP="00B51978">
      <w:pPr>
        <w:spacing w:after="0" w:line="240" w:lineRule="auto"/>
        <w:jc w:val="both"/>
        <w:rPr>
          <w:rFonts w:ascii="Arial" w:hAnsi="Arial" w:cs="Arial"/>
          <w:sz w:val="22"/>
          <w:szCs w:val="22"/>
        </w:rPr>
      </w:pPr>
    </w:p>
    <w:p w14:paraId="29CEF64C" w14:textId="77777777" w:rsidR="00B51978" w:rsidRPr="00AB1D83" w:rsidRDefault="00B51978" w:rsidP="00B51978">
      <w:pPr>
        <w:spacing w:after="0" w:line="240" w:lineRule="auto"/>
        <w:jc w:val="both"/>
        <w:rPr>
          <w:rFonts w:ascii="Arial" w:hAnsi="Arial" w:cs="Arial"/>
          <w:b/>
          <w:bCs/>
          <w:sz w:val="22"/>
          <w:szCs w:val="22"/>
        </w:rPr>
      </w:pPr>
      <w:r w:rsidRPr="00AB1D83">
        <w:rPr>
          <w:rFonts w:ascii="Arial" w:hAnsi="Arial" w:cs="Arial"/>
          <w:b/>
          <w:bCs/>
          <w:sz w:val="22"/>
          <w:szCs w:val="22"/>
        </w:rPr>
        <w:t>3.4 Exclusion Criteria</w:t>
      </w:r>
      <w:r w:rsidRPr="00AB1D83">
        <w:rPr>
          <w:rFonts w:ascii="Arial" w:hAnsi="Arial" w:cs="Arial"/>
          <w:b/>
          <w:bCs/>
          <w:sz w:val="22"/>
          <w:szCs w:val="22"/>
        </w:rPr>
        <w:t xml:space="preserve">  </w:t>
      </w:r>
    </w:p>
    <w:p w14:paraId="30B92EC2" w14:textId="77777777" w:rsidR="00B51978" w:rsidRPr="00AB1D83" w:rsidRDefault="00B51978" w:rsidP="00B51978">
      <w:pPr>
        <w:spacing w:after="0" w:line="240" w:lineRule="auto"/>
        <w:jc w:val="both"/>
        <w:rPr>
          <w:rFonts w:ascii="Arial" w:hAnsi="Arial" w:cs="Arial"/>
          <w:b/>
          <w:bCs/>
          <w:sz w:val="22"/>
          <w:szCs w:val="22"/>
        </w:rPr>
      </w:pPr>
    </w:p>
    <w:p w14:paraId="2EE311CD" w14:textId="77777777" w:rsidR="00B51978" w:rsidRPr="00AB1D83" w:rsidRDefault="00B51978" w:rsidP="00B51978">
      <w:pPr>
        <w:pStyle w:val="ListParagraph"/>
        <w:numPr>
          <w:ilvl w:val="0"/>
          <w:numId w:val="7"/>
        </w:numPr>
        <w:spacing w:after="0" w:line="240" w:lineRule="auto"/>
        <w:jc w:val="both"/>
        <w:rPr>
          <w:rFonts w:ascii="Arial" w:hAnsi="Arial" w:cs="Arial"/>
          <w:sz w:val="22"/>
          <w:szCs w:val="22"/>
        </w:rPr>
      </w:pPr>
      <w:r w:rsidRPr="00AB1D83">
        <w:rPr>
          <w:rFonts w:ascii="Arial" w:hAnsi="Arial" w:cs="Arial"/>
          <w:sz w:val="22"/>
          <w:szCs w:val="22"/>
        </w:rPr>
        <w:t>Sources that have not undergone peer review</w:t>
      </w:r>
    </w:p>
    <w:p w14:paraId="0E067592" w14:textId="77777777" w:rsidR="00B51978" w:rsidRPr="00AB1D83" w:rsidRDefault="00B51978" w:rsidP="00B51978">
      <w:pPr>
        <w:pStyle w:val="ListParagraph"/>
        <w:numPr>
          <w:ilvl w:val="0"/>
          <w:numId w:val="7"/>
        </w:numPr>
        <w:spacing w:after="0" w:line="240" w:lineRule="auto"/>
        <w:jc w:val="both"/>
        <w:rPr>
          <w:rFonts w:ascii="Arial" w:hAnsi="Arial" w:cs="Arial"/>
          <w:sz w:val="22"/>
          <w:szCs w:val="22"/>
        </w:rPr>
      </w:pPr>
      <w:r w:rsidRPr="00AB1D83">
        <w:rPr>
          <w:rFonts w:ascii="Arial" w:hAnsi="Arial" w:cs="Arial"/>
          <w:sz w:val="22"/>
          <w:szCs w:val="22"/>
        </w:rPr>
        <w:t>Editorials and opinion articles</w:t>
      </w:r>
      <w:r w:rsidRPr="00AB1D83">
        <w:rPr>
          <w:rFonts w:ascii="Arial" w:hAnsi="Arial" w:cs="Arial"/>
          <w:sz w:val="22"/>
          <w:szCs w:val="22"/>
        </w:rPr>
        <w:t xml:space="preserve">  </w:t>
      </w:r>
    </w:p>
    <w:p w14:paraId="412477B4" w14:textId="77777777" w:rsidR="00B51978" w:rsidRPr="00AB1D83" w:rsidRDefault="00B51978" w:rsidP="00B51978">
      <w:pPr>
        <w:pStyle w:val="ListParagraph"/>
        <w:numPr>
          <w:ilvl w:val="0"/>
          <w:numId w:val="7"/>
        </w:numPr>
        <w:spacing w:after="0" w:line="240" w:lineRule="auto"/>
        <w:jc w:val="both"/>
        <w:rPr>
          <w:rFonts w:ascii="Arial" w:hAnsi="Arial" w:cs="Arial"/>
          <w:sz w:val="22"/>
          <w:szCs w:val="22"/>
        </w:rPr>
      </w:pPr>
      <w:r w:rsidRPr="00AB1D83">
        <w:rPr>
          <w:rFonts w:ascii="Arial" w:hAnsi="Arial" w:cs="Arial"/>
          <w:sz w:val="22"/>
          <w:szCs w:val="22"/>
        </w:rPr>
        <w:t>studies that did not focus on self-management</w:t>
      </w:r>
      <w:r w:rsidRPr="00AB1D83">
        <w:rPr>
          <w:rFonts w:ascii="Arial" w:hAnsi="Arial" w:cs="Arial"/>
          <w:sz w:val="22"/>
          <w:szCs w:val="22"/>
        </w:rPr>
        <w:t xml:space="preserve">  </w:t>
      </w:r>
    </w:p>
    <w:p w14:paraId="10CEC4D3" w14:textId="77777777" w:rsidR="00B51978" w:rsidRPr="00AB1D83" w:rsidRDefault="00B51978" w:rsidP="00B51978">
      <w:pPr>
        <w:spacing w:after="0" w:line="240" w:lineRule="auto"/>
        <w:jc w:val="both"/>
        <w:rPr>
          <w:rFonts w:ascii="Arial" w:hAnsi="Arial" w:cs="Arial"/>
          <w:sz w:val="22"/>
          <w:szCs w:val="22"/>
        </w:rPr>
      </w:pPr>
    </w:p>
    <w:p w14:paraId="53A957FD" w14:textId="61802BC2" w:rsidR="00E953D7" w:rsidRPr="00AB1D83" w:rsidRDefault="00B51978" w:rsidP="00E953D7">
      <w:pPr>
        <w:spacing w:after="0" w:line="240" w:lineRule="auto"/>
        <w:jc w:val="both"/>
        <w:rPr>
          <w:rFonts w:ascii="Arial" w:hAnsi="Arial" w:cs="Arial"/>
          <w:sz w:val="22"/>
          <w:szCs w:val="22"/>
        </w:rPr>
      </w:pPr>
      <w:r w:rsidRPr="00AB1D83">
        <w:rPr>
          <w:rFonts w:ascii="Arial" w:hAnsi="Arial" w:cs="Arial"/>
          <w:b/>
          <w:bCs/>
          <w:sz w:val="22"/>
          <w:szCs w:val="22"/>
        </w:rPr>
        <w:t>3.5 Study Selection</w:t>
      </w:r>
      <w:r w:rsidRPr="00AB1D83">
        <w:rPr>
          <w:rFonts w:ascii="Arial" w:hAnsi="Arial" w:cs="Arial"/>
          <w:b/>
          <w:bCs/>
          <w:sz w:val="22"/>
          <w:szCs w:val="22"/>
        </w:rPr>
        <w:t>:</w:t>
      </w:r>
      <w:r w:rsidR="00E953D7" w:rsidRPr="00AB1D83">
        <w:rPr>
          <w:rFonts w:ascii="Arial" w:hAnsi="Arial" w:cs="Arial"/>
          <w:sz w:val="22"/>
          <w:szCs w:val="22"/>
        </w:rPr>
        <w:t xml:space="preserve"> </w:t>
      </w:r>
      <w:r w:rsidR="00E953D7" w:rsidRPr="00AB1D83">
        <w:rPr>
          <w:rFonts w:ascii="Arial" w:hAnsi="Arial" w:cs="Arial"/>
          <w:sz w:val="22"/>
          <w:szCs w:val="22"/>
        </w:rPr>
        <w:t>The search method used in this study returned 120 publications, demonstrating the broad interest and research activity in the topic of digital health applications. After removing duplicate records, 25 unique articles remained, which were submitted to a more thorough screening procedure to ensure their relevance and conformity with the study's aims. This stage ensured that only papers with a direct relevance to the study emphasis on type 2 diabetes management and digital health technologies in the UK healthcare setting were included.</w:t>
      </w:r>
    </w:p>
    <w:p w14:paraId="2C6FC731" w14:textId="77777777" w:rsidR="00E953D7" w:rsidRPr="00AB1D83" w:rsidRDefault="00922EC0" w:rsidP="00E953D7">
      <w:pPr>
        <w:spacing w:after="0" w:line="240" w:lineRule="auto"/>
        <w:jc w:val="both"/>
        <w:rPr>
          <w:rFonts w:ascii="Arial" w:hAnsi="Arial" w:cs="Arial"/>
          <w:sz w:val="22"/>
          <w:szCs w:val="22"/>
        </w:rPr>
      </w:pPr>
      <w:r w:rsidRPr="00AB1D83">
        <w:rPr>
          <w:rFonts w:ascii="Arial" w:hAnsi="Arial" w:cs="Arial"/>
          <w:sz w:val="22"/>
          <w:szCs w:val="22"/>
        </w:rPr>
        <w:br/>
      </w:r>
      <w:r w:rsidR="00E953D7" w:rsidRPr="00AB1D83">
        <w:rPr>
          <w:rFonts w:ascii="Arial" w:hAnsi="Arial" w:cs="Arial"/>
          <w:sz w:val="22"/>
          <w:szCs w:val="22"/>
        </w:rPr>
        <w:t>Following a rigorous review against the established inclusion criteria, five articles were chosen for in-depth examination. These studies were chosen because they provided the most extensive and relevant information on the use, efficacy, and practical use of digital health apps. They supplied useful information on patient involvement, clinical results, adoption hurdles, and integration with healthcare services, allowing for a more nuanced view of how digital technologies might aid in self-management in people with type 2 diabetes. This targeted selection enabled a thorough synthesis of significant topics while revealing gaps in the existing data base.</w:t>
      </w:r>
    </w:p>
    <w:p w14:paraId="3B879BC2" w14:textId="57395BF8" w:rsidR="00B51978" w:rsidRPr="00AB1D83" w:rsidRDefault="00B51978" w:rsidP="00B51978">
      <w:pPr>
        <w:spacing w:after="0" w:line="240" w:lineRule="auto"/>
        <w:jc w:val="both"/>
        <w:rPr>
          <w:rFonts w:ascii="Arial" w:hAnsi="Arial" w:cs="Arial"/>
          <w:b/>
          <w:bCs/>
          <w:sz w:val="22"/>
          <w:szCs w:val="22"/>
        </w:rPr>
      </w:pPr>
    </w:p>
    <w:p w14:paraId="0EE47B5E" w14:textId="77777777" w:rsidR="00E953D7" w:rsidRPr="00AB1D83" w:rsidRDefault="00B51978" w:rsidP="00E953D7">
      <w:pPr>
        <w:spacing w:after="0" w:line="240" w:lineRule="auto"/>
        <w:jc w:val="both"/>
        <w:rPr>
          <w:rFonts w:ascii="Arial" w:hAnsi="Arial" w:cs="Arial"/>
          <w:sz w:val="22"/>
          <w:szCs w:val="22"/>
        </w:rPr>
      </w:pPr>
      <w:r w:rsidRPr="00AB1D83">
        <w:rPr>
          <w:rFonts w:ascii="Arial" w:hAnsi="Arial" w:cs="Arial"/>
          <w:b/>
          <w:bCs/>
          <w:sz w:val="22"/>
          <w:szCs w:val="22"/>
        </w:rPr>
        <w:t>3.6 Data Analysis</w:t>
      </w:r>
      <w:r w:rsidRPr="00AB1D83">
        <w:rPr>
          <w:rFonts w:ascii="Arial" w:hAnsi="Arial" w:cs="Arial"/>
          <w:b/>
          <w:bCs/>
          <w:sz w:val="22"/>
          <w:szCs w:val="22"/>
        </w:rPr>
        <w:t xml:space="preserve">: </w:t>
      </w:r>
      <w:r w:rsidR="00E953D7" w:rsidRPr="00AB1D83">
        <w:rPr>
          <w:rFonts w:ascii="Arial" w:hAnsi="Arial" w:cs="Arial"/>
          <w:sz w:val="22"/>
          <w:szCs w:val="22"/>
        </w:rPr>
        <w:t>Thematic analysis was used to find patterns and recurring themes among the selected research, resulting in an organised and rigorous approach to data analysis. This strategy allowed the researchers to arrange and understand essential ideas, ensuring that similarities and differences between trials were clearly recorded and documented. The research helped to gain a better knowledge of the key characteristics of digital health apps in type 2 diabetes treatment by using a uniform coding methodology.</w:t>
      </w:r>
    </w:p>
    <w:p w14:paraId="58D2785A" w14:textId="692D5253" w:rsidR="00922EC0" w:rsidRPr="00AB1D83" w:rsidRDefault="00922EC0" w:rsidP="00922EC0">
      <w:pPr>
        <w:spacing w:after="0" w:line="240" w:lineRule="auto"/>
        <w:jc w:val="both"/>
        <w:rPr>
          <w:rFonts w:ascii="Arial" w:hAnsi="Arial" w:cs="Arial"/>
          <w:sz w:val="22"/>
          <w:szCs w:val="22"/>
        </w:rPr>
      </w:pPr>
      <w:r w:rsidRPr="00AB1D83">
        <w:rPr>
          <w:rFonts w:ascii="Arial" w:hAnsi="Arial" w:cs="Arial"/>
          <w:sz w:val="22"/>
          <w:szCs w:val="22"/>
        </w:rPr>
        <w:br/>
      </w:r>
      <w:r w:rsidR="00E953D7" w:rsidRPr="00AB1D83">
        <w:rPr>
          <w:rFonts w:ascii="Arial" w:hAnsi="Arial" w:cs="Arial"/>
          <w:sz w:val="22"/>
          <w:szCs w:val="22"/>
        </w:rPr>
        <w:t>Important insights into the use, usefulness, and limits of digital health applications were obtained through the coding and classification process. This technique enabled a thorough analysis of the data, emphasising overarching themes, common issues, and areas of achievement. Finally, thematic analysis provided a clear and systematic framework for mapping the present evidence base, laying the groundwork for understanding the role and impact of digital health interventions in promoting self-management among patients with type 2 diabetes.</w:t>
      </w:r>
    </w:p>
    <w:p w14:paraId="08EEEF73" w14:textId="1D6007F0" w:rsidR="00B51978" w:rsidRPr="00AB1D83" w:rsidRDefault="00B51978" w:rsidP="00B51978">
      <w:pPr>
        <w:spacing w:after="0" w:line="240" w:lineRule="auto"/>
        <w:jc w:val="both"/>
        <w:rPr>
          <w:rFonts w:ascii="Arial" w:hAnsi="Arial" w:cs="Arial"/>
          <w:sz w:val="22"/>
          <w:szCs w:val="22"/>
        </w:rPr>
      </w:pPr>
    </w:p>
    <w:p w14:paraId="441CCA7E" w14:textId="49947F5B" w:rsidR="00E953D7" w:rsidRPr="00AB1D83" w:rsidRDefault="00B51978" w:rsidP="00E953D7">
      <w:pPr>
        <w:spacing w:after="0" w:line="240" w:lineRule="auto"/>
        <w:jc w:val="both"/>
        <w:rPr>
          <w:rFonts w:ascii="Arial" w:hAnsi="Arial" w:cs="Arial"/>
          <w:sz w:val="22"/>
          <w:szCs w:val="22"/>
        </w:rPr>
      </w:pPr>
      <w:r w:rsidRPr="00AB1D83">
        <w:rPr>
          <w:rFonts w:ascii="Arial" w:hAnsi="Arial" w:cs="Arial"/>
          <w:b/>
          <w:bCs/>
          <w:sz w:val="22"/>
          <w:szCs w:val="22"/>
        </w:rPr>
        <w:t>3.7 Ethical Considerations</w:t>
      </w:r>
      <w:r w:rsidRPr="00AB1D83">
        <w:rPr>
          <w:rFonts w:ascii="Arial" w:hAnsi="Arial" w:cs="Arial"/>
          <w:b/>
          <w:bCs/>
          <w:sz w:val="22"/>
          <w:szCs w:val="22"/>
        </w:rPr>
        <w:t xml:space="preserve">: </w:t>
      </w:r>
      <w:r w:rsidR="00E953D7" w:rsidRPr="00AB1D83">
        <w:rPr>
          <w:rFonts w:ascii="Arial" w:hAnsi="Arial" w:cs="Arial"/>
          <w:sz w:val="22"/>
          <w:szCs w:val="22"/>
        </w:rPr>
        <w:t xml:space="preserve">Because this study relied entirely on secondary data from previously published investigations, formal ethical approval was unnecessary. No original data were acquired from individuals, and the research was carried out exclusively utilising </w:t>
      </w:r>
      <w:r w:rsidR="00E953D7" w:rsidRPr="00AB1D83">
        <w:rPr>
          <w:rFonts w:ascii="Arial" w:hAnsi="Arial" w:cs="Arial"/>
          <w:sz w:val="22"/>
          <w:szCs w:val="22"/>
        </w:rPr>
        <w:t>publicly</w:t>
      </w:r>
      <w:r w:rsidR="00E953D7" w:rsidRPr="00AB1D83">
        <w:rPr>
          <w:rFonts w:ascii="Arial" w:hAnsi="Arial" w:cs="Arial"/>
          <w:sz w:val="22"/>
          <w:szCs w:val="22"/>
        </w:rPr>
        <w:t xml:space="preserve"> available sources, reducing any ethical issues about confidentiality, permission, or participant safety. This technique is congruent with accepted criteria for literature-based research, since the data has already been ethically reviewed by the original authors. Furthermore, steps were made to verify that all data were used ethically and properly within the framework of the study.</w:t>
      </w:r>
    </w:p>
    <w:p w14:paraId="21526431" w14:textId="77777777" w:rsidR="00922EC0" w:rsidRPr="00AB1D83" w:rsidRDefault="00922EC0" w:rsidP="00922EC0">
      <w:pPr>
        <w:spacing w:after="0" w:line="240" w:lineRule="auto"/>
        <w:jc w:val="both"/>
        <w:rPr>
          <w:rFonts w:ascii="Arial" w:hAnsi="Arial" w:cs="Arial"/>
          <w:sz w:val="22"/>
          <w:szCs w:val="22"/>
        </w:rPr>
      </w:pPr>
    </w:p>
    <w:p w14:paraId="26BCD8A9" w14:textId="77777777" w:rsidR="00E953D7" w:rsidRPr="00E953D7" w:rsidRDefault="00E953D7" w:rsidP="00E953D7">
      <w:pPr>
        <w:spacing w:after="0" w:line="240" w:lineRule="auto"/>
        <w:jc w:val="both"/>
        <w:rPr>
          <w:rFonts w:ascii="Arial" w:hAnsi="Arial" w:cs="Arial"/>
          <w:sz w:val="22"/>
          <w:szCs w:val="22"/>
        </w:rPr>
      </w:pPr>
      <w:r w:rsidRPr="00E953D7">
        <w:rPr>
          <w:rFonts w:ascii="Arial" w:hAnsi="Arial" w:cs="Arial"/>
          <w:sz w:val="22"/>
          <w:szCs w:val="22"/>
        </w:rPr>
        <w:t>Throughout the research, academic integrity was strictly adhered to, with special emphasis placed on correct source acknowledgement. All sources were referenced in accordance with Harvard referencing style, assuring information clarity, uniformity, and openness. Proper citation not only increases the credibility of the research, but it also allows readers to track and verify the original sources. This dedication to ethical scholarship contributes to the study's overall trustworthiness, validity, and academic excellence.</w:t>
      </w:r>
    </w:p>
    <w:p w14:paraId="24150B6A" w14:textId="33669F15" w:rsidR="00B51978" w:rsidRPr="00AB1D83" w:rsidRDefault="00B51978" w:rsidP="00B51978">
      <w:pPr>
        <w:spacing w:after="0" w:line="240" w:lineRule="auto"/>
        <w:jc w:val="both"/>
        <w:rPr>
          <w:rFonts w:ascii="Arial" w:hAnsi="Arial" w:cs="Arial"/>
          <w:b/>
          <w:bCs/>
          <w:sz w:val="22"/>
          <w:szCs w:val="22"/>
        </w:rPr>
      </w:pPr>
    </w:p>
    <w:p w14:paraId="6C2BDE3C" w14:textId="5F77C066" w:rsidR="00B51978" w:rsidRPr="00AB1D83" w:rsidRDefault="00B51978" w:rsidP="00B51978">
      <w:pPr>
        <w:pStyle w:val="ListParagraph"/>
        <w:numPr>
          <w:ilvl w:val="0"/>
          <w:numId w:val="1"/>
        </w:numPr>
        <w:spacing w:after="0" w:line="240" w:lineRule="auto"/>
        <w:jc w:val="both"/>
        <w:rPr>
          <w:rFonts w:ascii="Arial" w:hAnsi="Arial" w:cs="Arial"/>
          <w:b/>
          <w:bCs/>
          <w:sz w:val="22"/>
          <w:szCs w:val="22"/>
        </w:rPr>
      </w:pPr>
      <w:r w:rsidRPr="00AB1D83">
        <w:rPr>
          <w:rFonts w:ascii="Arial" w:hAnsi="Arial" w:cs="Arial"/>
          <w:b/>
          <w:bCs/>
          <w:sz w:val="22"/>
          <w:szCs w:val="22"/>
        </w:rPr>
        <w:t>Results</w:t>
      </w:r>
    </w:p>
    <w:p w14:paraId="523EA668" w14:textId="68D3E997" w:rsidR="00B51978" w:rsidRPr="00AB1D83" w:rsidRDefault="00B51978" w:rsidP="00B51978">
      <w:pPr>
        <w:spacing w:after="0" w:line="240" w:lineRule="auto"/>
        <w:jc w:val="both"/>
        <w:rPr>
          <w:rFonts w:ascii="Arial" w:hAnsi="Arial" w:cs="Arial"/>
          <w:b/>
          <w:bCs/>
          <w:sz w:val="22"/>
          <w:szCs w:val="22"/>
        </w:rPr>
      </w:pPr>
    </w:p>
    <w:p w14:paraId="55A46948" w14:textId="707CFC3F" w:rsidR="00B51978" w:rsidRPr="00AB1D83" w:rsidRDefault="00B51978" w:rsidP="00B51978">
      <w:pPr>
        <w:spacing w:after="0" w:line="240" w:lineRule="auto"/>
        <w:jc w:val="both"/>
        <w:rPr>
          <w:rFonts w:ascii="Arial" w:hAnsi="Arial" w:cs="Arial"/>
          <w:b/>
          <w:bCs/>
          <w:sz w:val="22"/>
          <w:szCs w:val="22"/>
        </w:rPr>
      </w:pPr>
      <w:r w:rsidRPr="00AB1D83">
        <w:rPr>
          <w:rFonts w:ascii="Arial" w:hAnsi="Arial" w:cs="Arial"/>
          <w:b/>
          <w:bCs/>
          <w:sz w:val="22"/>
          <w:szCs w:val="22"/>
        </w:rPr>
        <w:t>4.1 Summary of Included Studies</w:t>
      </w:r>
    </w:p>
    <w:p w14:paraId="3C854368" w14:textId="77777777" w:rsidR="00B51978" w:rsidRPr="00AB1D83" w:rsidRDefault="00B51978" w:rsidP="00B51978">
      <w:pPr>
        <w:spacing w:after="0" w:line="240" w:lineRule="auto"/>
        <w:jc w:val="both"/>
        <w:rPr>
          <w:rFonts w:ascii="Arial" w:hAnsi="Arial" w:cs="Arial"/>
          <w:b/>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8"/>
        <w:gridCol w:w="570"/>
        <w:gridCol w:w="2062"/>
        <w:gridCol w:w="1352"/>
        <w:gridCol w:w="2516"/>
      </w:tblGrid>
      <w:tr w:rsidR="00B51978" w:rsidRPr="00B51978" w14:paraId="6279A163" w14:textId="77777777" w:rsidTr="00B51978">
        <w:trPr>
          <w:tblHeader/>
          <w:tblCellSpacing w:w="15" w:type="dxa"/>
        </w:trPr>
        <w:tc>
          <w:tcPr>
            <w:tcW w:w="0" w:type="auto"/>
            <w:vAlign w:val="center"/>
            <w:hideMark/>
          </w:tcPr>
          <w:p w14:paraId="1B00F5F4"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Author</w:t>
            </w:r>
          </w:p>
        </w:tc>
        <w:tc>
          <w:tcPr>
            <w:tcW w:w="0" w:type="auto"/>
            <w:vAlign w:val="center"/>
            <w:hideMark/>
          </w:tcPr>
          <w:p w14:paraId="0EE84F9C"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Year</w:t>
            </w:r>
          </w:p>
        </w:tc>
        <w:tc>
          <w:tcPr>
            <w:tcW w:w="0" w:type="auto"/>
            <w:vAlign w:val="center"/>
            <w:hideMark/>
          </w:tcPr>
          <w:p w14:paraId="0142CF78"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Study Type</w:t>
            </w:r>
          </w:p>
        </w:tc>
        <w:tc>
          <w:tcPr>
            <w:tcW w:w="0" w:type="auto"/>
            <w:vAlign w:val="center"/>
            <w:hideMark/>
          </w:tcPr>
          <w:p w14:paraId="7B1DE01E"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Sample</w:t>
            </w:r>
          </w:p>
        </w:tc>
        <w:tc>
          <w:tcPr>
            <w:tcW w:w="0" w:type="auto"/>
            <w:vAlign w:val="center"/>
            <w:hideMark/>
          </w:tcPr>
          <w:p w14:paraId="442BE193"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Key Findings</w:t>
            </w:r>
          </w:p>
        </w:tc>
      </w:tr>
      <w:tr w:rsidR="00B51978" w:rsidRPr="00B51978" w14:paraId="6D2FB2FD" w14:textId="77777777" w:rsidTr="00B51978">
        <w:trPr>
          <w:tblCellSpacing w:w="15" w:type="dxa"/>
        </w:trPr>
        <w:tc>
          <w:tcPr>
            <w:tcW w:w="0" w:type="auto"/>
            <w:vAlign w:val="center"/>
            <w:hideMark/>
          </w:tcPr>
          <w:p w14:paraId="6F313CC3"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Veazie et al.</w:t>
            </w:r>
          </w:p>
        </w:tc>
        <w:tc>
          <w:tcPr>
            <w:tcW w:w="0" w:type="auto"/>
            <w:vAlign w:val="center"/>
            <w:hideMark/>
          </w:tcPr>
          <w:p w14:paraId="4EF4F0F6"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2021</w:t>
            </w:r>
          </w:p>
        </w:tc>
        <w:tc>
          <w:tcPr>
            <w:tcW w:w="0" w:type="auto"/>
            <w:vAlign w:val="center"/>
            <w:hideMark/>
          </w:tcPr>
          <w:p w14:paraId="25CCEB67"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Systematic Review</w:t>
            </w:r>
          </w:p>
        </w:tc>
        <w:tc>
          <w:tcPr>
            <w:tcW w:w="0" w:type="auto"/>
            <w:vAlign w:val="center"/>
            <w:hideMark/>
          </w:tcPr>
          <w:p w14:paraId="416FA6AF"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Multiple</w:t>
            </w:r>
          </w:p>
        </w:tc>
        <w:tc>
          <w:tcPr>
            <w:tcW w:w="0" w:type="auto"/>
            <w:vAlign w:val="center"/>
            <w:hideMark/>
          </w:tcPr>
          <w:p w14:paraId="735A605D"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Improved HbA1c levels</w:t>
            </w:r>
          </w:p>
        </w:tc>
      </w:tr>
      <w:tr w:rsidR="00B51978" w:rsidRPr="00B51978" w14:paraId="4F2F438C" w14:textId="77777777" w:rsidTr="00B51978">
        <w:trPr>
          <w:tblCellSpacing w:w="15" w:type="dxa"/>
        </w:trPr>
        <w:tc>
          <w:tcPr>
            <w:tcW w:w="0" w:type="auto"/>
            <w:vAlign w:val="center"/>
            <w:hideMark/>
          </w:tcPr>
          <w:p w14:paraId="59F280A1"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Holmen et al.</w:t>
            </w:r>
          </w:p>
        </w:tc>
        <w:tc>
          <w:tcPr>
            <w:tcW w:w="0" w:type="auto"/>
            <w:vAlign w:val="center"/>
            <w:hideMark/>
          </w:tcPr>
          <w:p w14:paraId="473D8FE8"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2020</w:t>
            </w:r>
          </w:p>
        </w:tc>
        <w:tc>
          <w:tcPr>
            <w:tcW w:w="0" w:type="auto"/>
            <w:vAlign w:val="center"/>
            <w:hideMark/>
          </w:tcPr>
          <w:p w14:paraId="1FC694F2"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RCT</w:t>
            </w:r>
          </w:p>
        </w:tc>
        <w:tc>
          <w:tcPr>
            <w:tcW w:w="0" w:type="auto"/>
            <w:vAlign w:val="center"/>
            <w:hideMark/>
          </w:tcPr>
          <w:p w14:paraId="204CBD57"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150 patients</w:t>
            </w:r>
          </w:p>
        </w:tc>
        <w:tc>
          <w:tcPr>
            <w:tcW w:w="0" w:type="auto"/>
            <w:vAlign w:val="center"/>
            <w:hideMark/>
          </w:tcPr>
          <w:p w14:paraId="3B0879A3"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Increased engagement</w:t>
            </w:r>
          </w:p>
        </w:tc>
      </w:tr>
      <w:tr w:rsidR="00B51978" w:rsidRPr="00B51978" w14:paraId="379C550F" w14:textId="77777777" w:rsidTr="00B51978">
        <w:trPr>
          <w:tblCellSpacing w:w="15" w:type="dxa"/>
        </w:trPr>
        <w:tc>
          <w:tcPr>
            <w:tcW w:w="0" w:type="auto"/>
            <w:vAlign w:val="center"/>
            <w:hideMark/>
          </w:tcPr>
          <w:p w14:paraId="633F29D3"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Murray et al.</w:t>
            </w:r>
          </w:p>
        </w:tc>
        <w:tc>
          <w:tcPr>
            <w:tcW w:w="0" w:type="auto"/>
            <w:vAlign w:val="center"/>
            <w:hideMark/>
          </w:tcPr>
          <w:p w14:paraId="093466F0"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2022</w:t>
            </w:r>
          </w:p>
        </w:tc>
        <w:tc>
          <w:tcPr>
            <w:tcW w:w="0" w:type="auto"/>
            <w:vAlign w:val="center"/>
            <w:hideMark/>
          </w:tcPr>
          <w:p w14:paraId="3A5DAC27"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Qualitative</w:t>
            </w:r>
          </w:p>
        </w:tc>
        <w:tc>
          <w:tcPr>
            <w:tcW w:w="0" w:type="auto"/>
            <w:vAlign w:val="center"/>
            <w:hideMark/>
          </w:tcPr>
          <w:p w14:paraId="36A21907"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30 patients</w:t>
            </w:r>
          </w:p>
        </w:tc>
        <w:tc>
          <w:tcPr>
            <w:tcW w:w="0" w:type="auto"/>
            <w:vAlign w:val="center"/>
            <w:hideMark/>
          </w:tcPr>
          <w:p w14:paraId="03A6F89D"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Usability barriers</w:t>
            </w:r>
          </w:p>
        </w:tc>
      </w:tr>
      <w:tr w:rsidR="00B51978" w:rsidRPr="00B51978" w14:paraId="37F20C4A" w14:textId="77777777" w:rsidTr="00B51978">
        <w:trPr>
          <w:tblCellSpacing w:w="15" w:type="dxa"/>
        </w:trPr>
        <w:tc>
          <w:tcPr>
            <w:tcW w:w="0" w:type="auto"/>
            <w:vAlign w:val="center"/>
            <w:hideMark/>
          </w:tcPr>
          <w:p w14:paraId="0377F8DE"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Greenwood et al.</w:t>
            </w:r>
          </w:p>
        </w:tc>
        <w:tc>
          <w:tcPr>
            <w:tcW w:w="0" w:type="auto"/>
            <w:vAlign w:val="center"/>
            <w:hideMark/>
          </w:tcPr>
          <w:p w14:paraId="2C931D03"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2021</w:t>
            </w:r>
          </w:p>
        </w:tc>
        <w:tc>
          <w:tcPr>
            <w:tcW w:w="0" w:type="auto"/>
            <w:vAlign w:val="center"/>
            <w:hideMark/>
          </w:tcPr>
          <w:p w14:paraId="22CCD70E"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Cohort</w:t>
            </w:r>
          </w:p>
        </w:tc>
        <w:tc>
          <w:tcPr>
            <w:tcW w:w="0" w:type="auto"/>
            <w:vAlign w:val="center"/>
            <w:hideMark/>
          </w:tcPr>
          <w:p w14:paraId="2762FB32"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200 patients</w:t>
            </w:r>
          </w:p>
        </w:tc>
        <w:tc>
          <w:tcPr>
            <w:tcW w:w="0" w:type="auto"/>
            <w:vAlign w:val="center"/>
            <w:hideMark/>
          </w:tcPr>
          <w:p w14:paraId="1B4B6F1B"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Better adherence</w:t>
            </w:r>
          </w:p>
        </w:tc>
      </w:tr>
      <w:tr w:rsidR="00B51978" w:rsidRPr="00B51978" w14:paraId="06C32C06" w14:textId="77777777" w:rsidTr="00B51978">
        <w:trPr>
          <w:tblCellSpacing w:w="15" w:type="dxa"/>
        </w:trPr>
        <w:tc>
          <w:tcPr>
            <w:tcW w:w="0" w:type="auto"/>
            <w:vAlign w:val="center"/>
            <w:hideMark/>
          </w:tcPr>
          <w:p w14:paraId="5BCE5689"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Kebede et al.</w:t>
            </w:r>
          </w:p>
        </w:tc>
        <w:tc>
          <w:tcPr>
            <w:tcW w:w="0" w:type="auto"/>
            <w:vAlign w:val="center"/>
            <w:hideMark/>
          </w:tcPr>
          <w:p w14:paraId="15DAB5F1"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2023</w:t>
            </w:r>
          </w:p>
        </w:tc>
        <w:tc>
          <w:tcPr>
            <w:tcW w:w="0" w:type="auto"/>
            <w:vAlign w:val="center"/>
            <w:hideMark/>
          </w:tcPr>
          <w:p w14:paraId="02828ECF" w14:textId="7B9063B7" w:rsidR="00B51978" w:rsidRPr="00B51978" w:rsidRDefault="00B51978" w:rsidP="00B51978">
            <w:pPr>
              <w:spacing w:after="0" w:line="240" w:lineRule="auto"/>
              <w:jc w:val="both"/>
              <w:rPr>
                <w:rFonts w:ascii="Arial" w:hAnsi="Arial" w:cs="Arial"/>
                <w:b/>
                <w:bCs/>
                <w:sz w:val="22"/>
                <w:szCs w:val="22"/>
              </w:rPr>
            </w:pPr>
            <w:r w:rsidRPr="00AB1D83">
              <w:rPr>
                <w:rFonts w:ascii="Arial" w:hAnsi="Arial" w:cs="Arial"/>
                <w:b/>
                <w:bCs/>
                <w:sz w:val="22"/>
                <w:szCs w:val="22"/>
              </w:rPr>
              <w:t>Mixed method</w:t>
            </w:r>
          </w:p>
        </w:tc>
        <w:tc>
          <w:tcPr>
            <w:tcW w:w="0" w:type="auto"/>
            <w:vAlign w:val="center"/>
            <w:hideMark/>
          </w:tcPr>
          <w:p w14:paraId="65AD4DC6"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100 patients</w:t>
            </w:r>
          </w:p>
        </w:tc>
        <w:tc>
          <w:tcPr>
            <w:tcW w:w="0" w:type="auto"/>
            <w:vAlign w:val="center"/>
            <w:hideMark/>
          </w:tcPr>
          <w:p w14:paraId="448D9613" w14:textId="77777777" w:rsidR="00B51978" w:rsidRPr="00B51978" w:rsidRDefault="00B51978" w:rsidP="00B51978">
            <w:pPr>
              <w:spacing w:after="0" w:line="240" w:lineRule="auto"/>
              <w:jc w:val="both"/>
              <w:rPr>
                <w:rFonts w:ascii="Arial" w:hAnsi="Arial" w:cs="Arial"/>
                <w:b/>
                <w:bCs/>
                <w:sz w:val="22"/>
                <w:szCs w:val="22"/>
              </w:rPr>
            </w:pPr>
            <w:r w:rsidRPr="00B51978">
              <w:rPr>
                <w:rFonts w:ascii="Arial" w:hAnsi="Arial" w:cs="Arial"/>
                <w:b/>
                <w:bCs/>
                <w:sz w:val="22"/>
                <w:szCs w:val="22"/>
              </w:rPr>
              <w:t>Improved self-efficacy</w:t>
            </w:r>
          </w:p>
        </w:tc>
      </w:tr>
    </w:tbl>
    <w:p w14:paraId="0FC2F12E" w14:textId="77777777" w:rsidR="00B51978" w:rsidRPr="00AB1D83" w:rsidRDefault="00B51978" w:rsidP="00B51978">
      <w:pPr>
        <w:spacing w:after="0" w:line="240" w:lineRule="auto"/>
        <w:jc w:val="both"/>
        <w:rPr>
          <w:rFonts w:ascii="Arial" w:hAnsi="Arial" w:cs="Arial"/>
          <w:b/>
          <w:bCs/>
          <w:sz w:val="22"/>
          <w:szCs w:val="22"/>
        </w:rPr>
      </w:pPr>
    </w:p>
    <w:p w14:paraId="062F3397" w14:textId="77777777" w:rsidR="00B51978" w:rsidRPr="00AB1D83" w:rsidRDefault="00B51978" w:rsidP="00B51978">
      <w:pPr>
        <w:spacing w:after="0" w:line="240" w:lineRule="auto"/>
        <w:jc w:val="both"/>
        <w:rPr>
          <w:rFonts w:ascii="Arial" w:hAnsi="Arial" w:cs="Arial"/>
          <w:b/>
          <w:bCs/>
          <w:sz w:val="22"/>
          <w:szCs w:val="22"/>
        </w:rPr>
      </w:pPr>
      <w:r w:rsidRPr="00AB1D83">
        <w:rPr>
          <w:rFonts w:ascii="Arial" w:hAnsi="Arial" w:cs="Arial"/>
          <w:b/>
          <w:bCs/>
          <w:sz w:val="22"/>
          <w:szCs w:val="22"/>
        </w:rPr>
        <w:t>4.2 Key Themes</w:t>
      </w:r>
      <w:r w:rsidRPr="00AB1D83">
        <w:rPr>
          <w:rFonts w:ascii="Arial" w:hAnsi="Arial" w:cs="Arial"/>
          <w:b/>
          <w:bCs/>
          <w:sz w:val="22"/>
          <w:szCs w:val="22"/>
        </w:rPr>
        <w:t xml:space="preserve">  </w:t>
      </w:r>
    </w:p>
    <w:p w14:paraId="6B76857E" w14:textId="77777777" w:rsidR="00B51978" w:rsidRPr="00AB1D83" w:rsidRDefault="00B51978" w:rsidP="00B51978">
      <w:pPr>
        <w:spacing w:after="0" w:line="240" w:lineRule="auto"/>
        <w:jc w:val="both"/>
        <w:rPr>
          <w:rFonts w:ascii="Arial" w:hAnsi="Arial" w:cs="Arial"/>
          <w:b/>
          <w:bCs/>
          <w:sz w:val="22"/>
          <w:szCs w:val="22"/>
        </w:rPr>
      </w:pPr>
    </w:p>
    <w:p w14:paraId="176DBF2E" w14:textId="18622368" w:rsidR="00B51978" w:rsidRPr="00AB1D83" w:rsidRDefault="00B51978" w:rsidP="00B51978">
      <w:pPr>
        <w:pStyle w:val="ListParagraph"/>
        <w:numPr>
          <w:ilvl w:val="0"/>
          <w:numId w:val="8"/>
        </w:numPr>
        <w:spacing w:after="0" w:line="240" w:lineRule="auto"/>
        <w:jc w:val="both"/>
        <w:rPr>
          <w:rFonts w:ascii="Arial" w:hAnsi="Arial" w:cs="Arial"/>
          <w:sz w:val="22"/>
          <w:szCs w:val="22"/>
        </w:rPr>
      </w:pPr>
      <w:r w:rsidRPr="00AB1D83">
        <w:rPr>
          <w:rFonts w:ascii="Arial" w:hAnsi="Arial" w:cs="Arial"/>
          <w:b/>
          <w:bCs/>
          <w:sz w:val="22"/>
          <w:szCs w:val="22"/>
        </w:rPr>
        <w:t>Improved Glycaemic Control</w:t>
      </w:r>
      <w:r w:rsidRPr="00AB1D83">
        <w:rPr>
          <w:rFonts w:ascii="Arial" w:hAnsi="Arial" w:cs="Arial"/>
          <w:b/>
          <w:bCs/>
          <w:sz w:val="22"/>
          <w:szCs w:val="22"/>
        </w:rPr>
        <w:t xml:space="preserve">: </w:t>
      </w:r>
      <w:r w:rsidRPr="00AB1D83">
        <w:rPr>
          <w:rFonts w:ascii="Arial" w:hAnsi="Arial" w:cs="Arial"/>
          <w:sz w:val="22"/>
          <w:szCs w:val="22"/>
        </w:rPr>
        <w:t xml:space="preserve">Most studies found substantial improvements in HbA1c levels among digital health app users, indicating better glycaemic management. These advantages are associated with features such as real-time monitoring, customised feedback, and prescription reminders that aid with self-management. Integration with UK healthcare services, especially NHS systems, allows for more effective doctor monitoring and quicker action. Furthermore, methods for behavioural change, such as goal planning and progress tracking, help to maintain lifestyle gains over time. However, effects can vary based on user participation, digital literacy, and technological accessibility. </w:t>
      </w:r>
    </w:p>
    <w:p w14:paraId="61A3E145" w14:textId="77777777" w:rsidR="00B51978" w:rsidRPr="00AB1D83" w:rsidRDefault="00B51978" w:rsidP="00B51978">
      <w:pPr>
        <w:spacing w:after="0" w:line="240" w:lineRule="auto"/>
        <w:jc w:val="both"/>
        <w:rPr>
          <w:rFonts w:ascii="Arial" w:hAnsi="Arial" w:cs="Arial"/>
          <w:sz w:val="22"/>
          <w:szCs w:val="22"/>
        </w:rPr>
      </w:pPr>
    </w:p>
    <w:p w14:paraId="1F2E19B7" w14:textId="77777777" w:rsidR="00B51978" w:rsidRPr="00AB1D83" w:rsidRDefault="00B51978" w:rsidP="00B51978">
      <w:pPr>
        <w:pStyle w:val="ListParagraph"/>
        <w:numPr>
          <w:ilvl w:val="0"/>
          <w:numId w:val="8"/>
        </w:numPr>
        <w:spacing w:after="0" w:line="240" w:lineRule="auto"/>
        <w:jc w:val="both"/>
        <w:rPr>
          <w:rFonts w:ascii="Arial" w:hAnsi="Arial" w:cs="Arial"/>
          <w:sz w:val="22"/>
          <w:szCs w:val="22"/>
        </w:rPr>
      </w:pPr>
      <w:r w:rsidRPr="00AB1D83">
        <w:rPr>
          <w:rFonts w:ascii="Arial" w:hAnsi="Arial" w:cs="Arial"/>
          <w:b/>
          <w:bCs/>
          <w:sz w:val="22"/>
          <w:szCs w:val="22"/>
        </w:rPr>
        <w:t xml:space="preserve"> </w:t>
      </w:r>
      <w:r w:rsidRPr="00AB1D83">
        <w:rPr>
          <w:rFonts w:ascii="Arial" w:hAnsi="Arial" w:cs="Arial"/>
          <w:b/>
          <w:bCs/>
          <w:sz w:val="22"/>
          <w:szCs w:val="22"/>
        </w:rPr>
        <w:t>Increased Patient Engagement</w:t>
      </w:r>
      <w:r w:rsidRPr="00AB1D83">
        <w:rPr>
          <w:rFonts w:ascii="Arial" w:hAnsi="Arial" w:cs="Arial"/>
          <w:b/>
          <w:bCs/>
          <w:sz w:val="22"/>
          <w:szCs w:val="22"/>
        </w:rPr>
        <w:t xml:space="preserve">: </w:t>
      </w:r>
      <w:r w:rsidRPr="00AB1D83">
        <w:rPr>
          <w:rFonts w:ascii="Arial" w:hAnsi="Arial" w:cs="Arial"/>
          <w:sz w:val="22"/>
          <w:szCs w:val="22"/>
        </w:rPr>
        <w:t xml:space="preserve">Digital technologies increase patient engagement by offering reminders, feedback, and interactive elements that encourage treatment plan adherence. They provide self-monitoring of health parameters, allowing patients to track their progress and spot patterns over time. Many platforms also include instructional information and tailored coaching, allowing consumers to make more educated decisions regarding their healthcare. Integration with healthcare providers enables prompt communication and targeted actions. Overall, these elements encourage active participation, increase adherence, and fortify the patient-clinician relationship. </w:t>
      </w:r>
    </w:p>
    <w:p w14:paraId="3DF774C0" w14:textId="77777777" w:rsidR="00B51978" w:rsidRPr="00AB1D83" w:rsidRDefault="00B51978" w:rsidP="00B51978">
      <w:pPr>
        <w:spacing w:after="0" w:line="240" w:lineRule="auto"/>
        <w:jc w:val="both"/>
        <w:rPr>
          <w:rFonts w:ascii="Arial" w:hAnsi="Arial" w:cs="Arial"/>
          <w:sz w:val="22"/>
          <w:szCs w:val="22"/>
        </w:rPr>
      </w:pPr>
    </w:p>
    <w:p w14:paraId="23AAC1B0" w14:textId="27A12F47" w:rsidR="00B51978" w:rsidRPr="00AB1D83" w:rsidRDefault="00B51978" w:rsidP="00B51978">
      <w:pPr>
        <w:pStyle w:val="ListParagraph"/>
        <w:numPr>
          <w:ilvl w:val="0"/>
          <w:numId w:val="8"/>
        </w:numPr>
        <w:spacing w:after="0" w:line="240" w:lineRule="auto"/>
        <w:jc w:val="both"/>
        <w:rPr>
          <w:rFonts w:ascii="Arial" w:hAnsi="Arial" w:cs="Arial"/>
          <w:sz w:val="22"/>
          <w:szCs w:val="22"/>
        </w:rPr>
      </w:pPr>
      <w:r w:rsidRPr="00AB1D83">
        <w:rPr>
          <w:rFonts w:ascii="Arial" w:hAnsi="Arial" w:cs="Arial"/>
          <w:b/>
          <w:bCs/>
          <w:sz w:val="22"/>
          <w:szCs w:val="22"/>
        </w:rPr>
        <w:t>Enhanced Self-Efficacy</w:t>
      </w:r>
      <w:r w:rsidRPr="00AB1D83">
        <w:rPr>
          <w:rFonts w:ascii="Arial" w:hAnsi="Arial" w:cs="Arial"/>
          <w:b/>
          <w:bCs/>
          <w:sz w:val="22"/>
          <w:szCs w:val="22"/>
        </w:rPr>
        <w:t xml:space="preserve">: </w:t>
      </w:r>
      <w:r w:rsidRPr="00AB1D83">
        <w:rPr>
          <w:rFonts w:ascii="Arial" w:hAnsi="Arial" w:cs="Arial"/>
          <w:sz w:val="22"/>
          <w:szCs w:val="22"/>
        </w:rPr>
        <w:t xml:space="preserve">Patients who used digital apps expressed higher confidence in managing their disease on their own, feeling more empowered to make everyday health decisions. Access to real-time data, tailored feedback, and educational tools </w:t>
      </w:r>
      <w:r w:rsidRPr="00AB1D83">
        <w:rPr>
          <w:rFonts w:ascii="Arial" w:hAnsi="Arial" w:cs="Arial"/>
          <w:sz w:val="22"/>
          <w:szCs w:val="22"/>
        </w:rPr>
        <w:lastRenderedPageBreak/>
        <w:t xml:space="preserve">allows people to better understand their status and predict possible concerns. Many reported less anxiety and more determination to stick to treatment regimens. Positive behaviours and self-care routines are reinforced when individuals interact with app-based assistance and reminders. Overall, digital technologies promote higher self-efficacy and a stronger sense of control over one's own health. </w:t>
      </w:r>
    </w:p>
    <w:p w14:paraId="43448214" w14:textId="77777777" w:rsidR="00B51978" w:rsidRPr="00AB1D83" w:rsidRDefault="00B51978" w:rsidP="00B51978">
      <w:pPr>
        <w:spacing w:after="0" w:line="240" w:lineRule="auto"/>
        <w:jc w:val="both"/>
        <w:rPr>
          <w:rFonts w:ascii="Arial" w:hAnsi="Arial" w:cs="Arial"/>
          <w:sz w:val="22"/>
          <w:szCs w:val="22"/>
        </w:rPr>
      </w:pPr>
    </w:p>
    <w:p w14:paraId="53B8698C" w14:textId="77777777" w:rsidR="00B51978" w:rsidRPr="00AB1D83" w:rsidRDefault="00B51978" w:rsidP="00B51978">
      <w:pPr>
        <w:pStyle w:val="ListParagraph"/>
        <w:numPr>
          <w:ilvl w:val="0"/>
          <w:numId w:val="8"/>
        </w:numPr>
        <w:spacing w:after="0" w:line="240" w:lineRule="auto"/>
        <w:jc w:val="both"/>
        <w:rPr>
          <w:rFonts w:ascii="Arial" w:hAnsi="Arial" w:cs="Arial"/>
          <w:sz w:val="22"/>
          <w:szCs w:val="22"/>
        </w:rPr>
      </w:pPr>
      <w:r w:rsidRPr="00AB1D83">
        <w:rPr>
          <w:rFonts w:ascii="Arial" w:hAnsi="Arial" w:cs="Arial"/>
          <w:b/>
          <w:bCs/>
          <w:sz w:val="22"/>
          <w:szCs w:val="22"/>
        </w:rPr>
        <w:t>Accessibility and Digital Divide</w:t>
      </w:r>
      <w:r w:rsidRPr="00AB1D83">
        <w:rPr>
          <w:rFonts w:ascii="Arial" w:hAnsi="Arial" w:cs="Arial"/>
          <w:b/>
          <w:bCs/>
          <w:sz w:val="22"/>
          <w:szCs w:val="22"/>
        </w:rPr>
        <w:t xml:space="preserve">: </w:t>
      </w:r>
      <w:r w:rsidRPr="00AB1D83">
        <w:rPr>
          <w:rFonts w:ascii="Arial" w:hAnsi="Arial" w:cs="Arial"/>
          <w:sz w:val="22"/>
          <w:szCs w:val="22"/>
        </w:rPr>
        <w:t xml:space="preserve">Barriers such as low digital literacy and lack of access to technology were noted, particularly among older persons and socioeconomically disadvantaged groups. These obstacles can stymie participation with digital health apps and diminish their usefulness. Users who lack confidence in app navigation may struggle to benefit from self-management tools, reminders, or instructive information. Issues with connectivity and device availability aggravate access discrepancies. Addressing these hurdles through training, simpler interfaces, and fair technology provision is critical to ensuring that digital health solutions are used inclusively. </w:t>
      </w:r>
    </w:p>
    <w:p w14:paraId="2FCC158C" w14:textId="77777777" w:rsidR="00B51978" w:rsidRPr="00AB1D83" w:rsidRDefault="00B51978" w:rsidP="00B51978">
      <w:pPr>
        <w:spacing w:after="0" w:line="240" w:lineRule="auto"/>
        <w:jc w:val="both"/>
        <w:rPr>
          <w:rFonts w:ascii="Arial" w:hAnsi="Arial" w:cs="Arial"/>
          <w:sz w:val="22"/>
          <w:szCs w:val="22"/>
        </w:rPr>
      </w:pPr>
    </w:p>
    <w:p w14:paraId="620D3C16" w14:textId="77777777" w:rsidR="00B51978" w:rsidRPr="00AB1D83" w:rsidRDefault="00B51978" w:rsidP="00B51978">
      <w:pPr>
        <w:pStyle w:val="ListParagraph"/>
        <w:numPr>
          <w:ilvl w:val="0"/>
          <w:numId w:val="8"/>
        </w:numPr>
        <w:spacing w:after="0" w:line="240" w:lineRule="auto"/>
        <w:jc w:val="both"/>
        <w:rPr>
          <w:rFonts w:ascii="Arial" w:hAnsi="Arial" w:cs="Arial"/>
          <w:sz w:val="22"/>
          <w:szCs w:val="22"/>
        </w:rPr>
      </w:pPr>
      <w:r w:rsidRPr="00AB1D83">
        <w:rPr>
          <w:rFonts w:ascii="Arial" w:hAnsi="Arial" w:cs="Arial"/>
          <w:b/>
          <w:bCs/>
          <w:sz w:val="22"/>
          <w:szCs w:val="22"/>
        </w:rPr>
        <w:t>Behaviour Change Support</w:t>
      </w:r>
      <w:r w:rsidRPr="00AB1D83">
        <w:rPr>
          <w:rFonts w:ascii="Arial" w:hAnsi="Arial" w:cs="Arial"/>
          <w:b/>
          <w:bCs/>
          <w:sz w:val="22"/>
          <w:szCs w:val="22"/>
        </w:rPr>
        <w:t xml:space="preserve">: </w:t>
      </w:r>
      <w:r w:rsidRPr="00AB1D83">
        <w:rPr>
          <w:rFonts w:ascii="Arial" w:hAnsi="Arial" w:cs="Arial"/>
          <w:sz w:val="22"/>
          <w:szCs w:val="22"/>
        </w:rPr>
        <w:t xml:space="preserve">Applications encourage healthier lives by providing monitoring features, goal setting, and tailored suggestions that help users towards good behavioural changes. Users may receive insight into their habits and development over time by tracking variables like physical activity, food, and sleep. Interactive reminders and motivated feedback promote consistency and reinforce healthy choices. Personalised suggestions match treatments to individuals' requirements, improving relevance and engagement. These characteristics work together to enable long-term lifestyle changes and general well-being. </w:t>
      </w:r>
    </w:p>
    <w:p w14:paraId="49CF575B" w14:textId="77777777" w:rsidR="00960061" w:rsidRPr="00AB1D83" w:rsidRDefault="00960061" w:rsidP="00960061">
      <w:pPr>
        <w:pStyle w:val="ListParagraph"/>
        <w:rPr>
          <w:rFonts w:ascii="Arial" w:hAnsi="Arial" w:cs="Arial"/>
          <w:sz w:val="22"/>
          <w:szCs w:val="22"/>
        </w:rPr>
      </w:pPr>
    </w:p>
    <w:p w14:paraId="620DE321" w14:textId="028D1151" w:rsidR="00960061" w:rsidRPr="00AB1D83" w:rsidRDefault="004D7BD3" w:rsidP="004D7BD3">
      <w:pPr>
        <w:pStyle w:val="ListParagraph"/>
        <w:numPr>
          <w:ilvl w:val="0"/>
          <w:numId w:val="1"/>
        </w:numPr>
        <w:spacing w:after="0" w:line="240" w:lineRule="auto"/>
        <w:jc w:val="both"/>
        <w:rPr>
          <w:rFonts w:ascii="Arial" w:hAnsi="Arial" w:cs="Arial"/>
          <w:b/>
          <w:bCs/>
          <w:sz w:val="22"/>
          <w:szCs w:val="22"/>
        </w:rPr>
      </w:pPr>
      <w:r w:rsidRPr="00AB1D83">
        <w:rPr>
          <w:rFonts w:ascii="Arial" w:hAnsi="Arial" w:cs="Arial"/>
          <w:b/>
          <w:bCs/>
          <w:sz w:val="22"/>
          <w:szCs w:val="22"/>
        </w:rPr>
        <w:t>Discussion</w:t>
      </w:r>
    </w:p>
    <w:p w14:paraId="1F4B3B2B" w14:textId="30C6F1FB" w:rsidR="00B51978" w:rsidRPr="00AB1D83" w:rsidRDefault="00B51978" w:rsidP="00B51978">
      <w:pPr>
        <w:spacing w:after="0" w:line="240" w:lineRule="auto"/>
        <w:jc w:val="both"/>
        <w:rPr>
          <w:rFonts w:ascii="Arial" w:hAnsi="Arial" w:cs="Arial"/>
          <w:b/>
          <w:bCs/>
          <w:sz w:val="22"/>
          <w:szCs w:val="22"/>
        </w:rPr>
      </w:pPr>
    </w:p>
    <w:p w14:paraId="25B5281E" w14:textId="77777777" w:rsidR="00215FFA" w:rsidRPr="00AB1D83" w:rsidRDefault="00215FFA" w:rsidP="00215FFA">
      <w:pPr>
        <w:spacing w:after="0" w:line="240" w:lineRule="auto"/>
        <w:jc w:val="both"/>
        <w:rPr>
          <w:rFonts w:ascii="Arial" w:hAnsi="Arial" w:cs="Arial"/>
          <w:sz w:val="22"/>
          <w:szCs w:val="22"/>
        </w:rPr>
      </w:pPr>
      <w:r w:rsidRPr="00215FFA">
        <w:rPr>
          <w:rFonts w:ascii="Arial" w:hAnsi="Arial" w:cs="Arial"/>
          <w:sz w:val="22"/>
          <w:szCs w:val="22"/>
        </w:rPr>
        <w:t xml:space="preserve">This scoping research discovered that digital health applications can help people with type 2 diabetes improve their self-management skills. The included trials provide consistent evidence of improved glycaemic control, higher patient involvement, and increased self-efficacy, indicating that these tools can play an important role in everyday disease management. Monitoring, feedback, and tailored instruction all appear to help with these favourable results by promoting active engagement in treatment. </w:t>
      </w:r>
    </w:p>
    <w:p w14:paraId="39A349B5" w14:textId="77777777" w:rsidR="00215FFA" w:rsidRPr="00AB1D83" w:rsidRDefault="00215FFA" w:rsidP="0062354C">
      <w:pPr>
        <w:spacing w:after="0" w:line="240" w:lineRule="auto"/>
        <w:jc w:val="both"/>
        <w:rPr>
          <w:rFonts w:ascii="Arial" w:hAnsi="Arial" w:cs="Arial"/>
          <w:sz w:val="22"/>
          <w:szCs w:val="22"/>
        </w:rPr>
      </w:pPr>
    </w:p>
    <w:p w14:paraId="1962836B" w14:textId="77777777" w:rsidR="00215FFA" w:rsidRPr="00215FFA" w:rsidRDefault="00215FFA" w:rsidP="00215FFA">
      <w:pPr>
        <w:spacing w:after="0" w:line="240" w:lineRule="auto"/>
        <w:jc w:val="both"/>
        <w:rPr>
          <w:rFonts w:ascii="Arial" w:hAnsi="Arial" w:cs="Arial"/>
          <w:sz w:val="22"/>
          <w:szCs w:val="22"/>
        </w:rPr>
      </w:pPr>
      <w:r w:rsidRPr="00215FFA">
        <w:rPr>
          <w:rFonts w:ascii="Arial" w:hAnsi="Arial" w:cs="Arial"/>
          <w:sz w:val="22"/>
          <w:szCs w:val="22"/>
        </w:rPr>
        <w:t>However, a closer look finds that these advantages are not distributed uniformly across demographic groupings. Age, socioeconomic level, digital literacy, and technology access all have an impact on how well people can connect with and benefit from digital health apps. This emphasises the importance of more inclusive design and tailored support techniques in ensuring that the benefits of digital health technologies are available to a larger and more varied audience.</w:t>
      </w:r>
    </w:p>
    <w:p w14:paraId="6226954B" w14:textId="2A55D398" w:rsidR="0062354C" w:rsidRPr="00AB1D83" w:rsidRDefault="0062354C" w:rsidP="0062354C">
      <w:pPr>
        <w:spacing w:after="0" w:line="240" w:lineRule="auto"/>
        <w:jc w:val="both"/>
        <w:rPr>
          <w:rFonts w:ascii="Arial" w:hAnsi="Arial" w:cs="Arial"/>
          <w:sz w:val="22"/>
          <w:szCs w:val="22"/>
        </w:rPr>
      </w:pPr>
      <w:r w:rsidRPr="0062354C">
        <w:rPr>
          <w:rFonts w:ascii="Arial" w:hAnsi="Arial" w:cs="Arial"/>
          <w:sz w:val="22"/>
          <w:szCs w:val="22"/>
        </w:rPr>
        <w:br/>
        <w:t>One significant quality noted in the research is digital apps' capacity to deliver real-time feedback, which improves patients' ability to monitor and respond to swings in blood glucose levels. Veazie et al. (2021) found considerable improvements in HbA1c levels, indicating therapeutic success. While such findings are encouraging, many studies are constrained by short follow-up periods, raising worries about the durability of these</w:t>
      </w:r>
      <w:r w:rsidR="00DD0098" w:rsidRPr="00AB1D83">
        <w:rPr>
          <w:rFonts w:ascii="Arial" w:hAnsi="Arial" w:cs="Arial"/>
          <w:sz w:val="22"/>
          <w:szCs w:val="22"/>
        </w:rPr>
        <w:t xml:space="preserve"> </w:t>
      </w:r>
      <w:r w:rsidR="00DD0098" w:rsidRPr="00AB1D83">
        <w:rPr>
          <w:rFonts w:ascii="Arial" w:hAnsi="Arial" w:cs="Arial"/>
          <w:sz w:val="22"/>
          <w:szCs w:val="22"/>
        </w:rPr>
        <w:t>outcomes over time</w:t>
      </w:r>
      <w:r w:rsidRPr="0062354C">
        <w:rPr>
          <w:rFonts w:ascii="Arial" w:hAnsi="Arial" w:cs="Arial"/>
          <w:sz w:val="22"/>
          <w:szCs w:val="22"/>
        </w:rPr>
        <w:t xml:space="preserve">. </w:t>
      </w:r>
    </w:p>
    <w:p w14:paraId="6CFC090B" w14:textId="77777777" w:rsidR="00DD0098" w:rsidRPr="00AB1D83" w:rsidRDefault="00DD0098" w:rsidP="0062354C">
      <w:pPr>
        <w:spacing w:after="0" w:line="240" w:lineRule="auto"/>
        <w:jc w:val="both"/>
        <w:rPr>
          <w:rFonts w:ascii="Arial" w:hAnsi="Arial" w:cs="Arial"/>
          <w:sz w:val="22"/>
          <w:szCs w:val="22"/>
        </w:rPr>
      </w:pPr>
    </w:p>
    <w:p w14:paraId="52A9DD31" w14:textId="77777777" w:rsidR="00DD0098" w:rsidRPr="00AB1D83" w:rsidRDefault="00DD0098" w:rsidP="00DD0098">
      <w:pPr>
        <w:spacing w:after="0" w:line="240" w:lineRule="auto"/>
        <w:jc w:val="both"/>
        <w:rPr>
          <w:rFonts w:ascii="Arial" w:hAnsi="Arial" w:cs="Arial"/>
          <w:sz w:val="22"/>
          <w:szCs w:val="22"/>
        </w:rPr>
      </w:pPr>
      <w:r w:rsidRPr="00DD0098">
        <w:rPr>
          <w:rFonts w:ascii="Arial" w:hAnsi="Arial" w:cs="Arial"/>
          <w:sz w:val="22"/>
          <w:szCs w:val="22"/>
        </w:rPr>
        <w:t>Furthermore, improved patient participation is a repeating theme, with digital tools helping patients adhere to treatment programs more consistently. Holmen et al. (2020) show that interactive elements like reminders and tailored alerts greatly increase adherence behaviour. Nonetheless, it is vital to recognise that engagement may drop over time owing to user tiredness, a drawback that is underexplored in current studies.</w:t>
      </w:r>
      <w:r w:rsidRPr="00AB1D83">
        <w:rPr>
          <w:rFonts w:ascii="Arial" w:hAnsi="Arial" w:cs="Arial"/>
          <w:sz w:val="22"/>
          <w:szCs w:val="22"/>
        </w:rPr>
        <w:t xml:space="preserve">  </w:t>
      </w:r>
    </w:p>
    <w:p w14:paraId="18B9E3A0" w14:textId="77777777" w:rsidR="00DD0098" w:rsidRPr="00AB1D83" w:rsidRDefault="00DD0098" w:rsidP="00DD0098">
      <w:pPr>
        <w:spacing w:after="0" w:line="240" w:lineRule="auto"/>
        <w:jc w:val="both"/>
        <w:rPr>
          <w:rFonts w:ascii="Arial" w:hAnsi="Arial" w:cs="Arial"/>
          <w:sz w:val="22"/>
          <w:szCs w:val="22"/>
        </w:rPr>
      </w:pPr>
      <w:r w:rsidRPr="00DD0098">
        <w:rPr>
          <w:rFonts w:ascii="Arial" w:hAnsi="Arial" w:cs="Arial"/>
          <w:sz w:val="22"/>
          <w:szCs w:val="22"/>
        </w:rPr>
        <w:br/>
        <w:t xml:space="preserve">The digital gap has been highlighted as a crucial issue, posing a substantial impediment to </w:t>
      </w:r>
      <w:r w:rsidRPr="00DD0098">
        <w:rPr>
          <w:rFonts w:ascii="Arial" w:hAnsi="Arial" w:cs="Arial"/>
          <w:sz w:val="22"/>
          <w:szCs w:val="22"/>
        </w:rPr>
        <w:lastRenderedPageBreak/>
        <w:t xml:space="preserve">equal healthcare delivery. Murray et al. (2022) found that older persons and those from poorer socioeconomic backgrounds are less likely to use digital health applications because they have less digital literacy and access to technology. </w:t>
      </w:r>
      <w:r w:rsidRPr="00AB1D83">
        <w:rPr>
          <w:rFonts w:ascii="Arial" w:hAnsi="Arial" w:cs="Arial"/>
          <w:sz w:val="22"/>
          <w:szCs w:val="22"/>
        </w:rPr>
        <w:t>This creates significant ethical and practical considerations, since the introduction of digital therapies may unwittingly exacerbate health disparities.</w:t>
      </w:r>
      <w:r w:rsidRPr="00AB1D83">
        <w:rPr>
          <w:rFonts w:ascii="Arial" w:hAnsi="Arial" w:cs="Arial"/>
          <w:sz w:val="22"/>
          <w:szCs w:val="22"/>
        </w:rPr>
        <w:br/>
      </w:r>
      <w:r w:rsidRPr="00AB1D83">
        <w:rPr>
          <w:rFonts w:ascii="Arial" w:hAnsi="Arial" w:cs="Arial"/>
          <w:sz w:val="22"/>
          <w:szCs w:val="22"/>
        </w:rPr>
        <w:br/>
        <w:t>Furthermore, heterogeneity in the quality and regulation of digital health apps adds to the difficulty. Some applications are neither evidence-based or clinically evaluated, which may jeopardise patient safety. This emphasises the importance of strengthened regulatory frameworks in the UK to ensure the reliability and efficacy of digital tools.</w:t>
      </w:r>
    </w:p>
    <w:p w14:paraId="2CC7F012" w14:textId="2E5E36E2" w:rsidR="00DD0098" w:rsidRPr="00AB1D83" w:rsidRDefault="00DD0098" w:rsidP="00DD0098">
      <w:pPr>
        <w:spacing w:after="0" w:line="240" w:lineRule="auto"/>
        <w:jc w:val="both"/>
        <w:rPr>
          <w:rFonts w:ascii="Arial" w:hAnsi="Arial" w:cs="Arial"/>
          <w:sz w:val="22"/>
          <w:szCs w:val="22"/>
        </w:rPr>
      </w:pPr>
    </w:p>
    <w:p w14:paraId="5A8059BB" w14:textId="77777777" w:rsidR="00215FFA" w:rsidRPr="00AB1D83" w:rsidRDefault="00215FFA" w:rsidP="00215FFA">
      <w:pPr>
        <w:spacing w:after="0" w:line="240" w:lineRule="auto"/>
        <w:jc w:val="both"/>
        <w:rPr>
          <w:rFonts w:ascii="Arial" w:hAnsi="Arial" w:cs="Arial"/>
          <w:sz w:val="22"/>
          <w:szCs w:val="22"/>
        </w:rPr>
      </w:pPr>
      <w:r w:rsidRPr="00215FFA">
        <w:rPr>
          <w:rFonts w:ascii="Arial" w:hAnsi="Arial" w:cs="Arial"/>
          <w:sz w:val="22"/>
          <w:szCs w:val="22"/>
        </w:rPr>
        <w:t>From a theoretical aspect, the findings are consistent with recognised behaviour change theories such as the Self-Efficacy Theory, which says that higher confidence in one's capacity to undertake certain activities leads to better health outcomes and habit development. This process is aided by digital health applications, which include crucial elements such as goal setting, real-time feedback, progress tracking, and self-monitoring, all of which can reward positive behaviours and increase patients' sense of control over their illness. These technologies can also give ongoing incentive and tailored insights, hence increasing involvement in self-management techniques. However, despite these theoretical benefits, the extent to which such gains transfer into long-term behavioural change and sustained therapeutic results is unknown, particularly as user engagement may wane over time.</w:t>
      </w:r>
      <w:r w:rsidRPr="00AB1D83">
        <w:rPr>
          <w:rFonts w:ascii="Arial" w:hAnsi="Arial" w:cs="Arial"/>
          <w:sz w:val="22"/>
          <w:szCs w:val="22"/>
        </w:rPr>
        <w:t xml:space="preserve"> </w:t>
      </w:r>
      <w:r w:rsidRPr="00AB1D83">
        <w:rPr>
          <w:rFonts w:ascii="Arial" w:hAnsi="Arial" w:cs="Arial"/>
          <w:sz w:val="22"/>
          <w:szCs w:val="22"/>
        </w:rPr>
        <w:t>Overall, while digital health applications have significant potential for diabetes management, their effectiveness is influenced by contextual factors such as accessibility, usability, digital literacy, and ongoing user engagement, implying that successful integration into healthcare systems must be approached cautiously and supported by strong, long-term evidence.</w:t>
      </w:r>
    </w:p>
    <w:p w14:paraId="0872B757" w14:textId="08FF52D3" w:rsidR="00215FFA" w:rsidRPr="00215FFA" w:rsidRDefault="00215FFA" w:rsidP="00215FFA">
      <w:pPr>
        <w:spacing w:after="0" w:line="240" w:lineRule="auto"/>
        <w:jc w:val="both"/>
        <w:rPr>
          <w:rFonts w:ascii="Arial" w:hAnsi="Arial" w:cs="Arial"/>
          <w:sz w:val="22"/>
          <w:szCs w:val="22"/>
        </w:rPr>
      </w:pPr>
    </w:p>
    <w:p w14:paraId="627D6EB7" w14:textId="77777777" w:rsidR="00DD0098" w:rsidRPr="00AB1D83" w:rsidRDefault="00DD0098" w:rsidP="00DD0098">
      <w:pPr>
        <w:spacing w:after="0" w:line="240" w:lineRule="auto"/>
        <w:jc w:val="both"/>
        <w:rPr>
          <w:rFonts w:ascii="Arial" w:hAnsi="Arial" w:cs="Arial"/>
          <w:sz w:val="22"/>
          <w:szCs w:val="22"/>
        </w:rPr>
      </w:pPr>
    </w:p>
    <w:p w14:paraId="31D68C4A" w14:textId="7DD4A9A7" w:rsidR="00DD0098" w:rsidRPr="00DD0098" w:rsidRDefault="00DD0098" w:rsidP="00DD0098">
      <w:pPr>
        <w:pStyle w:val="ListParagraph"/>
        <w:numPr>
          <w:ilvl w:val="0"/>
          <w:numId w:val="1"/>
        </w:numPr>
        <w:spacing w:after="0" w:line="240" w:lineRule="auto"/>
        <w:jc w:val="both"/>
        <w:rPr>
          <w:rFonts w:ascii="Arial" w:hAnsi="Arial" w:cs="Arial"/>
          <w:b/>
          <w:bCs/>
          <w:sz w:val="22"/>
          <w:szCs w:val="22"/>
        </w:rPr>
      </w:pPr>
      <w:r w:rsidRPr="00AB1D83">
        <w:rPr>
          <w:rFonts w:ascii="Arial" w:hAnsi="Arial" w:cs="Arial"/>
          <w:b/>
          <w:bCs/>
          <w:sz w:val="22"/>
          <w:szCs w:val="22"/>
        </w:rPr>
        <w:t>Conclusion</w:t>
      </w:r>
    </w:p>
    <w:p w14:paraId="754B4F73" w14:textId="77777777" w:rsidR="00DD0098" w:rsidRPr="00AB1D83" w:rsidRDefault="00DD0098" w:rsidP="0062354C">
      <w:pPr>
        <w:spacing w:after="0" w:line="240" w:lineRule="auto"/>
        <w:jc w:val="both"/>
        <w:rPr>
          <w:rFonts w:ascii="Arial" w:hAnsi="Arial" w:cs="Arial"/>
          <w:sz w:val="22"/>
          <w:szCs w:val="22"/>
        </w:rPr>
      </w:pPr>
    </w:p>
    <w:p w14:paraId="6A6DF095" w14:textId="77777777" w:rsidR="00DD0098" w:rsidRPr="00AB1D83" w:rsidRDefault="00DD0098" w:rsidP="00DD0098">
      <w:pPr>
        <w:spacing w:after="0" w:line="240" w:lineRule="auto"/>
        <w:jc w:val="both"/>
        <w:rPr>
          <w:rFonts w:ascii="Arial" w:hAnsi="Arial" w:cs="Arial"/>
          <w:sz w:val="22"/>
          <w:szCs w:val="22"/>
        </w:rPr>
      </w:pPr>
      <w:r w:rsidRPr="00DD0098">
        <w:rPr>
          <w:rFonts w:ascii="Arial" w:hAnsi="Arial" w:cs="Arial"/>
          <w:sz w:val="22"/>
          <w:szCs w:val="22"/>
        </w:rPr>
        <w:t>This scoping study provides a thorough examination of the role of digital health applications in assisting self-management among persons with type 2 diabetes in the United Kingdom. The findings indicate that these technologies have considerable advantages, such as improved glycaemic management, higher patient involvement, and increased self-efficacy.</w:t>
      </w:r>
      <w:r w:rsidRPr="00AB1D83">
        <w:rPr>
          <w:rFonts w:ascii="Arial" w:hAnsi="Arial" w:cs="Arial"/>
          <w:sz w:val="22"/>
          <w:szCs w:val="22"/>
        </w:rPr>
        <w:t xml:space="preserve">  </w:t>
      </w:r>
    </w:p>
    <w:p w14:paraId="2C8C1EBA" w14:textId="16B36431" w:rsidR="00DD0098" w:rsidRPr="00DD0098" w:rsidRDefault="00DD0098" w:rsidP="00DD0098">
      <w:pPr>
        <w:spacing w:after="0" w:line="240" w:lineRule="auto"/>
        <w:jc w:val="both"/>
        <w:rPr>
          <w:rFonts w:ascii="Arial" w:hAnsi="Arial" w:cs="Arial"/>
          <w:sz w:val="22"/>
          <w:szCs w:val="22"/>
        </w:rPr>
      </w:pPr>
      <w:r w:rsidRPr="00DD0098">
        <w:rPr>
          <w:rFonts w:ascii="Arial" w:hAnsi="Arial" w:cs="Arial"/>
          <w:sz w:val="22"/>
          <w:szCs w:val="22"/>
        </w:rPr>
        <w:br/>
        <w:t>However, the assessment also reveals significant limits, notably in terms of digital inequality, usability issues, and a lack of long-term research. These findings underline the significance of taking a balanced approach to digital health adoption, ensuring that technology developments do not worsen current health inequities.</w:t>
      </w:r>
    </w:p>
    <w:p w14:paraId="6E52E2F0" w14:textId="77777777" w:rsidR="00DD0098" w:rsidRPr="00AB1D83" w:rsidRDefault="00DD0098" w:rsidP="0062354C">
      <w:pPr>
        <w:spacing w:after="0" w:line="240" w:lineRule="auto"/>
        <w:jc w:val="both"/>
        <w:rPr>
          <w:rFonts w:ascii="Arial" w:hAnsi="Arial" w:cs="Arial"/>
          <w:sz w:val="22"/>
          <w:szCs w:val="22"/>
        </w:rPr>
      </w:pPr>
    </w:p>
    <w:p w14:paraId="322A3125" w14:textId="77777777" w:rsidR="00DD0098" w:rsidRPr="00DD0098" w:rsidRDefault="00DD0098" w:rsidP="00DD0098">
      <w:pPr>
        <w:spacing w:after="0" w:line="240" w:lineRule="auto"/>
        <w:jc w:val="both"/>
        <w:rPr>
          <w:rFonts w:ascii="Arial" w:hAnsi="Arial" w:cs="Arial"/>
          <w:sz w:val="22"/>
          <w:szCs w:val="22"/>
        </w:rPr>
      </w:pPr>
      <w:r w:rsidRPr="00DD0098">
        <w:rPr>
          <w:rFonts w:ascii="Arial" w:hAnsi="Arial" w:cs="Arial"/>
          <w:sz w:val="22"/>
          <w:szCs w:val="22"/>
        </w:rPr>
        <w:t xml:space="preserve">Finally, digital health apps should be considered as a beneficial addition to existing healthcare services rather than a substitute. Their effective incorporation into healthcare systems necessitates careful consideration of patient requirements, accessibility, and evidence-based treatment. When properly planned and executed, these technologies can increase patient involvement, self-management, and healthcare results. Attention to inclusion, digital literacy, and fair access is critical to ensuring that all groups get the benefits. Overall, digital health apps have the potential to enhance healthcare delivery while complementing traditional treatment pathways. </w:t>
      </w:r>
    </w:p>
    <w:p w14:paraId="69F458BB" w14:textId="77777777" w:rsidR="00DD0098" w:rsidRPr="00AB1D83" w:rsidRDefault="00DD0098" w:rsidP="0062354C">
      <w:pPr>
        <w:spacing w:after="0" w:line="240" w:lineRule="auto"/>
        <w:jc w:val="both"/>
        <w:rPr>
          <w:rFonts w:ascii="Arial" w:hAnsi="Arial" w:cs="Arial"/>
          <w:sz w:val="22"/>
          <w:szCs w:val="22"/>
        </w:rPr>
      </w:pPr>
    </w:p>
    <w:p w14:paraId="2AB887D8" w14:textId="546786C7" w:rsidR="00DD0098" w:rsidRPr="0062354C" w:rsidRDefault="00DD0098" w:rsidP="00DD0098">
      <w:pPr>
        <w:pStyle w:val="ListParagraph"/>
        <w:numPr>
          <w:ilvl w:val="0"/>
          <w:numId w:val="1"/>
        </w:numPr>
        <w:spacing w:after="0" w:line="240" w:lineRule="auto"/>
        <w:jc w:val="both"/>
        <w:rPr>
          <w:rFonts w:ascii="Arial" w:hAnsi="Arial" w:cs="Arial"/>
          <w:b/>
          <w:bCs/>
          <w:sz w:val="22"/>
          <w:szCs w:val="22"/>
        </w:rPr>
      </w:pPr>
      <w:r w:rsidRPr="00AB1D83">
        <w:rPr>
          <w:rFonts w:ascii="Arial" w:hAnsi="Arial" w:cs="Arial"/>
          <w:b/>
          <w:bCs/>
          <w:sz w:val="22"/>
          <w:szCs w:val="22"/>
        </w:rPr>
        <w:t>Recommendations</w:t>
      </w:r>
    </w:p>
    <w:p w14:paraId="49E5C184" w14:textId="77777777" w:rsidR="00DD0098" w:rsidRPr="00AB1D83" w:rsidRDefault="00DD0098" w:rsidP="00B51978">
      <w:pPr>
        <w:spacing w:after="0" w:line="240" w:lineRule="auto"/>
        <w:jc w:val="both"/>
        <w:rPr>
          <w:rFonts w:ascii="Arial" w:hAnsi="Arial" w:cs="Arial"/>
          <w:b/>
          <w:bCs/>
          <w:sz w:val="22"/>
          <w:szCs w:val="22"/>
        </w:rPr>
      </w:pPr>
    </w:p>
    <w:p w14:paraId="00198E09" w14:textId="77777777" w:rsidR="00F745D0" w:rsidRPr="00AB1D83" w:rsidRDefault="00F745D0" w:rsidP="00F745D0">
      <w:pPr>
        <w:spacing w:after="0" w:line="240" w:lineRule="auto"/>
        <w:jc w:val="both"/>
        <w:rPr>
          <w:rFonts w:ascii="Arial" w:hAnsi="Arial" w:cs="Arial"/>
          <w:sz w:val="22"/>
          <w:szCs w:val="22"/>
        </w:rPr>
      </w:pPr>
      <w:r w:rsidRPr="00AB1D83">
        <w:rPr>
          <w:rFonts w:ascii="Arial" w:hAnsi="Arial" w:cs="Arial"/>
          <w:b/>
          <w:bCs/>
          <w:sz w:val="22"/>
          <w:szCs w:val="22"/>
        </w:rPr>
        <w:t>For Clinical Practice</w:t>
      </w:r>
      <w:r w:rsidRPr="00AB1D83">
        <w:rPr>
          <w:rFonts w:ascii="Arial" w:hAnsi="Arial" w:cs="Arial"/>
          <w:b/>
          <w:bCs/>
          <w:sz w:val="22"/>
          <w:szCs w:val="22"/>
        </w:rPr>
        <w:t xml:space="preserve">: </w:t>
      </w:r>
      <w:r w:rsidRPr="00AB1D83">
        <w:rPr>
          <w:rFonts w:ascii="Arial" w:hAnsi="Arial" w:cs="Arial"/>
          <w:sz w:val="22"/>
          <w:szCs w:val="22"/>
        </w:rPr>
        <w:t xml:space="preserve">Healthcare professionals should aggressively promote evidence-based digital apps to enhance patient self-management, ensuring that users utilise technologies that are safe, effective, and in line with clinical recommendations. Clinicians may assist patients improve compliance, track progress, and make better informed decisions by directing them to reputable applications. Additionally, training programs should be established to improve digital </w:t>
      </w:r>
      <w:r w:rsidRPr="00AB1D83">
        <w:rPr>
          <w:rFonts w:ascii="Arial" w:hAnsi="Arial" w:cs="Arial"/>
          <w:sz w:val="22"/>
          <w:szCs w:val="22"/>
        </w:rPr>
        <w:lastRenderedPageBreak/>
        <w:t>literacy, particularly among older persons and those who are unfamiliar with technology, lowering obstacles to effective usage and boosting confidence in managing their health independently.</w:t>
      </w:r>
    </w:p>
    <w:p w14:paraId="743B9BD8" w14:textId="6F6AA5AA" w:rsidR="00F745D0" w:rsidRPr="00AB1D83" w:rsidRDefault="00F745D0" w:rsidP="00B51978">
      <w:pPr>
        <w:spacing w:after="0" w:line="240" w:lineRule="auto"/>
        <w:jc w:val="both"/>
        <w:rPr>
          <w:rFonts w:ascii="Arial" w:hAnsi="Arial" w:cs="Arial"/>
          <w:b/>
          <w:bCs/>
          <w:sz w:val="22"/>
          <w:szCs w:val="22"/>
        </w:rPr>
      </w:pPr>
      <w:r w:rsidRPr="00AB1D83">
        <w:rPr>
          <w:rFonts w:ascii="Arial" w:hAnsi="Arial" w:cs="Arial"/>
          <w:b/>
          <w:bCs/>
          <w:sz w:val="22"/>
          <w:szCs w:val="22"/>
        </w:rPr>
        <w:t xml:space="preserve">  </w:t>
      </w:r>
    </w:p>
    <w:p w14:paraId="4ACDD76C" w14:textId="47F80A06" w:rsidR="00F745D0" w:rsidRPr="00F745D0" w:rsidRDefault="00F745D0" w:rsidP="00F745D0">
      <w:pPr>
        <w:spacing w:after="0" w:line="240" w:lineRule="auto"/>
        <w:jc w:val="both"/>
        <w:rPr>
          <w:rFonts w:ascii="Arial" w:hAnsi="Arial" w:cs="Arial"/>
          <w:sz w:val="22"/>
          <w:szCs w:val="22"/>
        </w:rPr>
      </w:pPr>
      <w:r w:rsidRPr="00F745D0">
        <w:rPr>
          <w:rFonts w:ascii="Arial" w:hAnsi="Arial" w:cs="Arial"/>
          <w:sz w:val="22"/>
          <w:szCs w:val="22"/>
        </w:rPr>
        <w:t>Digital technologies should also be integrated into existing NHS services to promote continuity of treatment and smooth communication between patients and healthcare professionals. Integration allows for prompt data exchange, personalised therapies, and coordinated follow-up, all of which help to enhance therapeutic results. The NHS can improve efficiency, encourage preventative treatment, and provide a more patient-</w:t>
      </w:r>
      <w:r w:rsidRPr="00AB1D83">
        <w:rPr>
          <w:rFonts w:ascii="Arial" w:hAnsi="Arial" w:cs="Arial"/>
          <w:sz w:val="22"/>
          <w:szCs w:val="22"/>
        </w:rPr>
        <w:t>focused</w:t>
      </w:r>
      <w:r w:rsidRPr="00F745D0">
        <w:rPr>
          <w:rFonts w:ascii="Arial" w:hAnsi="Arial" w:cs="Arial"/>
          <w:sz w:val="22"/>
          <w:szCs w:val="22"/>
        </w:rPr>
        <w:t xml:space="preserve"> approach to health management by integrating digital apps into the larger healthcare infrastructure.</w:t>
      </w:r>
    </w:p>
    <w:p w14:paraId="3DEB2194" w14:textId="77777777" w:rsidR="00F745D0" w:rsidRPr="00AB1D83" w:rsidRDefault="00F745D0" w:rsidP="00B51978">
      <w:pPr>
        <w:spacing w:after="0" w:line="240" w:lineRule="auto"/>
        <w:jc w:val="both"/>
        <w:rPr>
          <w:rFonts w:ascii="Arial" w:hAnsi="Arial" w:cs="Arial"/>
          <w:b/>
          <w:bCs/>
          <w:sz w:val="22"/>
          <w:szCs w:val="22"/>
        </w:rPr>
      </w:pPr>
    </w:p>
    <w:p w14:paraId="31DA1034" w14:textId="77777777" w:rsidR="00F745D0" w:rsidRPr="00AB1D83" w:rsidRDefault="00F745D0" w:rsidP="00F745D0">
      <w:pPr>
        <w:spacing w:after="0" w:line="240" w:lineRule="auto"/>
        <w:jc w:val="both"/>
        <w:rPr>
          <w:rFonts w:ascii="Arial" w:hAnsi="Arial" w:cs="Arial"/>
          <w:sz w:val="22"/>
          <w:szCs w:val="22"/>
        </w:rPr>
      </w:pPr>
      <w:r w:rsidRPr="00AB1D83">
        <w:rPr>
          <w:rFonts w:ascii="Arial" w:hAnsi="Arial" w:cs="Arial"/>
          <w:b/>
          <w:bCs/>
          <w:sz w:val="22"/>
          <w:szCs w:val="22"/>
        </w:rPr>
        <w:t>For Policy</w:t>
      </w:r>
      <w:r w:rsidRPr="00AB1D83">
        <w:rPr>
          <w:rFonts w:ascii="Arial" w:hAnsi="Arial" w:cs="Arial"/>
          <w:b/>
          <w:bCs/>
          <w:sz w:val="22"/>
          <w:szCs w:val="22"/>
        </w:rPr>
        <w:t xml:space="preserve">: </w:t>
      </w:r>
      <w:r w:rsidRPr="00AB1D83">
        <w:rPr>
          <w:rFonts w:ascii="Arial" w:hAnsi="Arial" w:cs="Arial"/>
          <w:sz w:val="22"/>
          <w:szCs w:val="22"/>
        </w:rPr>
        <w:t>Policymakers must address the digital gap by increasing access to technology in disadvantaged areas, ensuring that all people benefit from digital health breakthroughs. Efforts should be focused on providing inexpensive devices, dependable internet access, and targeted assistance to people with low digital literacy. At the same time, regulatory frameworks should be tightened to ensure the quality, safety, and efficacy of digital health apps, therefore safeguarding patients and preserving faith in these tools.</w:t>
      </w:r>
    </w:p>
    <w:p w14:paraId="4D4A1D59" w14:textId="77777777" w:rsidR="00F745D0" w:rsidRPr="00AB1D83" w:rsidRDefault="00F745D0" w:rsidP="00B51978">
      <w:pPr>
        <w:spacing w:after="0" w:line="240" w:lineRule="auto"/>
        <w:jc w:val="both"/>
        <w:rPr>
          <w:rFonts w:ascii="Arial" w:hAnsi="Arial" w:cs="Arial"/>
          <w:sz w:val="22"/>
          <w:szCs w:val="22"/>
        </w:rPr>
      </w:pPr>
    </w:p>
    <w:p w14:paraId="2EF1F680" w14:textId="77777777" w:rsidR="00F745D0" w:rsidRPr="00AB1D83" w:rsidRDefault="00F745D0" w:rsidP="00F745D0">
      <w:pPr>
        <w:spacing w:after="0" w:line="240" w:lineRule="auto"/>
        <w:jc w:val="both"/>
        <w:rPr>
          <w:rFonts w:ascii="Arial" w:hAnsi="Arial" w:cs="Arial"/>
          <w:sz w:val="22"/>
          <w:szCs w:val="22"/>
        </w:rPr>
      </w:pPr>
      <w:r w:rsidRPr="00F745D0">
        <w:rPr>
          <w:rFonts w:ascii="Arial" w:hAnsi="Arial" w:cs="Arial"/>
          <w:sz w:val="22"/>
          <w:szCs w:val="22"/>
        </w:rPr>
        <w:t>Investment in a strong digital infrastructure is also required to facilitate wider adoption, allowing for smooth integration of apps inside healthcare systems and data exchange across several services. By emphasising accessibility, regulation, and infrastructure, governments may foster an environment in which digital health tools are both safe and equitable, thereby improving healthcare delivery and patient outcomes throughout the population.</w:t>
      </w:r>
    </w:p>
    <w:p w14:paraId="14312B37" w14:textId="77777777" w:rsidR="00F745D0" w:rsidRPr="00AB1D83" w:rsidRDefault="00F745D0" w:rsidP="00F745D0">
      <w:pPr>
        <w:spacing w:after="0" w:line="240" w:lineRule="auto"/>
        <w:jc w:val="both"/>
        <w:rPr>
          <w:rFonts w:ascii="Arial" w:hAnsi="Arial" w:cs="Arial"/>
          <w:sz w:val="22"/>
          <w:szCs w:val="22"/>
        </w:rPr>
      </w:pPr>
    </w:p>
    <w:p w14:paraId="5C97E40E" w14:textId="7C8484C9" w:rsidR="00F745D0" w:rsidRPr="00AB1D83" w:rsidRDefault="00F745D0" w:rsidP="00F745D0">
      <w:pPr>
        <w:spacing w:after="0" w:line="240" w:lineRule="auto"/>
        <w:jc w:val="both"/>
        <w:rPr>
          <w:rFonts w:ascii="Arial" w:hAnsi="Arial" w:cs="Arial"/>
          <w:sz w:val="22"/>
          <w:szCs w:val="22"/>
        </w:rPr>
      </w:pPr>
      <w:r w:rsidRPr="00F745D0">
        <w:rPr>
          <w:rFonts w:ascii="Arial" w:hAnsi="Arial" w:cs="Arial"/>
          <w:b/>
          <w:bCs/>
          <w:sz w:val="22"/>
          <w:szCs w:val="22"/>
        </w:rPr>
        <w:t>For Future Research</w:t>
      </w:r>
      <w:r w:rsidRPr="00AB1D83">
        <w:rPr>
          <w:rFonts w:ascii="Arial" w:hAnsi="Arial" w:cs="Arial"/>
          <w:b/>
          <w:bCs/>
          <w:sz w:val="22"/>
          <w:szCs w:val="22"/>
        </w:rPr>
        <w:t xml:space="preserve">: </w:t>
      </w:r>
      <w:r w:rsidRPr="00AB1D83">
        <w:rPr>
          <w:rFonts w:ascii="Arial" w:hAnsi="Arial" w:cs="Arial"/>
          <w:sz w:val="22"/>
          <w:szCs w:val="22"/>
        </w:rPr>
        <w:t>Longitudinal studies are needed to assess the long-term effectiveness of digital health interventions, providing critical insight into sustained behavioural changes, clinical outcomes, and continued patient engagement over time. Such studies can help determine whether initial improvements in health metrics, like HbA1c or physical activity, are maintained and how digital tools can be optimised for ongoing use. Understanding long-term outcomes is essential for informing evidence-based guidelines and ensuring that digital applications deliver meaningful benefits alongside traditional care.</w:t>
      </w:r>
    </w:p>
    <w:p w14:paraId="0A97C71E" w14:textId="77777777" w:rsidR="00F745D0" w:rsidRPr="00AB1D83" w:rsidRDefault="00F745D0" w:rsidP="00F745D0">
      <w:pPr>
        <w:spacing w:after="0" w:line="240" w:lineRule="auto"/>
        <w:jc w:val="both"/>
        <w:rPr>
          <w:rFonts w:ascii="Arial" w:hAnsi="Arial" w:cs="Arial"/>
          <w:sz w:val="22"/>
          <w:szCs w:val="22"/>
        </w:rPr>
      </w:pPr>
    </w:p>
    <w:p w14:paraId="39CDC673" w14:textId="0F28F933" w:rsidR="00F745D0" w:rsidRPr="00F745D0" w:rsidRDefault="00F745D0" w:rsidP="00F745D0">
      <w:pPr>
        <w:spacing w:after="0" w:line="240" w:lineRule="auto"/>
        <w:jc w:val="both"/>
        <w:rPr>
          <w:rFonts w:ascii="Arial" w:hAnsi="Arial" w:cs="Arial"/>
          <w:sz w:val="22"/>
          <w:szCs w:val="22"/>
        </w:rPr>
      </w:pPr>
      <w:r w:rsidRPr="00F745D0">
        <w:rPr>
          <w:rFonts w:ascii="Arial" w:hAnsi="Arial" w:cs="Arial"/>
          <w:sz w:val="22"/>
          <w:szCs w:val="22"/>
        </w:rPr>
        <w:t xml:space="preserve">To achieve inclusion, future research should focus on varied demographic groups, </w:t>
      </w:r>
      <w:r w:rsidRPr="00AB1D83">
        <w:rPr>
          <w:rFonts w:ascii="Arial" w:hAnsi="Arial" w:cs="Arial"/>
          <w:sz w:val="22"/>
          <w:szCs w:val="22"/>
        </w:rPr>
        <w:t>considering</w:t>
      </w:r>
      <w:r w:rsidRPr="00F745D0">
        <w:rPr>
          <w:rFonts w:ascii="Arial" w:hAnsi="Arial" w:cs="Arial"/>
          <w:sz w:val="22"/>
          <w:szCs w:val="22"/>
        </w:rPr>
        <w:t xml:space="preserve"> differences in age, socioeconomic position, ethnicity, and digital literacy levels. In addition, research on user engagement patterns and dropout rates is needed to identify impediments to long-term usage and methods to improve adherence. Research that addresses these issues can help to design more effective, egalitarian, and user-centred digital health solutions within healthcare systems.</w:t>
      </w:r>
    </w:p>
    <w:p w14:paraId="56F31504" w14:textId="77777777" w:rsidR="00F745D0" w:rsidRPr="00F745D0" w:rsidRDefault="00F745D0" w:rsidP="00F745D0">
      <w:pPr>
        <w:spacing w:after="0" w:line="240" w:lineRule="auto"/>
        <w:jc w:val="both"/>
        <w:rPr>
          <w:rFonts w:ascii="Arial" w:hAnsi="Arial" w:cs="Arial"/>
          <w:b/>
          <w:bCs/>
          <w:sz w:val="22"/>
          <w:szCs w:val="22"/>
        </w:rPr>
      </w:pPr>
    </w:p>
    <w:p w14:paraId="49DF69EB" w14:textId="77777777" w:rsidR="00F745D0" w:rsidRPr="00F745D0" w:rsidRDefault="00F745D0" w:rsidP="00F745D0">
      <w:pPr>
        <w:spacing w:after="0" w:line="240" w:lineRule="auto"/>
        <w:jc w:val="both"/>
        <w:rPr>
          <w:rFonts w:ascii="Arial" w:hAnsi="Arial" w:cs="Arial"/>
          <w:sz w:val="22"/>
          <w:szCs w:val="22"/>
        </w:rPr>
      </w:pPr>
    </w:p>
    <w:p w14:paraId="6EB59173" w14:textId="77777777" w:rsidR="00AB1D83" w:rsidRPr="00AB1D83" w:rsidRDefault="00AB1D83" w:rsidP="00AB1D83">
      <w:pPr>
        <w:spacing w:after="0" w:line="240" w:lineRule="auto"/>
        <w:jc w:val="both"/>
        <w:rPr>
          <w:rFonts w:ascii="Arial" w:hAnsi="Arial" w:cs="Arial"/>
          <w:b/>
          <w:bCs/>
          <w:sz w:val="22"/>
          <w:szCs w:val="22"/>
        </w:rPr>
      </w:pPr>
      <w:r w:rsidRPr="00AB1D83">
        <w:rPr>
          <w:rFonts w:ascii="Arial" w:hAnsi="Arial" w:cs="Arial"/>
          <w:b/>
          <w:bCs/>
          <w:sz w:val="22"/>
          <w:szCs w:val="22"/>
        </w:rPr>
        <w:t>References</w:t>
      </w:r>
    </w:p>
    <w:p w14:paraId="4699D4F9" w14:textId="77777777" w:rsidR="00AB1D83" w:rsidRPr="00AB1D83" w:rsidRDefault="00AB1D83" w:rsidP="00AB1D83">
      <w:pPr>
        <w:spacing w:after="0" w:line="240" w:lineRule="auto"/>
        <w:jc w:val="both"/>
        <w:rPr>
          <w:rFonts w:ascii="Arial" w:hAnsi="Arial" w:cs="Arial"/>
          <w:b/>
          <w:bCs/>
          <w:sz w:val="22"/>
          <w:szCs w:val="22"/>
        </w:rPr>
      </w:pPr>
    </w:p>
    <w:p w14:paraId="168C3963"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1. Stevens, S., et al. (2022)</w:t>
      </w:r>
    </w:p>
    <w:p w14:paraId="1C825825"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The effectiveness of digital health technologies for patients with diabetes mellitus: A systematic review.</w:t>
      </w:r>
    </w:p>
    <w:p w14:paraId="4F7C3A5D"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Frontiers in Clinical Diabetes and Healthcare, 3, 936752.</w:t>
      </w:r>
    </w:p>
    <w:p w14:paraId="6BD7E117"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 xml:space="preserve">https://doi.org/10.3389/fcdhc.2022.936752 </w:t>
      </w:r>
    </w:p>
    <w:p w14:paraId="53E3315B" w14:textId="77777777" w:rsidR="00AB1D83" w:rsidRPr="00AB1D83" w:rsidRDefault="00AB1D83" w:rsidP="00AB1D83">
      <w:pPr>
        <w:spacing w:after="0" w:line="240" w:lineRule="auto"/>
        <w:jc w:val="both"/>
        <w:rPr>
          <w:rFonts w:ascii="Arial" w:hAnsi="Arial" w:cs="Arial"/>
          <w:sz w:val="22"/>
          <w:szCs w:val="22"/>
        </w:rPr>
      </w:pPr>
    </w:p>
    <w:p w14:paraId="4DE94F97"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 xml:space="preserve">2. Veazie, S., Winchell, K., Gilbert, J., Paynter, R., </w:t>
      </w:r>
      <w:proofErr w:type="spellStart"/>
      <w:r w:rsidRPr="00AB1D83">
        <w:rPr>
          <w:rFonts w:ascii="Arial" w:hAnsi="Arial" w:cs="Arial"/>
          <w:sz w:val="22"/>
          <w:szCs w:val="22"/>
        </w:rPr>
        <w:t>Ivlev</w:t>
      </w:r>
      <w:proofErr w:type="spellEnd"/>
      <w:r w:rsidRPr="00AB1D83">
        <w:rPr>
          <w:rFonts w:ascii="Arial" w:hAnsi="Arial" w:cs="Arial"/>
          <w:sz w:val="22"/>
          <w:szCs w:val="22"/>
        </w:rPr>
        <w:t>, I., Eden, K. and Nussbaum, K. (2021)</w:t>
      </w:r>
    </w:p>
    <w:p w14:paraId="0A9F4467"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Rapid evidence review of mobile applications for self-management of diabetes.</w:t>
      </w:r>
    </w:p>
    <w:p w14:paraId="1B0FD027"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Annals of Internal Medicine, 174(7), pp. 952–960.</w:t>
      </w:r>
    </w:p>
    <w:p w14:paraId="48B12C81"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 xml:space="preserve">https://doi.org/10.7326/M20-5970 </w:t>
      </w:r>
    </w:p>
    <w:p w14:paraId="50051D84" w14:textId="77777777" w:rsidR="00AB1D83" w:rsidRPr="00AB1D83" w:rsidRDefault="00AB1D83" w:rsidP="00AB1D83">
      <w:pPr>
        <w:spacing w:after="0" w:line="240" w:lineRule="auto"/>
        <w:jc w:val="both"/>
        <w:rPr>
          <w:rFonts w:ascii="Arial" w:hAnsi="Arial" w:cs="Arial"/>
          <w:sz w:val="22"/>
          <w:szCs w:val="22"/>
        </w:rPr>
      </w:pPr>
    </w:p>
    <w:p w14:paraId="6F4A23D2"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3. Lee, J. and Kim, Y. (2024)</w:t>
      </w:r>
    </w:p>
    <w:p w14:paraId="0A4D2B73"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Evaluation of mobile health applications for diabetes self-management: A scoping review.</w:t>
      </w:r>
    </w:p>
    <w:p w14:paraId="6AC207A2" w14:textId="30ABB4E8"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lastRenderedPageBreak/>
        <w:t>Healthcare, 12(3), 368.</w:t>
      </w:r>
    </w:p>
    <w:p w14:paraId="0AA96695" w14:textId="74D396DA"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 xml:space="preserve">https://doi.org/10.3390/healthcare12030368 </w:t>
      </w:r>
    </w:p>
    <w:p w14:paraId="1FD11801" w14:textId="77777777" w:rsidR="00AB1D83" w:rsidRPr="00AB1D83" w:rsidRDefault="00AB1D83" w:rsidP="00AB1D83">
      <w:pPr>
        <w:spacing w:after="0" w:line="240" w:lineRule="auto"/>
        <w:jc w:val="both"/>
        <w:rPr>
          <w:rFonts w:ascii="Arial" w:hAnsi="Arial" w:cs="Arial"/>
          <w:sz w:val="22"/>
          <w:szCs w:val="22"/>
        </w:rPr>
      </w:pPr>
    </w:p>
    <w:p w14:paraId="3392A8D8"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4. Hawkes, R.E., Cameron, E., Bower, P. and French, D.P. (2024)</w:t>
      </w:r>
    </w:p>
    <w:p w14:paraId="1C642F14"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Service users’ experiences of a nationwide digital diabetes prevention programme.</w:t>
      </w:r>
    </w:p>
    <w:p w14:paraId="4A6EC61E"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JMIR Diabetes, 9, e56276.</w:t>
      </w:r>
    </w:p>
    <w:p w14:paraId="16B33B0D"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 xml:space="preserve">https://doi.org/10.2196/56276 </w:t>
      </w:r>
    </w:p>
    <w:p w14:paraId="74ED2681" w14:textId="77777777" w:rsidR="00AB1D83" w:rsidRPr="00AB1D83" w:rsidRDefault="00AB1D83" w:rsidP="00AB1D83">
      <w:pPr>
        <w:spacing w:after="0" w:line="240" w:lineRule="auto"/>
        <w:jc w:val="both"/>
        <w:rPr>
          <w:rFonts w:ascii="Arial" w:hAnsi="Arial" w:cs="Arial"/>
          <w:sz w:val="22"/>
          <w:szCs w:val="22"/>
        </w:rPr>
      </w:pPr>
    </w:p>
    <w:p w14:paraId="48EB1953"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5. Heald, A.H., et al. (2024)</w:t>
      </w:r>
    </w:p>
    <w:p w14:paraId="7E3765BB"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Enhancing type 2 diabetes care through digital health solutions.</w:t>
      </w:r>
    </w:p>
    <w:p w14:paraId="2E46BC4F"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Expert Review of Endocrinology &amp; Metabolism.</w:t>
      </w:r>
    </w:p>
    <w:p w14:paraId="6AB2E276"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 xml:space="preserve">https://doi.org/10.1080/17446651.2024.2334220 </w:t>
      </w:r>
    </w:p>
    <w:p w14:paraId="6BA6B8CF" w14:textId="77777777" w:rsidR="00AB1D83" w:rsidRPr="00AB1D83" w:rsidRDefault="00AB1D83" w:rsidP="00AB1D83">
      <w:pPr>
        <w:spacing w:after="0" w:line="240" w:lineRule="auto"/>
        <w:jc w:val="both"/>
        <w:rPr>
          <w:rFonts w:ascii="Arial" w:hAnsi="Arial" w:cs="Arial"/>
          <w:sz w:val="22"/>
          <w:szCs w:val="22"/>
        </w:rPr>
      </w:pPr>
    </w:p>
    <w:p w14:paraId="760CC546" w14:textId="77777777" w:rsidR="00AB1D83" w:rsidRPr="00AB1D83" w:rsidRDefault="00AB1D83" w:rsidP="00AB1D83">
      <w:pPr>
        <w:spacing w:after="0" w:line="240" w:lineRule="auto"/>
        <w:jc w:val="both"/>
        <w:rPr>
          <w:rFonts w:ascii="Arial" w:hAnsi="Arial" w:cs="Arial"/>
          <w:sz w:val="22"/>
          <w:szCs w:val="22"/>
        </w:rPr>
      </w:pPr>
    </w:p>
    <w:p w14:paraId="62F8F3CE"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6. Sanders, J.P., et al. (2024)</w:t>
      </w:r>
    </w:p>
    <w:p w14:paraId="03AE1CE7"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Digital interventions for physical activity in type 2 diabetes (ACTIVATE trial).</w:t>
      </w:r>
    </w:p>
    <w:p w14:paraId="49976F15"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Trials, 25, 85.</w:t>
      </w:r>
    </w:p>
    <w:p w14:paraId="518D5610"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 xml:space="preserve">https://doi.org/10.1186/s13063-024-08513-y </w:t>
      </w:r>
    </w:p>
    <w:p w14:paraId="362B910F" w14:textId="77777777" w:rsidR="00AB1D83" w:rsidRPr="00AB1D83" w:rsidRDefault="00AB1D83" w:rsidP="00AB1D83">
      <w:pPr>
        <w:spacing w:after="0" w:line="240" w:lineRule="auto"/>
        <w:jc w:val="both"/>
        <w:rPr>
          <w:rFonts w:ascii="Arial" w:hAnsi="Arial" w:cs="Arial"/>
          <w:sz w:val="22"/>
          <w:szCs w:val="22"/>
        </w:rPr>
      </w:pPr>
    </w:p>
    <w:p w14:paraId="4068BFD8"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7. Jawad, M., et al. (2025)</w:t>
      </w:r>
    </w:p>
    <w:p w14:paraId="0D94A1AE"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Effect of digital health interventions on treatment adherence in diabetes.</w:t>
      </w:r>
    </w:p>
    <w:p w14:paraId="1A0B4C62"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BMC Endocrine Disorders.</w:t>
      </w:r>
    </w:p>
    <w:p w14:paraId="3E7DF99C"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 xml:space="preserve">https://doi.org/10.1186/s12902-025-02100-1 </w:t>
      </w:r>
    </w:p>
    <w:p w14:paraId="01DD9D62" w14:textId="77777777" w:rsidR="00AB1D83" w:rsidRPr="00AB1D83" w:rsidRDefault="00AB1D83" w:rsidP="00AB1D83">
      <w:pPr>
        <w:spacing w:after="0" w:line="240" w:lineRule="auto"/>
        <w:jc w:val="both"/>
        <w:rPr>
          <w:rFonts w:ascii="Arial" w:hAnsi="Arial" w:cs="Arial"/>
          <w:sz w:val="22"/>
          <w:szCs w:val="22"/>
        </w:rPr>
      </w:pPr>
    </w:p>
    <w:p w14:paraId="2DEB658F"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 xml:space="preserve">8. </w:t>
      </w:r>
      <w:proofErr w:type="spellStart"/>
      <w:r w:rsidRPr="00AB1D83">
        <w:rPr>
          <w:rFonts w:ascii="Arial" w:hAnsi="Arial" w:cs="Arial"/>
          <w:sz w:val="22"/>
          <w:szCs w:val="22"/>
        </w:rPr>
        <w:t>Veluvali</w:t>
      </w:r>
      <w:proofErr w:type="spellEnd"/>
      <w:r w:rsidRPr="00AB1D83">
        <w:rPr>
          <w:rFonts w:ascii="Arial" w:hAnsi="Arial" w:cs="Arial"/>
          <w:sz w:val="22"/>
          <w:szCs w:val="22"/>
        </w:rPr>
        <w:t>, A., et al. (2025)</w:t>
      </w:r>
    </w:p>
    <w:p w14:paraId="3AA3F831"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Impact of digital health interventions on glycaemic control and weight management.</w:t>
      </w:r>
    </w:p>
    <w:p w14:paraId="3F754718" w14:textId="77777777" w:rsidR="00AB1D83" w:rsidRPr="00AB1D83" w:rsidRDefault="00AB1D83" w:rsidP="00AB1D83">
      <w:pPr>
        <w:spacing w:after="0" w:line="240" w:lineRule="auto"/>
        <w:jc w:val="both"/>
        <w:rPr>
          <w:rFonts w:ascii="Arial" w:hAnsi="Arial" w:cs="Arial"/>
          <w:sz w:val="22"/>
          <w:szCs w:val="22"/>
        </w:rPr>
      </w:pPr>
      <w:proofErr w:type="spellStart"/>
      <w:r w:rsidRPr="00AB1D83">
        <w:rPr>
          <w:rFonts w:ascii="Arial" w:hAnsi="Arial" w:cs="Arial"/>
          <w:sz w:val="22"/>
          <w:szCs w:val="22"/>
        </w:rPr>
        <w:t>npj</w:t>
      </w:r>
      <w:proofErr w:type="spellEnd"/>
      <w:r w:rsidRPr="00AB1D83">
        <w:rPr>
          <w:rFonts w:ascii="Arial" w:hAnsi="Arial" w:cs="Arial"/>
          <w:sz w:val="22"/>
          <w:szCs w:val="22"/>
        </w:rPr>
        <w:t xml:space="preserve"> Digital Medicine.</w:t>
      </w:r>
    </w:p>
    <w:p w14:paraId="11352EA6"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 xml:space="preserve">https://doi.org/10.1038/s41746-025-01430-7 </w:t>
      </w:r>
    </w:p>
    <w:p w14:paraId="404B625B" w14:textId="77777777" w:rsidR="00AB1D83" w:rsidRPr="00AB1D83" w:rsidRDefault="00AB1D83" w:rsidP="00AB1D83">
      <w:pPr>
        <w:spacing w:after="0" w:line="240" w:lineRule="auto"/>
        <w:jc w:val="both"/>
        <w:rPr>
          <w:rFonts w:ascii="Arial" w:hAnsi="Arial" w:cs="Arial"/>
          <w:sz w:val="22"/>
          <w:szCs w:val="22"/>
        </w:rPr>
      </w:pPr>
    </w:p>
    <w:p w14:paraId="270924E9"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9. Bandura, A. (1997)</w:t>
      </w:r>
    </w:p>
    <w:p w14:paraId="24D9CF0B"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Self-efficacy: The exercise of control.</w:t>
      </w:r>
    </w:p>
    <w:p w14:paraId="52E8AF03"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 xml:space="preserve">New York: Freeman. </w:t>
      </w:r>
    </w:p>
    <w:p w14:paraId="438EF402" w14:textId="77777777" w:rsidR="00AB1D83" w:rsidRPr="00AB1D83" w:rsidRDefault="00AB1D83" w:rsidP="00AB1D83">
      <w:pPr>
        <w:spacing w:after="0" w:line="240" w:lineRule="auto"/>
        <w:jc w:val="both"/>
        <w:rPr>
          <w:rFonts w:ascii="Arial" w:hAnsi="Arial" w:cs="Arial"/>
          <w:sz w:val="22"/>
          <w:szCs w:val="22"/>
        </w:rPr>
      </w:pPr>
    </w:p>
    <w:p w14:paraId="5E33DC79"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10. Fadhil, A. and Wang, Y. (2019)</w:t>
      </w:r>
    </w:p>
    <w:p w14:paraId="069DEF71"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Reinforcement learning for adaptive health interventions: A case study in diabetes.</w:t>
      </w:r>
    </w:p>
    <w:p w14:paraId="73F78196"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 xml:space="preserve">JMIR mHealth and </w:t>
      </w:r>
      <w:proofErr w:type="spellStart"/>
      <w:r w:rsidRPr="00AB1D83">
        <w:rPr>
          <w:rFonts w:ascii="Arial" w:hAnsi="Arial" w:cs="Arial"/>
          <w:sz w:val="22"/>
          <w:szCs w:val="22"/>
        </w:rPr>
        <w:t>uHealth</w:t>
      </w:r>
      <w:proofErr w:type="spellEnd"/>
      <w:r w:rsidRPr="00AB1D83">
        <w:rPr>
          <w:rFonts w:ascii="Arial" w:hAnsi="Arial" w:cs="Arial"/>
          <w:sz w:val="22"/>
          <w:szCs w:val="22"/>
        </w:rPr>
        <w:t>, 7(5).</w:t>
      </w:r>
    </w:p>
    <w:p w14:paraId="793358E4"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 xml:space="preserve">https://doi.org/10.2196/13641 </w:t>
      </w:r>
    </w:p>
    <w:p w14:paraId="41E61758" w14:textId="77777777" w:rsidR="00AB1D83" w:rsidRPr="00AB1D83" w:rsidRDefault="00AB1D83" w:rsidP="00AB1D83">
      <w:pPr>
        <w:spacing w:after="0" w:line="240" w:lineRule="auto"/>
        <w:jc w:val="both"/>
        <w:rPr>
          <w:rFonts w:ascii="Arial" w:hAnsi="Arial" w:cs="Arial"/>
          <w:sz w:val="22"/>
          <w:szCs w:val="22"/>
        </w:rPr>
      </w:pPr>
    </w:p>
    <w:p w14:paraId="331A4FD4"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11. NHS England (2019)</w:t>
      </w:r>
    </w:p>
    <w:p w14:paraId="13754F16"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The NHS Long Term Plan.</w:t>
      </w:r>
    </w:p>
    <w:p w14:paraId="1667B505"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 xml:space="preserve">https://www.longtermplan.nhs.uk </w:t>
      </w:r>
    </w:p>
    <w:p w14:paraId="239832DF" w14:textId="77777777" w:rsidR="00AB1D83" w:rsidRPr="00AB1D83" w:rsidRDefault="00AB1D83" w:rsidP="00AB1D83">
      <w:pPr>
        <w:spacing w:after="0" w:line="240" w:lineRule="auto"/>
        <w:jc w:val="both"/>
        <w:rPr>
          <w:rFonts w:ascii="Arial" w:hAnsi="Arial" w:cs="Arial"/>
          <w:sz w:val="22"/>
          <w:szCs w:val="22"/>
        </w:rPr>
      </w:pPr>
    </w:p>
    <w:p w14:paraId="20E45561"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12. NHS England (2023)</w:t>
      </w:r>
    </w:p>
    <w:p w14:paraId="72AC1ED6"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Diabetes Programme.</w:t>
      </w:r>
    </w:p>
    <w:p w14:paraId="5027E536"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 xml:space="preserve">https://www.england.nhs.uk/diabetes </w:t>
      </w:r>
    </w:p>
    <w:p w14:paraId="259130FF" w14:textId="77777777" w:rsidR="00AB1D83" w:rsidRPr="00AB1D83" w:rsidRDefault="00AB1D83" w:rsidP="00AB1D83">
      <w:pPr>
        <w:spacing w:after="0" w:line="240" w:lineRule="auto"/>
        <w:jc w:val="both"/>
        <w:rPr>
          <w:rFonts w:ascii="Arial" w:hAnsi="Arial" w:cs="Arial"/>
          <w:sz w:val="22"/>
          <w:szCs w:val="22"/>
        </w:rPr>
      </w:pPr>
    </w:p>
    <w:p w14:paraId="4E115B16"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13. NICE (2022)</w:t>
      </w:r>
    </w:p>
    <w:p w14:paraId="0AE03A88"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Type 2 diabetes in adults: management (NG28).</w:t>
      </w:r>
    </w:p>
    <w:p w14:paraId="57321739"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 xml:space="preserve">https://www.nice.org.uk/guidance/ng28 </w:t>
      </w:r>
    </w:p>
    <w:p w14:paraId="37B1B8CE" w14:textId="77777777" w:rsidR="00AB1D83" w:rsidRPr="00AB1D83" w:rsidRDefault="00AB1D83" w:rsidP="00AB1D83">
      <w:pPr>
        <w:spacing w:after="0" w:line="240" w:lineRule="auto"/>
        <w:jc w:val="both"/>
        <w:rPr>
          <w:rFonts w:ascii="Arial" w:hAnsi="Arial" w:cs="Arial"/>
          <w:sz w:val="22"/>
          <w:szCs w:val="22"/>
        </w:rPr>
      </w:pPr>
    </w:p>
    <w:p w14:paraId="380B7B2C"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14. Department of Health and Social Care (2022)</w:t>
      </w:r>
    </w:p>
    <w:p w14:paraId="2B8113A3"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A plan for digital health and social care.</w:t>
      </w:r>
    </w:p>
    <w:p w14:paraId="11DB2717"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 xml:space="preserve">https://www.gov.uk/government/publications </w:t>
      </w:r>
    </w:p>
    <w:p w14:paraId="1F774CCA" w14:textId="77777777" w:rsidR="00AB1D83" w:rsidRPr="00AB1D83" w:rsidRDefault="00AB1D83" w:rsidP="00AB1D83">
      <w:pPr>
        <w:spacing w:after="0" w:line="240" w:lineRule="auto"/>
        <w:jc w:val="both"/>
        <w:rPr>
          <w:rFonts w:ascii="Arial" w:hAnsi="Arial" w:cs="Arial"/>
          <w:sz w:val="22"/>
          <w:szCs w:val="22"/>
        </w:rPr>
      </w:pPr>
    </w:p>
    <w:p w14:paraId="3EC99409"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15. World Health Organization (2022)</w:t>
      </w:r>
    </w:p>
    <w:p w14:paraId="5640EF04"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lastRenderedPageBreak/>
        <w:t>Global strategy on digital health 2020–2025.</w:t>
      </w:r>
    </w:p>
    <w:p w14:paraId="141E4CD0"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 xml:space="preserve">https://www.who.int/publications </w:t>
      </w:r>
    </w:p>
    <w:p w14:paraId="697591AA" w14:textId="77777777" w:rsidR="00AB1D83" w:rsidRPr="00AB1D83" w:rsidRDefault="00AB1D83" w:rsidP="00AB1D83">
      <w:pPr>
        <w:spacing w:after="0" w:line="240" w:lineRule="auto"/>
        <w:jc w:val="both"/>
        <w:rPr>
          <w:rFonts w:ascii="Arial" w:hAnsi="Arial" w:cs="Arial"/>
          <w:sz w:val="22"/>
          <w:szCs w:val="22"/>
        </w:rPr>
      </w:pPr>
    </w:p>
    <w:p w14:paraId="5E62193F"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16. Murray, E., Hekler, E.B., Andersson, G., et al. (2016)</w:t>
      </w:r>
    </w:p>
    <w:p w14:paraId="746F74B4"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Evaluating digital health interventions: Key questions.</w:t>
      </w:r>
    </w:p>
    <w:p w14:paraId="72DD1007"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American Journal of Preventive Medicine, 51(5), pp. 843–851.</w:t>
      </w:r>
    </w:p>
    <w:p w14:paraId="25BCD973"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 xml:space="preserve">https://doi.org/10.1016/j.amepre.2016.06.008 </w:t>
      </w:r>
    </w:p>
    <w:p w14:paraId="58EEE2D3" w14:textId="77777777" w:rsidR="00AB1D83" w:rsidRPr="00AB1D83" w:rsidRDefault="00AB1D83" w:rsidP="00AB1D83">
      <w:pPr>
        <w:spacing w:after="0" w:line="240" w:lineRule="auto"/>
        <w:jc w:val="both"/>
        <w:rPr>
          <w:rFonts w:ascii="Arial" w:hAnsi="Arial" w:cs="Arial"/>
          <w:sz w:val="22"/>
          <w:szCs w:val="22"/>
        </w:rPr>
      </w:pPr>
    </w:p>
    <w:p w14:paraId="5F808E85"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17. Peters, M.D.J., et al. (2020)</w:t>
      </w:r>
    </w:p>
    <w:p w14:paraId="61E8644C"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Guidance for conducting systematic scoping reviews.</w:t>
      </w:r>
    </w:p>
    <w:p w14:paraId="2B5CAB9A"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JBI Evidence Synthesis.</w:t>
      </w:r>
    </w:p>
    <w:p w14:paraId="1D2FED51"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 xml:space="preserve">https://doi.org/10.11124/JBIES-20-00167 </w:t>
      </w:r>
    </w:p>
    <w:p w14:paraId="52B00302" w14:textId="77777777" w:rsidR="00AB1D83" w:rsidRPr="00AB1D83" w:rsidRDefault="00AB1D83" w:rsidP="00AB1D83">
      <w:pPr>
        <w:spacing w:after="0" w:line="240" w:lineRule="auto"/>
        <w:jc w:val="both"/>
        <w:rPr>
          <w:rFonts w:ascii="Arial" w:hAnsi="Arial" w:cs="Arial"/>
          <w:sz w:val="22"/>
          <w:szCs w:val="22"/>
        </w:rPr>
      </w:pPr>
    </w:p>
    <w:p w14:paraId="4570419D"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18. Arksey, H. and O’Malley, L. (2005)</w:t>
      </w:r>
    </w:p>
    <w:p w14:paraId="7E91EE5C"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Scoping studies: Towards a methodological framework.</w:t>
      </w:r>
    </w:p>
    <w:p w14:paraId="3F7246D1"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International Journal of Social Research Methodology, 8(1), pp. 19–32.</w:t>
      </w:r>
    </w:p>
    <w:p w14:paraId="1E13A275"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 xml:space="preserve">https://doi.org/10.1080/1364557032000119616 </w:t>
      </w:r>
    </w:p>
    <w:p w14:paraId="724C36DF" w14:textId="77777777" w:rsidR="00AB1D83" w:rsidRPr="00AB1D83" w:rsidRDefault="00AB1D83" w:rsidP="00AB1D83">
      <w:pPr>
        <w:spacing w:after="0" w:line="240" w:lineRule="auto"/>
        <w:jc w:val="both"/>
        <w:rPr>
          <w:rFonts w:ascii="Arial" w:hAnsi="Arial" w:cs="Arial"/>
          <w:sz w:val="22"/>
          <w:szCs w:val="22"/>
        </w:rPr>
      </w:pPr>
    </w:p>
    <w:p w14:paraId="70E1F714"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19. NICE (2020)</w:t>
      </w:r>
    </w:p>
    <w:p w14:paraId="27D0B407"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Behaviour change: digital and mobile health interventions.</w:t>
      </w:r>
    </w:p>
    <w:p w14:paraId="0C972A77"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 xml:space="preserve">https://www.nice.org.uk </w:t>
      </w:r>
    </w:p>
    <w:p w14:paraId="1E44DA5E" w14:textId="77777777" w:rsidR="00AB1D83" w:rsidRPr="00AB1D83" w:rsidRDefault="00AB1D83" w:rsidP="00AB1D83">
      <w:pPr>
        <w:spacing w:after="0" w:line="240" w:lineRule="auto"/>
        <w:jc w:val="both"/>
        <w:rPr>
          <w:rFonts w:ascii="Arial" w:hAnsi="Arial" w:cs="Arial"/>
          <w:sz w:val="22"/>
          <w:szCs w:val="22"/>
        </w:rPr>
      </w:pPr>
    </w:p>
    <w:p w14:paraId="527A1865"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20. Diabetes UK (2023)</w:t>
      </w:r>
    </w:p>
    <w:p w14:paraId="3106C923" w14:textId="77777777" w:rsidR="00AB1D83"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Diabetes statistics in the UK.</w:t>
      </w:r>
    </w:p>
    <w:p w14:paraId="777BB63C" w14:textId="6C5F1383" w:rsidR="00215FFA" w:rsidRPr="00AB1D83" w:rsidRDefault="00AB1D83" w:rsidP="00AB1D83">
      <w:pPr>
        <w:spacing w:after="0" w:line="240" w:lineRule="auto"/>
        <w:jc w:val="both"/>
        <w:rPr>
          <w:rFonts w:ascii="Arial" w:hAnsi="Arial" w:cs="Arial"/>
          <w:sz w:val="22"/>
          <w:szCs w:val="22"/>
        </w:rPr>
      </w:pPr>
      <w:r w:rsidRPr="00AB1D83">
        <w:rPr>
          <w:rFonts w:ascii="Arial" w:hAnsi="Arial" w:cs="Arial"/>
          <w:sz w:val="22"/>
          <w:szCs w:val="22"/>
        </w:rPr>
        <w:t>https://www.diabetes.org.uk</w:t>
      </w:r>
    </w:p>
    <w:p w14:paraId="6A9B0033" w14:textId="77777777" w:rsidR="00215FFA" w:rsidRPr="00AB1D83" w:rsidRDefault="00215FFA" w:rsidP="00B51978">
      <w:pPr>
        <w:spacing w:after="0" w:line="240" w:lineRule="auto"/>
        <w:jc w:val="both"/>
        <w:rPr>
          <w:rFonts w:ascii="Arial" w:hAnsi="Arial" w:cs="Arial"/>
          <w:b/>
          <w:bCs/>
          <w:sz w:val="22"/>
          <w:szCs w:val="22"/>
        </w:rPr>
      </w:pPr>
    </w:p>
    <w:p w14:paraId="4B12B1D7" w14:textId="2894EC57" w:rsidR="00B51978" w:rsidRPr="00AB1D83" w:rsidRDefault="00B51978" w:rsidP="00B51978">
      <w:pPr>
        <w:spacing w:after="0" w:line="240" w:lineRule="auto"/>
        <w:jc w:val="both"/>
        <w:rPr>
          <w:rFonts w:ascii="Arial" w:hAnsi="Arial" w:cs="Arial"/>
          <w:sz w:val="22"/>
          <w:szCs w:val="22"/>
        </w:rPr>
      </w:pPr>
      <w:r w:rsidRPr="00AB1D83">
        <w:rPr>
          <w:rFonts w:ascii="Arial" w:hAnsi="Arial" w:cs="Arial"/>
          <w:b/>
          <w:bCs/>
          <w:sz w:val="22"/>
          <w:szCs w:val="22"/>
        </w:rPr>
        <w:br/>
      </w:r>
    </w:p>
    <w:p w14:paraId="273D5F79" w14:textId="77777777" w:rsidR="00B51978" w:rsidRPr="00AB1D83" w:rsidRDefault="00B51978" w:rsidP="00B51978">
      <w:pPr>
        <w:spacing w:after="0" w:line="240" w:lineRule="auto"/>
        <w:jc w:val="both"/>
        <w:rPr>
          <w:rFonts w:ascii="Arial" w:hAnsi="Arial" w:cs="Arial"/>
          <w:b/>
          <w:bCs/>
          <w:sz w:val="22"/>
          <w:szCs w:val="22"/>
        </w:rPr>
      </w:pPr>
    </w:p>
    <w:p w14:paraId="05247653" w14:textId="4810E449" w:rsidR="00B51978" w:rsidRPr="00AB1D83" w:rsidRDefault="00B51978" w:rsidP="00B51978">
      <w:pPr>
        <w:spacing w:after="0" w:line="240" w:lineRule="auto"/>
        <w:jc w:val="both"/>
        <w:rPr>
          <w:rFonts w:ascii="Arial" w:hAnsi="Arial" w:cs="Arial"/>
          <w:sz w:val="22"/>
          <w:szCs w:val="22"/>
        </w:rPr>
      </w:pPr>
      <w:r w:rsidRPr="00AB1D83">
        <w:rPr>
          <w:rFonts w:ascii="Arial" w:hAnsi="Arial" w:cs="Arial"/>
          <w:sz w:val="22"/>
          <w:szCs w:val="22"/>
        </w:rPr>
        <w:br/>
      </w:r>
    </w:p>
    <w:sectPr w:rsidR="00B51978" w:rsidRPr="00AB1D83" w:rsidSect="00AB1D83">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39AB7" w14:textId="77777777" w:rsidR="00CB7F39" w:rsidRDefault="00CB7F39" w:rsidP="00C35F59">
      <w:pPr>
        <w:spacing w:after="0" w:line="240" w:lineRule="auto"/>
      </w:pPr>
      <w:r>
        <w:separator/>
      </w:r>
    </w:p>
  </w:endnote>
  <w:endnote w:type="continuationSeparator" w:id="0">
    <w:p w14:paraId="7204690E" w14:textId="77777777" w:rsidR="00CB7F39" w:rsidRDefault="00CB7F39" w:rsidP="00C35F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776690"/>
      <w:docPartObj>
        <w:docPartGallery w:val="Page Numbers (Bottom of Page)"/>
        <w:docPartUnique/>
      </w:docPartObj>
    </w:sdtPr>
    <w:sdtContent>
      <w:p w14:paraId="67F3F4F4" w14:textId="746C8416" w:rsidR="00630F9D" w:rsidRDefault="00630F9D">
        <w:pPr>
          <w:pStyle w:val="Footer"/>
          <w:jc w:val="right"/>
        </w:pPr>
        <w:r>
          <w:fldChar w:fldCharType="begin"/>
        </w:r>
        <w:r>
          <w:instrText>PAGE   \* MERGEFORMAT</w:instrText>
        </w:r>
        <w:r>
          <w:fldChar w:fldCharType="separate"/>
        </w:r>
        <w:r>
          <w:t>2</w:t>
        </w:r>
        <w:r>
          <w:fldChar w:fldCharType="end"/>
        </w:r>
      </w:p>
    </w:sdtContent>
  </w:sdt>
  <w:p w14:paraId="521205C3" w14:textId="77777777" w:rsidR="00C35F59" w:rsidRDefault="00C35F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5FDAF" w14:textId="77777777" w:rsidR="00CB7F39" w:rsidRDefault="00CB7F39" w:rsidP="00C35F59">
      <w:pPr>
        <w:spacing w:after="0" w:line="240" w:lineRule="auto"/>
      </w:pPr>
      <w:r>
        <w:separator/>
      </w:r>
    </w:p>
  </w:footnote>
  <w:footnote w:type="continuationSeparator" w:id="0">
    <w:p w14:paraId="406B1D14" w14:textId="77777777" w:rsidR="00CB7F39" w:rsidRDefault="00CB7F39" w:rsidP="00C35F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3C06"/>
    <w:multiLevelType w:val="multilevel"/>
    <w:tmpl w:val="E13E999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B05FB3"/>
    <w:multiLevelType w:val="multilevel"/>
    <w:tmpl w:val="64DCA2A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EF41C9"/>
    <w:multiLevelType w:val="hybridMultilevel"/>
    <w:tmpl w:val="15085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00607A"/>
    <w:multiLevelType w:val="multilevel"/>
    <w:tmpl w:val="C1BCE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81033D"/>
    <w:multiLevelType w:val="multilevel"/>
    <w:tmpl w:val="BEFEA0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8476ED"/>
    <w:multiLevelType w:val="multilevel"/>
    <w:tmpl w:val="8320DA3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1342D9"/>
    <w:multiLevelType w:val="multilevel"/>
    <w:tmpl w:val="6AEE9F6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80630B"/>
    <w:multiLevelType w:val="multilevel"/>
    <w:tmpl w:val="F122649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9058CA"/>
    <w:multiLevelType w:val="multilevel"/>
    <w:tmpl w:val="0AF6003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7A385C"/>
    <w:multiLevelType w:val="multilevel"/>
    <w:tmpl w:val="CC463B4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916D1E"/>
    <w:multiLevelType w:val="multilevel"/>
    <w:tmpl w:val="E4B48D3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4B1D5E"/>
    <w:multiLevelType w:val="multilevel"/>
    <w:tmpl w:val="A0320C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1A2D81"/>
    <w:multiLevelType w:val="multilevel"/>
    <w:tmpl w:val="C478DC5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B61367"/>
    <w:multiLevelType w:val="hybridMultilevel"/>
    <w:tmpl w:val="3AA09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E704A6"/>
    <w:multiLevelType w:val="multilevel"/>
    <w:tmpl w:val="21DA29F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EF3863"/>
    <w:multiLevelType w:val="multilevel"/>
    <w:tmpl w:val="E13660E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2866AA"/>
    <w:multiLevelType w:val="hybridMultilevel"/>
    <w:tmpl w:val="9712F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51669B"/>
    <w:multiLevelType w:val="multilevel"/>
    <w:tmpl w:val="3FE6AD1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D47019"/>
    <w:multiLevelType w:val="hybridMultilevel"/>
    <w:tmpl w:val="688C6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450D22"/>
    <w:multiLevelType w:val="multilevel"/>
    <w:tmpl w:val="F0047DA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245300"/>
    <w:multiLevelType w:val="multilevel"/>
    <w:tmpl w:val="EC0AD3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DE84C2C"/>
    <w:multiLevelType w:val="multilevel"/>
    <w:tmpl w:val="F086C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8CB78DF"/>
    <w:multiLevelType w:val="multilevel"/>
    <w:tmpl w:val="A92CA3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F0A2C1E"/>
    <w:multiLevelType w:val="multilevel"/>
    <w:tmpl w:val="72FCABA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299196E"/>
    <w:multiLevelType w:val="multilevel"/>
    <w:tmpl w:val="B0D08D8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143C33"/>
    <w:multiLevelType w:val="hybridMultilevel"/>
    <w:tmpl w:val="310637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BB7589"/>
    <w:multiLevelType w:val="hybridMultilevel"/>
    <w:tmpl w:val="945C2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C7205C"/>
    <w:multiLevelType w:val="hybridMultilevel"/>
    <w:tmpl w:val="2144A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196AE7"/>
    <w:multiLevelType w:val="hybridMultilevel"/>
    <w:tmpl w:val="FA366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507368">
    <w:abstractNumId w:val="25"/>
  </w:num>
  <w:num w:numId="2" w16cid:durableId="2060089731">
    <w:abstractNumId w:val="26"/>
  </w:num>
  <w:num w:numId="3" w16cid:durableId="1992245811">
    <w:abstractNumId w:val="18"/>
  </w:num>
  <w:num w:numId="4" w16cid:durableId="1698658503">
    <w:abstractNumId w:val="16"/>
  </w:num>
  <w:num w:numId="5" w16cid:durableId="1382094288">
    <w:abstractNumId w:val="2"/>
  </w:num>
  <w:num w:numId="6" w16cid:durableId="1642538970">
    <w:abstractNumId w:val="28"/>
  </w:num>
  <w:num w:numId="7" w16cid:durableId="1653826292">
    <w:abstractNumId w:val="27"/>
  </w:num>
  <w:num w:numId="8" w16cid:durableId="1883789202">
    <w:abstractNumId w:val="13"/>
  </w:num>
  <w:num w:numId="9" w16cid:durableId="992215378">
    <w:abstractNumId w:val="3"/>
  </w:num>
  <w:num w:numId="10" w16cid:durableId="1999337645">
    <w:abstractNumId w:val="21"/>
  </w:num>
  <w:num w:numId="11" w16cid:durableId="840856923">
    <w:abstractNumId w:val="22"/>
  </w:num>
  <w:num w:numId="12" w16cid:durableId="1945531570">
    <w:abstractNumId w:val="4"/>
  </w:num>
  <w:num w:numId="13" w16cid:durableId="1180316540">
    <w:abstractNumId w:val="11"/>
  </w:num>
  <w:num w:numId="14" w16cid:durableId="730539098">
    <w:abstractNumId w:val="20"/>
  </w:num>
  <w:num w:numId="15" w16cid:durableId="2089693990">
    <w:abstractNumId w:val="17"/>
  </w:num>
  <w:num w:numId="16" w16cid:durableId="15467979">
    <w:abstractNumId w:val="1"/>
  </w:num>
  <w:num w:numId="17" w16cid:durableId="391269868">
    <w:abstractNumId w:val="23"/>
  </w:num>
  <w:num w:numId="18" w16cid:durableId="1181548705">
    <w:abstractNumId w:val="9"/>
  </w:num>
  <w:num w:numId="19" w16cid:durableId="439684678">
    <w:abstractNumId w:val="15"/>
  </w:num>
  <w:num w:numId="20" w16cid:durableId="2056614642">
    <w:abstractNumId w:val="14"/>
  </w:num>
  <w:num w:numId="21" w16cid:durableId="1892308320">
    <w:abstractNumId w:val="0"/>
  </w:num>
  <w:num w:numId="22" w16cid:durableId="1675499078">
    <w:abstractNumId w:val="6"/>
  </w:num>
  <w:num w:numId="23" w16cid:durableId="1353729330">
    <w:abstractNumId w:val="8"/>
  </w:num>
  <w:num w:numId="24" w16cid:durableId="1290211732">
    <w:abstractNumId w:val="19"/>
  </w:num>
  <w:num w:numId="25" w16cid:durableId="529730761">
    <w:abstractNumId w:val="7"/>
  </w:num>
  <w:num w:numId="26" w16cid:durableId="300575555">
    <w:abstractNumId w:val="10"/>
  </w:num>
  <w:num w:numId="27" w16cid:durableId="96484202">
    <w:abstractNumId w:val="12"/>
  </w:num>
  <w:num w:numId="28" w16cid:durableId="1132941176">
    <w:abstractNumId w:val="5"/>
  </w:num>
  <w:num w:numId="29" w16cid:durableId="14783746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24B"/>
    <w:rsid w:val="00014C4B"/>
    <w:rsid w:val="00215FFA"/>
    <w:rsid w:val="003076BF"/>
    <w:rsid w:val="004D7BD3"/>
    <w:rsid w:val="0062354C"/>
    <w:rsid w:val="00630F9D"/>
    <w:rsid w:val="007749CD"/>
    <w:rsid w:val="007F5B6F"/>
    <w:rsid w:val="00800FEC"/>
    <w:rsid w:val="00922EC0"/>
    <w:rsid w:val="00960061"/>
    <w:rsid w:val="009E7062"/>
    <w:rsid w:val="00A6024B"/>
    <w:rsid w:val="00AB1D83"/>
    <w:rsid w:val="00B24329"/>
    <w:rsid w:val="00B51978"/>
    <w:rsid w:val="00C211B3"/>
    <w:rsid w:val="00C35F59"/>
    <w:rsid w:val="00CB7F39"/>
    <w:rsid w:val="00DD0098"/>
    <w:rsid w:val="00E953D7"/>
    <w:rsid w:val="00F74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5B1E1"/>
  <w15:chartTrackingRefBased/>
  <w15:docId w15:val="{5C8EEC8B-95EE-4606-8DBC-2B22094D2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2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02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02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02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02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02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02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02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02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2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02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02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02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02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02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02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02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024B"/>
    <w:rPr>
      <w:rFonts w:eastAsiaTheme="majorEastAsia" w:cstheme="majorBidi"/>
      <w:color w:val="272727" w:themeColor="text1" w:themeTint="D8"/>
    </w:rPr>
  </w:style>
  <w:style w:type="paragraph" w:styleId="Title">
    <w:name w:val="Title"/>
    <w:basedOn w:val="Normal"/>
    <w:next w:val="Normal"/>
    <w:link w:val="TitleChar"/>
    <w:uiPriority w:val="10"/>
    <w:qFormat/>
    <w:rsid w:val="00A602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2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02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02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024B"/>
    <w:pPr>
      <w:spacing w:before="160"/>
      <w:jc w:val="center"/>
    </w:pPr>
    <w:rPr>
      <w:i/>
      <w:iCs/>
      <w:color w:val="404040" w:themeColor="text1" w:themeTint="BF"/>
    </w:rPr>
  </w:style>
  <w:style w:type="character" w:customStyle="1" w:styleId="QuoteChar">
    <w:name w:val="Quote Char"/>
    <w:basedOn w:val="DefaultParagraphFont"/>
    <w:link w:val="Quote"/>
    <w:uiPriority w:val="29"/>
    <w:rsid w:val="00A6024B"/>
    <w:rPr>
      <w:i/>
      <w:iCs/>
      <w:color w:val="404040" w:themeColor="text1" w:themeTint="BF"/>
    </w:rPr>
  </w:style>
  <w:style w:type="paragraph" w:styleId="ListParagraph">
    <w:name w:val="List Paragraph"/>
    <w:basedOn w:val="Normal"/>
    <w:uiPriority w:val="34"/>
    <w:qFormat/>
    <w:rsid w:val="00A6024B"/>
    <w:pPr>
      <w:ind w:left="720"/>
      <w:contextualSpacing/>
    </w:pPr>
  </w:style>
  <w:style w:type="character" w:styleId="IntenseEmphasis">
    <w:name w:val="Intense Emphasis"/>
    <w:basedOn w:val="DefaultParagraphFont"/>
    <w:uiPriority w:val="21"/>
    <w:qFormat/>
    <w:rsid w:val="00A6024B"/>
    <w:rPr>
      <w:i/>
      <w:iCs/>
      <w:color w:val="0F4761" w:themeColor="accent1" w:themeShade="BF"/>
    </w:rPr>
  </w:style>
  <w:style w:type="paragraph" w:styleId="IntenseQuote">
    <w:name w:val="Intense Quote"/>
    <w:basedOn w:val="Normal"/>
    <w:next w:val="Normal"/>
    <w:link w:val="IntenseQuoteChar"/>
    <w:uiPriority w:val="30"/>
    <w:qFormat/>
    <w:rsid w:val="00A602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024B"/>
    <w:rPr>
      <w:i/>
      <w:iCs/>
      <w:color w:val="0F4761" w:themeColor="accent1" w:themeShade="BF"/>
    </w:rPr>
  </w:style>
  <w:style w:type="character" w:styleId="IntenseReference">
    <w:name w:val="Intense Reference"/>
    <w:basedOn w:val="DefaultParagraphFont"/>
    <w:uiPriority w:val="32"/>
    <w:qFormat/>
    <w:rsid w:val="00A6024B"/>
    <w:rPr>
      <w:b/>
      <w:bCs/>
      <w:smallCaps/>
      <w:color w:val="0F4761" w:themeColor="accent1" w:themeShade="BF"/>
      <w:spacing w:val="5"/>
    </w:rPr>
  </w:style>
  <w:style w:type="character" w:styleId="Hyperlink">
    <w:name w:val="Hyperlink"/>
    <w:basedOn w:val="DefaultParagraphFont"/>
    <w:uiPriority w:val="99"/>
    <w:unhideWhenUsed/>
    <w:rsid w:val="00215FFA"/>
    <w:rPr>
      <w:color w:val="467886" w:themeColor="hyperlink"/>
      <w:u w:val="single"/>
    </w:rPr>
  </w:style>
  <w:style w:type="character" w:styleId="UnresolvedMention">
    <w:name w:val="Unresolved Mention"/>
    <w:basedOn w:val="DefaultParagraphFont"/>
    <w:uiPriority w:val="99"/>
    <w:semiHidden/>
    <w:unhideWhenUsed/>
    <w:rsid w:val="00215FFA"/>
    <w:rPr>
      <w:color w:val="605E5C"/>
      <w:shd w:val="clear" w:color="auto" w:fill="E1DFDD"/>
    </w:rPr>
  </w:style>
  <w:style w:type="paragraph" w:styleId="NoSpacing">
    <w:name w:val="No Spacing"/>
    <w:link w:val="NoSpacingChar"/>
    <w:uiPriority w:val="1"/>
    <w:qFormat/>
    <w:rsid w:val="00AB1D8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AB1D83"/>
    <w:rPr>
      <w:rFonts w:eastAsiaTheme="minorEastAsia"/>
      <w:kern w:val="0"/>
      <w:sz w:val="22"/>
      <w:szCs w:val="22"/>
      <w:lang w:eastAsia="en-GB"/>
      <w14:ligatures w14:val="none"/>
    </w:rPr>
  </w:style>
  <w:style w:type="paragraph" w:styleId="Header">
    <w:name w:val="header"/>
    <w:basedOn w:val="Normal"/>
    <w:link w:val="HeaderChar"/>
    <w:uiPriority w:val="99"/>
    <w:unhideWhenUsed/>
    <w:rsid w:val="00C35F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5F59"/>
  </w:style>
  <w:style w:type="paragraph" w:styleId="Footer">
    <w:name w:val="footer"/>
    <w:basedOn w:val="Normal"/>
    <w:link w:val="FooterChar"/>
    <w:uiPriority w:val="99"/>
    <w:unhideWhenUsed/>
    <w:rsid w:val="00C35F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5F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F67B5-080E-472E-8E75-CF315D227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10</Pages>
  <Words>4001</Words>
  <Characters>22811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Name and Code: Introduction to Independent Research Skills (BMHP5019)</dc:title>
  <dc:subject>Assignment Title: Individual Research Project (Scoping Review)</dc:subject>
  <dc:creator>Nafeesa Bibi (2331120)</dc:creator>
  <cp:keywords/>
  <dc:description/>
  <cp:lastModifiedBy>Nafeesa Bibi (2331120)</cp:lastModifiedBy>
  <cp:revision>5</cp:revision>
  <dcterms:created xsi:type="dcterms:W3CDTF">2026-03-29T04:09:00Z</dcterms:created>
  <dcterms:modified xsi:type="dcterms:W3CDTF">2026-03-29T09:27:00Z</dcterms:modified>
</cp:coreProperties>
</file>