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line="360" w:lineRule="auto"/>
        <w:jc w:val="both"/>
        <w:rPr>
          <w:b/>
          <w:u w:val="single"/>
        </w:rPr>
      </w:pPr>
    </w:p>
    <w:p>
      <w:pPr>
        <w:spacing w:line="360" w:lineRule="auto"/>
        <w:jc w:val="both"/>
        <w:rPr>
          <w:b/>
          <w:u w:val="single"/>
        </w:rPr>
      </w:pPr>
      <w:r>
        <w:rPr>
          <w:b/>
          <w:u w:val="single"/>
        </w:rPr>
        <w:t>Part One (3,500 words)</w:t>
      </w:r>
    </w:p>
    <w:p>
      <w:pPr>
        <w:spacing w:line="360" w:lineRule="auto"/>
        <w:jc w:val="both"/>
        <w:rPr>
          <w:u w:val="single"/>
        </w:rPr>
      </w:pPr>
    </w:p>
    <w:p>
      <w:pPr>
        <w:spacing w:line="360" w:lineRule="auto"/>
        <w:jc w:val="both"/>
        <w:rPr>
          <w:u w:val="single"/>
        </w:rPr>
      </w:pPr>
      <w:r>
        <w:rPr>
          <w:u w:val="single"/>
        </w:rPr>
        <w:t>Use a literature review to demonstrate a critical analysis of the causes of SEBD</w:t>
      </w:r>
    </w:p>
    <w:p>
      <w:pPr>
        <w:spacing w:line="360" w:lineRule="auto"/>
        <w:jc w:val="both"/>
      </w:pPr>
    </w:p>
    <w:p>
      <w:pPr>
        <w:spacing w:line="360" w:lineRule="auto"/>
        <w:jc w:val="both"/>
      </w:pPr>
      <w:r>
        <w:t xml:space="preserve">Children with Social, Emotional and Behavioural difficulties (SEBD) or BESD, are described in the 2001 DfES Special Educational Needs Code of Practice as those who  </w:t>
      </w:r>
    </w:p>
    <w:p>
      <w:pPr>
        <w:spacing w:line="360" w:lineRule="auto"/>
        <w:jc w:val="both"/>
      </w:pPr>
    </w:p>
    <w:p>
      <w:pPr>
        <w:ind w:left="720" w:right="720"/>
        <w:jc w:val="both"/>
        <w:rPr>
          <w:i/>
        </w:rPr>
      </w:pPr>
      <w:proofErr w:type="gramStart"/>
      <w:r>
        <w:rPr>
          <w:i/>
        </w:rPr>
        <w:t>demonstrate</w:t>
      </w:r>
      <w:proofErr w:type="gramEnd"/>
      <w:r>
        <w:rPr>
          <w:i/>
        </w:rPr>
        <w:t xml:space="preserve"> features of emotional and </w:t>
      </w:r>
      <w:proofErr w:type="spellStart"/>
      <w:r>
        <w:rPr>
          <w:i/>
        </w:rPr>
        <w:t>behavioural</w:t>
      </w:r>
      <w:proofErr w:type="spellEnd"/>
      <w:r>
        <w:rPr>
          <w:i/>
        </w:rPr>
        <w:t xml:space="preserve"> difficulties, who are withdrawn or isolated, disruptive and disturbing, hyperactive and lack concentration; those with immature social skills; and those presenting challenging </w:t>
      </w:r>
      <w:proofErr w:type="spellStart"/>
      <w:r>
        <w:rPr>
          <w:i/>
        </w:rPr>
        <w:t>behaviours</w:t>
      </w:r>
      <w:proofErr w:type="spellEnd"/>
      <w:r>
        <w:rPr>
          <w:i/>
        </w:rPr>
        <w:t xml:space="preserve"> arising from other complex special needs</w:t>
      </w:r>
      <w:r>
        <w:rPr>
          <w:i/>
        </w:rPr>
        <w:t xml:space="preserve"> (p. 87)</w:t>
      </w:r>
    </w:p>
    <w:p>
      <w:pPr>
        <w:ind w:left="720" w:right="720"/>
        <w:jc w:val="both"/>
        <w:rPr>
          <w:i/>
          <w:shd w:val="clear" w:color="auto" w:fill="FFFFFF"/>
        </w:rPr>
      </w:pPr>
    </w:p>
    <w:p>
      <w:pPr>
        <w:spacing w:before="240" w:line="360" w:lineRule="auto"/>
        <w:jc w:val="both"/>
      </w:pPr>
      <w:r>
        <w:rPr>
          <w:shd w:val="clear" w:color="auto" w:fill="FFFFFF"/>
        </w:rPr>
        <w:t xml:space="preserve">Typical characteristics and behaviours associated with SEBD include: </w:t>
      </w:r>
      <w:r>
        <w:t>disruptive, anti-social and aggressive behaviour, difficulties in forming relationships (both with family and friends),</w:t>
      </w:r>
      <w:r>
        <w:rPr>
          <w:lang w:val="en-GB"/>
        </w:rPr>
        <w:t xml:space="preserve"> </w:t>
      </w:r>
      <w:r>
        <w:t>hyperactivity, attention and concentration problems</w:t>
      </w:r>
      <w:r>
        <w:rPr>
          <w:lang w:val="en-GB"/>
        </w:rPr>
        <w:t xml:space="preserve">, </w:t>
      </w:r>
      <w:r>
        <w:t xml:space="preserve">withdrawal or isolation, immature or inappropriate social skills. The causes of such behaviours have been linked to the diagnosis of neurological conditions such as Autism, Attention Deficit Hyperactivity Disorder, Conduct Disorder, Oppositional Defiance Disorders, Language Disorders, Sensory Processing Disorders, Anxiety, Obsessive Compulsive Disorder, as a consequence of early childhood trauma and a lack of attachment in early development. </w:t>
      </w:r>
    </w:p>
    <w:p>
      <w:pPr>
        <w:spacing w:before="240" w:line="360" w:lineRule="auto"/>
        <w:jc w:val="both"/>
        <w:rPr>
          <w:i/>
        </w:rPr>
      </w:pPr>
      <w:r>
        <w:t>McNamara and Moreton (1995, p. 1) note Behavioural, Emotional and Social Difficulties that “emotional and behavioural difficulties are to do with children who are hurting but don’t know what to do with that pain.” Whilst Cole, Daniels and Vissar (2013, p. 19) argue that the term EBD (Emotional Behavioural Difficulties) is a “harmful label that can shape and distort how pupils shape and develop their identities and how professionals and peers see such children.”</w:t>
      </w:r>
      <w:r>
        <w:rPr>
          <w:i/>
        </w:rPr>
        <w:t xml:space="preserve"> </w:t>
      </w:r>
    </w:p>
    <w:p>
      <w:pPr>
        <w:spacing w:line="360" w:lineRule="auto"/>
        <w:jc w:val="both"/>
      </w:pPr>
    </w:p>
    <w:p>
      <w:pPr>
        <w:spacing w:line="360" w:lineRule="auto"/>
        <w:jc w:val="both"/>
      </w:pPr>
      <w:r>
        <w:t xml:space="preserve">They state that inclusion of a social element to the terms SEBD (Social Emotional Behavioural Difficulties) or BESD (Behavioural Emotional Social Difficulties) goes further to explain the complex nature of the disorder. They argue that whilst some professionals use terminology such as CD (Conduct Disorder) or ODD (Oppositional Defiance Disorder), particularly in medical circles, to describe similar behaviours attributed to SEBD, parents tend to refer to their child as having ADHD (Attention Deficit Hyper-Activity Disorder) as it implies that their symptoms and </w:t>
      </w:r>
      <w:r>
        <w:lastRenderedPageBreak/>
        <w:t xml:space="preserve">behaviours have medical connotations and therefore cannot be blamed for their child’s behaviour and could access a cure via a medical route. They conclude that the concept of labeling remains contentious. They do, however, acknowledge the need for professionals to </w:t>
      </w:r>
    </w:p>
    <w:p>
      <w:pPr>
        <w:spacing w:line="360" w:lineRule="auto"/>
        <w:jc w:val="both"/>
      </w:pPr>
    </w:p>
    <w:p>
      <w:pPr>
        <w:ind w:left="720" w:right="720"/>
        <w:jc w:val="both"/>
        <w:rPr>
          <w:i/>
        </w:rPr>
      </w:pPr>
      <w:r>
        <w:rPr>
          <w:i/>
        </w:rPr>
        <w:t>Investigate and reflect on the social, emotional and sometimes biological underpinnings that give rise to a child’s difficulties, whether acted out or internalized, and to look beyond the surface behaviour. (p. 19)</w:t>
      </w:r>
    </w:p>
    <w:p>
      <w:pPr>
        <w:spacing w:line="360" w:lineRule="auto"/>
        <w:ind w:left="720" w:right="720"/>
        <w:jc w:val="both"/>
      </w:pPr>
    </w:p>
    <w:p>
      <w:pPr>
        <w:spacing w:line="360" w:lineRule="auto"/>
        <w:jc w:val="both"/>
      </w:pPr>
      <w:r>
        <w:t>Cole, Daniels and Vissar (2013, p. 4) describe a biopsychosocial perspective where behaviours are created by the bio (genetic) inheritance, the psycho (distorted thought patterns and emotional damage caused by abuse or neglect) and the social (attachment difficulties, parental separation, peer and family influences at school, home and in the local communities).</w:t>
      </w:r>
    </w:p>
    <w:p>
      <w:pPr>
        <w:spacing w:line="360" w:lineRule="auto"/>
        <w:ind w:right="720"/>
        <w:jc w:val="both"/>
      </w:pPr>
    </w:p>
    <w:p>
      <w:pPr>
        <w:spacing w:line="360" w:lineRule="auto"/>
        <w:jc w:val="both"/>
      </w:pPr>
      <w:r>
        <w:t>McNamara and Moreton (1995) argue that even when a medical label is attributed to a child, this is merely “shorthand for a cluster of symptoms” (p. 11) and that many children with SEBD have “associated learning difficulties” (p. 13).</w:t>
      </w:r>
    </w:p>
    <w:p>
      <w:pPr>
        <w:spacing w:line="360" w:lineRule="auto"/>
        <w:jc w:val="both"/>
      </w:pPr>
    </w:p>
    <w:p>
      <w:pPr>
        <w:spacing w:line="360" w:lineRule="auto"/>
        <w:jc w:val="both"/>
        <w:rPr>
          <w:i/>
        </w:rPr>
      </w:pPr>
      <w:r>
        <w:t>Farrell (1995) attributes causes of SEBD to be threefold: as a response to stress or traumatic event in a child’s life, due to “deep seated and long term problems” (p. 6) or due to a more serious psychiatric condition. He also examines the influential role of parents in the emotional development and stability of the child stating that parents who have experienced childhood adversity may not have the resilience to be “an effective and loving parent” (p. 3).</w:t>
      </w:r>
    </w:p>
    <w:p>
      <w:pPr>
        <w:spacing w:line="360" w:lineRule="auto"/>
        <w:jc w:val="both"/>
      </w:pPr>
    </w:p>
    <w:p>
      <w:pPr>
        <w:spacing w:line="360" w:lineRule="auto"/>
        <w:jc w:val="both"/>
      </w:pPr>
      <w:r>
        <w:t>MacLeod and Munn (2004) write about a shift in focus when researching SEBD, and argue that SEBD should be considered as a “different kind of special educational need” (p. 169). The authors refer to their “individual, medical or deficit” (IMD) model of disability. They argue that there has been a:</w:t>
      </w:r>
    </w:p>
    <w:p>
      <w:pPr>
        <w:spacing w:line="360" w:lineRule="auto"/>
        <w:jc w:val="both"/>
      </w:pPr>
    </w:p>
    <w:p>
      <w:pPr>
        <w:ind w:left="720" w:right="720"/>
        <w:jc w:val="both"/>
        <w:rPr>
          <w:i/>
        </w:rPr>
      </w:pPr>
      <w:r>
        <w:rPr>
          <w:i/>
        </w:rPr>
        <w:t>change in emphasis from those who are deficient, to expositions to the way in which, through the interaction with the individual and the social world, ‘special needs’ are created. While the actual social processes may differ they all have in common a shift away from the focus on a ‘deficient’ individual. (p. 169)</w:t>
      </w:r>
    </w:p>
    <w:p>
      <w:pPr>
        <w:spacing w:line="360" w:lineRule="auto"/>
        <w:ind w:left="720" w:right="720"/>
        <w:jc w:val="both"/>
      </w:pPr>
    </w:p>
    <w:p>
      <w:pPr>
        <w:spacing w:line="360" w:lineRule="auto"/>
        <w:jc w:val="both"/>
      </w:pPr>
      <w:r>
        <w:t xml:space="preserve">In other words, they believe that SEBD is caused by a combination of factors including the way in which the individual is exposed to and reacts with their world. It is no longer simply a “deficiency” inherent within the child. They also state that it is the lack of consensus in what </w:t>
      </w:r>
      <w:r>
        <w:lastRenderedPageBreak/>
        <w:t>SEBD is and its process of identification that is the biggest difficulty that the process of identification is largely subjective.</w:t>
      </w:r>
    </w:p>
    <w:p>
      <w:pPr>
        <w:spacing w:line="360" w:lineRule="auto"/>
        <w:ind w:right="720"/>
        <w:jc w:val="both"/>
      </w:pPr>
    </w:p>
    <w:p>
      <w:pPr>
        <w:spacing w:line="360" w:lineRule="auto"/>
        <w:jc w:val="both"/>
        <w:rPr>
          <w:i/>
        </w:rPr>
      </w:pPr>
      <w:r>
        <w:t>MacLeod and Munn (2004) support the view that the causes of SEBD are complex and many and that it is a combination of factors, not just medical, that will lead an individual to exhibit challenging behaviours and emotions by stating “Causal explanations of these behaviours that locate the source of the problem solely in bio-medical features of the individual are not convincing” (p. 171).</w:t>
      </w:r>
    </w:p>
    <w:p>
      <w:pPr>
        <w:spacing w:line="360" w:lineRule="auto"/>
        <w:ind w:left="720" w:right="720"/>
        <w:jc w:val="both"/>
      </w:pPr>
    </w:p>
    <w:p>
      <w:pPr>
        <w:spacing w:line="360" w:lineRule="auto"/>
        <w:jc w:val="both"/>
      </w:pPr>
      <w:r>
        <w:t>MacLeod and Munn (2004) continue that whilst characteristics of other disabilities remain constant and unchanging, those showing SEBD can demonstrate positive reactions when changing elements in their lives, such as good role models, relief from poverty, alternative family situations and a more appropriate curriculum, are made. They support Cole et al (2013) in the belief that “a biological or genetic explanation for behaviour” (p. 174) can allow a parent to feel less responsible and seek solutions through drug treatments. The acknowledgment however of external factors leads to scrutiny of the individual and their family and so is “unattractive to policy makers, practitioners and parents” (p. 174). McLeod and Munn counter this by arguing that:</w:t>
      </w:r>
    </w:p>
    <w:p>
      <w:pPr>
        <w:spacing w:line="360" w:lineRule="auto"/>
        <w:jc w:val="both"/>
      </w:pPr>
    </w:p>
    <w:p>
      <w:pPr>
        <w:ind w:left="720" w:right="720"/>
        <w:jc w:val="both"/>
        <w:rPr>
          <w:i/>
        </w:rPr>
      </w:pPr>
      <w:r>
        <w:rPr>
          <w:i/>
        </w:rPr>
        <w:t>It is important that the range of possible factors – social, psychological, educational, biological – involved in explaining the behaviour of individual children is recognised. (p. 174)</w:t>
      </w:r>
    </w:p>
    <w:p>
      <w:pPr>
        <w:spacing w:line="360" w:lineRule="auto"/>
        <w:ind w:left="720" w:right="720"/>
        <w:jc w:val="both"/>
      </w:pPr>
    </w:p>
    <w:p>
      <w:pPr>
        <w:spacing w:line="360" w:lineRule="auto"/>
        <w:jc w:val="both"/>
      </w:pPr>
      <w:r>
        <w:t>McLeod and Munn (2004) make a distinction between efficient and positive interventions and make the point that there is not one clear solution or treatment for SEBD. Support and intervention is as complex as the causes of SEBD itself and that research should be focused to “contribute to the improvement in the lives of children” (p. 175).</w:t>
      </w:r>
    </w:p>
    <w:p>
      <w:pPr>
        <w:spacing w:line="360" w:lineRule="auto"/>
        <w:jc w:val="both"/>
      </w:pPr>
    </w:p>
    <w:p>
      <w:pPr>
        <w:spacing w:line="360" w:lineRule="auto"/>
        <w:jc w:val="both"/>
      </w:pPr>
      <w:r>
        <w:t>Lewis (2009, p. 33) also uses the deficit model to explain SEBD, but as a continuum – at one end the pupil with a deficiency, related to a “problematic psychological makeup or sociological factors contributing to a lack of conformity” to the other end of the continuum where pupils display challenging behaviours as an “expression of genuine and justifiable dissatisfaction with an educational institution that fails to cater for his or her legitimate needs”.</w:t>
      </w:r>
    </w:p>
    <w:p>
      <w:pPr>
        <w:spacing w:line="360" w:lineRule="auto"/>
        <w:jc w:val="both"/>
      </w:pPr>
    </w:p>
    <w:p>
      <w:pPr>
        <w:spacing w:line="360" w:lineRule="auto"/>
        <w:jc w:val="both"/>
      </w:pPr>
      <w:r>
        <w:t>He believes that developing staff-to-pupil and pupil-to-pupil relationships is a solution to challenging behaviours, as is a modification of the curriculum.</w:t>
      </w:r>
    </w:p>
    <w:p>
      <w:pPr>
        <w:spacing w:line="360" w:lineRule="auto"/>
        <w:ind w:left="720"/>
        <w:jc w:val="both"/>
      </w:pPr>
    </w:p>
    <w:p>
      <w:pPr>
        <w:spacing w:line="360" w:lineRule="auto"/>
        <w:jc w:val="both"/>
      </w:pPr>
      <w:r>
        <w:rPr>
          <w:rStyle w:val="serialtitle"/>
        </w:rPr>
        <w:t>Studies in America by clinical professors and researchers Cooper, Masi and Vick (2009)</w:t>
      </w:r>
      <w:r>
        <w:t xml:space="preserve"> state that:</w:t>
      </w:r>
    </w:p>
    <w:p>
      <w:pPr>
        <w:spacing w:line="360" w:lineRule="auto"/>
        <w:jc w:val="both"/>
      </w:pPr>
    </w:p>
    <w:p>
      <w:pPr>
        <w:ind w:left="720" w:right="720"/>
        <w:jc w:val="both"/>
        <w:rPr>
          <w:i/>
        </w:rPr>
      </w:pPr>
      <w:r>
        <w:rPr>
          <w:i/>
        </w:rPr>
        <w:t xml:space="preserve">The early years of a child’s life present a unique opportunity to foster healthy development, and research has underscored the importance of the first five years </w:t>
      </w:r>
    </w:p>
    <w:p>
      <w:pPr>
        <w:ind w:left="720" w:right="720"/>
        <w:jc w:val="both"/>
        <w:rPr>
          <w:i/>
        </w:rPr>
      </w:pPr>
      <w:r>
        <w:rPr>
          <w:i/>
        </w:rPr>
        <w:t>of life – both positive and negative experiences – in shaping children’s cognitive, behavioral, social, and emotional development. (p. 2)</w:t>
      </w:r>
    </w:p>
    <w:p>
      <w:pPr>
        <w:spacing w:line="360" w:lineRule="auto"/>
        <w:ind w:left="720" w:right="720"/>
        <w:jc w:val="both"/>
      </w:pPr>
    </w:p>
    <w:p>
      <w:pPr>
        <w:spacing w:line="360" w:lineRule="auto"/>
        <w:jc w:val="both"/>
      </w:pPr>
      <w:r>
        <w:rPr>
          <w:rStyle w:val="serialtitle"/>
        </w:rPr>
        <w:t>Cooper, Masi and Vick (2009)</w:t>
      </w:r>
      <w:r>
        <w:t xml:space="preserve"> discuss this “time of great growth and of vulnerability” (p. 3) further by highlighting the impact that negative experiences can have during this critical time, leading to a risk of developing anxiety, phobias, ODD, conduct disorders and ADHD and that boys are at a greater risk. They cite risk factors within the family and environment, including low income families, the role of the care giver/maternal figure, substance abuse, mental health of adults within the family and domestic violence. Their studies also showed that children of colour are more at risk of the above factors. The concept of attachment is also explored as “an important marker for social emotional development” (p. 4). Not meeting the needs of these vulnerable children can and will impair school success at an early stage, leading to behaviour issues which are “often predictive of later conduct problems, antisocial behaviors, delinquency and serious mental health problems” (p. 8).</w:t>
      </w:r>
    </w:p>
    <w:p>
      <w:pPr>
        <w:spacing w:line="360" w:lineRule="auto"/>
        <w:jc w:val="both"/>
      </w:pPr>
    </w:p>
    <w:p>
      <w:pPr>
        <w:spacing w:line="360" w:lineRule="auto"/>
        <w:jc w:val="both"/>
      </w:pPr>
      <w:r>
        <w:rPr>
          <w:rStyle w:val="serialtitle"/>
        </w:rPr>
        <w:t>Cooper, Masi and Vick (2009)</w:t>
      </w:r>
      <w:r>
        <w:t xml:space="preserve"> recommend that in order to improve outcomes for children and families vulnerable to SEBD a number of initiatives and actions should be in place, which include quality child care which promotes mental health of children, early support and intervention for at risk families, an increase in trained professionals, comprehensive and standardized assessments, home visits, and adequate funding for the above initiatives and a government recognition of responsibility.</w:t>
      </w:r>
    </w:p>
    <w:p>
      <w:pPr>
        <w:spacing w:line="360" w:lineRule="auto"/>
        <w:jc w:val="both"/>
      </w:pPr>
    </w:p>
    <w:p>
      <w:pPr>
        <w:spacing w:line="360" w:lineRule="auto"/>
        <w:jc w:val="both"/>
        <w:rPr>
          <w:shd w:val="clear" w:color="auto" w:fill="FFFFFF"/>
        </w:rPr>
      </w:pPr>
      <w:r>
        <w:t xml:space="preserve">Barkley (2019) writes about executive function, the links to ADHD and impact on SEBD. Executive function is the ability to change our behaviour in order to accomplish personal goals, and is linked to self-regulation. Barkley discusses the importance of four key areas in the </w:t>
      </w:r>
      <w:r>
        <w:rPr>
          <w:shd w:val="clear" w:color="auto" w:fill="FFFFFF"/>
        </w:rPr>
        <w:t xml:space="preserve">prefrontal cortex of the brain </w:t>
      </w:r>
      <w:r>
        <w:t>which manage responses relating to human reactions: the what (working memory), the where (timing management and sequencing behaviours), the why (emotional reactions) and the who (internal and external self-awareness). He goes on to explain that executive function can be assessed against ability in the following seven core areas: self-awareness, inhibition, non-verbal working memory, working memory, emotional self-regulation, planning and problem solving. He argues that “</w:t>
      </w:r>
      <w:r>
        <w:rPr>
          <w:shd w:val="clear" w:color="auto" w:fill="FFFFFF"/>
        </w:rPr>
        <w:t>Essentially, ADHD is an executive function deficit disorder (EFDD)”</w:t>
      </w:r>
      <w:r>
        <w:t xml:space="preserve"> </w:t>
      </w:r>
      <w:r>
        <w:rPr>
          <w:shd w:val="clear" w:color="auto" w:fill="FFFFFF"/>
        </w:rPr>
        <w:t xml:space="preserve">and therefore a neurological disorder, causing high impact on both behaviour and emotional responses. </w:t>
      </w:r>
    </w:p>
    <w:p>
      <w:pPr>
        <w:spacing w:line="360" w:lineRule="auto"/>
        <w:jc w:val="both"/>
        <w:rPr>
          <w:shd w:val="clear" w:color="auto" w:fill="FFFFFF"/>
        </w:rPr>
      </w:pPr>
    </w:p>
    <w:p>
      <w:pPr>
        <w:pStyle w:val="NormalWeb"/>
        <w:spacing w:before="0" w:beforeAutospacing="0" w:line="360" w:lineRule="auto"/>
        <w:jc w:val="both"/>
      </w:pPr>
      <w:r>
        <w:rPr>
          <w:shd w:val="clear" w:color="auto" w:fill="FFFFFF"/>
        </w:rPr>
        <w:t>Kravit (2019) describes her “Intersection model” which supports Barkley’s work:</w:t>
      </w:r>
    </w:p>
    <w:p>
      <w:pPr>
        <w:pStyle w:val="NormalWeb"/>
        <w:spacing w:before="0" w:beforeAutospacing="0"/>
        <w:ind w:left="720" w:right="720"/>
        <w:jc w:val="both"/>
        <w:rPr>
          <w:i/>
          <w:shd w:val="clear" w:color="auto" w:fill="FFFFFF"/>
        </w:rPr>
      </w:pPr>
      <w:r>
        <w:rPr>
          <w:i/>
          <w:shd w:val="clear" w:color="auto" w:fill="FFFFFF"/>
        </w:rPr>
        <w:t xml:space="preserve">The prefrontal cortex (the intersection) is unable to properly regulate your various thoughts and feelings…. Emotions run through the intersection of the PFC, bringing </w:t>
      </w:r>
      <w:hyperlink r:id="rId8" w:history="1">
        <w:r>
          <w:rPr>
            <w:rStyle w:val="Hyperlink"/>
            <w:i/>
            <w:color w:val="auto"/>
            <w:u w:val="none"/>
          </w:rPr>
          <w:t>quick mood changes</w:t>
        </w:r>
      </w:hyperlink>
      <w:r>
        <w:rPr>
          <w:i/>
          <w:shd w:val="clear" w:color="auto" w:fill="FFFFFF"/>
        </w:rPr>
        <w:t>…. those with ADHD express emotions more intensely than may be justified for a given situation… This mind set leads to negative feedback from the world around them, interpersonal difficulties, and job or school troubles. Such inflexibility and impulsivity have a cumulative demoralizing and isolating effect.</w:t>
      </w:r>
    </w:p>
    <w:p>
      <w:pPr>
        <w:pStyle w:val="NormalWeb"/>
        <w:spacing w:before="0" w:beforeAutospacing="0"/>
        <w:ind w:left="720" w:right="720"/>
        <w:jc w:val="both"/>
        <w:rPr>
          <w:i/>
          <w:shd w:val="clear" w:color="auto" w:fill="FFFFFF"/>
        </w:rPr>
      </w:pPr>
    </w:p>
    <w:p>
      <w:pPr>
        <w:pStyle w:val="NormalWeb"/>
        <w:spacing w:before="0" w:beforeAutospacing="0" w:line="360" w:lineRule="auto"/>
        <w:jc w:val="both"/>
        <w:rPr>
          <w:shd w:val="clear" w:color="auto" w:fill="FFFFFF"/>
        </w:rPr>
      </w:pPr>
      <w:r>
        <w:rPr>
          <w:shd w:val="clear" w:color="auto" w:fill="FFFFFF"/>
        </w:rPr>
        <w:t>Burke Harris (2014), in her TED talk, also refers to the impact of early childhood trauma and Adverse Childhood Experiences (ACES) and the damage these also cause to the prefrontal cortex of the brain. She lists traumas such as physical and emotional abuse, neglect, substance dependence and mental health issues of a parent, incarceration, parental separation and divorce, domestic violence as contributory to impairments to development. She states that on MRI scans it is possible to see</w:t>
      </w:r>
      <w:r>
        <w:rPr>
          <w:i/>
          <w:shd w:val="clear" w:color="auto" w:fill="FFFFFF"/>
        </w:rPr>
        <w:t xml:space="preserve"> </w:t>
      </w:r>
      <w:r>
        <w:rPr>
          <w:shd w:val="clear" w:color="auto" w:fill="FFFFFF"/>
        </w:rPr>
        <w:t xml:space="preserve">“measurable differences on the amygdala, the brain’s fear response centre.” She believes that this high level of adversity is directly linked to engagement in high risk behaviour. </w:t>
      </w:r>
    </w:p>
    <w:p>
      <w:pPr>
        <w:pStyle w:val="NormalWeb"/>
        <w:spacing w:before="0" w:beforeAutospacing="0" w:line="360" w:lineRule="auto"/>
        <w:jc w:val="both"/>
        <w:rPr>
          <w:shd w:val="clear" w:color="auto" w:fill="FFFFFF"/>
        </w:rPr>
      </w:pPr>
      <w:r>
        <w:rPr>
          <w:shd w:val="clear" w:color="auto" w:fill="FFFFFF"/>
        </w:rPr>
        <w:t>She goes onto explain the damaging effects of the release of stress hormones such as adrenaline into the body which effects our “fight or flight response”, therefore not only impairing the development of brain structure and function but also the immune system, the hormonal system and “the way our DNA is read and transcribed”. She states that in order to “prevent, screen and heal the impacts of ACES and toxic stress” a holistic approach to patient care and the education of parents is key.</w:t>
      </w:r>
    </w:p>
    <w:p>
      <w:pPr>
        <w:pStyle w:val="NormalWeb"/>
        <w:spacing w:before="0" w:beforeAutospacing="0" w:line="360" w:lineRule="auto"/>
        <w:jc w:val="both"/>
        <w:rPr>
          <w:i/>
          <w:shd w:val="clear" w:color="auto" w:fill="FFFFFF"/>
        </w:rPr>
      </w:pPr>
      <w:r>
        <w:rPr>
          <w:shd w:val="clear" w:color="auto" w:fill="FFFFFF"/>
        </w:rPr>
        <w:t>Archer (2015) also writes about the impact of trauma on healthy development and achieving key milestones and points out that “many troubled children have been exposed to early traumatic experiences…without safe caregivers to protect them and manage…distress” (p. 14).</w:t>
      </w:r>
    </w:p>
    <w:p>
      <w:pPr>
        <w:pStyle w:val="NormalWeb"/>
        <w:spacing w:before="0" w:beforeAutospacing="0" w:after="0" w:afterAutospacing="0" w:line="360" w:lineRule="auto"/>
        <w:jc w:val="both"/>
        <w:rPr>
          <w:shd w:val="clear" w:color="auto" w:fill="FFFFFF"/>
        </w:rPr>
      </w:pPr>
      <w:r>
        <w:rPr>
          <w:shd w:val="clear" w:color="auto" w:fill="FFFFFF"/>
        </w:rPr>
        <w:t>She discusses that a child growing up in such an environment misses key opportunities for co-regulation and developing empathy, therefore being unable to develop and regulate their own sensory and emotional arousal, making their abilities to deal with relationships immature and having a distorted self-belief, being unable to tolerate or resolve shame. She writes:</w:t>
      </w:r>
    </w:p>
    <w:p>
      <w:pPr>
        <w:pStyle w:val="NormalWeb"/>
        <w:spacing w:before="0" w:beforeAutospacing="0" w:after="0" w:afterAutospacing="0"/>
        <w:ind w:left="720" w:right="720"/>
        <w:jc w:val="both"/>
        <w:rPr>
          <w:i/>
          <w:shd w:val="clear" w:color="auto" w:fill="FFFFFF"/>
        </w:rPr>
      </w:pPr>
    </w:p>
    <w:p>
      <w:pPr>
        <w:pStyle w:val="NormalWeb"/>
        <w:spacing w:before="0" w:beforeAutospacing="0" w:after="0" w:afterAutospacing="0"/>
        <w:ind w:left="720" w:right="720"/>
        <w:jc w:val="both"/>
        <w:rPr>
          <w:i/>
          <w:shd w:val="clear" w:color="auto" w:fill="FFFFFF"/>
        </w:rPr>
      </w:pPr>
      <w:r>
        <w:rPr>
          <w:i/>
          <w:shd w:val="clear" w:color="auto" w:fill="FFFFFF"/>
        </w:rPr>
        <w:t xml:space="preserve">Behaviour of traumatised children is described as difficult or challenging but theirs are normal responses to abnormal environments. Trauma normal has foundations in survival based neurobiology. </w:t>
      </w:r>
    </w:p>
    <w:p>
      <w:pPr>
        <w:pStyle w:val="NormalWeb"/>
        <w:spacing w:before="0" w:beforeAutospacing="0" w:after="0" w:afterAutospacing="0" w:line="360" w:lineRule="auto"/>
        <w:jc w:val="both"/>
        <w:rPr>
          <w:shd w:val="clear" w:color="auto" w:fill="FFFFFF"/>
        </w:rPr>
      </w:pPr>
    </w:p>
    <w:p>
      <w:pPr>
        <w:pStyle w:val="NormalWeb"/>
        <w:spacing w:before="0" w:beforeAutospacing="0" w:after="0" w:afterAutospacing="0" w:line="360" w:lineRule="auto"/>
        <w:jc w:val="both"/>
        <w:rPr>
          <w:shd w:val="clear" w:color="auto" w:fill="FFFFFF"/>
        </w:rPr>
      </w:pPr>
      <w:r>
        <w:rPr>
          <w:shd w:val="clear" w:color="auto" w:fill="FFFFFF"/>
        </w:rPr>
        <w:t xml:space="preserve">She describes how such children have an inability to either feel calm or an impaired ability to return to a state of calmness. Their “imprinted patterns – neurobiological wiring” (p. 14) is distorted. </w:t>
      </w:r>
    </w:p>
    <w:p>
      <w:pPr>
        <w:pStyle w:val="NormalWeb"/>
        <w:spacing w:before="0" w:beforeAutospacing="0" w:after="0" w:afterAutospacing="0" w:line="360" w:lineRule="auto"/>
        <w:jc w:val="both"/>
        <w:rPr>
          <w:shd w:val="clear" w:color="auto" w:fill="FFFFFF"/>
        </w:rPr>
      </w:pPr>
    </w:p>
    <w:p>
      <w:pPr>
        <w:pStyle w:val="NormalWeb"/>
        <w:spacing w:before="0" w:beforeAutospacing="0" w:line="360" w:lineRule="auto"/>
        <w:jc w:val="both"/>
        <w:rPr>
          <w:shd w:val="clear" w:color="auto" w:fill="FFFFFF"/>
        </w:rPr>
      </w:pPr>
      <w:r>
        <w:rPr>
          <w:shd w:val="clear" w:color="auto" w:fill="FFFFFF"/>
        </w:rPr>
        <w:t xml:space="preserve">Armstrong and Hallett (2012) note Araujo’s (2005) view that behaviour is innate to a child’s personality and is “within the child”. They make the point that poor behaviours within the classroom have a detrimental effect upon teacher welfare and that leads to a tension between policy and practise. They refer to these as environmental barriers to learning and that teachers are unequipped to deal with SEBD challenges in the classroom. They believe that there are unexamined societal questions of what is normal and abnormal in terms of behaviour and that clear research is difficult due to political contexts and constraints. </w:t>
      </w:r>
    </w:p>
    <w:p>
      <w:pPr>
        <w:pStyle w:val="NormalWeb"/>
        <w:spacing w:before="0" w:beforeAutospacing="0" w:line="360" w:lineRule="auto"/>
        <w:jc w:val="both"/>
        <w:rPr>
          <w:shd w:val="clear" w:color="auto" w:fill="FFFFFF"/>
        </w:rPr>
      </w:pPr>
      <w:r>
        <w:rPr>
          <w:shd w:val="clear" w:color="auto" w:fill="FFFFFF"/>
        </w:rPr>
        <w:t xml:space="preserve">Armstrong and Hallett (2012) also refer to </w:t>
      </w:r>
      <w:proofErr w:type="spellStart"/>
      <w:r>
        <w:rPr>
          <w:shd w:val="clear" w:color="auto" w:fill="FFFFFF"/>
        </w:rPr>
        <w:t>Critcher’s</w:t>
      </w:r>
      <w:proofErr w:type="spellEnd"/>
      <w:r>
        <w:rPr>
          <w:shd w:val="clear" w:color="auto" w:fill="FFFFFF"/>
        </w:rPr>
        <w:t xml:space="preserve"> (2008) “moral panic” and a belief that currently there are unrecognised mental health concerns which impact upon poor behaviour and poor discipline. Armstrong and Hallett (2012) cite the government’s White Paper of 2010 where the emphasis on behaviour was to highlight it in negative terms, to give assurances to educational professionals that they would have greater powers to address unruly behaviour yet there were no promises to support pupils or to investigate the causes of such behaviours, herein illustrating a political context in which SEBD can be viewed. Armstrong and Hallett (2012) allude to an opinion held in society by citing Graham (2008):</w:t>
      </w:r>
    </w:p>
    <w:p>
      <w:pPr>
        <w:pStyle w:val="NormalWeb"/>
        <w:spacing w:before="0" w:beforeAutospacing="0"/>
        <w:ind w:left="720" w:right="720"/>
        <w:jc w:val="both"/>
        <w:rPr>
          <w:i/>
          <w:shd w:val="clear" w:color="auto" w:fill="FFFFFF"/>
        </w:rPr>
      </w:pPr>
      <w:r>
        <w:rPr>
          <w:i/>
          <w:shd w:val="clear" w:color="auto" w:fill="FFFFFF"/>
        </w:rPr>
        <w:t xml:space="preserve">SEBD is a socio-cultural construct which uses </w:t>
      </w:r>
      <w:proofErr w:type="spellStart"/>
      <w:r>
        <w:rPr>
          <w:i/>
          <w:shd w:val="clear" w:color="auto" w:fill="FFFFFF"/>
        </w:rPr>
        <w:t>psychopathologising</w:t>
      </w:r>
      <w:proofErr w:type="spellEnd"/>
      <w:r>
        <w:rPr>
          <w:i/>
          <w:shd w:val="clear" w:color="auto" w:fill="FFFFFF"/>
        </w:rPr>
        <w:t xml:space="preserve"> discourses to categorise particular children as disorderly.</w:t>
      </w:r>
    </w:p>
    <w:p>
      <w:pPr>
        <w:pStyle w:val="NormalWeb"/>
        <w:spacing w:before="0" w:beforeAutospacing="0" w:line="360" w:lineRule="auto"/>
        <w:jc w:val="both"/>
        <w:rPr>
          <w:shd w:val="clear" w:color="auto" w:fill="FFFFFF"/>
        </w:rPr>
      </w:pPr>
      <w:r>
        <w:rPr>
          <w:shd w:val="clear" w:color="auto" w:fill="FFFFFF"/>
        </w:rPr>
        <w:t>Thus implying that society view of behaviour difficulties is one of children which are disorderly or naughty, not as thought of by others as a symptom of a disability or as a result of a neurological disorder over which they have little control.</w:t>
      </w:r>
    </w:p>
    <w:p>
      <w:pPr>
        <w:pStyle w:val="NormalWeb"/>
        <w:spacing w:before="0" w:beforeAutospacing="0" w:line="360" w:lineRule="auto"/>
        <w:jc w:val="both"/>
        <w:rPr>
          <w:shd w:val="clear" w:color="auto" w:fill="FFFFFF"/>
        </w:rPr>
      </w:pPr>
      <w:r>
        <w:rPr>
          <w:shd w:val="clear" w:color="auto" w:fill="FFFFFF"/>
        </w:rPr>
        <w:t xml:space="preserve">Armstrong and Hallett (2012) acknowledge the prevalence in SEBD for pupils with ADHD, Autism and specific learning disorders referring to the “coexistence and overlapping of conditions” and that it is possible that some underlying areas of need such as speech and language difficulties can go unnoticed when challenging behaviours becomes the “key driver” for pupils. </w:t>
      </w:r>
    </w:p>
    <w:p>
      <w:pPr>
        <w:pStyle w:val="NormalWeb"/>
        <w:spacing w:before="0" w:beforeAutospacing="0" w:line="360" w:lineRule="auto"/>
        <w:jc w:val="both"/>
        <w:rPr>
          <w:shd w:val="clear" w:color="auto" w:fill="FFFFFF"/>
        </w:rPr>
      </w:pPr>
      <w:r>
        <w:rPr>
          <w:shd w:val="clear" w:color="auto" w:fill="FFFFFF"/>
        </w:rPr>
        <w:t xml:space="preserve">Fox (2001) also makes the link between conditions such as ADHD and SEBD. She writes of the “demanding and hard to manage” (p. 78) pupils who are inattentive, have excessive motor activity, are poorly organised, impulsive, non-compliant, experience difficulties with peers and have poor self-esteem. She makes reference to both “biological causes” for the condition and also recognising that there are those children who have an “inability to settle and concentrate” (p. 78) as a direct result of major trauma. This aligns with Archer’s (2015) findings into the impact on trauma and development of ADHD.  </w:t>
      </w:r>
    </w:p>
    <w:p>
      <w:pPr>
        <w:pStyle w:val="NormalWeb"/>
        <w:spacing w:before="0" w:beforeAutospacing="0" w:line="360" w:lineRule="auto"/>
        <w:jc w:val="both"/>
        <w:rPr>
          <w:i/>
          <w:shd w:val="clear" w:color="auto" w:fill="FFFFFF"/>
        </w:rPr>
      </w:pPr>
      <w:r>
        <w:rPr>
          <w:shd w:val="clear" w:color="auto" w:fill="FFFFFF"/>
        </w:rPr>
        <w:t>Fox (2001) goes onto discuss Autism and Asperger’s syndrome and identifies Lorna Wing’s ‘Triad of impairments’, the level of difficulty the child experiences in terms of social interaction, social communication and imagination. She refers to pupils who have “fundamental difficulty coping with the social world and responding to the behaviour of others” (p. 88) and also writes that “the majority of behaviour problems arise out of anxiety” (p. 91). Latham and Miles (2001, p. 30) link communication difficulties with Autism and note that such children are particularly vulnerable to change and have difficulty relating to people.</w:t>
      </w:r>
    </w:p>
    <w:p>
      <w:pPr>
        <w:pStyle w:val="NormalWeb"/>
        <w:spacing w:before="0" w:beforeAutospacing="0" w:line="360" w:lineRule="auto"/>
        <w:jc w:val="both"/>
        <w:rPr>
          <w:shd w:val="clear" w:color="auto" w:fill="FFFFFF"/>
        </w:rPr>
      </w:pPr>
      <w:r>
        <w:rPr>
          <w:shd w:val="clear" w:color="auto" w:fill="FFFFFF"/>
        </w:rPr>
        <w:t xml:space="preserve">Latham and Miles (2001) also discuss the “psycholinguistic and sociolinguistic” (p. 7) theories of language acquisition; that language is acquired both as part of cognitive development, reacting to their knowledge of the world and to fulfil a social function when finding a need to communicate with others. They discuss the importance of this development during the first five years of life. If a child is exposed to adverse experiences and disruption to the normal pathways of development during this period, then language difficulties can occur leading to social and behavioural challenges. </w:t>
      </w:r>
    </w:p>
    <w:p>
      <w:pPr>
        <w:pStyle w:val="NormalWeb"/>
        <w:spacing w:before="0" w:beforeAutospacing="0" w:line="360" w:lineRule="auto"/>
        <w:jc w:val="both"/>
        <w:rPr>
          <w:shd w:val="clear" w:color="auto" w:fill="FFFFFF"/>
        </w:rPr>
      </w:pPr>
      <w:r>
        <w:rPr>
          <w:shd w:val="clear" w:color="auto" w:fill="FFFFFF"/>
        </w:rPr>
        <w:t xml:space="preserve">Webster and McConnell (1987) state that “language holds such a critical and complex position in development” (p. 1). They describe the impact of language delays, difficulties and disorders: </w:t>
      </w:r>
    </w:p>
    <w:p>
      <w:pPr>
        <w:pStyle w:val="NormalWeb"/>
        <w:spacing w:before="0" w:beforeAutospacing="0"/>
        <w:ind w:left="720" w:right="720"/>
        <w:jc w:val="both"/>
        <w:rPr>
          <w:i/>
          <w:shd w:val="clear" w:color="auto" w:fill="FFFFFF"/>
        </w:rPr>
      </w:pPr>
      <w:r>
        <w:rPr>
          <w:i/>
          <w:shd w:val="clear" w:color="auto" w:fill="FFFFFF"/>
        </w:rPr>
        <w:t>When severe and specific language problems arise, the child is at risk of a wide range of social, emotional and learning consequences. (p. 3)</w:t>
      </w:r>
    </w:p>
    <w:p>
      <w:pPr>
        <w:pStyle w:val="NormalWeb"/>
        <w:spacing w:before="0" w:beforeAutospacing="0" w:line="360" w:lineRule="auto"/>
        <w:jc w:val="both"/>
        <w:rPr>
          <w:shd w:val="clear" w:color="auto" w:fill="FFFFFF"/>
        </w:rPr>
      </w:pPr>
      <w:r>
        <w:rPr>
          <w:shd w:val="clear" w:color="auto" w:fill="FFFFFF"/>
        </w:rPr>
        <w:t>McMinn (2006, p. 4) also supports the links between language impairment and SEBD, highlighting how it can encompass a range of difficulties including areas such as:</w:t>
      </w:r>
    </w:p>
    <w:p>
      <w:pPr>
        <w:pStyle w:val="NormalWeb"/>
        <w:numPr>
          <w:ilvl w:val="0"/>
          <w:numId w:val="4"/>
        </w:numPr>
        <w:spacing w:before="0" w:beforeAutospacing="0" w:line="360" w:lineRule="auto"/>
        <w:ind w:right="720"/>
        <w:jc w:val="both"/>
        <w:rPr>
          <w:shd w:val="clear" w:color="auto" w:fill="FFFFFF"/>
        </w:rPr>
      </w:pPr>
      <w:r>
        <w:rPr>
          <w:shd w:val="clear" w:color="auto" w:fill="FFFFFF"/>
        </w:rPr>
        <w:t>Expressive language - speech</w:t>
      </w:r>
    </w:p>
    <w:p>
      <w:pPr>
        <w:pStyle w:val="NormalWeb"/>
        <w:numPr>
          <w:ilvl w:val="0"/>
          <w:numId w:val="4"/>
        </w:numPr>
        <w:spacing w:before="0" w:beforeAutospacing="0" w:line="360" w:lineRule="auto"/>
        <w:ind w:right="720"/>
        <w:jc w:val="both"/>
        <w:rPr>
          <w:shd w:val="clear" w:color="auto" w:fill="FFFFFF"/>
        </w:rPr>
      </w:pPr>
      <w:r>
        <w:rPr>
          <w:shd w:val="clear" w:color="auto" w:fill="FFFFFF"/>
        </w:rPr>
        <w:t>Receptive language – listening, following instructions</w:t>
      </w:r>
    </w:p>
    <w:p>
      <w:pPr>
        <w:pStyle w:val="NormalWeb"/>
        <w:numPr>
          <w:ilvl w:val="0"/>
          <w:numId w:val="4"/>
        </w:numPr>
        <w:spacing w:before="0" w:beforeAutospacing="0" w:line="360" w:lineRule="auto"/>
        <w:ind w:right="720"/>
        <w:jc w:val="both"/>
        <w:rPr>
          <w:shd w:val="clear" w:color="auto" w:fill="FFFFFF"/>
        </w:rPr>
      </w:pPr>
      <w:r>
        <w:rPr>
          <w:shd w:val="clear" w:color="auto" w:fill="FFFFFF"/>
        </w:rPr>
        <w:t>Social use of language – relating to others, social codes, accepted behaviours</w:t>
      </w:r>
    </w:p>
    <w:p>
      <w:pPr>
        <w:pStyle w:val="NormalWeb"/>
        <w:numPr>
          <w:ilvl w:val="0"/>
          <w:numId w:val="4"/>
        </w:numPr>
        <w:spacing w:before="0" w:beforeAutospacing="0" w:line="360" w:lineRule="auto"/>
        <w:ind w:right="720"/>
        <w:jc w:val="both"/>
        <w:rPr>
          <w:shd w:val="clear" w:color="auto" w:fill="FFFFFF"/>
        </w:rPr>
      </w:pPr>
      <w:r>
        <w:rPr>
          <w:shd w:val="clear" w:color="auto" w:fill="FFFFFF"/>
        </w:rPr>
        <w:t>Behaviour – difficulty with focussing attention and listening</w:t>
      </w:r>
    </w:p>
    <w:p>
      <w:pPr>
        <w:pStyle w:val="NormalWeb"/>
        <w:numPr>
          <w:ilvl w:val="0"/>
          <w:numId w:val="4"/>
        </w:numPr>
        <w:spacing w:before="0" w:beforeAutospacing="0" w:line="360" w:lineRule="auto"/>
        <w:ind w:right="720"/>
        <w:jc w:val="both"/>
        <w:rPr>
          <w:shd w:val="clear" w:color="auto" w:fill="FFFFFF"/>
        </w:rPr>
      </w:pPr>
      <w:r>
        <w:rPr>
          <w:shd w:val="clear" w:color="auto" w:fill="FFFFFF"/>
        </w:rPr>
        <w:t>Developmental coordination (Dyspraxia) – organising, planning, controlling the body</w:t>
      </w:r>
    </w:p>
    <w:p>
      <w:pPr>
        <w:pStyle w:val="NormalWeb"/>
        <w:numPr>
          <w:ilvl w:val="0"/>
          <w:numId w:val="4"/>
        </w:numPr>
        <w:spacing w:before="0" w:beforeAutospacing="0" w:line="360" w:lineRule="auto"/>
        <w:ind w:right="720"/>
        <w:jc w:val="both"/>
        <w:rPr>
          <w:shd w:val="clear" w:color="auto" w:fill="FFFFFF"/>
        </w:rPr>
      </w:pPr>
      <w:r>
        <w:rPr>
          <w:shd w:val="clear" w:color="auto" w:fill="FFFFFF"/>
        </w:rPr>
        <w:t>Sensory Integration – visual problems (shifting gaze), under and over reactions to senses, being overly tactile or hyper sensitive, impaired awareness of bodily functions</w:t>
      </w:r>
    </w:p>
    <w:p>
      <w:pPr>
        <w:pStyle w:val="NormalWeb"/>
        <w:spacing w:before="0" w:beforeAutospacing="0" w:line="360" w:lineRule="auto"/>
        <w:ind w:right="-22"/>
        <w:jc w:val="both"/>
        <w:rPr>
          <w:i/>
          <w:shd w:val="clear" w:color="auto" w:fill="FFFFFF"/>
        </w:rPr>
      </w:pPr>
      <w:r>
        <w:rPr>
          <w:shd w:val="clear" w:color="auto" w:fill="FFFFFF"/>
        </w:rPr>
        <w:t>McMinn (2006) concludes that there is “a strong link between BESD and communication problems” (p. 120)</w:t>
      </w:r>
    </w:p>
    <w:p>
      <w:pPr>
        <w:pStyle w:val="NormalWeb"/>
        <w:spacing w:before="0" w:beforeAutospacing="0" w:line="360" w:lineRule="auto"/>
        <w:jc w:val="both"/>
        <w:rPr>
          <w:shd w:val="clear" w:color="auto" w:fill="FFFFFF"/>
        </w:rPr>
      </w:pPr>
      <w:r>
        <w:rPr>
          <w:shd w:val="clear" w:color="auto" w:fill="FFFFFF"/>
        </w:rPr>
        <w:t xml:space="preserve">Kirby and Drew (2003, p. 142) make the links between Dyspraxia, Developmental Coordination Disorders (DCD) and SEBD, pointing out children with DCD may display poor behaviour as a result of being unable to concentrate and manage their motor abilities. Children with language processing difficulties often show adverse behaviour as they are unable to clearly explain their problems with understanding.     </w:t>
      </w:r>
    </w:p>
    <w:p>
      <w:pPr>
        <w:pStyle w:val="NormalWeb"/>
        <w:spacing w:before="0" w:beforeAutospacing="0" w:line="360" w:lineRule="auto"/>
        <w:jc w:val="both"/>
        <w:rPr>
          <w:shd w:val="clear" w:color="auto" w:fill="FFFFFF"/>
        </w:rPr>
      </w:pPr>
      <w:proofErr w:type="spellStart"/>
      <w:r>
        <w:rPr>
          <w:shd w:val="clear" w:color="auto" w:fill="FFFFFF"/>
        </w:rPr>
        <w:t>Kraybill</w:t>
      </w:r>
      <w:proofErr w:type="spellEnd"/>
      <w:r>
        <w:rPr>
          <w:shd w:val="clear" w:color="auto" w:fill="FFFFFF"/>
        </w:rPr>
        <w:t xml:space="preserve"> (2016) further develops the links between early childhood trauma, supporting children with sensory integration problems and SEBD. She notes that as a result of trauma, emotional reactions are closely linked to sensory experiences, which override rational thoughts and reactions.</w:t>
      </w:r>
    </w:p>
    <w:p>
      <w:pPr>
        <w:spacing w:line="360" w:lineRule="auto"/>
        <w:jc w:val="both"/>
        <w:rPr>
          <w:i/>
        </w:rPr>
      </w:pPr>
      <w:r>
        <w:t xml:space="preserve">Australian neurological music therapist Davies (2019) is an advocate for </w:t>
      </w:r>
      <w:proofErr w:type="spellStart"/>
      <w:r>
        <w:t>recognising</w:t>
      </w:r>
      <w:proofErr w:type="spellEnd"/>
      <w:r>
        <w:t xml:space="preserve"> that </w:t>
      </w:r>
      <w:proofErr w:type="spellStart"/>
      <w:r>
        <w:t>childrens</w:t>
      </w:r>
      <w:proofErr w:type="spellEnd"/>
      <w:r>
        <w:t xml:space="preserve">’ brain development is linked to behaviour management. She notes how an anxiety related behaviour is a result of the </w:t>
      </w:r>
      <w:proofErr w:type="spellStart"/>
      <w:r>
        <w:t>misfunction</w:t>
      </w:r>
      <w:proofErr w:type="spellEnd"/>
      <w:r>
        <w:t xml:space="preserve"> of neural pathways and children need “to be showered in love compassion and safety, not punishment, fear or shame.”</w:t>
      </w:r>
    </w:p>
    <w:p>
      <w:pPr>
        <w:spacing w:line="360" w:lineRule="auto"/>
        <w:ind w:right="720"/>
        <w:jc w:val="both"/>
      </w:pPr>
    </w:p>
    <w:p>
      <w:pPr>
        <w:spacing w:line="360" w:lineRule="auto"/>
        <w:jc w:val="both"/>
      </w:pPr>
      <w:r>
        <w:t>Cooper (1994, p.19) reflects upon this key role of the reactive teacher and also the responsibility of the school community in management of behaviours. He writes that whilst much has been written about causes of SEBD being linked to either the individual or family influences, he argues that potentially, schools themselves may intensify behaviour problems. Classroom interactions and the school ethos are vital in the promotion of positive behaviour.</w:t>
      </w:r>
    </w:p>
    <w:p>
      <w:pPr>
        <w:spacing w:line="360" w:lineRule="auto"/>
        <w:jc w:val="both"/>
      </w:pPr>
    </w:p>
    <w:p>
      <w:pPr>
        <w:spacing w:line="360" w:lineRule="auto"/>
        <w:jc w:val="both"/>
      </w:pPr>
      <w:r>
        <w:t xml:space="preserve">This is supported by Farrell (1995) who writes the way in which a school sets standards of behaviour and defines problem behaviours is variable between establishments. McNamara and Moreton (1995) whilst acknowledging both internal and external factors contributory to SEBD, they point out: </w:t>
      </w:r>
    </w:p>
    <w:p>
      <w:pPr>
        <w:ind w:left="720" w:right="720"/>
        <w:jc w:val="both"/>
        <w:rPr>
          <w:i/>
        </w:rPr>
      </w:pPr>
    </w:p>
    <w:p>
      <w:pPr>
        <w:ind w:left="720" w:right="720"/>
        <w:jc w:val="both"/>
        <w:rPr>
          <w:i/>
        </w:rPr>
      </w:pPr>
      <w:r>
        <w:rPr>
          <w:i/>
        </w:rPr>
        <w:t>This tendency to look for home background as a cause is an indication of teacher defensiveness and of their reluctance to look at their own behaviour, feelings and part in the relationship. (p. 4)</w:t>
      </w:r>
    </w:p>
    <w:p>
      <w:pPr>
        <w:spacing w:line="360" w:lineRule="auto"/>
        <w:jc w:val="both"/>
      </w:pPr>
    </w:p>
    <w:p>
      <w:pPr>
        <w:spacing w:line="360" w:lineRule="auto"/>
        <w:jc w:val="both"/>
        <w:rPr>
          <w:i/>
        </w:rPr>
      </w:pPr>
      <w:r>
        <w:t xml:space="preserve">Carpenter et al (2015) describe pupils who have Complex Learning Difficulties and Disabilities (CLDD). They believe that the teaching profession is struggling to meet the needs of such pupils in the existing educational framework. They write about the advances of medical understanding of CLDD and the “global challenge” (p. 6) facing teachers in developing their own professional knowledge, understanding and practices. </w:t>
      </w:r>
    </w:p>
    <w:p>
      <w:pPr>
        <w:spacing w:line="360" w:lineRule="auto"/>
        <w:ind w:left="720" w:right="720"/>
        <w:jc w:val="both"/>
      </w:pPr>
    </w:p>
    <w:p>
      <w:pPr>
        <w:spacing w:line="360" w:lineRule="auto"/>
        <w:jc w:val="both"/>
      </w:pPr>
      <w:r>
        <w:t>Carpenter et al (2015) use a model called ‘The Continuum of Vulnerability’ which highlights disadvantage, economic or social deprivation and disability as its markers upon which to place a vulnerable child. They define such pupils as having co-existing conditions which “overlap and interlock, creating a complex profile” and requiring “personalised learning”. Layered needs can include; mental health, relationship, behavioural, physical, medical, sensory, communication and cognitive. They also take into account children who were premature, with low birth weights, Fetal Alcohol Spectrum Disorder, Chromosomal abnormalities, Fragile-X syndrome and ASD. They make reference to the emerging neuroscience advancements which can uncover biomarkers in infancy in children with potential learning difficulties, thus enabling very early “environmental intervention” and potentially altering life courses for those children. They conclude that moving forward we need to:</w:t>
      </w:r>
    </w:p>
    <w:p>
      <w:pPr>
        <w:spacing w:line="360" w:lineRule="auto"/>
        <w:ind w:right="720"/>
        <w:jc w:val="both"/>
      </w:pPr>
    </w:p>
    <w:p>
      <w:pPr>
        <w:ind w:left="720" w:right="720"/>
        <w:jc w:val="both"/>
        <w:rPr>
          <w:i/>
        </w:rPr>
      </w:pPr>
      <w:r>
        <w:rPr>
          <w:i/>
        </w:rPr>
        <w:t>create a professional learning community that is committed to inquiry-led practice; we need a new generation of research which is practitioner led, inquiry focused and evidence based…only then will we innovate new, dynamic and personalized learning for children with complex needs, enabling a transformation in their lives. (p. 15)</w:t>
      </w:r>
    </w:p>
    <w:p>
      <w:pPr>
        <w:spacing w:line="360" w:lineRule="auto"/>
        <w:ind w:left="720" w:right="720"/>
        <w:jc w:val="both"/>
      </w:pPr>
    </w:p>
    <w:p>
      <w:pPr>
        <w:spacing w:line="360" w:lineRule="auto"/>
        <w:jc w:val="both"/>
      </w:pPr>
      <w:r>
        <w:t xml:space="preserve">Palmer (2006) attributes ‘SEN explosion’: those diagnosed with disorders, those struggling in the classroom, those disenfranchised from society in general as being victims of ‘Toxic Childhood Syndrome’. She describes how cultural side effects such as increased reliance on technology, a taste for unhealthy junk food, ‘a couch potato’ lifestyle, sleep problems and the fear of parents to allow children to play outside safely thus using up energy. She supports the rise in “inadequate early emotional bonding” and points out the damage caused by a “test and target driven curriculum”. She agrees with Maslow - that children have basic needs that need to be met. She discusses the “exposure to manipulative advertising and celebrity culture” which has impacted upon morale standards in society. She also supports the notion of genetic predisposition to SEBD and how it could easily be onset by these “cultural side effects” (p. 14). </w:t>
      </w:r>
    </w:p>
    <w:p>
      <w:pPr>
        <w:spacing w:line="360" w:lineRule="auto"/>
        <w:ind w:left="720" w:right="720"/>
        <w:jc w:val="both"/>
      </w:pPr>
    </w:p>
    <w:p>
      <w:pPr>
        <w:spacing w:line="360" w:lineRule="auto"/>
        <w:jc w:val="both"/>
      </w:pPr>
      <w:r>
        <w:t xml:space="preserve">In conclusion, the arguments around the causes of SEBD are many, complex and dependent upon the individual. However, much can be done to support pupils, providing a holistic approach to care and support is given in order to ascertain how and why the need has arisen. </w:t>
      </w:r>
    </w:p>
    <w:p>
      <w:pPr>
        <w:spacing w:line="360" w:lineRule="auto"/>
        <w:ind w:right="720"/>
        <w:jc w:val="both"/>
      </w:pPr>
    </w:p>
    <w:p>
      <w:pPr>
        <w:spacing w:line="360" w:lineRule="auto"/>
        <w:jc w:val="both"/>
      </w:pPr>
      <w:r>
        <w:t xml:space="preserve"> </w:t>
      </w:r>
    </w:p>
    <w:p>
      <w:pPr>
        <w:spacing w:line="360" w:lineRule="auto"/>
        <w:jc w:val="both"/>
      </w:pPr>
    </w:p>
    <w:p>
      <w:pPr>
        <w:spacing w:line="360" w:lineRule="auto"/>
      </w:pPr>
    </w:p>
    <w:p>
      <w:pPr>
        <w:spacing w:line="360" w:lineRule="auto"/>
      </w:pPr>
    </w:p>
    <w:p>
      <w:pPr>
        <w:spacing w:line="360" w:lineRule="auto"/>
      </w:pPr>
    </w:p>
    <w:p>
      <w:pPr>
        <w:spacing w:line="360" w:lineRule="auto"/>
        <w:rPr>
          <w:shd w:val="clear" w:color="auto" w:fill="FFFFFF"/>
        </w:rPr>
      </w:pPr>
    </w:p>
    <w:p>
      <w:pPr>
        <w:spacing w:line="360" w:lineRule="auto"/>
        <w:rPr>
          <w:shd w:val="clear" w:color="auto" w:fill="FFFFFF"/>
        </w:rPr>
      </w:pPr>
    </w:p>
    <w:p>
      <w:pPr>
        <w:spacing w:line="360" w:lineRule="auto"/>
        <w:rPr>
          <w:shd w:val="clear" w:color="auto" w:fill="FFFFFF"/>
        </w:rPr>
      </w:pPr>
    </w:p>
    <w:p>
      <w:pPr>
        <w:spacing w:line="360" w:lineRule="auto"/>
        <w:rPr>
          <w:shd w:val="clear" w:color="auto" w:fill="FFFFFF"/>
        </w:rPr>
      </w:pPr>
    </w:p>
    <w:p>
      <w:pPr>
        <w:spacing w:line="360" w:lineRule="auto"/>
        <w:rPr>
          <w:shd w:val="clear" w:color="auto" w:fill="FFFFFF"/>
        </w:rPr>
      </w:pPr>
    </w:p>
    <w:p>
      <w:pPr>
        <w:spacing w:after="160" w:line="259" w:lineRule="auto"/>
        <w:rPr>
          <w:shd w:val="clear" w:color="auto" w:fill="FFFFFF"/>
        </w:rPr>
      </w:pPr>
      <w:r>
        <w:rPr>
          <w:shd w:val="clear" w:color="auto" w:fill="FFFFFF"/>
        </w:rPr>
        <w:br w:type="page"/>
      </w:r>
    </w:p>
    <w:p>
      <w:pPr>
        <w:spacing w:line="360" w:lineRule="auto"/>
        <w:rPr>
          <w:shd w:val="clear" w:color="auto" w:fill="FFFFFF"/>
        </w:rPr>
      </w:pPr>
    </w:p>
    <w:p>
      <w:pPr>
        <w:spacing w:after="200" w:line="360" w:lineRule="auto"/>
        <w:rPr>
          <w:b/>
          <w:u w:val="single"/>
          <w:lang w:eastAsia="en-GB"/>
        </w:rPr>
      </w:pPr>
      <w:r>
        <w:rPr>
          <w:b/>
          <w:u w:val="single"/>
          <w:lang w:eastAsia="en-GB"/>
        </w:rPr>
        <w:t>Part Two (4,000 words)</w:t>
      </w:r>
    </w:p>
    <w:p>
      <w:pPr>
        <w:spacing w:line="360" w:lineRule="auto"/>
        <w:rPr>
          <w:u w:val="single"/>
          <w:shd w:val="clear" w:color="auto" w:fill="FFFFFF"/>
          <w:lang w:eastAsia="en-GB"/>
        </w:rPr>
      </w:pPr>
      <w:r>
        <w:rPr>
          <w:u w:val="single"/>
          <w:shd w:val="clear" w:color="auto" w:fill="FFFFFF"/>
          <w:lang w:eastAsia="en-GB"/>
        </w:rPr>
        <w:t>Use the two case studies provided to critically reflect on your own professional practice and make recommendations for how you could use CPD to develop in the future.</w:t>
      </w:r>
    </w:p>
    <w:p>
      <w:pPr>
        <w:spacing w:line="360" w:lineRule="auto"/>
        <w:ind w:right="720"/>
        <w:jc w:val="both"/>
      </w:pPr>
    </w:p>
    <w:p>
      <w:pPr>
        <w:spacing w:line="360" w:lineRule="auto"/>
        <w:ind w:right="120"/>
        <w:jc w:val="both"/>
      </w:pPr>
      <w:r>
        <w:rPr>
          <w:lang w:val="en-GB"/>
        </w:rPr>
        <w:t xml:space="preserve">In reflecting on my professional practice in supporting all pupils, particularly those who display SEBD, it is important to understand the individual in your care. </w:t>
      </w:r>
      <w:proofErr w:type="spellStart"/>
      <w:r>
        <w:t>Eanes</w:t>
      </w:r>
      <w:proofErr w:type="spellEnd"/>
      <w:r>
        <w:t xml:space="preserve"> (2019), author of a series of positive parenting books and who writes from the perspective of a parent points out that “When we look behind the behaviour we see that little struggling human who needs our help with something.”</w:t>
      </w:r>
    </w:p>
    <w:p>
      <w:pPr>
        <w:spacing w:line="360" w:lineRule="auto"/>
        <w:ind w:left="720" w:right="120"/>
        <w:jc w:val="both"/>
      </w:pPr>
    </w:p>
    <w:p>
      <w:pPr>
        <w:spacing w:line="360" w:lineRule="auto"/>
        <w:ind w:right="120"/>
        <w:jc w:val="both"/>
        <w:rPr>
          <w:u w:val="single"/>
          <w:lang w:val="en-GB"/>
        </w:rPr>
      </w:pPr>
      <w:r>
        <w:rPr>
          <w:u w:val="single"/>
          <w:lang w:val="en-GB"/>
        </w:rPr>
        <w:t>Case study One</w:t>
      </w:r>
    </w:p>
    <w:p>
      <w:pPr>
        <w:spacing w:line="360" w:lineRule="auto"/>
        <w:ind w:right="120"/>
        <w:jc w:val="both"/>
        <w:rPr>
          <w:lang w:val="en-GB"/>
        </w:rPr>
      </w:pPr>
    </w:p>
    <w:p>
      <w:pPr>
        <w:spacing w:line="360" w:lineRule="auto"/>
        <w:ind w:right="120"/>
        <w:jc w:val="both"/>
        <w:rPr>
          <w:lang w:val="en-GB"/>
        </w:rPr>
      </w:pPr>
      <w:r>
        <w:rPr>
          <w:lang w:val="en-GB"/>
        </w:rPr>
        <w:t xml:space="preserve">In the case study of ‘Ronnie’, he is clearly a boy who is struggling with something. His behaviour suggests that he finds concentrating difficult and would prefer to engage with peers rather than adults. Perhaps he has difficulty relating to an adult. No family background is provided in the case study and it is likely, due to his disruptive nature and the apparent effect of his behaviour on the class as a whole, that his relationship with his teacher is either strained or has broken down. The teacher has expressed that “every lesson is a battle with Ronnie”. Ronnie is described as being very physical, fidgety and distracted, but surprisingly he has a dislike for sports. This is suggestive of either a sensory difficulty or inability to appropriately control his motor skills as is common in Development Coordination Disorder. This could also be an explanation as to why it has been noted he is the last to be dressed for PE. Perhaps he finds it difficult to coordinate dressing? It also seems that his constant need to ‘fiddle’ is a way of him self-regulating.  He is finding excuses to leave the room, such as constant toilet breaks which could again be indicative of a sensory issue – not knowing when his bladder is full or empty, or the need to move around linked to hyperactivity. </w:t>
      </w:r>
    </w:p>
    <w:p>
      <w:pPr>
        <w:spacing w:line="360" w:lineRule="auto"/>
        <w:ind w:right="120"/>
        <w:jc w:val="both"/>
        <w:rPr>
          <w:lang w:val="en-GB"/>
        </w:rPr>
      </w:pPr>
    </w:p>
    <w:p>
      <w:pPr>
        <w:spacing w:line="360" w:lineRule="auto"/>
        <w:ind w:right="120"/>
        <w:jc w:val="both"/>
        <w:rPr>
          <w:lang w:val="en-GB"/>
        </w:rPr>
      </w:pPr>
      <w:r>
        <w:rPr>
          <w:lang w:val="en-GB"/>
        </w:rPr>
        <w:t xml:space="preserve">Ronnie does not appear to currently be in the zone for learning. His physical and emotional needs are not allowing his brain to be in a place to learn, added to this it is possible that Ronnie has a specific learning difficulty or language disorder. The aversion tactics and behaviours could be a result of Ronnie not understanding what he has to do. We are unaware of Ronnie’s level of self-esteem. No age is given for Ronnie, however reference is made to him ‘fiddling with his mobile phone’, indicating that he is possibly a comprehensive school child. It is likely therefore that these issues have been long term and ongoing. It would be interesting to ask other teachers who have worked with him to have a chronology of academic progress and emotional development. Has Ronnie met or missed key milestones? What professionals have already been involved? </w:t>
      </w:r>
    </w:p>
    <w:p>
      <w:pPr>
        <w:spacing w:line="360" w:lineRule="auto"/>
        <w:ind w:right="120"/>
        <w:jc w:val="both"/>
        <w:rPr>
          <w:lang w:val="en-GB"/>
        </w:rPr>
      </w:pPr>
    </w:p>
    <w:p>
      <w:pPr>
        <w:spacing w:line="360" w:lineRule="auto"/>
        <w:ind w:right="120"/>
        <w:jc w:val="both"/>
        <w:rPr>
          <w:lang w:val="en-GB"/>
        </w:rPr>
      </w:pPr>
      <w:r>
        <w:rPr>
          <w:lang w:val="en-GB"/>
        </w:rPr>
        <w:t>Ronnie’s behaviours are also those characteristic to Attention Deficit Hyperactivity Disorder; his excessive restlessness, inattention, avoidance, impulsiveness, difficulties forming relationships with authority figures, poor planning and multi-tasking. In order to obtain a diagnosis for Ronnie is would be important to explore every pathway of difficulty. Whilst a label can be valuable in ensuring a level of understanding and empathy for a child’s difficulty, it can also carry a stigma and affect a child’s self-esteem. A medical diagnosis could also lead to drug therapy treatments.</w:t>
      </w:r>
    </w:p>
    <w:p>
      <w:pPr>
        <w:spacing w:line="360" w:lineRule="auto"/>
        <w:ind w:right="120"/>
        <w:jc w:val="both"/>
        <w:rPr>
          <w:lang w:val="en-GB"/>
        </w:rPr>
      </w:pPr>
    </w:p>
    <w:p>
      <w:pPr>
        <w:spacing w:line="360" w:lineRule="auto"/>
        <w:ind w:right="120"/>
        <w:jc w:val="both"/>
        <w:rPr>
          <w:lang w:val="en-GB"/>
        </w:rPr>
      </w:pPr>
      <w:r>
        <w:rPr>
          <w:lang w:val="en-GB"/>
        </w:rPr>
        <w:t xml:space="preserve">I would begin by supporting Ronnie through a series of both assessments and observations in different contexts – in different lessons, at break and lunch times, with his peers, in small groups and as a part of a large class or group, such as assembly. This would give a clear picture of both Ronnie’s day and whether there are certain learning environments and conditions that suit Ronnie best. Do all adults find him equally challenging or is there opportunity to share good practise and successful approaches amongst the staff? Given Ronnie’s possible age, I would engage with Ronnie himself to build a relationship. I would use Person Centred Practices and tools (appendix one) to know his strengths, weaknesses and interests, to create a one-page profile (appendix two) which could be used to communicate with other staff what Ronnie needs in order to be successful at school and in each different learning context so that he feels supported and staff feel that approaches to Ronnie are consistent. </w:t>
      </w:r>
    </w:p>
    <w:p>
      <w:pPr>
        <w:spacing w:line="360" w:lineRule="auto"/>
        <w:ind w:right="120"/>
        <w:jc w:val="both"/>
        <w:rPr>
          <w:lang w:val="en-GB"/>
        </w:rPr>
      </w:pPr>
    </w:p>
    <w:p>
      <w:pPr>
        <w:spacing w:line="360" w:lineRule="auto"/>
        <w:ind w:right="120"/>
        <w:jc w:val="both"/>
        <w:rPr>
          <w:lang w:val="en-GB"/>
        </w:rPr>
      </w:pPr>
      <w:r>
        <w:rPr>
          <w:lang w:val="en-GB"/>
        </w:rPr>
        <w:t>Once I felt that Ronnie and I had made a connection I would then employ a series of formal assessments such as the Aston Index to ascertain any underlying learning difficulties and in what specific areas Ronnie may need specific intervention. It is within this field of assessing and screening that I would seek to engage the support of relevant outside agencies in order to develop my ability to assess the pupil, interpret the data and use that information to create work to target key areas of difficulty.</w:t>
      </w:r>
    </w:p>
    <w:p>
      <w:pPr>
        <w:spacing w:line="360" w:lineRule="auto"/>
        <w:ind w:right="120"/>
        <w:jc w:val="both"/>
        <w:rPr>
          <w:lang w:val="en-GB"/>
        </w:rPr>
      </w:pPr>
    </w:p>
    <w:p>
      <w:pPr>
        <w:spacing w:line="360" w:lineRule="auto"/>
        <w:ind w:right="120"/>
        <w:jc w:val="both"/>
        <w:rPr>
          <w:lang w:val="en-GB"/>
        </w:rPr>
      </w:pPr>
      <w:r>
        <w:rPr>
          <w:lang w:val="en-GB"/>
        </w:rPr>
        <w:t xml:space="preserve">At this point it would also be valuable to look at Ronnie’s academic and personal chronology. Are there any significant events in his family history which could be impacting on Ronnie’s behaviour? </w:t>
      </w:r>
      <w:r>
        <w:t>An initiative, used by our feeder comprehensive school is ‘Trauma Informed Schools’ where staff undergo training in order to support vulnerable pupils affected by trauma. The main aim of the Trauma Informed Schools UK organization is to:</w:t>
      </w:r>
    </w:p>
    <w:p>
      <w:pPr>
        <w:spacing w:line="360" w:lineRule="auto"/>
        <w:ind w:right="120"/>
        <w:jc w:val="both"/>
      </w:pPr>
    </w:p>
    <w:p>
      <w:pPr>
        <w:ind w:left="720" w:right="720"/>
        <w:jc w:val="both"/>
        <w:rPr>
          <w:bCs/>
          <w:i/>
          <w:shd w:val="clear" w:color="auto" w:fill="FFFFFF"/>
        </w:rPr>
      </w:pPr>
      <w:r>
        <w:rPr>
          <w:rStyle w:val="Strong"/>
          <w:b w:val="0"/>
          <w:i/>
        </w:rPr>
        <w:t>Provide vulnerable children with daily access to at least one named, emotionally-available adult</w:t>
      </w:r>
      <w:r>
        <w:rPr>
          <w:b/>
          <w:bCs/>
          <w:i/>
          <w:shd w:val="clear" w:color="auto" w:fill="FFFFFF"/>
        </w:rPr>
        <w:t>,</w:t>
      </w:r>
      <w:r>
        <w:rPr>
          <w:bCs/>
          <w:i/>
          <w:shd w:val="clear" w:color="auto" w:fill="FFFFFF"/>
        </w:rPr>
        <w:t xml:space="preserve"> who believes in them, relates to them with compassion, empathy and unconditional positive regard, provides appropriate limit setting, understands their attachment and mental health needs, knows their life story, and offers repeated enriched relational, regulatory and reflective opportunities. (2019)</w:t>
      </w:r>
    </w:p>
    <w:p>
      <w:pPr>
        <w:spacing w:line="360" w:lineRule="auto"/>
        <w:ind w:right="120"/>
        <w:jc w:val="both"/>
      </w:pPr>
    </w:p>
    <w:p>
      <w:pPr>
        <w:spacing w:line="360" w:lineRule="auto"/>
        <w:ind w:right="120"/>
        <w:jc w:val="both"/>
        <w:rPr>
          <w:shd w:val="clear" w:color="auto" w:fill="FFFFFF"/>
        </w:rPr>
      </w:pPr>
      <w:r>
        <w:t>The focus of the initiative is to empower practitioners in supporting pupils and “</w:t>
      </w:r>
      <w:r>
        <w:rPr>
          <w:bCs/>
          <w:shd w:val="clear" w:color="auto" w:fill="FFFFFF"/>
        </w:rPr>
        <w:t>help them move from ‘behaving’ their trauma/painful life experiences, to reflecting and developing coherent life narratives.” In the case of Ronnie, this could be successful in allowing him to build a relationship with a constant adult, one trained in supporting complex issues of trauma and negative life events. The aim is not to cure or solve, but to empathise.</w:t>
      </w:r>
      <w:r>
        <w:t xml:space="preserve"> </w:t>
      </w:r>
      <w:r>
        <w:rPr>
          <w:shd w:val="clear" w:color="auto" w:fill="FFFFFF"/>
        </w:rPr>
        <w:t>Denham (2010, abstract) argues that teachers view children's "readiness to learn" and "</w:t>
      </w:r>
      <w:proofErr w:type="spellStart"/>
      <w:r>
        <w:rPr>
          <w:shd w:val="clear" w:color="auto" w:fill="FFFFFF"/>
        </w:rPr>
        <w:t>teachability</w:t>
      </w:r>
      <w:proofErr w:type="spellEnd"/>
      <w:r>
        <w:rPr>
          <w:shd w:val="clear" w:color="auto" w:fill="FFFFFF"/>
        </w:rPr>
        <w:t>" is the point at which they have positive emotional expressiveness, enthusiasm, and the ability to regulate emotions and behaviours. It would be valuable to partner with our feeder school and release a key member of our staff working with Ronnie who could shadow a knowledgeable trauma informed practitioner in order to disseminate their skill set.</w:t>
      </w:r>
    </w:p>
    <w:p>
      <w:pPr>
        <w:spacing w:line="360" w:lineRule="auto"/>
        <w:ind w:right="120"/>
        <w:jc w:val="both"/>
        <w:rPr>
          <w:shd w:val="clear" w:color="auto" w:fill="FFFFFF"/>
        </w:rPr>
      </w:pPr>
    </w:p>
    <w:p>
      <w:pPr>
        <w:spacing w:line="360" w:lineRule="auto"/>
        <w:ind w:right="120"/>
        <w:jc w:val="both"/>
      </w:pPr>
      <w:r>
        <w:rPr>
          <w:shd w:val="clear" w:color="auto" w:fill="FFFFFF"/>
        </w:rPr>
        <w:t>It could be argued that emotional wellbeing is as much of a priority, if not more so for schools, as academic achievement.</w:t>
      </w:r>
      <w:r>
        <w:t xml:space="preserve"> In Ronnie’s case, key intervention and support work should initially </w:t>
      </w:r>
      <w:proofErr w:type="spellStart"/>
      <w:r>
        <w:t>centre</w:t>
      </w:r>
      <w:proofErr w:type="spellEnd"/>
      <w:r>
        <w:t xml:space="preserve"> on his emotional stability. If it is found that Ronnie has experienced trauma, then an </w:t>
      </w:r>
      <w:proofErr w:type="spellStart"/>
      <w:r>
        <w:t>individualised</w:t>
      </w:r>
      <w:proofErr w:type="spellEnd"/>
      <w:r>
        <w:t xml:space="preserve"> trauma plan can be devised (appendix three) with specific strategies in place to support Ronnie to protect, relate, regulate and reflect with Ronnie when he is dysregulated. This would be done with a referral to the Wellbeing team or Child and Adolescent Mental Health Service (CAMHS). Again here would be opportunity for professional development – for a key member of staff to learn and use the trauma informed approach, so that it could be shared as good practice with the wider staff.</w:t>
      </w:r>
    </w:p>
    <w:p>
      <w:pPr>
        <w:spacing w:line="360" w:lineRule="auto"/>
        <w:ind w:right="120"/>
        <w:jc w:val="both"/>
      </w:pPr>
    </w:p>
    <w:p>
      <w:pPr>
        <w:spacing w:line="360" w:lineRule="auto"/>
        <w:ind w:right="120"/>
        <w:jc w:val="both"/>
      </w:pPr>
      <w:r>
        <w:t xml:space="preserve">In the case of Ronnie I would also seek the advice of the school educational psychologist – initially at a level B consultation whereby all concerned parties, both staff and parents or care givers, are able to openly share information about Ronnie both historically and currently (appendix four) and then plan a programme of support which may include the educational psychologist working directly with Ronnie and carrying out a cognitive assessment, again to ascertain key strengths and weaknesses, in order to provide appropriate intervention strategies and programmes. Shelton and Brownhill (2008, p. 42) support the idea of knowing the child through a holistic approach, both in terms of observation and assessment of needs and argue that it is vital to find the causes of a behaviour in order to prevent it from escalating. </w:t>
      </w:r>
    </w:p>
    <w:p>
      <w:pPr>
        <w:spacing w:line="360" w:lineRule="auto"/>
        <w:ind w:right="120"/>
        <w:jc w:val="both"/>
      </w:pPr>
    </w:p>
    <w:p>
      <w:pPr>
        <w:spacing w:line="360" w:lineRule="auto"/>
        <w:ind w:right="120"/>
        <w:jc w:val="both"/>
        <w:rPr>
          <w:shd w:val="clear" w:color="auto" w:fill="FFFFFF"/>
        </w:rPr>
      </w:pPr>
      <w:r>
        <w:rPr>
          <w:shd w:val="clear" w:color="auto" w:fill="FFFFFF"/>
        </w:rPr>
        <w:t xml:space="preserve">Armstrong and </w:t>
      </w:r>
      <w:proofErr w:type="spellStart"/>
      <w:r>
        <w:rPr>
          <w:shd w:val="clear" w:color="auto" w:fill="FFFFFF"/>
        </w:rPr>
        <w:t>Hallet</w:t>
      </w:r>
      <w:proofErr w:type="spellEnd"/>
      <w:r>
        <w:rPr>
          <w:shd w:val="clear" w:color="auto" w:fill="FFFFFF"/>
        </w:rPr>
        <w:t xml:space="preserve"> (2012) </w:t>
      </w:r>
      <w:proofErr w:type="spellStart"/>
      <w:r>
        <w:rPr>
          <w:shd w:val="clear" w:color="auto" w:fill="FFFFFF"/>
        </w:rPr>
        <w:t>emphasise</w:t>
      </w:r>
      <w:proofErr w:type="spellEnd"/>
      <w:r>
        <w:rPr>
          <w:shd w:val="clear" w:color="auto" w:fill="FFFFFF"/>
        </w:rPr>
        <w:t xml:space="preserve"> the role of the educational psychologist in developing “positive, sustainable and psychologically informed practice” and that to support children our focus should be on relationships. </w:t>
      </w:r>
      <w:r>
        <w:rPr>
          <w:shd w:val="clear" w:color="auto" w:fill="FFFFFF"/>
        </w:rPr>
        <w:t xml:space="preserve">Armstrong and </w:t>
      </w:r>
      <w:proofErr w:type="spellStart"/>
      <w:r>
        <w:rPr>
          <w:shd w:val="clear" w:color="auto" w:fill="FFFFFF"/>
        </w:rPr>
        <w:t>Hallet</w:t>
      </w:r>
      <w:proofErr w:type="spellEnd"/>
      <w:r>
        <w:rPr>
          <w:shd w:val="clear" w:color="auto" w:fill="FFFFFF"/>
        </w:rPr>
        <w:t xml:space="preserve"> (2012) </w:t>
      </w:r>
      <w:r>
        <w:rPr>
          <w:shd w:val="clear" w:color="auto" w:fill="FFFFFF"/>
        </w:rPr>
        <w:t xml:space="preserve">refer to the teacher as the “significant other” within the holistic approach of intervention and involvement of other professionals. Relationships are referred to as being dyadic (teacher and child) and triadic (child – teacher - parent). The point is made that an educational psychologist’s role should be considered in the long term rather than primarily for assessment purposes. In terms of supporting pupils, </w:t>
      </w:r>
      <w:r>
        <w:rPr>
          <w:shd w:val="clear" w:color="auto" w:fill="FFFFFF"/>
        </w:rPr>
        <w:t xml:space="preserve">Armstrong and </w:t>
      </w:r>
      <w:proofErr w:type="spellStart"/>
      <w:r>
        <w:rPr>
          <w:shd w:val="clear" w:color="auto" w:fill="FFFFFF"/>
        </w:rPr>
        <w:t>Hallet</w:t>
      </w:r>
      <w:proofErr w:type="spellEnd"/>
      <w:r>
        <w:rPr>
          <w:shd w:val="clear" w:color="auto" w:fill="FFFFFF"/>
        </w:rPr>
        <w:t xml:space="preserve"> (2012) </w:t>
      </w:r>
      <w:r>
        <w:rPr>
          <w:shd w:val="clear" w:color="auto" w:fill="FFFFFF"/>
        </w:rPr>
        <w:t xml:space="preserve">go on to make the following points: pupils with SEBD have a “chronic predisposition to failure” and that giving pupils a predetermined label give them no way to think of themselves in terms other than having difficulties. Such pupils are considered to be “unknown and unpredictable entities” and as such teachers feel the need to control the pupil, making them conform to expected behaviours, believing them to be capable of </w:t>
      </w:r>
      <w:proofErr w:type="spellStart"/>
      <w:r>
        <w:rPr>
          <w:shd w:val="clear" w:color="auto" w:fill="FFFFFF"/>
        </w:rPr>
        <w:t>normalisation</w:t>
      </w:r>
      <w:proofErr w:type="spellEnd"/>
      <w:r>
        <w:rPr>
          <w:shd w:val="clear" w:color="auto" w:fill="FFFFFF"/>
        </w:rPr>
        <w:t xml:space="preserve">. This leads to professional anxiety and a “troubling lack of knowledge” in terms of the professional. Schools are “disabled by education policy and practice” and that the expectations of running a mainstream school make it difficult to accommodate and manage pupils with SEBD. Teachers feel the need to “solve” the SEBD and that the emphasis should be on building a relationship rather than managing the </w:t>
      </w:r>
      <w:proofErr w:type="spellStart"/>
      <w:r>
        <w:rPr>
          <w:shd w:val="clear" w:color="auto" w:fill="FFFFFF"/>
        </w:rPr>
        <w:t>behaviour</w:t>
      </w:r>
      <w:proofErr w:type="spellEnd"/>
      <w:r>
        <w:rPr>
          <w:shd w:val="clear" w:color="auto" w:fill="FFFFFF"/>
        </w:rPr>
        <w:t>.</w:t>
      </w:r>
    </w:p>
    <w:p>
      <w:pPr>
        <w:spacing w:line="360" w:lineRule="auto"/>
        <w:ind w:right="120"/>
        <w:jc w:val="both"/>
      </w:pPr>
    </w:p>
    <w:p>
      <w:pPr>
        <w:spacing w:line="360" w:lineRule="auto"/>
        <w:ind w:right="120"/>
        <w:jc w:val="both"/>
      </w:pPr>
      <w:r>
        <w:t xml:space="preserve">McNamara and Moreton (1995) discuss the importance of positive attitudes from staff who support pupils with SEBD and also the key need for teachers to address the issue of poor self-esteem with pupils. Cowley (2010, p. 5) outlines a list of essential characteristics an adult working with SEBD pupils needs to demonstrate. These include being definite, aware, calm and consistent, positive, interested, flexible, persistent, engaging and providing a safe structure. </w:t>
      </w:r>
    </w:p>
    <w:p>
      <w:pPr>
        <w:spacing w:line="360" w:lineRule="auto"/>
        <w:ind w:right="120"/>
        <w:jc w:val="both"/>
      </w:pPr>
      <w:r>
        <w:t xml:space="preserve">I would therefore ensure that a key part of supporting Ronnie would be to also support the staff who care for him, both in terms of specific training in delivering the intervention programmes that he might need but also so that when managing his behaviour, they feel reassured that strategies employed are appropriate. Regular meetings with the key staff who support Ronnie should be held but also opportunity for the wider staff to share in their knowledge and experiences in order to support other pupils with a similar background or difficulties. Ronnie might benefit from Lego therapy whereby he has to rely on other team members to complete a given building task. Ronnie might be responsive to praise and rewards however similarly he may not be able to emotionally cope with overly positive attitudes to his successes. He may benefit from using timers and having limited choices, visual prompts or writing frames when completing tasks. He may also struggle to record his ideas and could use assistive technology such as dictation and reading apps on iPads. In order to provide a history of need for Ronnie, all approaches used and interventions tried would need to be documented (appendix five) so that when applying for support at examination time it could be proven how Ronnie is best supported and the most successful. </w:t>
      </w:r>
    </w:p>
    <w:p>
      <w:pPr>
        <w:spacing w:line="360" w:lineRule="auto"/>
        <w:ind w:right="120"/>
        <w:jc w:val="both"/>
      </w:pPr>
    </w:p>
    <w:p>
      <w:pPr>
        <w:spacing w:line="360" w:lineRule="auto"/>
        <w:ind w:right="120"/>
        <w:jc w:val="both"/>
      </w:pPr>
      <w:r>
        <w:t>Fontana (1994) outlines two approaches to supporting pupils with SEBD – the ‘Behavioural Approach’, focusing on behaviours, classroom consequences, reward systems and positive reinforcement, and ‘The Cognitive Approach’, where behaviour is managed through motivation and working within the child’s interests. He highlights that in using Behavioural model:</w:t>
      </w:r>
    </w:p>
    <w:p>
      <w:pPr>
        <w:spacing w:line="360" w:lineRule="auto"/>
        <w:ind w:right="120"/>
        <w:jc w:val="both"/>
      </w:pPr>
    </w:p>
    <w:p>
      <w:pPr>
        <w:ind w:left="720" w:right="720"/>
        <w:jc w:val="both"/>
        <w:rPr>
          <w:i/>
        </w:rPr>
      </w:pPr>
      <w:r>
        <w:rPr>
          <w:i/>
        </w:rPr>
        <w:t>The teacher needs … careful and systematic observation, the readiness to change his or her own behaviours in response to the facts revealed by this observation and the persistence to carry out a behavioural programme through. (p. 96)</w:t>
      </w:r>
    </w:p>
    <w:p>
      <w:pPr>
        <w:spacing w:line="360" w:lineRule="auto"/>
        <w:ind w:left="720" w:right="120"/>
        <w:jc w:val="both"/>
      </w:pPr>
    </w:p>
    <w:p>
      <w:pPr>
        <w:spacing w:line="360" w:lineRule="auto"/>
        <w:ind w:right="120"/>
        <w:jc w:val="both"/>
      </w:pPr>
      <w:r>
        <w:t>He writes that a Cognitive approach help children to “</w:t>
      </w:r>
      <w:proofErr w:type="spellStart"/>
      <w:r>
        <w:t>recognise</w:t>
      </w:r>
      <w:proofErr w:type="spellEnd"/>
      <w:r>
        <w:t xml:space="preserve"> their own abilities and strengths” and so “value themselves as individuals” (p. 99) which supports the notion that development of self-esteem is critical. From the case notes it would be appropriate to follow both a Behavioral approach with Ronnie, giving him clear boundaries, praise and rewards and a Cognitive approach to try and engage him in learning experiences.</w:t>
      </w:r>
    </w:p>
    <w:p>
      <w:pPr>
        <w:spacing w:line="360" w:lineRule="auto"/>
        <w:ind w:right="120"/>
        <w:jc w:val="both"/>
      </w:pPr>
    </w:p>
    <w:p>
      <w:pPr>
        <w:spacing w:line="360" w:lineRule="auto"/>
        <w:ind w:right="120"/>
        <w:jc w:val="both"/>
      </w:pPr>
      <w:r>
        <w:t>In support of Ronnie in the classroom, short term reasonable adjustments to improve the quality of his day at school can be made. He could be provided with suitable fiddle toys, allowed regular breaks or a quieter working environment with good role models. Work should be differentiated with regular teacher check-ups to ensure he understands the task. He could be asked to repeat or explain what he has to do. Instructions should be short and increased processing time allowed. As Ronnie is possibly an older child it is likely that he has a timetable, however this could be made visual. It would also be relevant to access support from occupational therapy and perhaps target their recommendations, such as sensory circuits or Smartmoves as part of his PE programme.  Ronnie needs to be allowed and given time to self-regulate without disrupting others. He needs an understanding adult and a curriculum to engage him. He needs to feel part of his school community in order to improve his self-esteem and a role of responsibility within school, such as being part of the school council, would be valuable as it does not rely on academic success. If all of these measures are put in place and are successful, it would be pertinent to make an application for a statutory assessment to ensure this level of support was available to Ronnie throughout the rest of his academic journey.</w:t>
      </w:r>
    </w:p>
    <w:p>
      <w:pPr>
        <w:spacing w:line="360" w:lineRule="auto"/>
        <w:ind w:right="120"/>
        <w:jc w:val="both"/>
      </w:pPr>
    </w:p>
    <w:p>
      <w:pPr>
        <w:spacing w:line="360" w:lineRule="auto"/>
        <w:ind w:right="120"/>
        <w:jc w:val="both"/>
        <w:rPr>
          <w:u w:val="single"/>
          <w:lang w:val="en-GB"/>
        </w:rPr>
      </w:pPr>
      <w:r>
        <w:rPr>
          <w:u w:val="single"/>
          <w:lang w:val="en-GB"/>
        </w:rPr>
        <w:t>Case study Two</w:t>
      </w:r>
    </w:p>
    <w:p>
      <w:pPr>
        <w:spacing w:line="360" w:lineRule="auto"/>
        <w:ind w:right="120"/>
        <w:jc w:val="both"/>
        <w:rPr>
          <w:lang w:val="en-GB"/>
        </w:rPr>
      </w:pPr>
    </w:p>
    <w:p>
      <w:pPr>
        <w:spacing w:line="360" w:lineRule="auto"/>
        <w:ind w:right="120"/>
        <w:jc w:val="both"/>
        <w:rPr>
          <w:lang w:val="en-GB"/>
        </w:rPr>
      </w:pPr>
      <w:r>
        <w:rPr>
          <w:lang w:val="en-GB"/>
        </w:rPr>
        <w:t>In the case of Jack, very little information is given. He is a young child, with obvious adverse childhood experiences and as a result a delay in language development. Due to his status in the care system there is likely to be a lot of information to access on his family background, however the validity of some of these accounts would need to be carefully considered also. Jack is only at school for a short period of time and arrives at a challenging point of the day, after lunch, when all pupils need adjustment time after an outdoor break, or are possibly more lethargic after eating. He will have little opportunity for positive social interaction during this time and will be unsure of learning opportunities established in the morning session.</w:t>
      </w:r>
    </w:p>
    <w:p/>
    <w:p>
      <w:pPr>
        <w:spacing w:line="360" w:lineRule="auto"/>
        <w:ind w:right="120"/>
        <w:jc w:val="both"/>
        <w:rPr>
          <w:shd w:val="clear" w:color="auto" w:fill="FFFFFF"/>
        </w:rPr>
      </w:pPr>
      <w:r>
        <w:rPr>
          <w:shd w:val="clear" w:color="auto" w:fill="FFFFFF"/>
        </w:rPr>
        <w:t>Brodie (2014) highlights the importance of sitting back and observing a child and suggests a number of strategies for successful observation of children including; capturing magic moments on post it notes, extended and detailed accounts of an activity, time samples in order to create a chronology of observation, tracking - a mapping of the physical areas a child uses, sociogram – observations of the child’s interactions within social groups.</w:t>
      </w:r>
    </w:p>
    <w:p>
      <w:pPr>
        <w:spacing w:line="360" w:lineRule="auto"/>
        <w:ind w:right="120"/>
        <w:jc w:val="both"/>
        <w:rPr>
          <w:shd w:val="clear" w:color="auto" w:fill="FFFFFF"/>
        </w:rPr>
      </w:pPr>
    </w:p>
    <w:p>
      <w:pPr>
        <w:spacing w:line="360" w:lineRule="auto"/>
        <w:ind w:right="120"/>
        <w:jc w:val="both"/>
        <w:rPr>
          <w:shd w:val="clear" w:color="auto" w:fill="FFFFFF"/>
        </w:rPr>
      </w:pPr>
      <w:r>
        <w:rPr>
          <w:shd w:val="clear" w:color="auto" w:fill="FFFFFF"/>
        </w:rPr>
        <w:t>Whist observation, assessment and multi-agency approaches to gaining a holistic picture of the child are key to providing the right care and support, Harrison (2013) warns of that assessment with vulnerable pupils can also be damaging.</w:t>
      </w:r>
    </w:p>
    <w:p>
      <w:pPr>
        <w:spacing w:line="360" w:lineRule="auto"/>
        <w:ind w:right="120"/>
        <w:jc w:val="both"/>
        <w:rPr>
          <w:shd w:val="clear" w:color="auto" w:fill="FFFFFF"/>
        </w:rPr>
      </w:pPr>
    </w:p>
    <w:p>
      <w:pPr>
        <w:ind w:left="720" w:right="720"/>
        <w:jc w:val="both"/>
        <w:rPr>
          <w:i/>
          <w:lang w:val="en-GB" w:eastAsia="en-GB"/>
        </w:rPr>
      </w:pPr>
      <w:r>
        <w:rPr>
          <w:i/>
          <w:lang w:val="en-GB" w:eastAsia="en-GB"/>
        </w:rPr>
        <w:t>Engagement and effort are essential characteristics of good learners … The way assessment is perceived by youngsters who start at a disadvantage; it can either strengthen or break their belief in their capabilities.</w:t>
      </w:r>
    </w:p>
    <w:p>
      <w:pPr>
        <w:spacing w:line="360" w:lineRule="auto"/>
        <w:ind w:right="120"/>
        <w:jc w:val="both"/>
      </w:pPr>
    </w:p>
    <w:p>
      <w:pPr>
        <w:spacing w:line="360" w:lineRule="auto"/>
        <w:ind w:right="120"/>
        <w:jc w:val="both"/>
      </w:pPr>
      <w:r>
        <w:t xml:space="preserve">Cooper, </w:t>
      </w:r>
      <w:proofErr w:type="spellStart"/>
      <w:r>
        <w:t>Masi</w:t>
      </w:r>
      <w:proofErr w:type="spellEnd"/>
      <w:r>
        <w:t xml:space="preserve"> and Vick (2009) however take the view that “inadequate screening prevents recognition of social, emotional, and behavioral problems”. It would be appropriate to sensitively use a range of assessments to investigate Jack’s difficulties – both academic and social and emotional (appendix six).</w:t>
      </w:r>
    </w:p>
    <w:p>
      <w:pPr>
        <w:spacing w:line="360" w:lineRule="auto"/>
        <w:ind w:right="120"/>
        <w:jc w:val="both"/>
      </w:pPr>
    </w:p>
    <w:p>
      <w:pPr>
        <w:spacing w:line="360" w:lineRule="auto"/>
        <w:ind w:right="120"/>
        <w:jc w:val="both"/>
      </w:pPr>
      <w:r>
        <w:t>Whilst acknowledging that Jack has a background of significant trauma and adverse childhood experiences, due to his age it would be appropriate to target his emotional wellbeing through a different intervention to Ronnie. Within my own school setting we use ‘Thrive’ as both a whole school approach and as a specific intervention to both assess and support pupils. Created by a multi-agency team of practitioners including teachers, OFSTED inspectors, social workers, family therapists, and educational advisors; the Thrive approach is described by Sunderland (2015) as:</w:t>
      </w:r>
    </w:p>
    <w:p>
      <w:pPr>
        <w:spacing w:line="360" w:lineRule="auto"/>
        <w:ind w:right="120"/>
        <w:jc w:val="both"/>
      </w:pPr>
    </w:p>
    <w:p>
      <w:pPr>
        <w:ind w:left="720" w:right="720"/>
        <w:jc w:val="both"/>
        <w:rPr>
          <w:i/>
        </w:rPr>
      </w:pPr>
      <w:r>
        <w:rPr>
          <w:i/>
        </w:rPr>
        <w:t>A systematic approach to the early identification of emotional development (which is) preventative, reparative and pragmatic…Addressing emotional developmental needs builds resilience and resourcefulness, decreases the risk of mental illness, reinvigorates the learning provision and it helps those children who are at risk of underachieving or exclusion to stay in school and re-engage with learning. (p. 4)</w:t>
      </w:r>
    </w:p>
    <w:p>
      <w:pPr>
        <w:spacing w:line="360" w:lineRule="auto"/>
        <w:ind w:left="720" w:right="120"/>
        <w:jc w:val="both"/>
      </w:pPr>
    </w:p>
    <w:p>
      <w:pPr>
        <w:spacing w:line="360" w:lineRule="auto"/>
        <w:ind w:right="120"/>
        <w:jc w:val="both"/>
      </w:pPr>
      <w:r>
        <w:t xml:space="preserve">Thrive is suitable for all pupils, but particularly those whose “early life experiences have not equipped them to manage … emotions well” (p. 5). The Thrive model is based in the neuroscience relating to the emotional regulation system. Activities, games and interventions target three core areas: Thinking (Neocortex – cognitive area of the brain), Doing (Limbic – relational and emotional area of the brain) and Being (Brain Stem – physiological area of the brain). Relationships between child and practitioner are key to the success of the Thrive approach and success lies in creating new pathways in the brain linked to emotional development and supporting the core building blocks of interdependence, skills and structure, power and identity, thinking, doing and being by attuning, validating, containing, soothing and regulating children as they work through their emotions. </w:t>
      </w:r>
    </w:p>
    <w:p>
      <w:pPr>
        <w:spacing w:line="360" w:lineRule="auto"/>
        <w:ind w:right="120"/>
        <w:jc w:val="both"/>
      </w:pPr>
    </w:p>
    <w:p>
      <w:pPr>
        <w:spacing w:line="360" w:lineRule="auto"/>
        <w:ind w:right="120"/>
        <w:jc w:val="both"/>
      </w:pPr>
      <w:r>
        <w:t>Thrive makes reference to Hughes’ (1998) PLACE model; Playful, Loving, Accepting, Curious, Empathetic as a ‘background atmosphere for emotional learning’. The Thrive approach is relevant to Jack as it would give him opportunities to build relationships with adults and use play as a way of expressing emotions. Screening and assessment would also direct the practitioner to key areas of emotional vulnerability to target and begin to replace the missing building blocks. CPD opportunities would also exist for currently trained practitioners to support and train additional members of staff.</w:t>
      </w:r>
    </w:p>
    <w:p>
      <w:pPr>
        <w:spacing w:line="360" w:lineRule="auto"/>
        <w:ind w:right="120"/>
        <w:jc w:val="both"/>
      </w:pPr>
    </w:p>
    <w:p>
      <w:pPr>
        <w:spacing w:line="360" w:lineRule="auto"/>
        <w:ind w:right="120"/>
        <w:jc w:val="both"/>
      </w:pPr>
      <w:r>
        <w:t xml:space="preserve">Jack would initially be observed at play within different contexts; in the classroom, at break times, outside, with peers, alone and then the adults in his care would complete a screening profile to ascertain his emotional functioning level. A specific programme with key target areas would then be devised. I would expect Jack to need one to one adult Thrive initially, working on recognising emotions and engaging with an adult in simple play tasks such as games of “Row, Row, your boat” and making faces in the mirror, similar to those games that would be played with a young baby. His programme would be revised weekly and also shared with his care givers in order to reinforce the same strategies at home. It would be hoped that with regular Thrive experiences Jack would make enough progress to be able to participate in group Thrive sessions with a friend. </w:t>
      </w:r>
    </w:p>
    <w:p>
      <w:pPr>
        <w:spacing w:line="360" w:lineRule="auto"/>
        <w:ind w:right="120"/>
        <w:jc w:val="both"/>
      </w:pPr>
    </w:p>
    <w:p>
      <w:pPr>
        <w:spacing w:line="360" w:lineRule="auto"/>
        <w:ind w:right="120"/>
        <w:jc w:val="both"/>
      </w:pPr>
      <w:r>
        <w:t xml:space="preserve">I would also encourage a parent nurture scheme, whereby his care giver could work alongside a family liaison officer based at school to develop their own parenting skills and understanding of Jack’s emotional development. Many programmes currently exist in my own school setting which include one to one parent nurture: </w:t>
      </w:r>
      <w:proofErr w:type="spellStart"/>
      <w:r>
        <w:t>individualised</w:t>
      </w:r>
      <w:proofErr w:type="spellEnd"/>
      <w:r>
        <w:t xml:space="preserve"> sessions with our family liaison officer and Thrive practitioner, and group ‘Families Connect’ sessions, where parents support each other, and also engage with their child for part of the session. This enables the parents to establish a social and supportive network, make relationships with staff and feel part of the school community. It illustrates that staff value the parents’ role and promotes a productive working relationship which can only be of benefit to the child.  Initiatives are funded by charities such as Save the children and NSPCC. </w:t>
      </w:r>
    </w:p>
    <w:p>
      <w:pPr>
        <w:spacing w:line="360" w:lineRule="auto"/>
        <w:ind w:right="120"/>
        <w:jc w:val="both"/>
      </w:pPr>
      <w:r>
        <w:t xml:space="preserve"> </w:t>
      </w:r>
    </w:p>
    <w:p>
      <w:pPr>
        <w:spacing w:line="360" w:lineRule="auto"/>
        <w:ind w:right="120"/>
        <w:jc w:val="both"/>
      </w:pPr>
      <w:r>
        <w:t>Fox (2001) writes of the teacher’s role when supporting SEBD pupils, and the importance of developing the key areas of social skills, play skills, emotional understanding – both that of their own and others, and what affects emotions and personal safety. She supports the view that “</w:t>
      </w:r>
      <w:proofErr w:type="spellStart"/>
      <w:r>
        <w:t>behaviour</w:t>
      </w:r>
      <w:proofErr w:type="spellEnd"/>
      <w:r>
        <w:t xml:space="preserve"> problems rise from anxiety” (p. 91) and that teachers have a responsibility to adapt the physical environment, provide secure and safe routines, plan ahead and know the triggers and anticipate potential difficulties.  This is reliant on the ability of the practitioner to observe and respond to the child at a deep level of understanding which supports the views of many – that the relationship between pupil and practitioner is key.</w:t>
      </w:r>
    </w:p>
    <w:p>
      <w:pPr>
        <w:spacing w:line="360" w:lineRule="auto"/>
        <w:ind w:right="120"/>
        <w:jc w:val="both"/>
      </w:pPr>
    </w:p>
    <w:p>
      <w:pPr>
        <w:spacing w:line="360" w:lineRule="auto"/>
        <w:ind w:right="120"/>
        <w:jc w:val="both"/>
      </w:pPr>
      <w:r>
        <w:t xml:space="preserve">Jack needs to play – modelled play, free play, collaborative play, and parallel play. It would be valuable to work alongside a play therapist in order to maximize the learning opportunities from play sessions and reflect upon the value of early play. He needs a visual timetable, clearly defined boundaries and very short task and reward activities using timers to build his concentration. He also needs to feel part of his school community and should attend school at a more suitable time of the day to allow this building to a timetable where by key parts of his day are supported to give him regularity and routine (appendix seven). Jack should have targeted interventions for language development and emotional wellbeing, again delivered in short regular bursts and be interactive and engaging. He needs to have language patterns modelled and work with empathetic, supportive and consistent adults. </w:t>
      </w:r>
    </w:p>
    <w:p>
      <w:pPr>
        <w:spacing w:line="360" w:lineRule="auto"/>
        <w:ind w:right="120"/>
        <w:jc w:val="both"/>
      </w:pPr>
    </w:p>
    <w:p>
      <w:pPr>
        <w:spacing w:line="360" w:lineRule="auto"/>
        <w:ind w:right="120"/>
        <w:jc w:val="both"/>
      </w:pPr>
      <w:r>
        <w:t xml:space="preserve">As in the case study of Ronnie, it would be appropriate and valuable to use person </w:t>
      </w:r>
      <w:proofErr w:type="spellStart"/>
      <w:r>
        <w:t>centred</w:t>
      </w:r>
      <w:proofErr w:type="spellEnd"/>
      <w:r>
        <w:t xml:space="preserve"> practices and tools to create a one page profile for Jack. However, in this case, reliance on information would be dependent on the adults caring for him and careful observations (appendix one and two). In terms of his development he should be assessed in all areas using initially Foundation Phase Profile due to his age. It would not be appropriate to use the Aton Index or undergo a cognitive assessment with an education psychologist at this young age. A TALC (Test of abstract language), Ruth Griffiths assessment, </w:t>
      </w:r>
      <w:proofErr w:type="spellStart"/>
      <w:r>
        <w:t>Wellcomm</w:t>
      </w:r>
      <w:proofErr w:type="spellEnd"/>
      <w:r>
        <w:t xml:space="preserve"> language screen or Language Link assessment would give a more appropriate profile of his needs and also areas to work on. </w:t>
      </w:r>
      <w:proofErr w:type="spellStart"/>
      <w:r>
        <w:t>Wellcomm</w:t>
      </w:r>
      <w:proofErr w:type="spellEnd"/>
      <w:r>
        <w:t xml:space="preserve"> would give an expected age score and also provide a starting point to build upon (appendix eight).  It would be important to consider if is he particularly delayed in one area, e.g. language, or is he generally delayed across all areas including physical development, mathematical development and personal and social skills. It would be possible to then conclude whether he is meeting his milestones of development but at a later stage. Is he still making consistent progress but at a slower rate? It would be important to explore any medical concerns such as hearing loss which would affect his progress. As Jack has little language, observations of him are key as behaviour is his communication. Jack would also benefit from a multi-sensory approach, developing his co-ordination and communication skills through sand, water, paint, dough, slime and foam play again ensuring tasks are short, fun, language rich and meaningful to Jack. His pre writing skills should be assessed (appendix nine) before engaging him in formal writing tasks. Again this would give an indication of his academic stage in relation to his chronological age.</w:t>
      </w:r>
    </w:p>
    <w:p>
      <w:pPr>
        <w:spacing w:line="360" w:lineRule="auto"/>
        <w:ind w:right="120"/>
        <w:jc w:val="both"/>
      </w:pPr>
    </w:p>
    <w:p>
      <w:pPr>
        <w:spacing w:line="360" w:lineRule="auto"/>
        <w:ind w:right="120"/>
        <w:jc w:val="both"/>
      </w:pPr>
      <w:r>
        <w:t xml:space="preserve">It would be appropriate to consider an assessment provision for Jack. A Pupil Inclusion Assessment Centre (PIAC) has a high adult to low pupil number ratio and adopt a multi-agency “in house” approach. Jack would have immediate access to professionals such as Speech and Language therapists, Play therapists within the wellbeing team, Occupational therapists, School based councilors and the educational psychologist, without having to wait for referrals which often take much longer within the mainstream system. Due to the small pupil numbers and more intimate atmosphere of a PIAC, care givers are also encouraged to play a more active role in the child’s school journey and are given more advice to ensure strategies in both school and home environments are consistent. Intervention </w:t>
      </w:r>
      <w:proofErr w:type="spellStart"/>
      <w:r>
        <w:t>programmes</w:t>
      </w:r>
      <w:proofErr w:type="spellEnd"/>
      <w:r>
        <w:t xml:space="preserve"> such as </w:t>
      </w:r>
      <w:proofErr w:type="spellStart"/>
      <w:r>
        <w:t>Elklan</w:t>
      </w:r>
      <w:proofErr w:type="spellEnd"/>
      <w:r>
        <w:t>, Speech and Language Link, POPAT play a key role within the assessment provision rather than a mainstream differentiated curriculum, which would be beneficial for Jack as he is yet to fully access a school day. In terms of my own professional development and coming from a mainstream background, I would welcome the opportunity to shadow colleagues working within an assessment unit, to observe the differing strategies, practices and routines in order to adopt and modify them into the mainstream classroom.</w:t>
      </w:r>
    </w:p>
    <w:p>
      <w:pPr>
        <w:spacing w:line="360" w:lineRule="auto"/>
        <w:ind w:right="120"/>
        <w:jc w:val="both"/>
      </w:pPr>
    </w:p>
    <w:p>
      <w:pPr>
        <w:spacing w:line="360" w:lineRule="auto"/>
        <w:ind w:right="120"/>
        <w:jc w:val="both"/>
        <w:rPr>
          <w:u w:val="single"/>
          <w:lang w:val="en-GB"/>
        </w:rPr>
      </w:pPr>
    </w:p>
    <w:p>
      <w:pPr>
        <w:spacing w:line="360" w:lineRule="auto"/>
        <w:ind w:right="120"/>
        <w:jc w:val="both"/>
        <w:rPr>
          <w:u w:val="single"/>
          <w:lang w:val="en-GB"/>
        </w:rPr>
      </w:pPr>
      <w:r>
        <w:rPr>
          <w:u w:val="single"/>
          <w:lang w:val="en-GB"/>
        </w:rPr>
        <w:t>Conclusion</w:t>
      </w:r>
    </w:p>
    <w:p>
      <w:pPr>
        <w:spacing w:line="360" w:lineRule="auto"/>
        <w:ind w:right="120"/>
        <w:jc w:val="both"/>
        <w:rPr>
          <w:lang w:val="en-GB"/>
        </w:rPr>
      </w:pPr>
    </w:p>
    <w:p>
      <w:pPr>
        <w:spacing w:line="360" w:lineRule="auto"/>
        <w:ind w:right="120"/>
        <w:jc w:val="both"/>
        <w:rPr>
          <w:lang w:val="en-GB"/>
        </w:rPr>
      </w:pPr>
      <w:r>
        <w:rPr>
          <w:lang w:val="en-GB"/>
        </w:rPr>
        <w:t xml:space="preserve">In both cases, a holistic approach is needed to establish the full profile of the child and their strengths and needs. Why are they displaying these behaviours? What are the underlying causes? Is the behaviour constant or changeable in different settings and with different adults or peers? Is the child able to explain how they feel or what they’d like to change? Who are the significant adults in the child’s life and how does the child relate to them – in a positive or negative way? </w:t>
      </w:r>
    </w:p>
    <w:p>
      <w:pPr>
        <w:spacing w:line="360" w:lineRule="auto"/>
        <w:ind w:right="120"/>
        <w:jc w:val="both"/>
        <w:rPr>
          <w:lang w:val="en-GB"/>
        </w:rPr>
      </w:pPr>
    </w:p>
    <w:p>
      <w:pPr>
        <w:spacing w:line="360" w:lineRule="auto"/>
        <w:ind w:right="120"/>
        <w:jc w:val="both"/>
        <w:rPr>
          <w:shd w:val="clear" w:color="auto" w:fill="FFFFFF"/>
          <w:lang w:eastAsia="en-GB"/>
        </w:rPr>
      </w:pPr>
      <w:r>
        <w:rPr>
          <w:shd w:val="clear" w:color="auto" w:fill="FFFFFF"/>
          <w:lang w:eastAsia="en-GB"/>
        </w:rPr>
        <w:t>Holistic approaches to assessing the needs of the child have been a recognised successful methodology for a number of years. The Ministry for Education in Singapore (2006) referred to this method:</w:t>
      </w:r>
    </w:p>
    <w:p>
      <w:pPr>
        <w:spacing w:line="360" w:lineRule="auto"/>
        <w:ind w:right="120"/>
        <w:jc w:val="both"/>
        <w:rPr>
          <w:u w:val="single"/>
          <w:shd w:val="clear" w:color="auto" w:fill="FFFFFF"/>
          <w:lang w:eastAsia="en-GB"/>
        </w:rPr>
      </w:pPr>
    </w:p>
    <w:p>
      <w:pPr>
        <w:ind w:left="720" w:right="720"/>
        <w:jc w:val="both"/>
        <w:rPr>
          <w:i/>
          <w:shd w:val="clear" w:color="auto" w:fill="FFFFFF"/>
        </w:rPr>
      </w:pPr>
      <w:r>
        <w:rPr>
          <w:i/>
          <w:shd w:val="clear" w:color="auto" w:fill="FFFFFF"/>
        </w:rPr>
        <w:t>Holistic assessment refers to the process of using multiple sources to continually gather information on a child’s development, to provide feedback to support and guide learning. HA focuses on achieving quality, balance and child-centricity in school assessment systems, to support decision-making and increase student motivation and success in learning.</w:t>
      </w:r>
    </w:p>
    <w:p/>
    <w:p>
      <w:pPr>
        <w:spacing w:line="360" w:lineRule="auto"/>
        <w:ind w:right="120"/>
        <w:jc w:val="both"/>
      </w:pPr>
    </w:p>
    <w:p>
      <w:pPr>
        <w:spacing w:line="360" w:lineRule="auto"/>
        <w:ind w:right="120"/>
        <w:jc w:val="both"/>
      </w:pPr>
      <w:r>
        <w:t xml:space="preserve">In terms of our case studies, it would therefore be pertinent to ensure that the staff working with the two boys are positive role models, empathetic and have a clear understanding of both the appropriate ways of providing support. There are many opportunities for valuable professional development and training in key areas of support. Gaining accreditation in supporting pupils with language disorders such as </w:t>
      </w:r>
      <w:proofErr w:type="spellStart"/>
      <w:r>
        <w:t>Elklan</w:t>
      </w:r>
      <w:proofErr w:type="spellEnd"/>
      <w:r>
        <w:t xml:space="preserve"> could be offered, attachment and trauma training, and use of the assessment tools and screens so that they are useful in providing strategies and ways forward.</w:t>
      </w:r>
    </w:p>
    <w:p>
      <w:pPr>
        <w:spacing w:line="360" w:lineRule="auto"/>
        <w:ind w:right="120"/>
        <w:jc w:val="both"/>
      </w:pPr>
    </w:p>
    <w:p>
      <w:pPr>
        <w:spacing w:line="360" w:lineRule="auto"/>
        <w:ind w:right="120"/>
        <w:jc w:val="both"/>
      </w:pPr>
      <w:r>
        <w:t>Ellis and Tod (2009) outline key strategies for positive correction (see appendix ten). They make reference to Rogers (1997) ‘Least to Most Intrusive Approach’ in order to manage an SEBD pupils within a whole class situation. In addition, Rogers (1995) is an advocate for whole school approaches for behaviour management and writes:</w:t>
      </w:r>
    </w:p>
    <w:p>
      <w:pPr>
        <w:spacing w:line="360" w:lineRule="auto"/>
        <w:ind w:right="120"/>
        <w:jc w:val="both"/>
      </w:pPr>
    </w:p>
    <w:p>
      <w:pPr>
        <w:ind w:left="720" w:right="720"/>
        <w:jc w:val="both"/>
        <w:rPr>
          <w:i/>
        </w:rPr>
      </w:pPr>
      <w:r>
        <w:rPr>
          <w:i/>
        </w:rPr>
        <w:t>The quality of behaviour management can be significantly improved and the social and learning environment of a school is enhanced, if a whole school approach is developed. Improvement occurs most readily when the assumptions which underpin a whole-school approach are matched with collaborative practices. (p. 13)</w:t>
      </w:r>
    </w:p>
    <w:p>
      <w:pPr>
        <w:spacing w:line="360" w:lineRule="auto"/>
        <w:ind w:right="120"/>
        <w:jc w:val="both"/>
      </w:pPr>
    </w:p>
    <w:p>
      <w:pPr>
        <w:spacing w:line="360" w:lineRule="auto"/>
        <w:ind w:right="120"/>
        <w:jc w:val="both"/>
      </w:pPr>
      <w:r>
        <w:t>He discusses the improvements in such an approach for all stakeholders: staff, pupils and parents, in terms of morale, shared practices, understood expectations, collaboration, increased involvement and commitment, increased self-confidence and a shift in ethos towards preventative approaches as opposed to reactionary ones which in term lead to the development of skills in areas such as: “negotiation, problem solving, and interpersonal communication”. (p. 17)</w:t>
      </w:r>
    </w:p>
    <w:p>
      <w:pPr>
        <w:spacing w:line="360" w:lineRule="auto"/>
        <w:ind w:right="120"/>
        <w:jc w:val="both"/>
      </w:pPr>
    </w:p>
    <w:p>
      <w:pPr>
        <w:spacing w:line="360" w:lineRule="auto"/>
        <w:ind w:right="120"/>
        <w:jc w:val="both"/>
      </w:pPr>
      <w:r>
        <w:t xml:space="preserve">This preventative approach is echoed by </w:t>
      </w:r>
      <w:proofErr w:type="spellStart"/>
      <w:r>
        <w:t>Thorsborne</w:t>
      </w:r>
      <w:proofErr w:type="spellEnd"/>
      <w:r>
        <w:t xml:space="preserve"> and </w:t>
      </w:r>
      <w:proofErr w:type="spellStart"/>
      <w:r>
        <w:t>Vinegrad</w:t>
      </w:r>
      <w:proofErr w:type="spellEnd"/>
      <w:r>
        <w:t xml:space="preserve"> (2002) who advocate restorative practices in schools. They argue that “stigmatizing the wrongdoer” encourages repeated antisocial behaviour as a means of seeking attention. This in turn works against “the promotion of wellbeing, resilience and connectedness in all students” (p. 7).</w:t>
      </w:r>
    </w:p>
    <w:p>
      <w:pPr>
        <w:spacing w:line="360" w:lineRule="auto"/>
        <w:ind w:right="720"/>
        <w:jc w:val="both"/>
      </w:pPr>
    </w:p>
    <w:p>
      <w:pPr>
        <w:spacing w:line="360" w:lineRule="auto"/>
        <w:ind w:right="120"/>
        <w:jc w:val="both"/>
      </w:pPr>
      <w:r>
        <w:t xml:space="preserve">Restorative practice enables both parties in a disagreement to resolve differences (appendix eleven). It provides a safe and secure framework that provides the opportunity for the feelings of the victim to be considered and the actions of the offender to be explained and make reparation. Vitally, the authors point out that: </w:t>
      </w:r>
    </w:p>
    <w:p>
      <w:pPr>
        <w:spacing w:line="360" w:lineRule="auto"/>
        <w:ind w:right="720"/>
        <w:jc w:val="both"/>
      </w:pPr>
    </w:p>
    <w:p>
      <w:pPr>
        <w:ind w:left="720" w:right="720"/>
        <w:jc w:val="both"/>
        <w:rPr>
          <w:i/>
        </w:rPr>
      </w:pPr>
      <w:r>
        <w:rPr>
          <w:i/>
        </w:rPr>
        <w:t>Restorative practices cannot be viewed as isolated interventions or tools that a school used only when required. Restorative practices are inextricably linked to all interactions that occur throughout the school day. (p. 9)</w:t>
      </w:r>
    </w:p>
    <w:p>
      <w:pPr>
        <w:ind w:left="720" w:right="720"/>
        <w:jc w:val="both"/>
        <w:rPr>
          <w:i/>
        </w:rPr>
      </w:pPr>
    </w:p>
    <w:p>
      <w:pPr>
        <w:spacing w:line="360" w:lineRule="auto"/>
        <w:ind w:right="120"/>
        <w:jc w:val="both"/>
      </w:pPr>
      <w:r>
        <w:t>Both Ronnie and Jack need consistency. They need to be in a school community which allows them to be emotional dysregulated safely and that know relationships can and will be repaired. This is dependent upon an agreed whole school ethos, shared perception of what is an SEBD child and a concrete understanding of how they should be supported.</w:t>
      </w:r>
    </w:p>
    <w:p>
      <w:pPr>
        <w:spacing w:line="360" w:lineRule="auto"/>
        <w:ind w:right="120"/>
        <w:jc w:val="both"/>
      </w:pPr>
    </w:p>
    <w:p>
      <w:pPr>
        <w:spacing w:line="360" w:lineRule="auto"/>
        <w:ind w:right="120"/>
        <w:jc w:val="both"/>
        <w:rPr>
          <w:lang w:val="en-GB"/>
        </w:rPr>
      </w:pPr>
      <w:r>
        <w:rPr>
          <w:lang w:val="en-GB"/>
        </w:rPr>
        <w:t xml:space="preserve">The Additional Learning Needs and Education Tribunal (Wales) Bill, which </w:t>
      </w:r>
      <w:r>
        <w:t>provides the new statutory framework for supporting children and young people with ALN, requires schools to take into account</w:t>
      </w:r>
      <w:r>
        <w:rPr>
          <w:lang w:val="en-GB"/>
        </w:rPr>
        <w:t xml:space="preserve"> t</w:t>
      </w:r>
      <w:r>
        <w:t>he views, wishes and feelings of the child, the child’s parents and allow both parties to participate as fully as possible in decision making.</w:t>
      </w:r>
      <w:r>
        <w:rPr>
          <w:lang w:val="en-GB"/>
        </w:rPr>
        <w:t xml:space="preserve"> </w:t>
      </w:r>
      <w:r>
        <w:t xml:space="preserve">This is in support of The United Nations Convention on the Rights of the Child which </w:t>
      </w:r>
      <w:r>
        <w:rPr>
          <w:lang w:val="en-GB"/>
        </w:rPr>
        <w:t xml:space="preserve">was adopted by the UN in 1989 and ratified by the UK in 1991. It sets out the rights that must be realised for all children </w:t>
      </w:r>
      <w:r>
        <w:rPr>
          <w:bCs/>
          <w:lang w:val="en-GB"/>
        </w:rPr>
        <w:t>to develop their full potential.</w:t>
      </w:r>
      <w:r>
        <w:rPr>
          <w:lang w:val="en-GB"/>
        </w:rPr>
        <w:t xml:space="preserve"> Articles 23 states “All disabled children should have special care and support so they can lead full and independent lives.” Whilst Article 12 states that “every child has the right to express their views and feelings”. </w:t>
      </w:r>
    </w:p>
    <w:p>
      <w:pPr>
        <w:spacing w:line="360" w:lineRule="auto"/>
        <w:ind w:right="120"/>
        <w:jc w:val="both"/>
      </w:pPr>
    </w:p>
    <w:p>
      <w:pPr>
        <w:spacing w:line="360" w:lineRule="auto"/>
        <w:ind w:right="120"/>
        <w:jc w:val="both"/>
      </w:pPr>
      <w:r>
        <w:t>McMinn (2006) discusses the importance of awareness raising amongst staff and argues that:</w:t>
      </w:r>
    </w:p>
    <w:p>
      <w:pPr>
        <w:spacing w:line="360" w:lineRule="auto"/>
        <w:ind w:right="120"/>
        <w:jc w:val="both"/>
      </w:pPr>
    </w:p>
    <w:p>
      <w:pPr>
        <w:ind w:left="720" w:right="720"/>
        <w:jc w:val="both"/>
        <w:rPr>
          <w:i/>
        </w:rPr>
      </w:pPr>
      <w:r>
        <w:rPr>
          <w:i/>
        </w:rPr>
        <w:t xml:space="preserve">This can then lead to a change of attitude, modification of communicative style and of approach that in turn can support changes in the language understanding and language use of the pupil and consequent improvements in </w:t>
      </w:r>
      <w:proofErr w:type="spellStart"/>
      <w:r>
        <w:rPr>
          <w:i/>
        </w:rPr>
        <w:t>behaviour</w:t>
      </w:r>
      <w:proofErr w:type="spellEnd"/>
      <w:r>
        <w:rPr>
          <w:i/>
        </w:rPr>
        <w:t>. (p 121)</w:t>
      </w:r>
    </w:p>
    <w:p>
      <w:pPr>
        <w:ind w:left="720" w:right="720"/>
        <w:jc w:val="both"/>
        <w:rPr>
          <w:i/>
        </w:rPr>
      </w:pPr>
    </w:p>
    <w:p>
      <w:pPr>
        <w:spacing w:line="360" w:lineRule="auto"/>
        <w:ind w:right="120"/>
        <w:jc w:val="both"/>
      </w:pPr>
    </w:p>
    <w:p>
      <w:pPr>
        <w:spacing w:line="360" w:lineRule="auto"/>
        <w:ind w:right="120"/>
        <w:jc w:val="both"/>
      </w:pPr>
      <w:bookmarkStart w:id="0" w:name="_GoBack"/>
      <w:bookmarkEnd w:id="0"/>
      <w:r>
        <w:t>In support of both boys it would be vital that all parties adopted a reflective practice; to consider all the information known about the child; family background, medical history, assessment data, observations of the child in all scenarios and situations. It is important to admit what does and doesn’t work when supporting the child and to take account of the child’s voice. Professionals need to keep an open mind – hypothesise, speculate and suggest - but retain the understanding that the needs of the individual are as complex as the individual is themselves.</w:t>
      </w:r>
    </w:p>
    <w:p>
      <w:pPr>
        <w:spacing w:line="360" w:lineRule="auto"/>
        <w:ind w:right="120"/>
        <w:jc w:val="both"/>
      </w:pPr>
    </w:p>
    <w:sectPr>
      <w:footerReference w:type="default" r:id="rId9"/>
      <w:pgSz w:w="11906" w:h="16838"/>
      <w:pgMar w:top="1440" w:right="1274"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7870437"/>
      <w:docPartObj>
        <w:docPartGallery w:val="Page Numbers (Bottom of Page)"/>
        <w:docPartUnique/>
      </w:docPartObj>
    </w:sdtPr>
    <w:sdtEndPr>
      <w:rPr>
        <w:noProof/>
      </w:rPr>
    </w:sdtEndPr>
    <w:sdtContent>
      <w:p>
        <w:pPr>
          <w:pStyle w:val="Footer"/>
          <w:jc w:val="right"/>
        </w:pPr>
        <w:r>
          <w:fldChar w:fldCharType="begin"/>
        </w:r>
        <w:r>
          <w:instrText xml:space="preserve"> PAGE   \* MERGEFORMAT </w:instrText>
        </w:r>
        <w:r>
          <w:fldChar w:fldCharType="separate"/>
        </w:r>
        <w:r>
          <w:rPr>
            <w:noProof/>
          </w:rPr>
          <w:t>21</w:t>
        </w:r>
        <w:r>
          <w:rPr>
            <w:noProof/>
          </w:rPr>
          <w:fldChar w:fldCharType="end"/>
        </w:r>
      </w:p>
    </w:sdtContent>
  </w:sdt>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F97D4E"/>
    <w:multiLevelType w:val="hybridMultilevel"/>
    <w:tmpl w:val="F278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20E4D"/>
    <w:multiLevelType w:val="multilevel"/>
    <w:tmpl w:val="B63C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AB81364"/>
    <w:multiLevelType w:val="hybridMultilevel"/>
    <w:tmpl w:val="9A842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7A69C7"/>
    <w:multiLevelType w:val="hybridMultilevel"/>
    <w:tmpl w:val="66205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9064B8"/>
    <w:multiLevelType w:val="hybridMultilevel"/>
    <w:tmpl w:val="64C2E8C4"/>
    <w:lvl w:ilvl="0" w:tplc="57AAB0CE">
      <w:start w:val="1"/>
      <w:numFmt w:val="bullet"/>
      <w:lvlText w:val="•"/>
      <w:lvlJc w:val="left"/>
      <w:pPr>
        <w:tabs>
          <w:tab w:val="num" w:pos="720"/>
        </w:tabs>
        <w:ind w:left="720" w:hanging="360"/>
      </w:pPr>
      <w:rPr>
        <w:rFonts w:ascii="Arial" w:hAnsi="Arial" w:hint="default"/>
      </w:rPr>
    </w:lvl>
    <w:lvl w:ilvl="1" w:tplc="673849A6" w:tentative="1">
      <w:start w:val="1"/>
      <w:numFmt w:val="bullet"/>
      <w:lvlText w:val="•"/>
      <w:lvlJc w:val="left"/>
      <w:pPr>
        <w:tabs>
          <w:tab w:val="num" w:pos="1440"/>
        </w:tabs>
        <w:ind w:left="1440" w:hanging="360"/>
      </w:pPr>
      <w:rPr>
        <w:rFonts w:ascii="Arial" w:hAnsi="Arial" w:hint="default"/>
      </w:rPr>
    </w:lvl>
    <w:lvl w:ilvl="2" w:tplc="CFC2DB2A" w:tentative="1">
      <w:start w:val="1"/>
      <w:numFmt w:val="bullet"/>
      <w:lvlText w:val="•"/>
      <w:lvlJc w:val="left"/>
      <w:pPr>
        <w:tabs>
          <w:tab w:val="num" w:pos="2160"/>
        </w:tabs>
        <w:ind w:left="2160" w:hanging="360"/>
      </w:pPr>
      <w:rPr>
        <w:rFonts w:ascii="Arial" w:hAnsi="Arial" w:hint="default"/>
      </w:rPr>
    </w:lvl>
    <w:lvl w:ilvl="3" w:tplc="58B22256" w:tentative="1">
      <w:start w:val="1"/>
      <w:numFmt w:val="bullet"/>
      <w:lvlText w:val="•"/>
      <w:lvlJc w:val="left"/>
      <w:pPr>
        <w:tabs>
          <w:tab w:val="num" w:pos="2880"/>
        </w:tabs>
        <w:ind w:left="2880" w:hanging="360"/>
      </w:pPr>
      <w:rPr>
        <w:rFonts w:ascii="Arial" w:hAnsi="Arial" w:hint="default"/>
      </w:rPr>
    </w:lvl>
    <w:lvl w:ilvl="4" w:tplc="7DEAD8EA" w:tentative="1">
      <w:start w:val="1"/>
      <w:numFmt w:val="bullet"/>
      <w:lvlText w:val="•"/>
      <w:lvlJc w:val="left"/>
      <w:pPr>
        <w:tabs>
          <w:tab w:val="num" w:pos="3600"/>
        </w:tabs>
        <w:ind w:left="3600" w:hanging="360"/>
      </w:pPr>
      <w:rPr>
        <w:rFonts w:ascii="Arial" w:hAnsi="Arial" w:hint="default"/>
      </w:rPr>
    </w:lvl>
    <w:lvl w:ilvl="5" w:tplc="0F86F1F8" w:tentative="1">
      <w:start w:val="1"/>
      <w:numFmt w:val="bullet"/>
      <w:lvlText w:val="•"/>
      <w:lvlJc w:val="left"/>
      <w:pPr>
        <w:tabs>
          <w:tab w:val="num" w:pos="4320"/>
        </w:tabs>
        <w:ind w:left="4320" w:hanging="360"/>
      </w:pPr>
      <w:rPr>
        <w:rFonts w:ascii="Arial" w:hAnsi="Arial" w:hint="default"/>
      </w:rPr>
    </w:lvl>
    <w:lvl w:ilvl="6" w:tplc="44F6ED0A" w:tentative="1">
      <w:start w:val="1"/>
      <w:numFmt w:val="bullet"/>
      <w:lvlText w:val="•"/>
      <w:lvlJc w:val="left"/>
      <w:pPr>
        <w:tabs>
          <w:tab w:val="num" w:pos="5040"/>
        </w:tabs>
        <w:ind w:left="5040" w:hanging="360"/>
      </w:pPr>
      <w:rPr>
        <w:rFonts w:ascii="Arial" w:hAnsi="Arial" w:hint="default"/>
      </w:rPr>
    </w:lvl>
    <w:lvl w:ilvl="7" w:tplc="2032783C" w:tentative="1">
      <w:start w:val="1"/>
      <w:numFmt w:val="bullet"/>
      <w:lvlText w:val="•"/>
      <w:lvlJc w:val="left"/>
      <w:pPr>
        <w:tabs>
          <w:tab w:val="num" w:pos="5760"/>
        </w:tabs>
        <w:ind w:left="5760" w:hanging="360"/>
      </w:pPr>
      <w:rPr>
        <w:rFonts w:ascii="Arial" w:hAnsi="Arial" w:hint="default"/>
      </w:rPr>
    </w:lvl>
    <w:lvl w:ilvl="8" w:tplc="F06AD36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16B6792"/>
    <w:multiLevelType w:val="hybridMultilevel"/>
    <w:tmpl w:val="30F6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385FF9"/>
    <w:multiLevelType w:val="multilevel"/>
    <w:tmpl w:val="27AEB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450AA6"/>
    <w:multiLevelType w:val="hybridMultilevel"/>
    <w:tmpl w:val="67049C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FFD6F0E"/>
    <w:multiLevelType w:val="hybridMultilevel"/>
    <w:tmpl w:val="80EA2A64"/>
    <w:lvl w:ilvl="0" w:tplc="A454DA58">
      <w:start w:val="1"/>
      <w:numFmt w:val="bullet"/>
      <w:lvlText w:val=""/>
      <w:lvlJc w:val="left"/>
      <w:pPr>
        <w:tabs>
          <w:tab w:val="num" w:pos="720"/>
        </w:tabs>
        <w:ind w:left="720" w:hanging="360"/>
      </w:pPr>
      <w:rPr>
        <w:rFonts w:ascii="Wingdings" w:hAnsi="Wingdings" w:hint="default"/>
      </w:rPr>
    </w:lvl>
    <w:lvl w:ilvl="1" w:tplc="052EF942" w:tentative="1">
      <w:start w:val="1"/>
      <w:numFmt w:val="bullet"/>
      <w:lvlText w:val=""/>
      <w:lvlJc w:val="left"/>
      <w:pPr>
        <w:tabs>
          <w:tab w:val="num" w:pos="1440"/>
        </w:tabs>
        <w:ind w:left="1440" w:hanging="360"/>
      </w:pPr>
      <w:rPr>
        <w:rFonts w:ascii="Wingdings" w:hAnsi="Wingdings" w:hint="default"/>
      </w:rPr>
    </w:lvl>
    <w:lvl w:ilvl="2" w:tplc="FD24E028" w:tentative="1">
      <w:start w:val="1"/>
      <w:numFmt w:val="bullet"/>
      <w:lvlText w:val=""/>
      <w:lvlJc w:val="left"/>
      <w:pPr>
        <w:tabs>
          <w:tab w:val="num" w:pos="2160"/>
        </w:tabs>
        <w:ind w:left="2160" w:hanging="360"/>
      </w:pPr>
      <w:rPr>
        <w:rFonts w:ascii="Wingdings" w:hAnsi="Wingdings" w:hint="default"/>
      </w:rPr>
    </w:lvl>
    <w:lvl w:ilvl="3" w:tplc="DC80CB9C" w:tentative="1">
      <w:start w:val="1"/>
      <w:numFmt w:val="bullet"/>
      <w:lvlText w:val=""/>
      <w:lvlJc w:val="left"/>
      <w:pPr>
        <w:tabs>
          <w:tab w:val="num" w:pos="2880"/>
        </w:tabs>
        <w:ind w:left="2880" w:hanging="360"/>
      </w:pPr>
      <w:rPr>
        <w:rFonts w:ascii="Wingdings" w:hAnsi="Wingdings" w:hint="default"/>
      </w:rPr>
    </w:lvl>
    <w:lvl w:ilvl="4" w:tplc="D5804786" w:tentative="1">
      <w:start w:val="1"/>
      <w:numFmt w:val="bullet"/>
      <w:lvlText w:val=""/>
      <w:lvlJc w:val="left"/>
      <w:pPr>
        <w:tabs>
          <w:tab w:val="num" w:pos="3600"/>
        </w:tabs>
        <w:ind w:left="3600" w:hanging="360"/>
      </w:pPr>
      <w:rPr>
        <w:rFonts w:ascii="Wingdings" w:hAnsi="Wingdings" w:hint="default"/>
      </w:rPr>
    </w:lvl>
    <w:lvl w:ilvl="5" w:tplc="47169FAE" w:tentative="1">
      <w:start w:val="1"/>
      <w:numFmt w:val="bullet"/>
      <w:lvlText w:val=""/>
      <w:lvlJc w:val="left"/>
      <w:pPr>
        <w:tabs>
          <w:tab w:val="num" w:pos="4320"/>
        </w:tabs>
        <w:ind w:left="4320" w:hanging="360"/>
      </w:pPr>
      <w:rPr>
        <w:rFonts w:ascii="Wingdings" w:hAnsi="Wingdings" w:hint="default"/>
      </w:rPr>
    </w:lvl>
    <w:lvl w:ilvl="6" w:tplc="58EA8D36" w:tentative="1">
      <w:start w:val="1"/>
      <w:numFmt w:val="bullet"/>
      <w:lvlText w:val=""/>
      <w:lvlJc w:val="left"/>
      <w:pPr>
        <w:tabs>
          <w:tab w:val="num" w:pos="5040"/>
        </w:tabs>
        <w:ind w:left="5040" w:hanging="360"/>
      </w:pPr>
      <w:rPr>
        <w:rFonts w:ascii="Wingdings" w:hAnsi="Wingdings" w:hint="default"/>
      </w:rPr>
    </w:lvl>
    <w:lvl w:ilvl="7" w:tplc="E4727438" w:tentative="1">
      <w:start w:val="1"/>
      <w:numFmt w:val="bullet"/>
      <w:lvlText w:val=""/>
      <w:lvlJc w:val="left"/>
      <w:pPr>
        <w:tabs>
          <w:tab w:val="num" w:pos="5760"/>
        </w:tabs>
        <w:ind w:left="5760" w:hanging="360"/>
      </w:pPr>
      <w:rPr>
        <w:rFonts w:ascii="Wingdings" w:hAnsi="Wingdings" w:hint="default"/>
      </w:rPr>
    </w:lvl>
    <w:lvl w:ilvl="8" w:tplc="2D080F74"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6"/>
  </w:num>
  <w:num w:numId="4">
    <w:abstractNumId w:val="3"/>
  </w:num>
  <w:num w:numId="5">
    <w:abstractNumId w:val="5"/>
  </w:num>
  <w:num w:numId="6">
    <w:abstractNumId w:val="4"/>
  </w:num>
  <w:num w:numId="7">
    <w:abstractNumId w:val="8"/>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82A391-E805-44E1-995D-6D621BCD3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rialtitle">
    <w:name w:val="serial_title"/>
    <w:basedOn w:val="DefaultParagraphFont"/>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semiHidden/>
    <w:unhideWhenUsed/>
    <w:rPr>
      <w:color w:val="0000FF"/>
      <w:u w:val="single"/>
    </w:rPr>
  </w:style>
  <w:style w:type="paragraph" w:styleId="NormalWeb">
    <w:name w:val="Normal (Web)"/>
    <w:basedOn w:val="Normal"/>
    <w:uiPriority w:val="99"/>
    <w:semiHidden/>
    <w:unhideWhenUsed/>
    <w:pPr>
      <w:spacing w:before="100" w:beforeAutospacing="1" w:after="100" w:afterAutospacing="1"/>
    </w:pPr>
    <w:rPr>
      <w:lang w:val="en-GB" w:eastAsia="en-GB"/>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val="en-US"/>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806775">
      <w:bodyDiv w:val="1"/>
      <w:marLeft w:val="0"/>
      <w:marRight w:val="0"/>
      <w:marTop w:val="0"/>
      <w:marBottom w:val="0"/>
      <w:divBdr>
        <w:top w:val="none" w:sz="0" w:space="0" w:color="auto"/>
        <w:left w:val="none" w:sz="0" w:space="0" w:color="auto"/>
        <w:bottom w:val="none" w:sz="0" w:space="0" w:color="auto"/>
        <w:right w:val="none" w:sz="0" w:space="0" w:color="auto"/>
      </w:divBdr>
    </w:div>
    <w:div w:id="1042367018">
      <w:bodyDiv w:val="1"/>
      <w:marLeft w:val="0"/>
      <w:marRight w:val="0"/>
      <w:marTop w:val="0"/>
      <w:marBottom w:val="0"/>
      <w:divBdr>
        <w:top w:val="none" w:sz="0" w:space="0" w:color="auto"/>
        <w:left w:val="none" w:sz="0" w:space="0" w:color="auto"/>
        <w:bottom w:val="none" w:sz="0" w:space="0" w:color="auto"/>
        <w:right w:val="none" w:sz="0" w:space="0" w:color="auto"/>
      </w:divBdr>
    </w:div>
    <w:div w:id="1472284823">
      <w:bodyDiv w:val="1"/>
      <w:marLeft w:val="0"/>
      <w:marRight w:val="0"/>
      <w:marTop w:val="0"/>
      <w:marBottom w:val="0"/>
      <w:divBdr>
        <w:top w:val="none" w:sz="0" w:space="0" w:color="auto"/>
        <w:left w:val="none" w:sz="0" w:space="0" w:color="auto"/>
        <w:bottom w:val="none" w:sz="0" w:space="0" w:color="auto"/>
        <w:right w:val="none" w:sz="0" w:space="0" w:color="auto"/>
      </w:divBdr>
      <w:divsChild>
        <w:div w:id="1020592998">
          <w:marLeft w:val="360"/>
          <w:marRight w:val="0"/>
          <w:marTop w:val="200"/>
          <w:marBottom w:val="0"/>
          <w:divBdr>
            <w:top w:val="none" w:sz="0" w:space="0" w:color="auto"/>
            <w:left w:val="none" w:sz="0" w:space="0" w:color="auto"/>
            <w:bottom w:val="none" w:sz="0" w:space="0" w:color="auto"/>
            <w:right w:val="none" w:sz="0" w:space="0" w:color="auto"/>
          </w:divBdr>
        </w:div>
        <w:div w:id="1274051235">
          <w:marLeft w:val="360"/>
          <w:marRight w:val="0"/>
          <w:marTop w:val="200"/>
          <w:marBottom w:val="0"/>
          <w:divBdr>
            <w:top w:val="none" w:sz="0" w:space="0" w:color="auto"/>
            <w:left w:val="none" w:sz="0" w:space="0" w:color="auto"/>
            <w:bottom w:val="none" w:sz="0" w:space="0" w:color="auto"/>
            <w:right w:val="none" w:sz="0" w:space="0" w:color="auto"/>
          </w:divBdr>
        </w:div>
        <w:div w:id="1278563048">
          <w:marLeft w:val="360"/>
          <w:marRight w:val="0"/>
          <w:marTop w:val="200"/>
          <w:marBottom w:val="0"/>
          <w:divBdr>
            <w:top w:val="none" w:sz="0" w:space="0" w:color="auto"/>
            <w:left w:val="none" w:sz="0" w:space="0" w:color="auto"/>
            <w:bottom w:val="none" w:sz="0" w:space="0" w:color="auto"/>
            <w:right w:val="none" w:sz="0" w:space="0" w:color="auto"/>
          </w:divBdr>
        </w:div>
        <w:div w:id="317270054">
          <w:marLeft w:val="360"/>
          <w:marRight w:val="0"/>
          <w:marTop w:val="200"/>
          <w:marBottom w:val="0"/>
          <w:divBdr>
            <w:top w:val="none" w:sz="0" w:space="0" w:color="auto"/>
            <w:left w:val="none" w:sz="0" w:space="0" w:color="auto"/>
            <w:bottom w:val="none" w:sz="0" w:space="0" w:color="auto"/>
            <w:right w:val="none" w:sz="0" w:space="0" w:color="auto"/>
          </w:divBdr>
        </w:div>
      </w:divsChild>
    </w:div>
    <w:div w:id="1619752135">
      <w:bodyDiv w:val="1"/>
      <w:marLeft w:val="0"/>
      <w:marRight w:val="0"/>
      <w:marTop w:val="0"/>
      <w:marBottom w:val="0"/>
      <w:divBdr>
        <w:top w:val="none" w:sz="0" w:space="0" w:color="auto"/>
        <w:left w:val="none" w:sz="0" w:space="0" w:color="auto"/>
        <w:bottom w:val="none" w:sz="0" w:space="0" w:color="auto"/>
        <w:right w:val="none" w:sz="0" w:space="0" w:color="auto"/>
      </w:divBdr>
    </w:div>
    <w:div w:id="1717966648">
      <w:bodyDiv w:val="1"/>
      <w:marLeft w:val="0"/>
      <w:marRight w:val="0"/>
      <w:marTop w:val="0"/>
      <w:marBottom w:val="0"/>
      <w:divBdr>
        <w:top w:val="none" w:sz="0" w:space="0" w:color="auto"/>
        <w:left w:val="none" w:sz="0" w:space="0" w:color="auto"/>
        <w:bottom w:val="none" w:sz="0" w:space="0" w:color="auto"/>
        <w:right w:val="none" w:sz="0" w:space="0" w:color="auto"/>
      </w:divBdr>
    </w:div>
    <w:div w:id="1954943355">
      <w:bodyDiv w:val="1"/>
      <w:marLeft w:val="0"/>
      <w:marRight w:val="0"/>
      <w:marTop w:val="0"/>
      <w:marBottom w:val="0"/>
      <w:divBdr>
        <w:top w:val="none" w:sz="0" w:space="0" w:color="auto"/>
        <w:left w:val="none" w:sz="0" w:space="0" w:color="auto"/>
        <w:bottom w:val="none" w:sz="0" w:space="0" w:color="auto"/>
        <w:right w:val="none" w:sz="0" w:space="0" w:color="auto"/>
      </w:divBdr>
    </w:div>
    <w:div w:id="1989360157">
      <w:bodyDiv w:val="1"/>
      <w:marLeft w:val="0"/>
      <w:marRight w:val="0"/>
      <w:marTop w:val="0"/>
      <w:marBottom w:val="0"/>
      <w:divBdr>
        <w:top w:val="none" w:sz="0" w:space="0" w:color="auto"/>
        <w:left w:val="none" w:sz="0" w:space="0" w:color="auto"/>
        <w:bottom w:val="none" w:sz="0" w:space="0" w:color="auto"/>
        <w:right w:val="none" w:sz="0" w:space="0" w:color="auto"/>
      </w:divBdr>
      <w:divsChild>
        <w:div w:id="1611401700">
          <w:marLeft w:val="360"/>
          <w:marRight w:val="0"/>
          <w:marTop w:val="200"/>
          <w:marBottom w:val="0"/>
          <w:divBdr>
            <w:top w:val="none" w:sz="0" w:space="0" w:color="auto"/>
            <w:left w:val="none" w:sz="0" w:space="0" w:color="auto"/>
            <w:bottom w:val="none" w:sz="0" w:space="0" w:color="auto"/>
            <w:right w:val="none" w:sz="0" w:space="0" w:color="auto"/>
          </w:divBdr>
        </w:div>
        <w:div w:id="174479576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ditudemag.com/slideshows/adhd-emotions-understanding-intense-feeling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31D42-AD9C-4660-B493-E9031853E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22</Pages>
  <Words>7983</Words>
  <Characters>45505</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Bishop Vaughan Catholic School</Company>
  <LinksUpToDate>false</LinksUpToDate>
  <CharactersWithSpaces>53382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Suzy Jones</dc:creator>
  <cp:keywords/>
  <dc:description/>
  <cp:lastModifiedBy>Jones, Mark</cp:lastModifiedBy>
  <cp:revision>4</cp:revision>
  <cp:lastPrinted>2020-01-22T17:00:00Z</cp:lastPrinted>
  <dcterms:created xsi:type="dcterms:W3CDTF">2020-01-22T16:38:00Z</dcterms:created>
  <dcterms:modified xsi:type="dcterms:W3CDTF">2020-01-22T17:00:00Z</dcterms:modified>
</cp:coreProperties>
</file>