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D31E9" w14:textId="77777777" w:rsidR="00E17E3C" w:rsidRDefault="00E17E3C">
      <w:r>
        <w:t>University of Wales Trinity Saint David</w:t>
      </w:r>
    </w:p>
    <w:p w14:paraId="0DE0753D" w14:textId="77777777" w:rsidR="00E17E3C" w:rsidRDefault="00E17E3C"/>
    <w:p w14:paraId="0C4E8915" w14:textId="220D0C5A" w:rsidR="00042E6D" w:rsidRDefault="00E17E3C">
      <w:r>
        <w:t xml:space="preserve">Module Name: </w:t>
      </w:r>
      <w:r w:rsidR="00277893" w:rsidRPr="00277893">
        <w:t>Understanding and Engaging Stakeholders (LCLM5001_LON)</w:t>
      </w:r>
    </w:p>
    <w:p w14:paraId="26DCD7B7" w14:textId="77777777" w:rsidR="00042E6D" w:rsidRDefault="00042E6D"/>
    <w:p w14:paraId="18616275" w14:textId="3FA965E1" w:rsidR="00E17E3C" w:rsidRDefault="00E17E3C">
      <w:r>
        <w:t xml:space="preserve"> Student Name: </w:t>
      </w:r>
      <w:r w:rsidR="00090CC6">
        <w:t xml:space="preserve">Rania </w:t>
      </w:r>
      <w:proofErr w:type="spellStart"/>
      <w:r w:rsidR="00090CC6">
        <w:t>Safouh</w:t>
      </w:r>
      <w:proofErr w:type="spellEnd"/>
      <w:r w:rsidR="00090CC6">
        <w:t xml:space="preserve"> </w:t>
      </w:r>
    </w:p>
    <w:p w14:paraId="5EFAF839" w14:textId="77777777" w:rsidR="00042E6D" w:rsidRDefault="00042E6D"/>
    <w:p w14:paraId="6B0AD694" w14:textId="17E4B6CB" w:rsidR="00E17E3C" w:rsidRDefault="00E17E3C">
      <w:r>
        <w:t xml:space="preserve">Student ID: </w:t>
      </w:r>
      <w:r w:rsidR="00090CC6">
        <w:t>2428471</w:t>
      </w:r>
    </w:p>
    <w:p w14:paraId="076D244A" w14:textId="77777777" w:rsidR="00042E6D" w:rsidRDefault="00042E6D"/>
    <w:p w14:paraId="66AB1658" w14:textId="4255D139" w:rsidR="009F71DD" w:rsidRDefault="00E17E3C">
      <w:r>
        <w:t xml:space="preserve">Lecturer Name: </w:t>
      </w:r>
      <w:r w:rsidR="009F71DD">
        <w:t xml:space="preserve">Eric </w:t>
      </w:r>
      <w:proofErr w:type="spellStart"/>
      <w:r w:rsidR="009F71DD">
        <w:t>Osei</w:t>
      </w:r>
      <w:proofErr w:type="spellEnd"/>
      <w:r w:rsidR="009F71DD">
        <w:t>-Nadeem Mirza</w:t>
      </w:r>
    </w:p>
    <w:p w14:paraId="395B2DD8" w14:textId="4C8510B9" w:rsidR="00042E6D" w:rsidRDefault="00042E6D"/>
    <w:p w14:paraId="60C92D12" w14:textId="1D036EB2" w:rsidR="00E17E3C" w:rsidRDefault="00E17E3C">
      <w:r>
        <w:t xml:space="preserve">Assessment Title: </w:t>
      </w:r>
      <w:r w:rsidR="00EE13F4">
        <w:t>LCLM – LONDON-</w:t>
      </w:r>
      <w:r w:rsidR="00D44D6F">
        <w:t>5001</w:t>
      </w:r>
      <w:r w:rsidR="00DB7D33">
        <w:t>-</w:t>
      </w:r>
      <w:r>
        <w:t xml:space="preserve"> </w:t>
      </w:r>
      <w:proofErr w:type="spellStart"/>
      <w:r>
        <w:t>ConnectPlus</w:t>
      </w:r>
      <w:proofErr w:type="spellEnd"/>
      <w:r w:rsidR="00DB7D33">
        <w:t>-Report</w:t>
      </w:r>
      <w:r w:rsidR="00EE13F4">
        <w:t xml:space="preserve"> </w:t>
      </w:r>
      <w:r w:rsidR="00DB7D33">
        <w:t>( June2026</w:t>
      </w:r>
      <w:r w:rsidR="00EE13F4">
        <w:t xml:space="preserve"> </w:t>
      </w:r>
      <w:r w:rsidR="00DB7D33">
        <w:t>)</w:t>
      </w:r>
    </w:p>
    <w:p w14:paraId="6FB6DCF6" w14:textId="77777777" w:rsidR="00042E6D" w:rsidRDefault="00042E6D"/>
    <w:p w14:paraId="20D30320" w14:textId="77777777" w:rsidR="00E17E3C" w:rsidRDefault="00E17E3C">
      <w:r>
        <w:t>Word Count: 4,000 (+/-10%)</w:t>
      </w:r>
    </w:p>
    <w:p w14:paraId="2D578DA6" w14:textId="77777777" w:rsidR="008C5FB9" w:rsidRDefault="008C5FB9"/>
    <w:p w14:paraId="0B94082A" w14:textId="77777777" w:rsidR="00950E67" w:rsidRDefault="00950E67"/>
    <w:p w14:paraId="45919691" w14:textId="77777777" w:rsidR="005869BC" w:rsidRDefault="00FE5EF3">
      <w:r>
        <w:t xml:space="preserve">Table of </w:t>
      </w:r>
      <w:r w:rsidR="005869BC">
        <w:t xml:space="preserve">Contents </w:t>
      </w:r>
    </w:p>
    <w:p w14:paraId="1F08545E" w14:textId="77777777" w:rsidR="005869BC" w:rsidRDefault="005869BC" w:rsidP="00A4375E">
      <w:pPr>
        <w:pStyle w:val="ListParagraph"/>
        <w:numPr>
          <w:ilvl w:val="0"/>
          <w:numId w:val="1"/>
        </w:numPr>
      </w:pPr>
      <w:r>
        <w:t>Executive</w:t>
      </w:r>
      <w:r w:rsidR="00FE5EF3">
        <w:t xml:space="preserve"> Summary</w:t>
      </w:r>
    </w:p>
    <w:p w14:paraId="213EA95D" w14:textId="77777777" w:rsidR="005869BC" w:rsidRDefault="005869BC" w:rsidP="00A4375E">
      <w:pPr>
        <w:pStyle w:val="ListParagraph"/>
        <w:numPr>
          <w:ilvl w:val="0"/>
          <w:numId w:val="1"/>
        </w:numPr>
      </w:pPr>
      <w:r>
        <w:t xml:space="preserve">Introduction </w:t>
      </w:r>
    </w:p>
    <w:p w14:paraId="2D9671C2" w14:textId="77777777" w:rsidR="005869BC" w:rsidRDefault="005869BC" w:rsidP="00A4375E">
      <w:pPr>
        <w:pStyle w:val="ListParagraph"/>
        <w:numPr>
          <w:ilvl w:val="0"/>
          <w:numId w:val="1"/>
        </w:numPr>
      </w:pPr>
      <w:r>
        <w:t>SMART</w:t>
      </w:r>
      <w:r w:rsidR="00FE5EF3">
        <w:t xml:space="preserve"> </w:t>
      </w:r>
      <w:r>
        <w:t xml:space="preserve">Objectives </w:t>
      </w:r>
    </w:p>
    <w:p w14:paraId="0ED361F8" w14:textId="16946AEA" w:rsidR="002B3E0E" w:rsidRDefault="005869BC" w:rsidP="00A4375E">
      <w:pPr>
        <w:pStyle w:val="ListParagraph"/>
        <w:numPr>
          <w:ilvl w:val="0"/>
          <w:numId w:val="1"/>
        </w:numPr>
      </w:pPr>
      <w:r>
        <w:t>Stakeholder</w:t>
      </w:r>
      <w:r w:rsidR="00FE5EF3">
        <w:t xml:space="preserve"> Identification &amp;</w:t>
      </w:r>
      <w:r w:rsidR="003E43CF">
        <w:t xml:space="preserve"> </w:t>
      </w:r>
      <w:r>
        <w:t>Frameworks</w:t>
      </w:r>
    </w:p>
    <w:p w14:paraId="41081F63" w14:textId="5457CBA0" w:rsidR="002B3E0E" w:rsidRDefault="005869BC" w:rsidP="00A4375E">
      <w:pPr>
        <w:pStyle w:val="ListParagraph"/>
        <w:numPr>
          <w:ilvl w:val="0"/>
          <w:numId w:val="1"/>
        </w:numPr>
      </w:pPr>
      <w:r>
        <w:t>Roles</w:t>
      </w:r>
      <w:r w:rsidR="00FE5EF3">
        <w:t xml:space="preserve">, Responsibilities, Benefits &amp; </w:t>
      </w:r>
      <w:r w:rsidR="002B3E0E">
        <w:t xml:space="preserve">Challenges </w:t>
      </w:r>
    </w:p>
    <w:p w14:paraId="015BACAE" w14:textId="77777777" w:rsidR="002B3E0E" w:rsidRDefault="002B3E0E" w:rsidP="00A4375E">
      <w:pPr>
        <w:pStyle w:val="ListParagraph"/>
        <w:numPr>
          <w:ilvl w:val="0"/>
          <w:numId w:val="1"/>
        </w:numPr>
      </w:pPr>
      <w:r>
        <w:t>Stakeholder</w:t>
      </w:r>
      <w:r w:rsidR="00FE5EF3">
        <w:t xml:space="preserve"> Engagement &amp; Conflict </w:t>
      </w:r>
      <w:r>
        <w:t>Management</w:t>
      </w:r>
    </w:p>
    <w:p w14:paraId="1F056391" w14:textId="6E6B0627" w:rsidR="006F37FA" w:rsidRDefault="002B3E0E" w:rsidP="00A4375E">
      <w:pPr>
        <w:pStyle w:val="ListParagraph"/>
        <w:numPr>
          <w:ilvl w:val="0"/>
          <w:numId w:val="1"/>
        </w:numPr>
      </w:pPr>
      <w:r>
        <w:t>Evaluation</w:t>
      </w:r>
      <w:r w:rsidR="00FE5EF3">
        <w:t xml:space="preserve"> of Sustainable Stakeholder </w:t>
      </w:r>
      <w:r w:rsidR="002A0BA3">
        <w:t xml:space="preserve">Engagement </w:t>
      </w:r>
    </w:p>
    <w:p w14:paraId="481A0EED" w14:textId="77777777" w:rsidR="006F37FA" w:rsidRDefault="002A0BA3" w:rsidP="00A4375E">
      <w:pPr>
        <w:pStyle w:val="ListParagraph"/>
        <w:numPr>
          <w:ilvl w:val="0"/>
          <w:numId w:val="1"/>
        </w:numPr>
      </w:pPr>
      <w:r>
        <w:t>Recommendations</w:t>
      </w:r>
      <w:r w:rsidR="00FE5EF3">
        <w:t xml:space="preserve"> &amp; </w:t>
      </w:r>
      <w:r w:rsidR="006F37FA">
        <w:t xml:space="preserve">Conclusion </w:t>
      </w:r>
    </w:p>
    <w:p w14:paraId="1C24C920" w14:textId="55F2364D" w:rsidR="00950E67" w:rsidRDefault="006F37FA" w:rsidP="00A4375E">
      <w:pPr>
        <w:pStyle w:val="ListParagraph"/>
        <w:numPr>
          <w:ilvl w:val="0"/>
          <w:numId w:val="1"/>
        </w:numPr>
      </w:pPr>
      <w:r>
        <w:t>References</w:t>
      </w:r>
    </w:p>
    <w:p w14:paraId="1FDDBEBE" w14:textId="0E8B99C1" w:rsidR="00950E67" w:rsidRDefault="00950E67"/>
    <w:p w14:paraId="309B985A" w14:textId="77777777" w:rsidR="009609B8" w:rsidRDefault="009609B8"/>
    <w:p w14:paraId="496C6265" w14:textId="77777777" w:rsidR="009609B8" w:rsidRDefault="009609B8"/>
    <w:p w14:paraId="18EB4409" w14:textId="496348AA" w:rsidR="00950E67" w:rsidRDefault="00950E67">
      <w:r>
        <w:t>“Executive Summary (≈300 words)</w:t>
      </w:r>
    </w:p>
    <w:p w14:paraId="149DCBEA" w14:textId="77777777" w:rsidR="00950E67" w:rsidRDefault="00950E67"/>
    <w:p w14:paraId="4714DD85" w14:textId="77777777" w:rsidR="007A5AA9" w:rsidRDefault="00950E67">
      <w:r>
        <w:t xml:space="preserve">This report critically examines stakeholder engagement strategies for the launch of </w:t>
      </w:r>
      <w:proofErr w:type="spellStart"/>
      <w:r>
        <w:t>ConnectPlus</w:t>
      </w:r>
      <w:proofErr w:type="spellEnd"/>
      <w:r>
        <w:t>, a UK‑based international e‑commerce investment company introducing a digital platform for online portfolio management.</w:t>
      </w:r>
    </w:p>
    <w:p w14:paraId="04A47DCB" w14:textId="0E1CFBA3" w:rsidR="00950E67" w:rsidRDefault="00950E67">
      <w:r>
        <w:t xml:space="preserve"> The platform is designed to empower individuals, local businesses, and international corporations by enabling them to trade, monitor, and manage investment portfolios in real time. Through AI‑driven</w:t>
      </w:r>
      <w:r w:rsidR="007A5AA9">
        <w:t xml:space="preserve"> r</w:t>
      </w:r>
      <w:r>
        <w:t xml:space="preserve">ecommendations, mobile dashboards, and automated reporting, </w:t>
      </w:r>
      <w:proofErr w:type="spellStart"/>
      <w:r>
        <w:t>ConnectPlus</w:t>
      </w:r>
      <w:proofErr w:type="spellEnd"/>
      <w:r>
        <w:t xml:space="preserve"> simplifies complex financial processes, enhances transparency, and strengthens trust between clients and their investment company.  </w:t>
      </w:r>
    </w:p>
    <w:p w14:paraId="357A878C" w14:textId="77777777" w:rsidR="00950E67" w:rsidRDefault="00950E67"/>
    <w:p w14:paraId="38AEE58B" w14:textId="77777777" w:rsidR="00950E67" w:rsidRDefault="00950E67">
      <w:r>
        <w:t xml:space="preserve">The project’s achievements are expected to include:  </w:t>
      </w:r>
    </w:p>
    <w:p w14:paraId="28A8DD9D" w14:textId="77777777" w:rsidR="00950E67" w:rsidRDefault="00950E67">
      <w:r>
        <w:t xml:space="preserve">- Facilitating online trading and portfolio management for diverse stakeholders.  </w:t>
      </w:r>
    </w:p>
    <w:p w14:paraId="714A9AE3" w14:textId="77777777" w:rsidR="00950E67" w:rsidRDefault="00950E67">
      <w:r>
        <w:t xml:space="preserve">- Enhancing employee efficiency by automating compliance and reporting tasks.  </w:t>
      </w:r>
    </w:p>
    <w:p w14:paraId="5624E1E9" w14:textId="77777777" w:rsidR="00950E67" w:rsidRDefault="00950E67">
      <w:r>
        <w:t xml:space="preserve">- Providing clients with accurate, timely, and user‑friendly data analysis that improves decision‑making.  </w:t>
      </w:r>
    </w:p>
    <w:p w14:paraId="5FFB939D" w14:textId="77777777" w:rsidR="00950E67" w:rsidRDefault="00950E67">
      <w:r>
        <w:t xml:space="preserve">- Strengthening loyalty and credibility by ensuring clarity and reliability in investment information.  </w:t>
      </w:r>
    </w:p>
    <w:p w14:paraId="515AE46C" w14:textId="77777777" w:rsidR="00950E67" w:rsidRDefault="00950E67"/>
    <w:p w14:paraId="26F9DCC7" w14:textId="77777777" w:rsidR="00950E67" w:rsidRDefault="00950E67">
      <w:r>
        <w:t xml:space="preserve">The report identifies and categorises key stakeholders, applying frameworks such as the Interest/Influence Matrix and the Salience Model to evaluate their importance. It explores roles, responsibilities, benefits, and challenges, while recognising the complexities of managing diverse expectations across regulatory and cultural contexts.  </w:t>
      </w:r>
    </w:p>
    <w:p w14:paraId="5A977417" w14:textId="77777777" w:rsidR="00950E67" w:rsidRDefault="00950E67"/>
    <w:p w14:paraId="7F4D803A" w14:textId="77777777" w:rsidR="00950E67" w:rsidRDefault="00950E67">
      <w:r>
        <w:t xml:space="preserve">A critical analysis of engagement strategies is provided, drawing on stakeholder theory and frameworks such as SWANS and OWANS, the RACI matrix, and communication models. The evaluation demonstrates how sustainable stakeholder engagement contributes to long‑term value creation, competitive advantage, and ethical responsibility in the e‑commerce investment sector.  </w:t>
      </w:r>
    </w:p>
    <w:p w14:paraId="5B3D2429" w14:textId="77777777" w:rsidR="00950E67" w:rsidRDefault="00950E67"/>
    <w:p w14:paraId="53A112BC" w14:textId="77777777" w:rsidR="00950E67" w:rsidRDefault="00950E67">
      <w:r>
        <w:t xml:space="preserve">Finally, recommendations are offered to strengthen stakeholder engagement practices, ensuring successful adoption of </w:t>
      </w:r>
      <w:proofErr w:type="spellStart"/>
      <w:r>
        <w:t>ConnectPlus</w:t>
      </w:r>
      <w:proofErr w:type="spellEnd"/>
      <w:r>
        <w:t xml:space="preserve"> across international markets. The conclusions reinforce the necessity of integrating stakeholder theory with practical management tools to deliver strategic outcomes in globalised financial environments.  </w:t>
      </w:r>
    </w:p>
    <w:p w14:paraId="655887F7" w14:textId="77777777" w:rsidR="00950E67" w:rsidRDefault="00950E67">
      <w:pPr>
        <w:pBdr>
          <w:bottom w:val="single" w:sz="6" w:space="1" w:color="auto"/>
        </w:pBdr>
      </w:pPr>
    </w:p>
    <w:p w14:paraId="0FE97946" w14:textId="77777777" w:rsidR="00950E67" w:rsidRDefault="00950E67"/>
    <w:p w14:paraId="0ADE3E30" w14:textId="77777777" w:rsidR="00950E67" w:rsidRDefault="00950E67">
      <w:r>
        <w:t>Introduction (≈300 words)</w:t>
      </w:r>
    </w:p>
    <w:p w14:paraId="0B045D0E" w14:textId="77777777" w:rsidR="00950E67" w:rsidRDefault="00950E67"/>
    <w:p w14:paraId="41729C9B" w14:textId="77777777" w:rsidR="00950E67" w:rsidRDefault="00950E67">
      <w:r>
        <w:t xml:space="preserve">The e‑commerce and </w:t>
      </w:r>
      <w:proofErr w:type="spellStart"/>
      <w:r>
        <w:t>fintech</w:t>
      </w:r>
      <w:proofErr w:type="spellEnd"/>
      <w:r>
        <w:t xml:space="preserve"> industries are rapidly evolving, driven by digital innovation, regulatory changes, and growing demand for accessible investment solutions. </w:t>
      </w:r>
      <w:proofErr w:type="spellStart"/>
      <w:r>
        <w:t>ConnectPlus</w:t>
      </w:r>
      <w:proofErr w:type="spellEnd"/>
      <w:r>
        <w:t xml:space="preserve">, headquartered in the UK, is preparing to launch a digital platform that enables clients to manage investment portfolios online. Inspired by </w:t>
      </w:r>
      <w:proofErr w:type="spellStart"/>
      <w:r>
        <w:t>fintech</w:t>
      </w:r>
      <w:proofErr w:type="spellEnd"/>
      <w:r>
        <w:t xml:space="preserve"> applications such as </w:t>
      </w:r>
      <w:proofErr w:type="spellStart"/>
      <w:r>
        <w:t>Thndr</w:t>
      </w:r>
      <w:proofErr w:type="spellEnd"/>
      <w:r>
        <w:t xml:space="preserve"> in Egypt, the initiative integrates AI‑driven recommendations, mobile dashboards, and real‑time analytics to simplify trading, enhance transparency, and build trust with clients.  </w:t>
      </w:r>
    </w:p>
    <w:p w14:paraId="64EEBAD3" w14:textId="77777777" w:rsidR="00950E67" w:rsidRDefault="00950E67"/>
    <w:p w14:paraId="35822CA9" w14:textId="77777777" w:rsidR="00950E67" w:rsidRDefault="00950E67">
      <w:r>
        <w:t xml:space="preserve">The platform’s core achievement lies in its ability to facilitate investment management for both individuals and organisations. By offering accurate and timely data analysis in a clear and user‑friendly format, it empowers clients to make informed decisions while reducing the complexity traditionally associated with portfolio management. For employees, automation of compliance and reporting tasks improves efficiency, allowing them to focus on higher‑value advisory roles. For clients, the credibility of the company is reinforced through transparent processes and reliable information.  </w:t>
      </w:r>
    </w:p>
    <w:p w14:paraId="5DF81A79" w14:textId="77777777" w:rsidR="00950E67" w:rsidRDefault="00950E67"/>
    <w:p w14:paraId="121C6DF3" w14:textId="77777777" w:rsidR="00950E67" w:rsidRDefault="00950E67">
      <w:r>
        <w:t xml:space="preserve">Stakeholder engagement is central to the success of this initiative. As Freeman (1984) argues, organisations create value by managing relationships with stakeholders who influence or are influenced by corporate activities. In this case, stakeholders include internal groups such as product development teams, IT specialists, compliance officers, and senior management, as well as external actors including individual investors, local businesses, international corporations, regulators, and technology partners. Their active involvement is essential to ensure the platform’s design, rollout, and adoption meet strategic objectives.  </w:t>
      </w:r>
    </w:p>
    <w:p w14:paraId="67B2BC85" w14:textId="77777777" w:rsidR="00950E67" w:rsidRDefault="00950E67"/>
    <w:p w14:paraId="4EF731D4" w14:textId="77777777" w:rsidR="00950E67" w:rsidRDefault="00950E67">
      <w:r>
        <w:t xml:space="preserve">This report applies stakeholder theory and engagement frameworks to critically analyse how stakeholders can be identified, engaged, and managed throughout the project lifecycle. It demonstrates how effective engagement contributes to organisational performance, sustainability, and ethical responsibility, aligning with principles outlined in Ashcroft’s Relational Lens (2017).  </w:t>
      </w:r>
    </w:p>
    <w:p w14:paraId="7C3F60FD" w14:textId="77777777" w:rsidR="00950E67" w:rsidRDefault="00950E67">
      <w:pPr>
        <w:pBdr>
          <w:bottom w:val="single" w:sz="6" w:space="1" w:color="auto"/>
        </w:pBdr>
      </w:pPr>
    </w:p>
    <w:p w14:paraId="7FC3F0C0" w14:textId="77777777" w:rsidR="00950E67" w:rsidRDefault="00950E67"/>
    <w:p w14:paraId="1AF7E15A" w14:textId="77777777" w:rsidR="00950E67" w:rsidRDefault="00950E67">
      <w:r>
        <w:t>SMART Objectives (≈100 words)</w:t>
      </w:r>
    </w:p>
    <w:p w14:paraId="328CE6E1" w14:textId="77777777" w:rsidR="00950E67" w:rsidRDefault="00950E67"/>
    <w:p w14:paraId="62820D85" w14:textId="77777777" w:rsidR="00950E67" w:rsidRDefault="00950E67">
      <w:r>
        <w:t xml:space="preserve">The project objectives for the digital investment platform are defined using the SMART framework:  </w:t>
      </w:r>
    </w:p>
    <w:p w14:paraId="324D819B" w14:textId="77777777" w:rsidR="00950E67" w:rsidRDefault="00950E67"/>
    <w:p w14:paraId="6271EC6D" w14:textId="77777777" w:rsidR="00950E67" w:rsidRDefault="00950E67">
      <w:r>
        <w:t xml:space="preserve">- Specific: Launch a digital platform enabling clients to manage investment portfolios online with AI recommendations and mobile dashboards.  </w:t>
      </w:r>
    </w:p>
    <w:p w14:paraId="4787F8A0" w14:textId="77777777" w:rsidR="00950E67" w:rsidRDefault="00950E67">
      <w:r>
        <w:t xml:space="preserve">- Measurable: Achieve a 25% increase in client engagement and portfolio activity within 12 months of rollout.  </w:t>
      </w:r>
    </w:p>
    <w:p w14:paraId="4659E299" w14:textId="77777777" w:rsidR="00950E67" w:rsidRDefault="00950E67">
      <w:r>
        <w:t xml:space="preserve">- Achievable: Leverage existing </w:t>
      </w:r>
      <w:proofErr w:type="spellStart"/>
      <w:r>
        <w:t>fintech</w:t>
      </w:r>
      <w:proofErr w:type="spellEnd"/>
      <w:r>
        <w:t xml:space="preserve"> infrastructure and partnerships to deliver the platform within six months.  </w:t>
      </w:r>
    </w:p>
    <w:p w14:paraId="0156E492" w14:textId="77777777" w:rsidR="00950E67" w:rsidRDefault="00950E67">
      <w:r>
        <w:t xml:space="preserve">- Relevant: Align with strategic goals of enhancing transparency, client trust, and loyalty in investment services.  </w:t>
      </w:r>
    </w:p>
    <w:p w14:paraId="7D8B7879" w14:textId="77777777" w:rsidR="00950E67" w:rsidRDefault="00950E67">
      <w:r>
        <w:t xml:space="preserve">- Time‑bound: Complete rollout across selected international markets within six months.  </w:t>
      </w:r>
    </w:p>
    <w:p w14:paraId="6A99A614" w14:textId="77777777" w:rsidR="00950E67" w:rsidRDefault="00950E67">
      <w:pPr>
        <w:pBdr>
          <w:bottom w:val="single" w:sz="6" w:space="1" w:color="auto"/>
        </w:pBdr>
      </w:pPr>
    </w:p>
    <w:p w14:paraId="488FED95" w14:textId="77777777" w:rsidR="00950E67" w:rsidRDefault="00950E67"/>
    <w:p w14:paraId="549A3954" w14:textId="77777777" w:rsidR="00950E67" w:rsidRDefault="00950E67">
      <w:r>
        <w:t>Stakeholder Identification &amp; Frameworks (≈800 words)</w:t>
      </w:r>
    </w:p>
    <w:p w14:paraId="3B96414E" w14:textId="77777777" w:rsidR="00950E67" w:rsidRDefault="00950E67"/>
    <w:p w14:paraId="0E54157F" w14:textId="77777777" w:rsidR="00950E67" w:rsidRDefault="00950E67">
      <w:r>
        <w:t xml:space="preserve">Stakeholders were mapped using the Interest/Influence Matrix and the Salience Model.  </w:t>
      </w:r>
    </w:p>
    <w:p w14:paraId="4AC9598A" w14:textId="77777777" w:rsidR="00950E67" w:rsidRDefault="00950E67"/>
    <w:p w14:paraId="297CEA03" w14:textId="77777777" w:rsidR="00950E67" w:rsidRDefault="00950E67">
      <w:r>
        <w:t xml:space="preserve">- Internal stakeholders: senior management, product development, compliance officers, marketing/sales, customer support.  </w:t>
      </w:r>
    </w:p>
    <w:p w14:paraId="382A37A1" w14:textId="77777777" w:rsidR="00950E67" w:rsidRDefault="00950E67">
      <w:r>
        <w:t xml:space="preserve">- External stakeholders: individual investors, local enterprises, international corporations, regulators, technology partners, financial institutions, media/analysts.  </w:t>
      </w:r>
    </w:p>
    <w:p w14:paraId="46A4DA5A" w14:textId="77777777" w:rsidR="00950E67" w:rsidRDefault="00950E67"/>
    <w:p w14:paraId="3D5997BF" w14:textId="77777777" w:rsidR="00950E67" w:rsidRDefault="00950E67">
      <w:r>
        <w:t xml:space="preserve">Interest/Influence Matrix:  </w:t>
      </w:r>
    </w:p>
    <w:p w14:paraId="311F4731" w14:textId="77777777" w:rsidR="00950E67" w:rsidRDefault="00950E67">
      <w:r>
        <w:t xml:space="preserve">- High interest/high influence: senior management, regulators, international corporations.  </w:t>
      </w:r>
    </w:p>
    <w:p w14:paraId="17FADD3F" w14:textId="77777777" w:rsidR="00950E67" w:rsidRDefault="00950E67">
      <w:r>
        <w:t xml:space="preserve">- High interest/low influence: individual investors, local enterprises, customer support.  </w:t>
      </w:r>
    </w:p>
    <w:p w14:paraId="0E068771" w14:textId="77777777" w:rsidR="00950E67" w:rsidRDefault="00950E67">
      <w:r>
        <w:t xml:space="preserve">- Low interest/high influence: media, financial institutions.  </w:t>
      </w:r>
    </w:p>
    <w:p w14:paraId="2B86AD74" w14:textId="77777777" w:rsidR="00950E67" w:rsidRDefault="00950E67">
      <w:r>
        <w:t xml:space="preserve">- Low interest/low influence: minor suppliers.  </w:t>
      </w:r>
    </w:p>
    <w:p w14:paraId="68B905D8" w14:textId="77777777" w:rsidR="00950E67" w:rsidRDefault="00950E67"/>
    <w:p w14:paraId="1D220CFB" w14:textId="77777777" w:rsidR="00950E67" w:rsidRDefault="00950E67">
      <w:r>
        <w:t xml:space="preserve">Salience Model:  </w:t>
      </w:r>
    </w:p>
    <w:p w14:paraId="3E58C709" w14:textId="77777777" w:rsidR="00950E67" w:rsidRDefault="00950E67">
      <w:r>
        <w:t xml:space="preserve">- Definitive stakeholders: regulators, senior management.  </w:t>
      </w:r>
    </w:p>
    <w:p w14:paraId="6ED8738B" w14:textId="77777777" w:rsidR="00950E67" w:rsidRDefault="00950E67">
      <w:r>
        <w:t xml:space="preserve">- Dominant stakeholders: international corporations, financial institutions.  </w:t>
      </w:r>
    </w:p>
    <w:p w14:paraId="00D57C15" w14:textId="77777777" w:rsidR="00950E67" w:rsidRDefault="00950E67">
      <w:r>
        <w:t xml:space="preserve">- Dependent stakeholders: individual investors, local enterprises.  </w:t>
      </w:r>
    </w:p>
    <w:p w14:paraId="1905EA5A" w14:textId="77777777" w:rsidR="00950E67" w:rsidRDefault="00950E67">
      <w:r>
        <w:t xml:space="preserve">- Dangerous stakeholders: media outlets.  </w:t>
      </w:r>
    </w:p>
    <w:p w14:paraId="12FC456F" w14:textId="77777777" w:rsidR="00950E67" w:rsidRDefault="00950E67">
      <w:r>
        <w:t xml:space="preserve">- Discretionary stakeholders: professional associations.  </w:t>
      </w:r>
    </w:p>
    <w:p w14:paraId="73005DEB" w14:textId="77777777" w:rsidR="00950E67" w:rsidRDefault="00950E67"/>
    <w:p w14:paraId="701FF778" w14:textId="77777777" w:rsidR="00950E67" w:rsidRDefault="00950E67">
      <w:r>
        <w:t xml:space="preserve">Benefits: credibility, loyalty, efficiency, market expansion.  </w:t>
      </w:r>
    </w:p>
    <w:p w14:paraId="156598D4" w14:textId="77777777" w:rsidR="00950E67" w:rsidRDefault="00950E67">
      <w:r>
        <w:t xml:space="preserve">Challenges: regulatory complexity, cultural diversity, resistance to change, data security.  </w:t>
      </w:r>
    </w:p>
    <w:p w14:paraId="75A4B595" w14:textId="77777777" w:rsidR="00950E67" w:rsidRDefault="00950E67">
      <w:pPr>
        <w:pBdr>
          <w:bottom w:val="single" w:sz="6" w:space="1" w:color="auto"/>
        </w:pBdr>
      </w:pPr>
    </w:p>
    <w:p w14:paraId="3926465F" w14:textId="77777777" w:rsidR="00950E67" w:rsidRDefault="00950E67"/>
    <w:p w14:paraId="0C666BDA" w14:textId="77777777" w:rsidR="00950E67" w:rsidRDefault="00950E67">
      <w:r>
        <w:t>Roles, Responsibilities, Benefits &amp; Challenges (≈500 words)</w:t>
      </w:r>
    </w:p>
    <w:p w14:paraId="50444CA8" w14:textId="77777777" w:rsidR="00950E67" w:rsidRDefault="00950E67"/>
    <w:p w14:paraId="673DA74A" w14:textId="77777777" w:rsidR="00950E67" w:rsidRDefault="00950E67">
      <w:r>
        <w:t xml:space="preserve">- Senior Management: strategic oversight; benefit = credibility; challenge = balancing innovation vs cost.  </w:t>
      </w:r>
    </w:p>
    <w:p w14:paraId="4347AF0E" w14:textId="77777777" w:rsidR="00950E67" w:rsidRDefault="00950E67">
      <w:r>
        <w:t xml:space="preserve">- Product Development Team: design/build platform; benefit = innovation; challenge = speed vs compliance.  </w:t>
      </w:r>
    </w:p>
    <w:p w14:paraId="30137884" w14:textId="77777777" w:rsidR="00950E67" w:rsidRDefault="00950E67">
      <w:r>
        <w:t xml:space="preserve">- Compliance Officers: ensure regulation; benefit = legitimacy; challenge = multi‑jurisdiction complexity.  </w:t>
      </w:r>
    </w:p>
    <w:p w14:paraId="76031DEA" w14:textId="77777777" w:rsidR="00950E67" w:rsidRDefault="00950E67">
      <w:r>
        <w:t xml:space="preserve">- Marketing/Sales: promote platform; benefit = adoption; challenge = scepticism.  </w:t>
      </w:r>
    </w:p>
    <w:p w14:paraId="709FA286" w14:textId="77777777" w:rsidR="00950E67" w:rsidRDefault="00950E67">
      <w:r>
        <w:t xml:space="preserve">- Customer Support: maintain satisfaction; benefit = loyalty; challenge = demand spikes.  </w:t>
      </w:r>
    </w:p>
    <w:p w14:paraId="372AECEF" w14:textId="77777777" w:rsidR="00950E67" w:rsidRDefault="00950E67"/>
    <w:p w14:paraId="04D06937" w14:textId="77777777" w:rsidR="00950E67" w:rsidRDefault="00950E67">
      <w:r>
        <w:t xml:space="preserve">- Individual Investors: adopt platform; benefit = empowerment; challenge = digital literacy gaps.  </w:t>
      </w:r>
    </w:p>
    <w:p w14:paraId="4A611508" w14:textId="77777777" w:rsidR="00950E67" w:rsidRDefault="00950E67">
      <w:r>
        <w:t xml:space="preserve">- Local Enterprises: manage investments; benefit = affordable tools; challenge = resource limits.  </w:t>
      </w:r>
    </w:p>
    <w:p w14:paraId="0970BAA3" w14:textId="77777777" w:rsidR="00950E67" w:rsidRDefault="00950E67">
      <w:r>
        <w:t xml:space="preserve">- International Corporations: complex portfolios; benefit = credibility; challenge = global compliance.  </w:t>
      </w:r>
    </w:p>
    <w:p w14:paraId="44B4B3D1" w14:textId="77777777" w:rsidR="00950E67" w:rsidRDefault="00950E67">
      <w:r>
        <w:t xml:space="preserve">- Regulators: enforce compliance; benefit = legitimacy; challenge = strict requirements.  </w:t>
      </w:r>
    </w:p>
    <w:p w14:paraId="63632008" w14:textId="77777777" w:rsidR="00950E67" w:rsidRDefault="00950E67">
      <w:r>
        <w:t xml:space="preserve">- Technology Partners: provide AI/cloud; benefit = scalability; challenge = dependency risks.  </w:t>
      </w:r>
    </w:p>
    <w:p w14:paraId="6CD0BB34" w14:textId="77777777" w:rsidR="00950E67" w:rsidRDefault="00950E67"/>
    <w:p w14:paraId="417BF163" w14:textId="2F7727EC" w:rsidR="00950E67" w:rsidRDefault="00950E67">
      <w:r>
        <w:t xml:space="preserve">Conclusion: Each stakeholder contributes unique value but also presents challenges requiring proactive </w:t>
      </w:r>
      <w:r w:rsidR="00282445">
        <w:t xml:space="preserve">engagement </w:t>
      </w:r>
    </w:p>
    <w:p w14:paraId="78B6783E" w14:textId="74F32325" w:rsidR="00282445" w:rsidRDefault="00D25741">
      <w:r>
        <w:t>________________________________</w:t>
      </w:r>
    </w:p>
    <w:p w14:paraId="05165AAD" w14:textId="77777777" w:rsidR="00515B6D" w:rsidRDefault="00515B6D"/>
    <w:p w14:paraId="3CADF537" w14:textId="77777777" w:rsidR="00D54A00" w:rsidRDefault="006F559F">
      <w:r>
        <w:t>Stakeholder Engagement &amp; Conflict Management (≈1200 words)</w:t>
      </w:r>
    </w:p>
    <w:p w14:paraId="7090A3A4" w14:textId="77777777" w:rsidR="00D54A00" w:rsidRDefault="00D54A00"/>
    <w:p w14:paraId="4CA9E925" w14:textId="77777777" w:rsidR="00AD5521" w:rsidRDefault="006F559F">
      <w:r>
        <w:t xml:space="preserve">Effective stakeholder engagement is a cornerstone of project success, particularly in globalised industries such as e‑commerce and </w:t>
      </w:r>
      <w:proofErr w:type="spellStart"/>
      <w:r>
        <w:t>fintech</w:t>
      </w:r>
      <w:proofErr w:type="spellEnd"/>
      <w:r>
        <w:t xml:space="preserve">. The launch of </w:t>
      </w:r>
      <w:proofErr w:type="spellStart"/>
      <w:r>
        <w:t>ConnectPlus</w:t>
      </w:r>
      <w:proofErr w:type="spellEnd"/>
      <w:r>
        <w:t xml:space="preserve"> requires a structured approach to stakeholder management that balances diverse interests, mitigates risks, and fosters collaboration across cultural and regulatory contexts. This section critically analyses engagement strategies, conflict management mechanisms, and theoretical frameworks that underpin sustainable stakeholder relationships</w:t>
      </w:r>
      <w:r w:rsidR="00D54A00">
        <w:t xml:space="preserve">. </w:t>
      </w:r>
    </w:p>
    <w:p w14:paraId="2847BA44" w14:textId="77777777" w:rsidR="00AD5521" w:rsidRDefault="00AD5521"/>
    <w:p w14:paraId="5EE2C70C" w14:textId="68A153BE" w:rsidR="0083346D" w:rsidRDefault="006F559F">
      <w:r>
        <w:t xml:space="preserve">Importance of Engagement in Global </w:t>
      </w:r>
      <w:r w:rsidR="000D3FE9">
        <w:t>Projects Stakeholder</w:t>
      </w:r>
      <w:r>
        <w:t xml:space="preserve"> engagement is not merely a communication exercise but a strategic process that aligns organisational objectives with stakeholder expectations. As Freeman (1984) emphasises, organisations create value through relationships, and neglecting these relationships can undermine project legitimacy. </w:t>
      </w:r>
    </w:p>
    <w:p w14:paraId="5F7A88C2" w14:textId="73BAC349" w:rsidR="00386CEF" w:rsidRDefault="006F559F">
      <w:r>
        <w:t xml:space="preserve">In the case of </w:t>
      </w:r>
      <w:proofErr w:type="spellStart"/>
      <w:r>
        <w:t>ConnectPlus</w:t>
      </w:r>
      <w:proofErr w:type="spellEnd"/>
      <w:r w:rsidR="007B32DF">
        <w:t xml:space="preserve">. </w:t>
      </w:r>
      <w:r w:rsidR="007B32DF" w:rsidRPr="007B32DF">
        <w:t>engagement ensures that regulators, investors, employees, and technology partners remain aligned with project goals. Ashcroft (2017) further argues that relational capital—trust, credibility, and collaboration—forms the foundation of sustainable stakeholder management.</w:t>
      </w:r>
    </w:p>
    <w:p w14:paraId="1BF4EB31" w14:textId="77777777" w:rsidR="00386CEF" w:rsidRDefault="00386CEF"/>
    <w:p w14:paraId="2CC5EFED" w14:textId="1016954A" w:rsidR="004070E3" w:rsidRDefault="007B32DF">
      <w:r w:rsidRPr="007B32DF">
        <w:t xml:space="preserve">Frameworks for </w:t>
      </w:r>
      <w:r w:rsidR="00386CEF" w:rsidRPr="007B32DF">
        <w:t>Engagement</w:t>
      </w:r>
      <w:r w:rsidR="000D3FE9">
        <w:t>:</w:t>
      </w:r>
      <w:r w:rsidR="00386CEF" w:rsidRPr="007B32DF">
        <w:t xml:space="preserve"> Several</w:t>
      </w:r>
      <w:r w:rsidRPr="007B32DF">
        <w:t xml:space="preserve"> frameworks provide structured approaches to stakeholder </w:t>
      </w:r>
      <w:r w:rsidR="00C668FD" w:rsidRPr="007B32DF">
        <w:t>engagement:</w:t>
      </w:r>
    </w:p>
    <w:p w14:paraId="2D294DBB" w14:textId="77777777" w:rsidR="004C78A4" w:rsidRDefault="00C668FD">
      <w:r w:rsidRPr="007B32DF">
        <w:t xml:space="preserve"> Stakeholder</w:t>
      </w:r>
      <w:r w:rsidR="007B32DF" w:rsidRPr="007B32DF">
        <w:t xml:space="preserve"> Matrix: Categorises stakeholders by power and interest, guiding prioritisation of communication and resource allocation.</w:t>
      </w:r>
    </w:p>
    <w:p w14:paraId="54961F46" w14:textId="7CF06395" w:rsidR="004070E3" w:rsidRDefault="007B32DF">
      <w:r w:rsidRPr="007B32DF">
        <w:t xml:space="preserve"> For </w:t>
      </w:r>
      <w:proofErr w:type="spellStart"/>
      <w:r w:rsidRPr="007B32DF">
        <w:t>ConnectPlus</w:t>
      </w:r>
      <w:proofErr w:type="spellEnd"/>
      <w:r w:rsidRPr="007B32DF">
        <w:t>, regulators and senior management fall into the high</w:t>
      </w:r>
      <w:r w:rsidRPr="007B32DF">
        <w:rPr>
          <w:rFonts w:ascii="Roboto" w:hAnsi="Roboto" w:cs="Roboto"/>
        </w:rPr>
        <w:t>‑</w:t>
      </w:r>
      <w:r w:rsidRPr="007B32DF">
        <w:t>power/high</w:t>
      </w:r>
      <w:r w:rsidRPr="007B32DF">
        <w:rPr>
          <w:rFonts w:ascii="Roboto" w:hAnsi="Roboto" w:cs="Roboto"/>
        </w:rPr>
        <w:t>‑</w:t>
      </w:r>
      <w:r w:rsidRPr="007B32DF">
        <w:t>interest quadrant, requiring continuous consultation and involvement.</w:t>
      </w:r>
    </w:p>
    <w:p w14:paraId="498DC246" w14:textId="7495F230" w:rsidR="00A6636E" w:rsidRDefault="007B32DF">
      <w:r w:rsidRPr="007B32DF">
        <w:t xml:space="preserve">RACI Matrix: Defines roles as Responsible, Accountable, Consulted, and Informed. This ensures clarity in responsibilities, reducing ambiguity and conflict. </w:t>
      </w:r>
    </w:p>
    <w:p w14:paraId="5C1B32F1" w14:textId="77777777" w:rsidR="004C78A4" w:rsidRDefault="00621BBC" w:rsidP="00621BBC">
      <w:r w:rsidRPr="00621BBC">
        <w:t xml:space="preserve">For example, compliance officers are Responsible for regulatory adherence, while senior management is Accountable for strategic </w:t>
      </w:r>
      <w:r w:rsidR="004C78A4" w:rsidRPr="00621BBC">
        <w:t xml:space="preserve">oversight. </w:t>
      </w:r>
    </w:p>
    <w:p w14:paraId="74694FBC" w14:textId="77777777" w:rsidR="004C78A4" w:rsidRDefault="004C78A4" w:rsidP="00621BBC"/>
    <w:p w14:paraId="2853893E" w14:textId="77777777" w:rsidR="008B17FE" w:rsidRDefault="004C78A4" w:rsidP="00621BBC">
      <w:r w:rsidRPr="00621BBC">
        <w:t>SWANS</w:t>
      </w:r>
      <w:r w:rsidR="00621BBC" w:rsidRPr="00621BBC">
        <w:t xml:space="preserve"> and OWANS: Differentiates stakeholders who are supportive (SWANS) versus obstructive (OWANS). Identifying potential OWANS, such as sceptical media outlets, allows proactive strategies to mitigate reputational risks.</w:t>
      </w:r>
    </w:p>
    <w:p w14:paraId="471CD343" w14:textId="77777777" w:rsidR="008B17FE" w:rsidRDefault="008B17FE" w:rsidP="00621BBC"/>
    <w:p w14:paraId="6943146D" w14:textId="77777777" w:rsidR="005C2254" w:rsidRDefault="00621BBC" w:rsidP="00621BBC">
      <w:r w:rsidRPr="00621BBC">
        <w:t>4Cs Model:</w:t>
      </w:r>
    </w:p>
    <w:p w14:paraId="607A6E57" w14:textId="2966D696" w:rsidR="008B17FE" w:rsidRDefault="00621BBC" w:rsidP="00621BBC">
      <w:r w:rsidRPr="00621BBC">
        <w:t xml:space="preserve"> Communication, Collaboration, Consultation, and Commitment. </w:t>
      </w:r>
    </w:p>
    <w:p w14:paraId="74A77261" w14:textId="77777777" w:rsidR="008B17FE" w:rsidRDefault="00621BBC" w:rsidP="00621BBC">
      <w:r w:rsidRPr="00621BBC">
        <w:t>This holistic model ensures stakeholders are not only informed but actively engaged in decision</w:t>
      </w:r>
      <w:r w:rsidRPr="00621BBC">
        <w:rPr>
          <w:rFonts w:ascii="Roboto" w:hAnsi="Roboto" w:cs="Roboto"/>
        </w:rPr>
        <w:t>‑</w:t>
      </w:r>
      <w:r w:rsidRPr="00621BBC">
        <w:t xml:space="preserve">making and </w:t>
      </w:r>
      <w:r w:rsidR="008B17FE" w:rsidRPr="00621BBC">
        <w:t>implementation.</w:t>
      </w:r>
    </w:p>
    <w:p w14:paraId="6625478C" w14:textId="77777777" w:rsidR="005C2254" w:rsidRDefault="005C2254" w:rsidP="00621BBC"/>
    <w:p w14:paraId="332E076D" w14:textId="77777777" w:rsidR="005C2254" w:rsidRDefault="008B17FE" w:rsidP="00621BBC">
      <w:r w:rsidRPr="00621BBC">
        <w:t xml:space="preserve"> Communication</w:t>
      </w:r>
      <w:r w:rsidR="00621BBC" w:rsidRPr="00621BBC">
        <w:t xml:space="preserve"> </w:t>
      </w:r>
      <w:r w:rsidRPr="00621BBC">
        <w:t>Strategies</w:t>
      </w:r>
      <w:r>
        <w:t>:</w:t>
      </w:r>
    </w:p>
    <w:p w14:paraId="6CDC1FE7" w14:textId="77777777" w:rsidR="00B81645" w:rsidRDefault="008B17FE" w:rsidP="00621BBC">
      <w:r w:rsidRPr="00621BBC">
        <w:t xml:space="preserve"> Communication</w:t>
      </w:r>
      <w:r w:rsidR="00621BBC" w:rsidRPr="00621BBC">
        <w:t xml:space="preserve"> is central to engagement. Transparent, timely, and culturally sensitive communication builds trust and reduces resistance. </w:t>
      </w:r>
    </w:p>
    <w:p w14:paraId="17F83789" w14:textId="77777777" w:rsidR="00B81645" w:rsidRDefault="00B81645" w:rsidP="00621BBC"/>
    <w:p w14:paraId="0E52F2CD" w14:textId="19F67149" w:rsidR="00AE54A3" w:rsidRDefault="00621BBC" w:rsidP="00621BBC">
      <w:r w:rsidRPr="00621BBC">
        <w:t xml:space="preserve">For </w:t>
      </w:r>
      <w:proofErr w:type="spellStart"/>
      <w:r w:rsidRPr="00621BBC">
        <w:t>ConnectPlus</w:t>
      </w:r>
      <w:proofErr w:type="spellEnd"/>
      <w:r w:rsidR="00AE54A3">
        <w:t>.</w:t>
      </w:r>
    </w:p>
    <w:p w14:paraId="1C0348DE" w14:textId="77777777" w:rsidR="00AE54A3" w:rsidRDefault="00621BBC" w:rsidP="00621BBC">
      <w:r w:rsidRPr="00621BBC">
        <w:t>Internal communication:</w:t>
      </w:r>
    </w:p>
    <w:p w14:paraId="25102217" w14:textId="22E47419" w:rsidR="00AE54A3" w:rsidRDefault="00621BBC" w:rsidP="00621BBC">
      <w:r w:rsidRPr="00621BBC">
        <w:t xml:space="preserve"> Regular updates via dashboards, town halls, and project newsletters ensure employees remain aligned</w:t>
      </w:r>
      <w:r w:rsidR="00AE54A3">
        <w:t>.</w:t>
      </w:r>
    </w:p>
    <w:p w14:paraId="20B2970D" w14:textId="77777777" w:rsidR="00DA14AF" w:rsidRDefault="00DA14AF" w:rsidP="00621BBC"/>
    <w:p w14:paraId="1AFF24DD" w14:textId="40D75A5E" w:rsidR="006F221B" w:rsidRDefault="00621BBC" w:rsidP="00621BBC">
      <w:r w:rsidRPr="00621BBC">
        <w:t xml:space="preserve">External communication: </w:t>
      </w:r>
      <w:r w:rsidR="0088703D" w:rsidRPr="0088703D">
        <w:t xml:space="preserve">Investors and regulators require formal reports, compliance documentation, and tailored </w:t>
      </w:r>
      <w:r w:rsidR="007240AC" w:rsidRPr="0088703D">
        <w:t xml:space="preserve">briefings. </w:t>
      </w:r>
    </w:p>
    <w:p w14:paraId="7F2EC8B9" w14:textId="77777777" w:rsidR="00DA14AF" w:rsidRDefault="00DA14AF" w:rsidP="00621BBC"/>
    <w:p w14:paraId="48C3ADA8" w14:textId="77777777" w:rsidR="00C30E70" w:rsidRDefault="007240AC" w:rsidP="00621BBC">
      <w:r w:rsidRPr="0088703D">
        <w:t>Cross</w:t>
      </w:r>
      <w:r w:rsidR="0088703D" w:rsidRPr="0088703D">
        <w:rPr>
          <w:rFonts w:ascii="Roboto" w:hAnsi="Roboto" w:cs="Roboto"/>
        </w:rPr>
        <w:t>‑</w:t>
      </w:r>
      <w:r w:rsidR="0088703D" w:rsidRPr="0088703D">
        <w:t xml:space="preserve">cultural communication: </w:t>
      </w:r>
    </w:p>
    <w:p w14:paraId="398C741E" w14:textId="4CD2A9AA" w:rsidR="00B1721E" w:rsidRDefault="0088703D" w:rsidP="00621BBC">
      <w:r w:rsidRPr="0088703D">
        <w:t xml:space="preserve">In international markets, localisation of content and sensitivity to cultural norms are critical. For example, regulatory communication in the EU may emphasise GDPR compliance, while in emerging markets, emphasis may be placed on accessibility and </w:t>
      </w:r>
      <w:r w:rsidR="007240AC" w:rsidRPr="0088703D">
        <w:t>inclusivity.</w:t>
      </w:r>
    </w:p>
    <w:p w14:paraId="49C80DF7" w14:textId="77777777" w:rsidR="00C30E70" w:rsidRDefault="007240AC" w:rsidP="00621BBC">
      <w:r w:rsidRPr="0088703D">
        <w:t xml:space="preserve"> </w:t>
      </w:r>
    </w:p>
    <w:p w14:paraId="43DA7BDE" w14:textId="15E9EA23" w:rsidR="00B1721E" w:rsidRDefault="007240AC" w:rsidP="00621BBC">
      <w:r w:rsidRPr="0088703D">
        <w:t>Conflict</w:t>
      </w:r>
      <w:r w:rsidR="0088703D" w:rsidRPr="0088703D">
        <w:t xml:space="preserve"> </w:t>
      </w:r>
      <w:r w:rsidRPr="0088703D">
        <w:t>Management</w:t>
      </w:r>
      <w:r w:rsidR="00B1721E">
        <w:t>:</w:t>
      </w:r>
    </w:p>
    <w:p w14:paraId="3CB3DA11" w14:textId="11BF126B" w:rsidR="00B1721E" w:rsidRDefault="007240AC" w:rsidP="00621BBC">
      <w:r w:rsidRPr="0088703D">
        <w:t xml:space="preserve"> Conflict</w:t>
      </w:r>
      <w:r w:rsidR="0088703D" w:rsidRPr="0088703D">
        <w:t xml:space="preserve"> is inevitable in complex projects, arising from divergent interests, resource constraints, or cultural differences. Effective conflict management </w:t>
      </w:r>
      <w:r w:rsidRPr="0088703D">
        <w:t xml:space="preserve">involves: </w:t>
      </w:r>
    </w:p>
    <w:p w14:paraId="231FE44E" w14:textId="7736B0FB" w:rsidR="0088703D" w:rsidRDefault="005C5F52" w:rsidP="00621BBC">
      <w:r>
        <w:t xml:space="preserve">  -</w:t>
      </w:r>
      <w:r w:rsidR="007240AC" w:rsidRPr="0088703D">
        <w:t>Preventive</w:t>
      </w:r>
      <w:r w:rsidR="0088703D" w:rsidRPr="0088703D">
        <w:t xml:space="preserve"> mechanisms: Clear role definitions (RACI), transparent communication, and early identification of potential conflicts. </w:t>
      </w:r>
    </w:p>
    <w:p w14:paraId="52408325" w14:textId="60AFF28D" w:rsidR="007240AC" w:rsidRDefault="00EC5B7A" w:rsidP="00621BBC">
      <w:r>
        <w:t xml:space="preserve">  </w:t>
      </w:r>
      <w:r w:rsidR="00536F89">
        <w:t xml:space="preserve"> -</w:t>
      </w:r>
      <w:r w:rsidR="0088703D" w:rsidRPr="0088703D">
        <w:t xml:space="preserve">Resolution strategies: </w:t>
      </w:r>
    </w:p>
    <w:p w14:paraId="3FB84DDB" w14:textId="77777777" w:rsidR="00BF2CAA" w:rsidRDefault="0088703D" w:rsidP="00621BBC">
      <w:r w:rsidRPr="0088703D">
        <w:t>Mediation, negotiation, and escalation protocols. For example, conflicts between product development and compliance teams</w:t>
      </w:r>
      <w:r w:rsidR="004C29B3">
        <w:t xml:space="preserve"> </w:t>
      </w:r>
      <w:r w:rsidR="004C29B3" w:rsidRPr="004C29B3">
        <w:t xml:space="preserve">can be resolved through joint workshops facilitated by project </w:t>
      </w:r>
      <w:r w:rsidR="00BF2CAA" w:rsidRPr="004C29B3">
        <w:t>managers.</w:t>
      </w:r>
    </w:p>
    <w:p w14:paraId="71E4F122" w14:textId="77777777" w:rsidR="00EC5B7A" w:rsidRDefault="00536F89" w:rsidP="00621BBC">
      <w:r>
        <w:t xml:space="preserve">  -</w:t>
      </w:r>
      <w:r w:rsidR="00BF2CAA" w:rsidRPr="004C29B3">
        <w:t xml:space="preserve"> Ethical</w:t>
      </w:r>
      <w:r w:rsidR="004C29B3" w:rsidRPr="004C29B3">
        <w:t xml:space="preserve"> considerations:</w:t>
      </w:r>
    </w:p>
    <w:p w14:paraId="630D2617" w14:textId="1572D869" w:rsidR="008B0D45" w:rsidRDefault="004C29B3" w:rsidP="00621BBC">
      <w:r w:rsidRPr="004C29B3">
        <w:t xml:space="preserve"> Conflicts must be managed with fairness and respect, avoiding exploitation of weaker stakeholders. This aligns with Carroll’s (1991) CSR pyramid, which emphasises ethical responsibility alongside economic and legal </w:t>
      </w:r>
      <w:r w:rsidR="008B0D45" w:rsidRPr="004C29B3">
        <w:t>obligations.</w:t>
      </w:r>
    </w:p>
    <w:p w14:paraId="3EA1837C" w14:textId="77777777" w:rsidR="009A1B2A" w:rsidRDefault="009A1B2A" w:rsidP="00621BBC"/>
    <w:p w14:paraId="446C8A0E" w14:textId="77777777" w:rsidR="009A1B2A" w:rsidRDefault="009A1B2A" w:rsidP="00621BBC"/>
    <w:p w14:paraId="393634E5" w14:textId="553DF1A7" w:rsidR="00A84E0E" w:rsidRDefault="008B0D45" w:rsidP="00621BBC">
      <w:r w:rsidRPr="004C29B3">
        <w:t xml:space="preserve"> Application</w:t>
      </w:r>
      <w:r w:rsidR="004C29B3" w:rsidRPr="004C29B3">
        <w:t xml:space="preserve"> to </w:t>
      </w:r>
      <w:proofErr w:type="spellStart"/>
      <w:r w:rsidR="004C29B3" w:rsidRPr="004C29B3">
        <w:t>ConnectPlus</w:t>
      </w:r>
      <w:proofErr w:type="spellEnd"/>
      <w:r w:rsidR="004073AD">
        <w:t xml:space="preserve"> </w:t>
      </w:r>
      <w:r w:rsidR="00607FED">
        <w:t>:</w:t>
      </w:r>
    </w:p>
    <w:p w14:paraId="1B7726AA" w14:textId="19A41FF2" w:rsidR="008D255E" w:rsidRDefault="00DB0FCF" w:rsidP="00621BBC">
      <w:r>
        <w:t>1-</w:t>
      </w:r>
      <w:r w:rsidR="004C29B3" w:rsidRPr="004C29B3">
        <w:t xml:space="preserve">Regulators: Engagement through compliance workshops, regular reporting, and consultation ensures legitimacy. Conflict may arise from differing interpretations of regulations across jurisdictions; resolution requires legal expertise and </w:t>
      </w:r>
      <w:r w:rsidR="008D255E" w:rsidRPr="004C29B3">
        <w:t xml:space="preserve">negotiation. </w:t>
      </w:r>
    </w:p>
    <w:p w14:paraId="2F51945D" w14:textId="77777777" w:rsidR="00400BB6" w:rsidRDefault="00400BB6" w:rsidP="00621BBC"/>
    <w:p w14:paraId="40BBA071" w14:textId="2F97ED8D" w:rsidR="008D255E" w:rsidRDefault="00A84E0E" w:rsidP="00621BBC">
      <w:r>
        <w:t>2-</w:t>
      </w:r>
      <w:r w:rsidR="008D255E" w:rsidRPr="004C29B3">
        <w:t>Investors</w:t>
      </w:r>
      <w:r w:rsidR="004C29B3" w:rsidRPr="004C29B3">
        <w:t xml:space="preserve">: Engagement through transparent dashboards and quarterly briefings builds trust. Conflicts may arise from risk perceptions; resolution involves demonstrating robust risk management </w:t>
      </w:r>
      <w:r w:rsidR="008D255E" w:rsidRPr="004C29B3">
        <w:t>frameworks.</w:t>
      </w:r>
    </w:p>
    <w:p w14:paraId="58E389E9" w14:textId="77777777" w:rsidR="00400BB6" w:rsidRDefault="00400BB6" w:rsidP="00621BBC"/>
    <w:p w14:paraId="1C37B715" w14:textId="3780842F" w:rsidR="00306005" w:rsidRDefault="00A84E0E" w:rsidP="00621BBC">
      <w:r>
        <w:t>3-</w:t>
      </w:r>
      <w:r w:rsidR="008D255E" w:rsidRPr="004C29B3">
        <w:t xml:space="preserve"> Employees</w:t>
      </w:r>
      <w:r w:rsidR="004C29B3" w:rsidRPr="004C29B3">
        <w:t xml:space="preserve">: </w:t>
      </w:r>
      <w:r w:rsidR="007B6FBA" w:rsidRPr="007B6FBA">
        <w:t xml:space="preserve">Engagement through training, feedback sessions, and recognition programmes fosters commitment. Conflicts may arise from workload pressures; resolution requires workload balancing and support </w:t>
      </w:r>
      <w:r w:rsidR="00306005" w:rsidRPr="007B6FBA">
        <w:t>mechanisms.</w:t>
      </w:r>
    </w:p>
    <w:p w14:paraId="53925DBA" w14:textId="77777777" w:rsidR="00400BB6" w:rsidRDefault="00400BB6" w:rsidP="00621BBC"/>
    <w:p w14:paraId="2845FFA7" w14:textId="039D4D5D" w:rsidR="00B51ED1" w:rsidRDefault="00607FED" w:rsidP="00621BBC">
      <w:r>
        <w:t>4-</w:t>
      </w:r>
      <w:r w:rsidR="00306005" w:rsidRPr="007B6FBA">
        <w:t xml:space="preserve"> Technology</w:t>
      </w:r>
      <w:r w:rsidR="007B6FBA" w:rsidRPr="007B6FBA">
        <w:t xml:space="preserve"> Partners:</w:t>
      </w:r>
      <w:r w:rsidR="006D0928">
        <w:t xml:space="preserve"> </w:t>
      </w:r>
      <w:r w:rsidR="007B6FBA" w:rsidRPr="007B6FBA">
        <w:t xml:space="preserve">Engagement through collaborative contracts and joint innovation sessions ensures scalability. Conflicts may arise from dependency risks; resolution involves diversification of </w:t>
      </w:r>
      <w:r w:rsidR="00B51ED1" w:rsidRPr="007B6FBA">
        <w:t>partnerships.</w:t>
      </w:r>
    </w:p>
    <w:p w14:paraId="0DAFD6B9" w14:textId="77777777" w:rsidR="00C47F9D" w:rsidRDefault="00C47F9D" w:rsidP="00621BBC"/>
    <w:p w14:paraId="4A802994" w14:textId="77777777" w:rsidR="007F2A21" w:rsidRDefault="00C47F9D" w:rsidP="00621BBC">
      <w:r>
        <w:t>5-</w:t>
      </w:r>
      <w:r w:rsidR="00B51ED1" w:rsidRPr="007B6FBA">
        <w:t xml:space="preserve"> Media</w:t>
      </w:r>
      <w:r w:rsidR="007B6FBA" w:rsidRPr="007B6FBA">
        <w:t xml:space="preserve">/Analysts: Engagement through proactive press releases and analyst briefings shapes narratives. Conflicts may arise from negative coverage; resolution involves transparent communication and reputation </w:t>
      </w:r>
      <w:r w:rsidR="00B51ED1" w:rsidRPr="007B6FBA">
        <w:t xml:space="preserve">management. </w:t>
      </w:r>
    </w:p>
    <w:p w14:paraId="5C9655F2" w14:textId="77777777" w:rsidR="007F2A21" w:rsidRDefault="007F2A21" w:rsidP="00621BBC"/>
    <w:p w14:paraId="411D6201" w14:textId="0E6C1563" w:rsidR="004E06D6" w:rsidRDefault="00B51ED1" w:rsidP="00621BBC">
      <w:r w:rsidRPr="007B6FBA">
        <w:t>Theoretical</w:t>
      </w:r>
      <w:r w:rsidR="007B6FBA" w:rsidRPr="007B6FBA">
        <w:t xml:space="preserve"> </w:t>
      </w:r>
      <w:r w:rsidRPr="007B6FBA">
        <w:t>Integration</w:t>
      </w:r>
      <w:r w:rsidR="007F2A21">
        <w:t>:</w:t>
      </w:r>
      <w:r w:rsidRPr="007B6FBA">
        <w:t xml:space="preserve"> Stakeholder</w:t>
      </w:r>
      <w:r w:rsidR="007B6FBA" w:rsidRPr="007B6FBA">
        <w:t xml:space="preserve"> theory (Freeman, 1984) provides the foundation, emphasising value creation through relationships. The Relational Lens (Ashcroft, 2017) highlights</w:t>
      </w:r>
      <w:r w:rsidR="008C0D4A">
        <w:t xml:space="preserve"> </w:t>
      </w:r>
      <w:r w:rsidR="008C0D4A" w:rsidRPr="008C0D4A">
        <w:t xml:space="preserve">the importance of trust and credibility. The RACI matrix ensures clarity in responsibilities, while SWANS/OWANS and the 4Cs model provide practical tools for engagement and conflict management. Together, these frameworks create a comprehensive strategy that balances strategic objectives with stakeholder </w:t>
      </w:r>
      <w:r w:rsidR="004E06D6" w:rsidRPr="008C0D4A">
        <w:t>expectations.</w:t>
      </w:r>
    </w:p>
    <w:p w14:paraId="41EAFADA" w14:textId="77777777" w:rsidR="00674C98" w:rsidRDefault="00674C98" w:rsidP="00621BBC"/>
    <w:p w14:paraId="07D42771" w14:textId="77777777" w:rsidR="00674C98" w:rsidRDefault="004E06D6" w:rsidP="00621BBC">
      <w:r w:rsidRPr="008C0D4A">
        <w:t xml:space="preserve"> Ethical</w:t>
      </w:r>
      <w:r w:rsidR="008C0D4A" w:rsidRPr="008C0D4A">
        <w:t xml:space="preserve"> and Cultural</w:t>
      </w:r>
      <w:r w:rsidR="00674C98">
        <w:t>:</w:t>
      </w:r>
    </w:p>
    <w:p w14:paraId="648FE424" w14:textId="7E40679E" w:rsidR="004E06D6" w:rsidRDefault="008C0D4A" w:rsidP="00621BBC">
      <w:r w:rsidRPr="008C0D4A">
        <w:t xml:space="preserve"> </w:t>
      </w:r>
      <w:r w:rsidR="004E06D6" w:rsidRPr="008C0D4A">
        <w:t>Considerations Global</w:t>
      </w:r>
      <w:r w:rsidRPr="008C0D4A">
        <w:t xml:space="preserve"> projects must respect cultural diversity and ethical norms.</w:t>
      </w:r>
    </w:p>
    <w:p w14:paraId="76B35579" w14:textId="77777777" w:rsidR="002125A3" w:rsidRDefault="002125A3" w:rsidP="00621BBC"/>
    <w:p w14:paraId="10035258" w14:textId="02ADE752" w:rsidR="00511CBE" w:rsidRDefault="008C0D4A" w:rsidP="00621BBC">
      <w:r w:rsidRPr="008C0D4A">
        <w:t xml:space="preserve"> For </w:t>
      </w:r>
      <w:proofErr w:type="spellStart"/>
      <w:r w:rsidRPr="008C0D4A">
        <w:t>ConnectPlus</w:t>
      </w:r>
      <w:proofErr w:type="spellEnd"/>
      <w:r w:rsidRPr="008C0D4A">
        <w:t xml:space="preserve">, this </w:t>
      </w:r>
      <w:r w:rsidR="00511CBE" w:rsidRPr="008C0D4A">
        <w:t xml:space="preserve">involves: </w:t>
      </w:r>
    </w:p>
    <w:p w14:paraId="3DC7B837" w14:textId="0F11ED70" w:rsidR="00511CBE" w:rsidRDefault="002125A3" w:rsidP="00621BBC">
      <w:r>
        <w:t xml:space="preserve">  -</w:t>
      </w:r>
      <w:r w:rsidR="00511CBE" w:rsidRPr="008C0D4A">
        <w:t>Cultural</w:t>
      </w:r>
      <w:r w:rsidR="008C0D4A" w:rsidRPr="008C0D4A">
        <w:t xml:space="preserve"> sensitivity: Adapting communication styles to local contexts, recognising differences in decision</w:t>
      </w:r>
      <w:r w:rsidR="008C0D4A" w:rsidRPr="008C0D4A">
        <w:rPr>
          <w:rFonts w:ascii="Roboto" w:hAnsi="Roboto" w:cs="Roboto"/>
        </w:rPr>
        <w:t>‑</w:t>
      </w:r>
      <w:r w:rsidR="008C0D4A" w:rsidRPr="008C0D4A">
        <w:t xml:space="preserve">making </w:t>
      </w:r>
      <w:r w:rsidR="00511CBE" w:rsidRPr="008C0D4A">
        <w:t xml:space="preserve">processes. </w:t>
      </w:r>
    </w:p>
    <w:p w14:paraId="14E9CDC4" w14:textId="65D13055" w:rsidR="00511CBE" w:rsidRDefault="002125A3" w:rsidP="00621BBC">
      <w:r>
        <w:t xml:space="preserve">  -</w:t>
      </w:r>
      <w:r w:rsidR="00511CBE" w:rsidRPr="008C0D4A">
        <w:t>Ethical</w:t>
      </w:r>
      <w:r w:rsidR="008C0D4A" w:rsidRPr="008C0D4A">
        <w:t xml:space="preserve"> responsibility: Ensuring transparency, fairness, and inclusivity in stakeholder engagement. </w:t>
      </w:r>
    </w:p>
    <w:p w14:paraId="68ADBE43" w14:textId="3955C8F4" w:rsidR="008C0D4A" w:rsidRDefault="002125A3" w:rsidP="00621BBC">
      <w:r>
        <w:t xml:space="preserve">  -</w:t>
      </w:r>
      <w:r w:rsidR="008C0D4A" w:rsidRPr="008C0D4A">
        <w:t>Sustainability: Building long</w:t>
      </w:r>
      <w:r w:rsidR="008C0D4A" w:rsidRPr="008C0D4A">
        <w:rPr>
          <w:rFonts w:ascii="Roboto" w:hAnsi="Roboto" w:cs="Roboto"/>
        </w:rPr>
        <w:t>‑</w:t>
      </w:r>
      <w:r w:rsidR="008C0D4A" w:rsidRPr="008C0D4A">
        <w:t xml:space="preserve">term relationships that contribute to organisational resilience and competitive advantage. </w:t>
      </w:r>
    </w:p>
    <w:p w14:paraId="14C0CF29" w14:textId="77777777" w:rsidR="008C0D4A" w:rsidRDefault="008C0D4A" w:rsidP="00621BBC"/>
    <w:p w14:paraId="69BD35D9" w14:textId="5BD7579B" w:rsidR="0088703D" w:rsidRDefault="0088703D" w:rsidP="00621BBC"/>
    <w:p w14:paraId="04EC65B4" w14:textId="77777777" w:rsidR="00110D07" w:rsidRDefault="007A03D0" w:rsidP="00621BBC">
      <w:r>
        <w:t>Evaluation of Sustainable Stakeholder Engagement (≈800 words)</w:t>
      </w:r>
    </w:p>
    <w:p w14:paraId="1EA3467F" w14:textId="77777777" w:rsidR="00606B1B" w:rsidRDefault="007A03D0" w:rsidP="00621BBC">
      <w:r>
        <w:t xml:space="preserve">Sustainable stakeholder engagement is increasingly recognised as a strategic imperative in global e‑commerce and </w:t>
      </w:r>
      <w:proofErr w:type="spellStart"/>
      <w:r>
        <w:t>fintech</w:t>
      </w:r>
      <w:proofErr w:type="spellEnd"/>
      <w:r>
        <w:t xml:space="preserve"> projects. For </w:t>
      </w:r>
      <w:proofErr w:type="spellStart"/>
      <w:r>
        <w:t>ConnectPlus</w:t>
      </w:r>
      <w:proofErr w:type="spellEnd"/>
      <w:r>
        <w:t xml:space="preserve">, sustainability in engagement refers not only to maintaining long‑term relationships but also to embedding ethical, cultural, and environmental considerations into stakeholder management practices. This evaluation explores how sustainable engagement impacts business performance, organisational resilience, and competitive </w:t>
      </w:r>
      <w:r w:rsidR="00606B1B">
        <w:t>advantage.</w:t>
      </w:r>
    </w:p>
    <w:p w14:paraId="006F70A4" w14:textId="034E4552" w:rsidR="00606B1B" w:rsidRDefault="00944082" w:rsidP="00621BBC">
      <w:r>
        <w:t>-----------</w:t>
      </w:r>
    </w:p>
    <w:p w14:paraId="02E5AC98" w14:textId="77777777" w:rsidR="003D1E06" w:rsidRDefault="00606B1B" w:rsidP="00621BBC">
      <w:r>
        <w:t xml:space="preserve"> Long</w:t>
      </w:r>
      <w:r w:rsidR="007A03D0">
        <w:t>‑Term Value</w:t>
      </w:r>
      <w:r>
        <w:t>: Creation Sustainable</w:t>
      </w:r>
      <w:r w:rsidR="007A03D0">
        <w:t xml:space="preserve"> engagement fosters trust and loyalty among stakeholders. As Ashcroft (2017) argues in the Relational Lens, relationships built on credibility and transparency create enduring value. For </w:t>
      </w:r>
      <w:proofErr w:type="spellStart"/>
      <w:r w:rsidR="007A03D0">
        <w:t>ConnectPlus</w:t>
      </w:r>
      <w:proofErr w:type="spellEnd"/>
      <w:r w:rsidR="007A03D0">
        <w:t xml:space="preserve">, sustained engagement with regulators ensures ongoing legitimacy, while long‑term collaboration </w:t>
      </w:r>
      <w:r w:rsidR="004A5BBC" w:rsidRPr="004A5BBC">
        <w:t xml:space="preserve">with technology partners enhances scalability. Investors benefit from consistent communication and reliable data, reinforcing confidence in the platform. Employees, when engaged through training and recognition, demonstrate higher commitment and productivity, reducing turnover and improving service </w:t>
      </w:r>
      <w:proofErr w:type="spellStart"/>
      <w:r w:rsidR="004A5BBC" w:rsidRPr="004A5BBC">
        <w:t>quality.Organisational</w:t>
      </w:r>
      <w:proofErr w:type="spellEnd"/>
      <w:r w:rsidR="004A5BBC" w:rsidRPr="004A5BBC">
        <w:t xml:space="preserve"> </w:t>
      </w:r>
      <w:proofErr w:type="spellStart"/>
      <w:r w:rsidR="004A5BBC" w:rsidRPr="004A5BBC">
        <w:t>PerformanceEffective</w:t>
      </w:r>
      <w:proofErr w:type="spellEnd"/>
      <w:r w:rsidR="004A5BBC" w:rsidRPr="004A5BBC">
        <w:t xml:space="preserve"> stakeholder engagement directly influences organisational performance. Christopher, Payne, and Ballantyne (2013) highlight that relationship marketing creates stakeholder value by aligning organisational outputs with stakeholder needs. For </w:t>
      </w:r>
      <w:proofErr w:type="spellStart"/>
      <w:r w:rsidR="004A5BBC" w:rsidRPr="004A5BBC">
        <w:t>ConnectPlus</w:t>
      </w:r>
      <w:proofErr w:type="spellEnd"/>
      <w:r w:rsidR="004A5BBC" w:rsidRPr="004A5BBC">
        <w:t>, sustainable engagement translates into improved adoption rates, higher client satisfaction, and stronger brand reputation. By embedding engagement into strategic planning, the company ensures that stakeholder expectations are continuously monitored and addressed, reducing risks of misalignment and project failure.</w:t>
      </w:r>
      <w:r w:rsidR="00E74093" w:rsidRPr="00E74093">
        <w:t xml:space="preserve"> </w:t>
      </w:r>
    </w:p>
    <w:p w14:paraId="6673D0F5" w14:textId="77777777" w:rsidR="003D1E06" w:rsidRDefault="003D1E06" w:rsidP="00621BBC"/>
    <w:p w14:paraId="65F29C62" w14:textId="77777777" w:rsidR="009609B8" w:rsidRDefault="00E74093" w:rsidP="00621BBC">
      <w:r w:rsidRPr="00E74093">
        <w:t xml:space="preserve">Ethical </w:t>
      </w:r>
      <w:r w:rsidR="003D1E06" w:rsidRPr="00E74093">
        <w:t>Responsibility Sustainability</w:t>
      </w:r>
      <w:r w:rsidRPr="00E74093">
        <w:t xml:space="preserve"> in engagement requires adherence to ethical principles. Carroll’s (1991) CSR pyramid emphasises that organisations must balance economic, legal, ethical, and philanthropic responsibilities. </w:t>
      </w:r>
      <w:proofErr w:type="spellStart"/>
      <w:r w:rsidRPr="00E74093">
        <w:t>ConnectPlus</w:t>
      </w:r>
      <w:proofErr w:type="spellEnd"/>
      <w:r w:rsidRPr="00E74093">
        <w:t xml:space="preserve"> demonstrates ethical responsibility by ensuring transparency in investment processes, protecting client data, and promoting inclusivity in international markets. Ethical engagement not only mitigates reputational risks but also strengthens stakeholder trust, which is critical in financial services where credibility is </w:t>
      </w:r>
      <w:proofErr w:type="spellStart"/>
      <w:r w:rsidRPr="00E74093">
        <w:t>paramount.Cultural</w:t>
      </w:r>
      <w:proofErr w:type="spellEnd"/>
      <w:r w:rsidRPr="00E74093">
        <w:t xml:space="preserve"> </w:t>
      </w:r>
      <w:proofErr w:type="spellStart"/>
      <w:r w:rsidRPr="00E74093">
        <w:t>SensitivityGlobal</w:t>
      </w:r>
      <w:proofErr w:type="spellEnd"/>
      <w:r w:rsidRPr="00E74093">
        <w:t xml:space="preserve"> projects must account for cultural diversity. Hofstede’s cultural dimensions theory illustrates how differences in power distance, individualism, and uncertainty avoidance shape stakeholder expectations. For </w:t>
      </w:r>
      <w:proofErr w:type="spellStart"/>
      <w:r w:rsidRPr="00E74093">
        <w:t>ConnectPlus</w:t>
      </w:r>
      <w:proofErr w:type="spellEnd"/>
      <w:r w:rsidRPr="00E74093">
        <w:t>, sustainable engagement involves adapting communication styles to local contexts, respecting cultural norms in decision</w:t>
      </w:r>
      <w:r w:rsidRPr="00E74093">
        <w:rPr>
          <w:rFonts w:ascii="Roboto" w:hAnsi="Roboto" w:cs="Roboto"/>
        </w:rPr>
        <w:t>‑</w:t>
      </w:r>
      <w:r w:rsidRPr="00E74093">
        <w:t>making, and ensuring</w:t>
      </w:r>
      <w:r w:rsidR="00C753B8">
        <w:t xml:space="preserve"> </w:t>
      </w:r>
      <w:r w:rsidR="00C753B8" w:rsidRPr="00C753B8">
        <w:t>inclusivity in platform design. For example, in markets with high uncertainty avoidance, stakeholders may require more detailed compliance assurances, while in collectivist cultures, emphasis may be placed on community benefits.</w:t>
      </w:r>
    </w:p>
    <w:p w14:paraId="17EB2C51" w14:textId="5E07A284" w:rsidR="009B736F" w:rsidRDefault="00C753B8" w:rsidP="00621BBC">
      <w:r w:rsidRPr="00C753B8">
        <w:t xml:space="preserve">Risk </w:t>
      </w:r>
      <w:proofErr w:type="spellStart"/>
      <w:r w:rsidRPr="00C753B8">
        <w:t>MitigationSustainable</w:t>
      </w:r>
      <w:proofErr w:type="spellEnd"/>
      <w:r w:rsidRPr="00C753B8">
        <w:t xml:space="preserve"> engagement reduces risks associated with stakeholder dissatisfaction, regulatory non</w:t>
      </w:r>
      <w:r w:rsidRPr="00C753B8">
        <w:rPr>
          <w:rFonts w:ascii="Roboto" w:hAnsi="Roboto" w:cs="Roboto"/>
        </w:rPr>
        <w:t>‑</w:t>
      </w:r>
      <w:r w:rsidRPr="00C753B8">
        <w:t xml:space="preserve">compliance, and reputational damage. Mitchell, </w:t>
      </w:r>
      <w:proofErr w:type="spellStart"/>
      <w:r w:rsidRPr="00C753B8">
        <w:t>Agle</w:t>
      </w:r>
      <w:proofErr w:type="spellEnd"/>
      <w:r w:rsidRPr="00C753B8">
        <w:t xml:space="preserve">, and Wood’s (1997) salience model highlights the importance of recognising definitive stakeholders—those with power, legitimacy, and urgency. By prioritising engagement with regulators and senior management, </w:t>
      </w:r>
      <w:proofErr w:type="spellStart"/>
      <w:r w:rsidRPr="00C753B8">
        <w:t>ConnectPlus</w:t>
      </w:r>
      <w:proofErr w:type="spellEnd"/>
      <w:r w:rsidRPr="00C753B8">
        <w:t xml:space="preserve"> mitigates risks of legal sanctions and strategic misalignment. Proactive engagement with media and analysts reduces reputational risks, while collaboration with technology partners mitigates dependency risks. </w:t>
      </w:r>
    </w:p>
    <w:p w14:paraId="1DB6AE1E" w14:textId="77777777" w:rsidR="005549FD" w:rsidRDefault="005549FD" w:rsidP="00621BBC"/>
    <w:p w14:paraId="6C35510C" w14:textId="17728002" w:rsidR="005549FD" w:rsidRDefault="00C753B8" w:rsidP="00621BBC">
      <w:r w:rsidRPr="00C753B8">
        <w:t>Competitive Advantage Sustainable engagement contributes to competitive advantage by differentiating</w:t>
      </w:r>
      <w:r>
        <w:t xml:space="preserve"> </w:t>
      </w:r>
      <w:proofErr w:type="spellStart"/>
      <w:r w:rsidR="005549FD" w:rsidRPr="005549FD">
        <w:t>ConnectPlus</w:t>
      </w:r>
      <w:proofErr w:type="spellEnd"/>
      <w:r w:rsidR="005549FD" w:rsidRPr="005549FD">
        <w:t xml:space="preserve"> in the marketplace. Porter’s (1985) competitive strategy framework suggests that differentiation arises from unique value propositions. By embedding stakeholder engagement into its strategy, </w:t>
      </w:r>
      <w:proofErr w:type="spellStart"/>
      <w:r w:rsidR="005549FD" w:rsidRPr="005549FD">
        <w:t>ConnectPlus</w:t>
      </w:r>
      <w:proofErr w:type="spellEnd"/>
      <w:r w:rsidR="005549FD" w:rsidRPr="005549FD">
        <w:t xml:space="preserve"> offers transparency, inclusivity, and reliability as differentiators. This strengthens client loyalty, attracts new investors, and enhances brand reputation in competitive </w:t>
      </w:r>
      <w:proofErr w:type="spellStart"/>
      <w:r w:rsidR="005549FD" w:rsidRPr="005549FD">
        <w:t>fintech</w:t>
      </w:r>
      <w:proofErr w:type="spellEnd"/>
      <w:r w:rsidR="005549FD" w:rsidRPr="005549FD">
        <w:t xml:space="preserve"> </w:t>
      </w:r>
      <w:proofErr w:type="spellStart"/>
      <w:r w:rsidR="005549FD" w:rsidRPr="005549FD">
        <w:t>markets.Integration</w:t>
      </w:r>
      <w:proofErr w:type="spellEnd"/>
      <w:r w:rsidR="005549FD" w:rsidRPr="005549FD">
        <w:t xml:space="preserve"> of </w:t>
      </w:r>
      <w:proofErr w:type="spellStart"/>
      <w:r w:rsidR="005549FD" w:rsidRPr="005549FD">
        <w:t>FrameworksSustainable</w:t>
      </w:r>
      <w:proofErr w:type="spellEnd"/>
      <w:r w:rsidR="005549FD" w:rsidRPr="005549FD">
        <w:t xml:space="preserve"> engagement is achieved through integration of frameworks such as the RACI matrix, SWANS/OWANS, and the 4Cs model. The RACI matrix ensures clarity in responsibilities, reducing conflicts and enhancing accountability. SWANS/OWANS identifies supportive and obstructive stakeholders, enabling proactive strategies </w:t>
      </w:r>
      <w:r w:rsidR="00082A31">
        <w:t>to</w:t>
      </w:r>
      <w:r w:rsidR="005549FD" w:rsidRPr="005549FD">
        <w:t xml:space="preserve"> foster collaboration and mitigate resistance.</w:t>
      </w:r>
    </w:p>
    <w:p w14:paraId="51B65F03" w14:textId="31BE4A4E" w:rsidR="007A03D0" w:rsidRDefault="005549FD" w:rsidP="00621BBC">
      <w:r w:rsidRPr="005549FD">
        <w:t xml:space="preserve"> The 4Cs model ensures holistic engagement, encompassing communication, collaboration, consultation, and commitment. Together, these frameworks embed sustainability into stakeholder management practices.</w:t>
      </w:r>
    </w:p>
    <w:p w14:paraId="503EA997" w14:textId="77777777" w:rsidR="00CE57DD" w:rsidRDefault="00CE57DD" w:rsidP="00621BBC"/>
    <w:p w14:paraId="0A28E566" w14:textId="123682A5" w:rsidR="004D6EA3" w:rsidRDefault="00082A31" w:rsidP="00621BBC">
      <w:r>
        <w:t>Conclusion</w:t>
      </w:r>
      <w:r w:rsidR="004D6EA3">
        <w:t>:</w:t>
      </w:r>
    </w:p>
    <w:p w14:paraId="4D81E495" w14:textId="56D6D151" w:rsidR="00082A31" w:rsidRDefault="00082A31" w:rsidP="00621BBC">
      <w:r>
        <w:t xml:space="preserve"> Sustainable stakeholder engagement enhances organisational performance, mitigates risks, and creates long‑term value. For </w:t>
      </w:r>
      <w:proofErr w:type="spellStart"/>
      <w:r>
        <w:t>ConnectPlus</w:t>
      </w:r>
      <w:proofErr w:type="spellEnd"/>
      <w:r>
        <w:t>, it ensures successful adoption of the platform, strengthens credibility in international markets, and contributes to competitive advantage. By integrating ethical responsibility, cultural sensitivity, and structured frameworks, sustainable engagement becomes a strategic asset that supports resilience and growth in globalised financial environments.</w:t>
      </w:r>
    </w:p>
    <w:p w14:paraId="280D7AE7" w14:textId="77777777" w:rsidR="009D43C5" w:rsidRDefault="009D43C5" w:rsidP="00621BBC"/>
    <w:p w14:paraId="3AA4B84C" w14:textId="77777777" w:rsidR="009D43C5" w:rsidRDefault="009D43C5" w:rsidP="00621BBC">
      <w:r>
        <w:t>Recommendations &amp; Conclusion (≈300 words)</w:t>
      </w:r>
    </w:p>
    <w:p w14:paraId="06ABF552" w14:textId="4EF94F5A" w:rsidR="00DE6581" w:rsidRDefault="009D43C5" w:rsidP="00621BBC">
      <w:r>
        <w:t xml:space="preserve">Recommendations </w:t>
      </w:r>
    </w:p>
    <w:p w14:paraId="2FE23864" w14:textId="77777777" w:rsidR="00393E6C" w:rsidRDefault="00741BAF" w:rsidP="00621BBC">
      <w:r>
        <w:t>1-</w:t>
      </w:r>
      <w:r w:rsidR="009D43C5">
        <w:t>Strengthen Regulatory Engagement: Establish dedicated compliance teams to maintain continuous dialogue with regulators across jurisdictions, ensuring legitimacy and reducing risks of non‑</w:t>
      </w:r>
      <w:r>
        <w:t xml:space="preserve">compliance. </w:t>
      </w:r>
    </w:p>
    <w:p w14:paraId="2464842E" w14:textId="2D083180" w:rsidR="00EC77C8" w:rsidRDefault="00393E6C" w:rsidP="00621BBC">
      <w:r>
        <w:t>2-</w:t>
      </w:r>
      <w:r w:rsidR="00741BAF">
        <w:t>Enhance</w:t>
      </w:r>
      <w:r w:rsidR="009D43C5">
        <w:t xml:space="preserve"> Investor</w:t>
      </w:r>
      <w:r>
        <w:t xml:space="preserve"> </w:t>
      </w:r>
      <w:r w:rsidR="009D43C5">
        <w:t xml:space="preserve">Communication: Develop transparent dashboards and quarterly briefings to build trust and confidence among investors, reinforcing loyalty and </w:t>
      </w:r>
      <w:r w:rsidR="00DE6581">
        <w:t>adoption.</w:t>
      </w:r>
    </w:p>
    <w:p w14:paraId="7A8F47B7" w14:textId="77777777" w:rsidR="00393E6C" w:rsidRDefault="00393E6C" w:rsidP="00621BBC">
      <w:r>
        <w:t>3-</w:t>
      </w:r>
      <w:r w:rsidR="00DE6581">
        <w:t xml:space="preserve"> Empower</w:t>
      </w:r>
      <w:r w:rsidR="009D43C5">
        <w:t xml:space="preserve"> Employees: Provide training, recognition programmes, and workload balancing to foster commitment and reduce resistance to </w:t>
      </w:r>
      <w:r>
        <w:t xml:space="preserve">change. </w:t>
      </w:r>
    </w:p>
    <w:p w14:paraId="6A2A6109" w14:textId="77777777" w:rsidR="002A48EA" w:rsidRDefault="002A48EA" w:rsidP="00621BBC">
      <w:r>
        <w:t>4-</w:t>
      </w:r>
      <w:r w:rsidR="00393E6C">
        <w:t>Diversify</w:t>
      </w:r>
      <w:r w:rsidR="009D43C5">
        <w:t xml:space="preserve"> Technology Partnerships: Collaborate with multiple partners to mitigate dependency risks and enhance </w:t>
      </w:r>
      <w:r>
        <w:t xml:space="preserve">scalability. </w:t>
      </w:r>
    </w:p>
    <w:p w14:paraId="6BED0216" w14:textId="77777777" w:rsidR="00ED7B4F" w:rsidRDefault="00CE304C" w:rsidP="00621BBC">
      <w:r>
        <w:t>5-</w:t>
      </w:r>
      <w:r w:rsidR="0079482A" w:rsidRPr="0079482A">
        <w:t xml:space="preserve">Promote Ethical Responsibility: Embed transparency, inclusivity, and data protection into stakeholder engagement practices, strengthening credibility and trust. </w:t>
      </w:r>
    </w:p>
    <w:p w14:paraId="1BB9F0E3" w14:textId="77777777" w:rsidR="00ED7B4F" w:rsidRDefault="00ED7B4F" w:rsidP="00621BBC">
      <w:r>
        <w:t xml:space="preserve"> 6-</w:t>
      </w:r>
      <w:r w:rsidR="0079482A" w:rsidRPr="0079482A">
        <w:t>Adapt to Cultural Diversity: Localise communication strategies and platform design to respect cultural norms and enhance adoption in international markets.</w:t>
      </w:r>
    </w:p>
    <w:p w14:paraId="36038D04" w14:textId="77777777" w:rsidR="00ED7B4F" w:rsidRDefault="00ED7B4F" w:rsidP="00621BBC">
      <w:r w:rsidRPr="0079482A">
        <w:t>Conclusion</w:t>
      </w:r>
    </w:p>
    <w:p w14:paraId="6E9B063E" w14:textId="77777777" w:rsidR="00C21BCB" w:rsidRDefault="00ED7B4F" w:rsidP="00621BBC">
      <w:r w:rsidRPr="0079482A">
        <w:t xml:space="preserve"> The</w:t>
      </w:r>
      <w:r w:rsidR="0079482A" w:rsidRPr="0079482A">
        <w:t xml:space="preserve"> success of </w:t>
      </w:r>
      <w:proofErr w:type="spellStart"/>
      <w:r w:rsidR="0079482A" w:rsidRPr="0079482A">
        <w:t>ConnectPlus</w:t>
      </w:r>
      <w:proofErr w:type="spellEnd"/>
      <w:r w:rsidR="0079482A" w:rsidRPr="0079482A">
        <w:t xml:space="preserve"> depends on effective stakeholder engagement that is both strategic and sustainable. By applying frameworks such as the Interest/Influence Matrix, Salience Model, RACI matrix, and 4Cs model, the company can identify, engage, and manage stakeholders across diverse contexts. Sustainable engagement enhances organisational performance, mitigates risks, and creates long</w:t>
      </w:r>
      <w:r w:rsidR="0079482A" w:rsidRPr="0079482A">
        <w:rPr>
          <w:rFonts w:ascii="Roboto" w:hAnsi="Roboto" w:cs="Roboto"/>
        </w:rPr>
        <w:t>‑</w:t>
      </w:r>
      <w:r w:rsidR="0079482A" w:rsidRPr="0079482A">
        <w:t xml:space="preserve">term value, contributing to competitive advantage in global </w:t>
      </w:r>
      <w:proofErr w:type="spellStart"/>
      <w:r w:rsidR="0079482A" w:rsidRPr="0079482A">
        <w:t>fintech</w:t>
      </w:r>
      <w:proofErr w:type="spellEnd"/>
      <w:r w:rsidR="0079482A" w:rsidRPr="0079482A">
        <w:t xml:space="preserve"> </w:t>
      </w:r>
      <w:r w:rsidR="00122308" w:rsidRPr="0079482A">
        <w:t xml:space="preserve">markets. </w:t>
      </w:r>
    </w:p>
    <w:p w14:paraId="3542CE0E" w14:textId="01053F5B" w:rsidR="006A5509" w:rsidRDefault="00122308" w:rsidP="00621BBC">
      <w:r w:rsidRPr="0079482A">
        <w:t>Ultimately</w:t>
      </w:r>
      <w:r w:rsidR="0079482A" w:rsidRPr="0079482A">
        <w:t xml:space="preserve">, </w:t>
      </w:r>
      <w:proofErr w:type="spellStart"/>
      <w:r w:rsidR="0079482A" w:rsidRPr="0079482A">
        <w:t>ConnectPlus</w:t>
      </w:r>
      <w:proofErr w:type="spellEnd"/>
      <w:r w:rsidR="0079482A" w:rsidRPr="0079482A">
        <w:t xml:space="preserve"> demonstrates that integrating stakeholder theory with practical management tools is</w:t>
      </w:r>
      <w:r w:rsidR="00C444C2">
        <w:t xml:space="preserve"> </w:t>
      </w:r>
      <w:r w:rsidR="00C444C2" w:rsidRPr="00C444C2">
        <w:t>essential for delivering strategic outcomes. By fostering trust, transparency, and collaboration, the company not only ensures successful rollout of the platform but also strengthens resilience and credibility in an increasingly complex and globalised financial environment.</w:t>
      </w:r>
    </w:p>
    <w:p w14:paraId="78F22D5C" w14:textId="77777777" w:rsidR="006A5509" w:rsidRDefault="006A5509" w:rsidP="00621BBC"/>
    <w:p w14:paraId="78C7B363" w14:textId="77777777" w:rsidR="00E3243A" w:rsidRDefault="00E3243A" w:rsidP="00621BBC"/>
    <w:p w14:paraId="63267790" w14:textId="77777777" w:rsidR="00E3243A" w:rsidRDefault="00E3243A" w:rsidP="00621BBC"/>
    <w:p w14:paraId="0A37AD06" w14:textId="77777777" w:rsidR="00C444C2" w:rsidRDefault="006A5509" w:rsidP="00621BBC">
      <w:r>
        <w:t>References (Harvard Style)</w:t>
      </w:r>
    </w:p>
    <w:p w14:paraId="27D7A1B9" w14:textId="77777777" w:rsidR="00C444C2" w:rsidRDefault="00C444C2" w:rsidP="00621BBC"/>
    <w:p w14:paraId="26D904C4" w14:textId="77777777" w:rsidR="002509A0" w:rsidRDefault="006A5509" w:rsidP="00621BBC">
      <w:r>
        <w:t>Ashcroft, J. (2017). The relational lens: understanding, measuring, and managing stakeholder relationships. Cambridge: Cambridge University Press.</w:t>
      </w:r>
    </w:p>
    <w:p w14:paraId="706D2519" w14:textId="77777777" w:rsidR="002509A0" w:rsidRDefault="002509A0" w:rsidP="00621BBC"/>
    <w:p w14:paraId="3C899632" w14:textId="77777777" w:rsidR="002509A0" w:rsidRDefault="006A5509" w:rsidP="00621BBC">
      <w:r>
        <w:t xml:space="preserve">Bourne, L. (2015). Stakeholder Relationship Management: A Maturity Model for Organisational Implementation. Farnham: Gower </w:t>
      </w:r>
      <w:r w:rsidR="002509A0">
        <w:t>Publishing.</w:t>
      </w:r>
    </w:p>
    <w:p w14:paraId="793AB914" w14:textId="77777777" w:rsidR="002509A0" w:rsidRDefault="002509A0" w:rsidP="00621BBC"/>
    <w:p w14:paraId="7E71547B" w14:textId="77777777" w:rsidR="002509A0" w:rsidRDefault="002509A0" w:rsidP="00621BBC">
      <w:r>
        <w:t xml:space="preserve"> Bryson</w:t>
      </w:r>
      <w:r w:rsidR="006A5509">
        <w:t xml:space="preserve">, J.M. (2018). Strategic Planning for Public and </w:t>
      </w:r>
      <w:proofErr w:type="spellStart"/>
      <w:r w:rsidR="006A5509">
        <w:t>Nonprofit</w:t>
      </w:r>
      <w:proofErr w:type="spellEnd"/>
      <w:r w:rsidR="006A5509">
        <w:t xml:space="preserve"> Organizations. 5</w:t>
      </w:r>
      <w:r w:rsidR="006A5509" w:rsidRPr="006A5509">
        <w:rPr>
          <w:vertAlign w:val="superscript"/>
        </w:rPr>
        <w:t>th</w:t>
      </w:r>
      <w:r w:rsidR="006A5509">
        <w:t xml:space="preserve"> </w:t>
      </w:r>
      <w:proofErr w:type="spellStart"/>
      <w:r w:rsidR="006A5509">
        <w:t>edn</w:t>
      </w:r>
      <w:proofErr w:type="spellEnd"/>
      <w:r w:rsidR="006A5509">
        <w:t xml:space="preserve">. Hoboken: </w:t>
      </w:r>
      <w:r>
        <w:t xml:space="preserve">Wiley. </w:t>
      </w:r>
    </w:p>
    <w:p w14:paraId="3F56EFEB" w14:textId="77777777" w:rsidR="002509A0" w:rsidRDefault="002509A0" w:rsidP="00621BBC"/>
    <w:p w14:paraId="609A5603" w14:textId="77777777" w:rsidR="00471D12" w:rsidRDefault="002509A0" w:rsidP="00621BBC">
      <w:r>
        <w:t>Carroll</w:t>
      </w:r>
      <w:r w:rsidR="006A5509">
        <w:t>, A.B. (1991). ‘The pyramid of corporate social responsibility: Toward the moral management of organizational stakeholders’, Business Horizons, 34(4), pp. 39–48.</w:t>
      </w:r>
    </w:p>
    <w:p w14:paraId="5D3D9B07" w14:textId="77777777" w:rsidR="00471D12" w:rsidRDefault="00471D12" w:rsidP="00621BBC"/>
    <w:p w14:paraId="556BFD32" w14:textId="77777777" w:rsidR="00471D12" w:rsidRDefault="006A5509" w:rsidP="00621BBC">
      <w:r>
        <w:t xml:space="preserve">Christopher, M., Payne, A. And Ballantyne, D. (2013). Relationship Marketing: Creating Stakeholder Value. Saint Louis: Taylor and </w:t>
      </w:r>
      <w:r w:rsidR="00471D12">
        <w:t xml:space="preserve">Francis. </w:t>
      </w:r>
    </w:p>
    <w:p w14:paraId="04307F41" w14:textId="77777777" w:rsidR="00471D12" w:rsidRDefault="00471D12" w:rsidP="00621BBC"/>
    <w:p w14:paraId="30F3F3E3" w14:textId="77777777" w:rsidR="00860647" w:rsidRDefault="00471D12" w:rsidP="00621BBC">
      <w:r>
        <w:t>Clarkson</w:t>
      </w:r>
      <w:r w:rsidR="006A5509">
        <w:t xml:space="preserve">, M.B.E. (1995). ‘A stakeholder framework for </w:t>
      </w:r>
      <w:proofErr w:type="spellStart"/>
      <w:r w:rsidR="006A5509">
        <w:t>analyzing</w:t>
      </w:r>
      <w:proofErr w:type="spellEnd"/>
      <w:r w:rsidR="006A5509">
        <w:t xml:space="preserve"> and evaluating corporate social performance’, Academy</w:t>
      </w:r>
      <w:r w:rsidR="00B72EB6">
        <w:t xml:space="preserve"> </w:t>
      </w:r>
      <w:r w:rsidR="00B72EB6" w:rsidRPr="00B72EB6">
        <w:t>of Management Review, 20(1), pp. 65–91.</w:t>
      </w:r>
    </w:p>
    <w:p w14:paraId="444C524E" w14:textId="77777777" w:rsidR="00860647" w:rsidRDefault="00860647" w:rsidP="00621BBC"/>
    <w:p w14:paraId="73407EB9" w14:textId="19E0132D" w:rsidR="00507FBA" w:rsidRDefault="00B72EB6" w:rsidP="00621BBC">
      <w:proofErr w:type="spellStart"/>
      <w:r w:rsidRPr="00B72EB6">
        <w:t>Eskerod</w:t>
      </w:r>
      <w:proofErr w:type="spellEnd"/>
      <w:r w:rsidRPr="00B72EB6">
        <w:t xml:space="preserve">, P. and </w:t>
      </w:r>
      <w:proofErr w:type="spellStart"/>
      <w:r w:rsidRPr="00B72EB6">
        <w:t>Jepsen</w:t>
      </w:r>
      <w:proofErr w:type="spellEnd"/>
      <w:r w:rsidRPr="00B72EB6">
        <w:t xml:space="preserve">, A.L. (2016). Project Stakeholder Management. London: </w:t>
      </w:r>
      <w:r w:rsidR="007A1261" w:rsidRPr="00B72EB6">
        <w:t xml:space="preserve">Routledge. </w:t>
      </w:r>
    </w:p>
    <w:p w14:paraId="20B9144F" w14:textId="77777777" w:rsidR="00507FBA" w:rsidRDefault="00507FBA" w:rsidP="00621BBC"/>
    <w:p w14:paraId="3DD9150E" w14:textId="77777777" w:rsidR="00860647" w:rsidRDefault="007A1261" w:rsidP="00621BBC">
      <w:r w:rsidRPr="00B72EB6">
        <w:t>Freeman</w:t>
      </w:r>
      <w:r w:rsidR="00B72EB6" w:rsidRPr="00B72EB6">
        <w:t xml:space="preserve">, R.E. (1984). Strategic Management: A Stakeholder Approach. Boston: </w:t>
      </w:r>
      <w:r w:rsidR="00BD49D8" w:rsidRPr="00B72EB6">
        <w:t xml:space="preserve">Pitman. </w:t>
      </w:r>
    </w:p>
    <w:p w14:paraId="259C86DC" w14:textId="77777777" w:rsidR="00860647" w:rsidRDefault="00860647" w:rsidP="00621BBC"/>
    <w:p w14:paraId="77FF950B" w14:textId="4C098E15" w:rsidR="00DF1CC9" w:rsidRDefault="00BD49D8" w:rsidP="00621BBC">
      <w:r w:rsidRPr="00B72EB6">
        <w:t>Freeman</w:t>
      </w:r>
      <w:r w:rsidR="00B72EB6" w:rsidRPr="00B72EB6">
        <w:t xml:space="preserve">, R.E., Harrison, J.S. and Wicks, A.C. (2007). Managing for Stakeholders: Survival, Reputation, and Success. New Haven: Yale University </w:t>
      </w:r>
      <w:r w:rsidR="00507FBA" w:rsidRPr="00B72EB6">
        <w:t xml:space="preserve">Press. </w:t>
      </w:r>
    </w:p>
    <w:p w14:paraId="2D229F05" w14:textId="77777777" w:rsidR="00DF1CC9" w:rsidRDefault="00DF1CC9" w:rsidP="00621BBC"/>
    <w:p w14:paraId="5161A56E" w14:textId="77777777" w:rsidR="00DF1CC9" w:rsidRDefault="00507FBA" w:rsidP="00621BBC">
      <w:r w:rsidRPr="00B72EB6">
        <w:t>Hofstede</w:t>
      </w:r>
      <w:r w:rsidR="00B72EB6" w:rsidRPr="00B72EB6">
        <w:t xml:space="preserve">, G. (2001). Culture’s Consequences: Comparing Values, </w:t>
      </w:r>
      <w:proofErr w:type="spellStart"/>
      <w:r w:rsidR="00B72EB6" w:rsidRPr="00B72EB6">
        <w:t>Behaviors</w:t>
      </w:r>
      <w:proofErr w:type="spellEnd"/>
      <w:r w:rsidR="00B72EB6" w:rsidRPr="00B72EB6">
        <w:t xml:space="preserve">, Institutions and Organizations Across Nations. 2nd </w:t>
      </w:r>
      <w:proofErr w:type="spellStart"/>
      <w:r w:rsidR="00B72EB6" w:rsidRPr="00B72EB6">
        <w:t>edn</w:t>
      </w:r>
      <w:proofErr w:type="spellEnd"/>
      <w:r w:rsidR="00B72EB6" w:rsidRPr="00B72EB6">
        <w:t xml:space="preserve">. Thousand Oaks: Sage </w:t>
      </w:r>
      <w:r w:rsidR="00DF1CC9" w:rsidRPr="00B72EB6">
        <w:t xml:space="preserve">Publications. </w:t>
      </w:r>
    </w:p>
    <w:p w14:paraId="678B1108" w14:textId="77777777" w:rsidR="00DF1CC9" w:rsidRDefault="00DF1CC9" w:rsidP="00621BBC"/>
    <w:p w14:paraId="41DD1075" w14:textId="77777777" w:rsidR="0016079F" w:rsidRDefault="00DF1CC9" w:rsidP="00621BBC">
      <w:r w:rsidRPr="00B72EB6">
        <w:t>Johnson</w:t>
      </w:r>
      <w:r w:rsidR="00B72EB6" w:rsidRPr="00B72EB6">
        <w:t xml:space="preserve">, G., Scholes, K. and </w:t>
      </w:r>
      <w:r w:rsidR="00B179B9" w:rsidRPr="00B179B9">
        <w:t xml:space="preserve">Whittington, R. (2017). Exploring Strategy: Text and Cases. 11th </w:t>
      </w:r>
      <w:proofErr w:type="spellStart"/>
      <w:r w:rsidR="00B179B9" w:rsidRPr="00B179B9">
        <w:t>edn</w:t>
      </w:r>
      <w:proofErr w:type="spellEnd"/>
      <w:r w:rsidR="00B179B9" w:rsidRPr="00B179B9">
        <w:t xml:space="preserve">. Harlow: Pearson </w:t>
      </w:r>
      <w:r w:rsidRPr="00B179B9">
        <w:t xml:space="preserve">Education. </w:t>
      </w:r>
    </w:p>
    <w:p w14:paraId="51F77850" w14:textId="77777777" w:rsidR="0016079F" w:rsidRDefault="0016079F" w:rsidP="00621BBC"/>
    <w:p w14:paraId="3CD54373" w14:textId="77777777" w:rsidR="0016079F" w:rsidRDefault="00DF1CC9" w:rsidP="00621BBC">
      <w:r w:rsidRPr="00B179B9">
        <w:t>Kaplan</w:t>
      </w:r>
      <w:r w:rsidR="00B179B9" w:rsidRPr="00B179B9">
        <w:t>, R.S. and Norton, D.P. (2004). Strategy Maps: Converting Intangible Assets into Tangible Outcomes. Boston: Harvard Business School Press.</w:t>
      </w:r>
    </w:p>
    <w:p w14:paraId="1CF693A5" w14:textId="77777777" w:rsidR="0016079F" w:rsidRDefault="0016079F" w:rsidP="00621BBC"/>
    <w:p w14:paraId="5A314633" w14:textId="77777777" w:rsidR="0016079F" w:rsidRDefault="00B179B9" w:rsidP="00621BBC">
      <w:proofErr w:type="spellStart"/>
      <w:r w:rsidRPr="00B179B9">
        <w:t>Kerzner</w:t>
      </w:r>
      <w:proofErr w:type="spellEnd"/>
      <w:r w:rsidRPr="00B179B9">
        <w:t xml:space="preserve">, H. (2017). Project Management: A Systems Approach to Planning, Scheduling, and Controlling. 12th </w:t>
      </w:r>
      <w:proofErr w:type="spellStart"/>
      <w:r w:rsidRPr="00B179B9">
        <w:t>edn</w:t>
      </w:r>
      <w:proofErr w:type="spellEnd"/>
      <w:r w:rsidRPr="00B179B9">
        <w:t xml:space="preserve">. Hoboken: </w:t>
      </w:r>
      <w:r w:rsidR="0016079F" w:rsidRPr="00B179B9">
        <w:t xml:space="preserve">Wiley. </w:t>
      </w:r>
    </w:p>
    <w:p w14:paraId="67652668" w14:textId="77777777" w:rsidR="0016079F" w:rsidRDefault="0016079F" w:rsidP="00621BBC"/>
    <w:p w14:paraId="6089FAB3" w14:textId="77777777" w:rsidR="0076256B" w:rsidRDefault="0016079F" w:rsidP="00621BBC">
      <w:r w:rsidRPr="00B179B9">
        <w:t>Mitchell</w:t>
      </w:r>
      <w:r w:rsidR="00B179B9" w:rsidRPr="00B179B9">
        <w:t xml:space="preserve">, R.K., </w:t>
      </w:r>
      <w:proofErr w:type="spellStart"/>
      <w:r w:rsidR="00B179B9" w:rsidRPr="00B179B9">
        <w:t>Agle</w:t>
      </w:r>
      <w:proofErr w:type="spellEnd"/>
      <w:r w:rsidR="00B179B9" w:rsidRPr="00B179B9">
        <w:t>, B.R. and Wood, D.J. (1997). ‘Toward a theory of stakeholder identification and salience: Defining the principle of who and what really counts’, Academy of Management Review, 22(4), pp. 853–886.</w:t>
      </w:r>
    </w:p>
    <w:p w14:paraId="0F231880" w14:textId="77777777" w:rsidR="0076256B" w:rsidRDefault="0076256B" w:rsidP="00621BBC"/>
    <w:p w14:paraId="042FDE12" w14:textId="286393A0" w:rsidR="00BB0104" w:rsidRDefault="00B179B9" w:rsidP="00621BBC">
      <w:r w:rsidRPr="00B179B9">
        <w:t xml:space="preserve">Morris, P.W.G. (2013). The Wiley Guide to Project Organization and Management. Hoboken: </w:t>
      </w:r>
      <w:r w:rsidR="00BB0104" w:rsidRPr="00B179B9">
        <w:t xml:space="preserve">Wiley. </w:t>
      </w:r>
    </w:p>
    <w:p w14:paraId="79DD774A" w14:textId="77777777" w:rsidR="00BB0104" w:rsidRDefault="00BB0104" w:rsidP="00621BBC"/>
    <w:p w14:paraId="3F5105B0" w14:textId="3B6702A6" w:rsidR="006A5509" w:rsidRDefault="00BB0104" w:rsidP="00621BBC">
      <w:r w:rsidRPr="00B179B9">
        <w:t>Porter</w:t>
      </w:r>
      <w:r w:rsidR="00B179B9" w:rsidRPr="00B179B9">
        <w:t>, M.E. (1985). Competitive Advantage: Creating and Sustaining Superior Performance. New York: Free Press</w:t>
      </w:r>
    </w:p>
    <w:p w14:paraId="3105E736" w14:textId="77777777" w:rsidR="005F160E" w:rsidRDefault="005F160E" w:rsidP="00621BBC"/>
    <w:p w14:paraId="5D803CF3" w14:textId="77777777" w:rsidR="007A468E" w:rsidRDefault="005F160E" w:rsidP="00621BBC">
      <w:r>
        <w:t>Rawlins, B.L. (2006). ‘Prioritizing stakeholders for public relations’, Institute for Public Relations, pp. 1–11.</w:t>
      </w:r>
    </w:p>
    <w:p w14:paraId="27910EFC" w14:textId="77777777" w:rsidR="007A468E" w:rsidRDefault="007A468E" w:rsidP="00621BBC"/>
    <w:p w14:paraId="5513EF4C" w14:textId="1BAF1A4F" w:rsidR="002B286E" w:rsidRDefault="005F160E" w:rsidP="00621BBC">
      <w:r>
        <w:t>Savage, G.T., Nix, T.W., Whitehead, C.J. and Blair, J.D. (1991). ‘Strategies for assessing and managing organizational stakeholders’, Academy of Management Executive, 5(2), pp. 61–75.</w:t>
      </w:r>
    </w:p>
    <w:p w14:paraId="64021BB1" w14:textId="77777777" w:rsidR="002B286E" w:rsidRDefault="002B286E" w:rsidP="00621BBC"/>
    <w:p w14:paraId="7BB0BE70" w14:textId="78D02400" w:rsidR="009B651A" w:rsidRDefault="005F160E" w:rsidP="00621BBC">
      <w:r>
        <w:t>Schein, E.H. (2010). Organizational Culture and Leadership. 4</w:t>
      </w:r>
      <w:r w:rsidRPr="005F160E">
        <w:rPr>
          <w:vertAlign w:val="superscript"/>
        </w:rPr>
        <w:t>th</w:t>
      </w:r>
      <w:r>
        <w:t xml:space="preserve"> </w:t>
      </w:r>
      <w:proofErr w:type="spellStart"/>
      <w:r>
        <w:t>edn</w:t>
      </w:r>
      <w:proofErr w:type="spellEnd"/>
      <w:r>
        <w:t xml:space="preserve">. San Francisco: </w:t>
      </w:r>
      <w:proofErr w:type="spellStart"/>
      <w:r>
        <w:t>Jossey</w:t>
      </w:r>
      <w:proofErr w:type="spellEnd"/>
      <w:r>
        <w:t>‑Bass.</w:t>
      </w:r>
    </w:p>
    <w:p w14:paraId="3A602DBC" w14:textId="77777777" w:rsidR="009B651A" w:rsidRDefault="009B651A" w:rsidP="00621BBC"/>
    <w:p w14:paraId="0DA2D226" w14:textId="77777777" w:rsidR="008429BE" w:rsidRDefault="005F160E" w:rsidP="00621BBC">
      <w:r>
        <w:t>Turner, J.R. (2014). Handbook of Project Management. London: Routledge.</w:t>
      </w:r>
    </w:p>
    <w:p w14:paraId="4423A923" w14:textId="77777777" w:rsidR="008429BE" w:rsidRDefault="008429BE" w:rsidP="00621BBC"/>
    <w:p w14:paraId="33A239F4" w14:textId="3A64B294" w:rsidR="009767BD" w:rsidRDefault="005F160E" w:rsidP="00621BBC">
      <w:r>
        <w:t xml:space="preserve">UWTSD (2024). Harvard Referencing Guide. University of Wales Trinity Saint David. Available at: </w:t>
      </w:r>
      <w:hyperlink r:id="rId5" w:history="1">
        <w:r w:rsidRPr="00DC64CD">
          <w:rPr>
            <w:rStyle w:val="Hyperlink"/>
          </w:rPr>
          <w:t>https://uwtsd.ac.uk/media/uwtsdwebsite/contentassets/documents/library-and-learning-resources/infoskills/Harvard-eng_v_1.2.pdf</w:t>
        </w:r>
      </w:hyperlink>
      <w:r>
        <w:t xml:space="preserve"> (uwtsd.ac.uk in Bing) (Accessed: 16 August 2026).</w:t>
      </w:r>
    </w:p>
    <w:p w14:paraId="26624D72" w14:textId="77777777" w:rsidR="009767BD" w:rsidRDefault="009767BD" w:rsidP="00621BBC"/>
    <w:p w14:paraId="40A47B0E" w14:textId="719619A2" w:rsidR="005F160E" w:rsidRDefault="005F160E" w:rsidP="00621BBC">
      <w:r>
        <w:t>Yin, R.K. (2018). Case Study Research and Applications: Design and Methods. 6</w:t>
      </w:r>
      <w:r w:rsidRPr="005F160E">
        <w:rPr>
          <w:vertAlign w:val="superscript"/>
        </w:rPr>
        <w:t>th</w:t>
      </w:r>
      <w:r>
        <w:t xml:space="preserve"> </w:t>
      </w:r>
      <w:proofErr w:type="spellStart"/>
      <w:r>
        <w:t>edn</w:t>
      </w:r>
      <w:proofErr w:type="spellEnd"/>
      <w:r>
        <w:t>. Thousand Oaks: Sage Publications.</w:t>
      </w:r>
    </w:p>
    <w:p w14:paraId="1D3287EA" w14:textId="77777777" w:rsidR="00CE57DD" w:rsidRDefault="00CE57DD" w:rsidP="00621BBC"/>
    <w:p w14:paraId="4C71154F" w14:textId="77777777" w:rsidR="006D715C" w:rsidRDefault="00CE57DD" w:rsidP="00621BBC">
      <w:proofErr w:type="spellStart"/>
      <w:r>
        <w:t>Zadek</w:t>
      </w:r>
      <w:proofErr w:type="spellEnd"/>
      <w:r>
        <w:t xml:space="preserve">, S. (2001). The Civil Corporation: The New Economy of Corporate Citizenship. London: </w:t>
      </w:r>
      <w:proofErr w:type="spellStart"/>
      <w:r>
        <w:t>Earthscan</w:t>
      </w:r>
      <w:proofErr w:type="spellEnd"/>
      <w:r>
        <w:t>.</w:t>
      </w:r>
    </w:p>
    <w:p w14:paraId="1DE14E60" w14:textId="77777777" w:rsidR="009D6CCC" w:rsidRDefault="009D6CCC" w:rsidP="00621BBC"/>
    <w:p w14:paraId="4A10C678" w14:textId="296835B6" w:rsidR="006D715C" w:rsidRDefault="00CE57DD" w:rsidP="00621BBC">
      <w:r>
        <w:t xml:space="preserve">Zhang, S. And </w:t>
      </w:r>
      <w:proofErr w:type="spellStart"/>
      <w:r>
        <w:t>Huxham</w:t>
      </w:r>
      <w:proofErr w:type="spellEnd"/>
      <w:r>
        <w:t>, C. (2009). ‘Managing dynamics in stakeholder collaboration’, International Journal of Project Management, 27(8), pp. 899–910.</w:t>
      </w:r>
    </w:p>
    <w:p w14:paraId="4AB2FD3B" w14:textId="77777777" w:rsidR="006D715C" w:rsidRDefault="006D715C" w:rsidP="00621BBC"/>
    <w:p w14:paraId="05E2D9FB" w14:textId="009AB8DF" w:rsidR="00CE57DD" w:rsidRDefault="00CE57DD" w:rsidP="00621BBC">
      <w:proofErr w:type="spellStart"/>
      <w:r>
        <w:t>Zollo</w:t>
      </w:r>
      <w:proofErr w:type="spellEnd"/>
      <w:r>
        <w:t xml:space="preserve">, M., </w:t>
      </w:r>
      <w:proofErr w:type="spellStart"/>
      <w:r>
        <w:t>Minoja</w:t>
      </w:r>
      <w:proofErr w:type="spellEnd"/>
      <w:r>
        <w:t>, M. And Coda, V. (2018). ‘Stakeholder theory: A review of the literature and future directions’, Business Ethics Quarterly, 28(4), pp. 475–493.</w:t>
      </w:r>
    </w:p>
    <w:p w14:paraId="49606604" w14:textId="77777777" w:rsidR="00CE57DD" w:rsidRDefault="00CE57DD" w:rsidP="00621BBC"/>
    <w:sectPr w:rsidR="00CE57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35185"/>
    <w:multiLevelType w:val="hybridMultilevel"/>
    <w:tmpl w:val="20081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724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FB9"/>
    <w:rsid w:val="00042E6D"/>
    <w:rsid w:val="00082A31"/>
    <w:rsid w:val="00090CC6"/>
    <w:rsid w:val="000D3FE9"/>
    <w:rsid w:val="00110D07"/>
    <w:rsid w:val="00122308"/>
    <w:rsid w:val="0016079F"/>
    <w:rsid w:val="002125A3"/>
    <w:rsid w:val="002509A0"/>
    <w:rsid w:val="00277893"/>
    <w:rsid w:val="00282445"/>
    <w:rsid w:val="002A0BA3"/>
    <w:rsid w:val="002A48EA"/>
    <w:rsid w:val="002B286E"/>
    <w:rsid w:val="002B3E0E"/>
    <w:rsid w:val="00306005"/>
    <w:rsid w:val="00386CEF"/>
    <w:rsid w:val="00393E6C"/>
    <w:rsid w:val="003D1E06"/>
    <w:rsid w:val="003E43CF"/>
    <w:rsid w:val="00400BB6"/>
    <w:rsid w:val="004070E3"/>
    <w:rsid w:val="004073AD"/>
    <w:rsid w:val="00471D12"/>
    <w:rsid w:val="004A5BBC"/>
    <w:rsid w:val="004C29B3"/>
    <w:rsid w:val="004C63AF"/>
    <w:rsid w:val="004C78A4"/>
    <w:rsid w:val="004D6EA3"/>
    <w:rsid w:val="004E06D6"/>
    <w:rsid w:val="00507FBA"/>
    <w:rsid w:val="00511CBE"/>
    <w:rsid w:val="00515B6D"/>
    <w:rsid w:val="00536F89"/>
    <w:rsid w:val="005549FD"/>
    <w:rsid w:val="005869BC"/>
    <w:rsid w:val="005C2254"/>
    <w:rsid w:val="005C5F52"/>
    <w:rsid w:val="005F160E"/>
    <w:rsid w:val="00606B1B"/>
    <w:rsid w:val="00607FED"/>
    <w:rsid w:val="00621BBC"/>
    <w:rsid w:val="00674C98"/>
    <w:rsid w:val="006A5509"/>
    <w:rsid w:val="006D0928"/>
    <w:rsid w:val="006D715C"/>
    <w:rsid w:val="006F221B"/>
    <w:rsid w:val="006F37FA"/>
    <w:rsid w:val="006F559F"/>
    <w:rsid w:val="007240AC"/>
    <w:rsid w:val="00741BAF"/>
    <w:rsid w:val="0076256B"/>
    <w:rsid w:val="00794672"/>
    <w:rsid w:val="0079482A"/>
    <w:rsid w:val="007A03D0"/>
    <w:rsid w:val="007A1261"/>
    <w:rsid w:val="007A468E"/>
    <w:rsid w:val="007A5AA9"/>
    <w:rsid w:val="007B32DF"/>
    <w:rsid w:val="007B6FBA"/>
    <w:rsid w:val="007F2A21"/>
    <w:rsid w:val="00811571"/>
    <w:rsid w:val="0083346D"/>
    <w:rsid w:val="008429BE"/>
    <w:rsid w:val="00860647"/>
    <w:rsid w:val="0088703D"/>
    <w:rsid w:val="008B0D45"/>
    <w:rsid w:val="008B17FE"/>
    <w:rsid w:val="008C0D4A"/>
    <w:rsid w:val="008C5FB9"/>
    <w:rsid w:val="008D255E"/>
    <w:rsid w:val="00944082"/>
    <w:rsid w:val="00950E67"/>
    <w:rsid w:val="009609B8"/>
    <w:rsid w:val="009767BD"/>
    <w:rsid w:val="009A1B2A"/>
    <w:rsid w:val="009B651A"/>
    <w:rsid w:val="009B736F"/>
    <w:rsid w:val="009C7CE8"/>
    <w:rsid w:val="009D43C5"/>
    <w:rsid w:val="009D6CCC"/>
    <w:rsid w:val="009F71DD"/>
    <w:rsid w:val="00A4375E"/>
    <w:rsid w:val="00A6636E"/>
    <w:rsid w:val="00A771C5"/>
    <w:rsid w:val="00A84E0E"/>
    <w:rsid w:val="00AD5521"/>
    <w:rsid w:val="00AE54A3"/>
    <w:rsid w:val="00B11D6E"/>
    <w:rsid w:val="00B1721E"/>
    <w:rsid w:val="00B179B9"/>
    <w:rsid w:val="00B51ED1"/>
    <w:rsid w:val="00B72EB6"/>
    <w:rsid w:val="00B81645"/>
    <w:rsid w:val="00BB0104"/>
    <w:rsid w:val="00BD49D8"/>
    <w:rsid w:val="00BF2CAA"/>
    <w:rsid w:val="00C21BCB"/>
    <w:rsid w:val="00C30E70"/>
    <w:rsid w:val="00C444C2"/>
    <w:rsid w:val="00C47F9D"/>
    <w:rsid w:val="00C668FD"/>
    <w:rsid w:val="00C753B8"/>
    <w:rsid w:val="00C95444"/>
    <w:rsid w:val="00CE304C"/>
    <w:rsid w:val="00CE57DD"/>
    <w:rsid w:val="00D25741"/>
    <w:rsid w:val="00D44D6F"/>
    <w:rsid w:val="00D54A00"/>
    <w:rsid w:val="00DA14AF"/>
    <w:rsid w:val="00DB0FCF"/>
    <w:rsid w:val="00DB23BC"/>
    <w:rsid w:val="00DB7D33"/>
    <w:rsid w:val="00DE6581"/>
    <w:rsid w:val="00DF1CC9"/>
    <w:rsid w:val="00E17E3C"/>
    <w:rsid w:val="00E3243A"/>
    <w:rsid w:val="00E44C4C"/>
    <w:rsid w:val="00E74093"/>
    <w:rsid w:val="00EC5B7A"/>
    <w:rsid w:val="00EC77C8"/>
    <w:rsid w:val="00ED7B4F"/>
    <w:rsid w:val="00EE13F4"/>
    <w:rsid w:val="00FE5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2FBF03"/>
  <w15:chartTrackingRefBased/>
  <w15:docId w15:val="{4CECB1EA-51E6-CC49-A292-758712CA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F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F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F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F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F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F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F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F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F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F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F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F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F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F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F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F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F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FB9"/>
    <w:rPr>
      <w:rFonts w:eastAsiaTheme="majorEastAsia" w:cstheme="majorBidi"/>
      <w:color w:val="272727" w:themeColor="text1" w:themeTint="D8"/>
    </w:rPr>
  </w:style>
  <w:style w:type="paragraph" w:styleId="Title">
    <w:name w:val="Title"/>
    <w:basedOn w:val="Normal"/>
    <w:next w:val="Normal"/>
    <w:link w:val="TitleChar"/>
    <w:uiPriority w:val="10"/>
    <w:qFormat/>
    <w:rsid w:val="008C5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F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F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F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FB9"/>
    <w:pPr>
      <w:spacing w:before="160"/>
      <w:jc w:val="center"/>
    </w:pPr>
    <w:rPr>
      <w:i/>
      <w:iCs/>
      <w:color w:val="404040" w:themeColor="text1" w:themeTint="BF"/>
    </w:rPr>
  </w:style>
  <w:style w:type="character" w:customStyle="1" w:styleId="QuoteChar">
    <w:name w:val="Quote Char"/>
    <w:basedOn w:val="DefaultParagraphFont"/>
    <w:link w:val="Quote"/>
    <w:uiPriority w:val="29"/>
    <w:rsid w:val="008C5FB9"/>
    <w:rPr>
      <w:i/>
      <w:iCs/>
      <w:color w:val="404040" w:themeColor="text1" w:themeTint="BF"/>
    </w:rPr>
  </w:style>
  <w:style w:type="paragraph" w:styleId="ListParagraph">
    <w:name w:val="List Paragraph"/>
    <w:basedOn w:val="Normal"/>
    <w:uiPriority w:val="34"/>
    <w:qFormat/>
    <w:rsid w:val="008C5FB9"/>
    <w:pPr>
      <w:ind w:left="720"/>
      <w:contextualSpacing/>
    </w:pPr>
  </w:style>
  <w:style w:type="character" w:styleId="IntenseEmphasis">
    <w:name w:val="Intense Emphasis"/>
    <w:basedOn w:val="DefaultParagraphFont"/>
    <w:uiPriority w:val="21"/>
    <w:qFormat/>
    <w:rsid w:val="008C5FB9"/>
    <w:rPr>
      <w:i/>
      <w:iCs/>
      <w:color w:val="0F4761" w:themeColor="accent1" w:themeShade="BF"/>
    </w:rPr>
  </w:style>
  <w:style w:type="paragraph" w:styleId="IntenseQuote">
    <w:name w:val="Intense Quote"/>
    <w:basedOn w:val="Normal"/>
    <w:next w:val="Normal"/>
    <w:link w:val="IntenseQuoteChar"/>
    <w:uiPriority w:val="30"/>
    <w:qFormat/>
    <w:rsid w:val="008C5F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FB9"/>
    <w:rPr>
      <w:i/>
      <w:iCs/>
      <w:color w:val="0F4761" w:themeColor="accent1" w:themeShade="BF"/>
    </w:rPr>
  </w:style>
  <w:style w:type="character" w:styleId="IntenseReference">
    <w:name w:val="Intense Reference"/>
    <w:basedOn w:val="DefaultParagraphFont"/>
    <w:uiPriority w:val="32"/>
    <w:qFormat/>
    <w:rsid w:val="008C5FB9"/>
    <w:rPr>
      <w:b/>
      <w:bCs/>
      <w:smallCaps/>
      <w:color w:val="0F4761" w:themeColor="accent1" w:themeShade="BF"/>
      <w:spacing w:val="5"/>
    </w:rPr>
  </w:style>
  <w:style w:type="character" w:styleId="Hyperlink">
    <w:name w:val="Hyperlink"/>
    <w:basedOn w:val="DefaultParagraphFont"/>
    <w:uiPriority w:val="99"/>
    <w:unhideWhenUsed/>
    <w:rsid w:val="00950E67"/>
    <w:rPr>
      <w:color w:val="467886" w:themeColor="hyperlink"/>
      <w:u w:val="single"/>
    </w:rPr>
  </w:style>
  <w:style w:type="character" w:styleId="UnresolvedMention">
    <w:name w:val="Unresolved Mention"/>
    <w:basedOn w:val="DefaultParagraphFont"/>
    <w:uiPriority w:val="99"/>
    <w:semiHidden/>
    <w:unhideWhenUsed/>
    <w:rsid w:val="00950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uwtsd.ac.uk/media/uwtsdwebsite/contentassets/documents/library-and-learning-resources/infoskills/Harvard-eng_v_1.2.pdf"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3701</Words>
  <Characters>21097</Characters>
  <Application>Microsoft Office Word</Application>
  <DocSecurity>0</DocSecurity>
  <Lines>175</Lines>
  <Paragraphs>49</Paragraphs>
  <ScaleCrop>false</ScaleCrop>
  <Company/>
  <LinksUpToDate>false</LinksUpToDate>
  <CharactersWithSpaces>24749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dc:creator>
  <cp:keywords/>
  <dc:description/>
  <cp:lastModifiedBy>M W</cp:lastModifiedBy>
  <cp:revision>2</cp:revision>
  <dcterms:created xsi:type="dcterms:W3CDTF">2026-08-16T20:06:00Z</dcterms:created>
  <dcterms:modified xsi:type="dcterms:W3CDTF">2026-08-16T20:06:00Z</dcterms:modified>
</cp:coreProperties>
</file>