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01B0AEC" w14:textId="2E0F7C35" w:rsidR="005C52BB" w:rsidRDefault="0053062D">
      <w:proofErr w:type="spellStart"/>
      <w:r>
        <w:t>Llanllyr</w:t>
      </w:r>
      <w:proofErr w:type="spellEnd"/>
      <w:r>
        <w:t xml:space="preserve"> 24</w:t>
      </w:r>
    </w:p>
    <w:p w14:paraId="36DD0ECE" w14:textId="77777777" w:rsidR="00C942AD" w:rsidRDefault="00C942AD"/>
    <w:p w14:paraId="43620CF8" w14:textId="35A2A348" w:rsidR="0053062D" w:rsidRDefault="00B1462C">
      <w:r>
        <w:t xml:space="preserve">The most immediately apparent thing upon arrival at </w:t>
      </w:r>
      <w:proofErr w:type="spellStart"/>
      <w:r>
        <w:t>Llanllyr</w:t>
      </w:r>
      <w:proofErr w:type="spellEnd"/>
      <w:r>
        <w:t xml:space="preserve"> was just how waterlogged the site was</w:t>
      </w:r>
      <w:r w:rsidR="00655E42">
        <w:t xml:space="preserve">. </w:t>
      </w:r>
      <w:r w:rsidR="0064291B">
        <w:t xml:space="preserve">The track leading to the fields we were excavating in were </w:t>
      </w:r>
      <w:r w:rsidR="000868EC">
        <w:t>covered in puddles or were churned into mud by the passage of people and animals</w:t>
      </w:r>
      <w:r w:rsidR="00557324">
        <w:t>.</w:t>
      </w:r>
      <w:r w:rsidR="00557324" w:rsidRPr="00557324">
        <w:t xml:space="preserve"> </w:t>
      </w:r>
      <w:r w:rsidR="0069718C">
        <w:t xml:space="preserve">As a result of the </w:t>
      </w:r>
      <w:r w:rsidR="00047A28">
        <w:t>state of the paths, the on</w:t>
      </w:r>
      <w:r w:rsidR="00306FAA">
        <w:t>-</w:t>
      </w:r>
      <w:r w:rsidR="00047A28">
        <w:t>site t</w:t>
      </w:r>
      <w:r w:rsidR="00557324">
        <w:t xml:space="preserve">oilets </w:t>
      </w:r>
      <w:r w:rsidR="005344C0">
        <w:t>could not be set up in the same field as the tent.</w:t>
      </w:r>
      <w:r w:rsidR="00D909F3">
        <w:t xml:space="preserve"> </w:t>
      </w:r>
      <w:r w:rsidR="00AE5EC8">
        <w:t>Instead,</w:t>
      </w:r>
      <w:r w:rsidR="00D909F3">
        <w:t xml:space="preserve"> they were approximately 200 metres</w:t>
      </w:r>
      <w:r w:rsidR="00AE5EC8">
        <w:t xml:space="preserve"> away</w:t>
      </w:r>
      <w:r w:rsidR="00786FAE">
        <w:t>.</w:t>
      </w:r>
      <w:r w:rsidR="002A74A5">
        <w:t xml:space="preserve"> On top of this, the trench I was excavating was in a different field as well, separated from the tent by a</w:t>
      </w:r>
      <w:r w:rsidR="00E7596D">
        <w:t xml:space="preserve"> mire.</w:t>
      </w:r>
      <w:r w:rsidR="00786FAE">
        <w:t xml:space="preserve"> </w:t>
      </w:r>
      <w:r w:rsidR="0058529B">
        <w:t xml:space="preserve">This resulted in an odd challenge I had not anticipated </w:t>
      </w:r>
      <w:r w:rsidR="00DA5CCA">
        <w:t xml:space="preserve">after attending excavations on this site twice before: timing breaks </w:t>
      </w:r>
      <w:proofErr w:type="gramStart"/>
      <w:r w:rsidR="00DA5CCA">
        <w:t>so as to</w:t>
      </w:r>
      <w:proofErr w:type="gramEnd"/>
      <w:r w:rsidR="00DA5CCA">
        <w:t xml:space="preserve"> complete several tasks in one go</w:t>
      </w:r>
      <w:r w:rsidR="002A74A5">
        <w:t>.</w:t>
      </w:r>
      <w:r w:rsidR="00E7596D">
        <w:t xml:space="preserve"> For example, using the toilet</w:t>
      </w:r>
      <w:r w:rsidR="00930FC6">
        <w:t xml:space="preserve">, </w:t>
      </w:r>
      <w:r w:rsidR="00E7596D">
        <w:t>filling in the small finds register</w:t>
      </w:r>
      <w:r w:rsidR="00930FC6">
        <w:t xml:space="preserve"> and collecting tools in a single trip.</w:t>
      </w:r>
    </w:p>
    <w:p w14:paraId="0731C783" w14:textId="2E136903" w:rsidR="00315726" w:rsidRDefault="00315726">
      <w:r>
        <w:t xml:space="preserve">The intention </w:t>
      </w:r>
      <w:r w:rsidR="008D5E6D">
        <w:t xml:space="preserve">of this site </w:t>
      </w:r>
      <w:r w:rsidR="00693766">
        <w:t>was to investigate two mounds</w:t>
      </w:r>
      <w:r w:rsidR="008D0F26">
        <w:t>, each in a separate field</w:t>
      </w:r>
      <w:r w:rsidR="00693766">
        <w:t xml:space="preserve"> on</w:t>
      </w:r>
      <w:r w:rsidR="00774C11">
        <w:t xml:space="preserve"> the farm. The initial theory had been that these were burnt mounds</w:t>
      </w:r>
      <w:r w:rsidR="0061380E">
        <w:t xml:space="preserve">. Burnt mounds </w:t>
      </w:r>
      <w:r w:rsidR="00D44478">
        <w:t>are piles of burned stones left after they have been used to heat water</w:t>
      </w:r>
      <w:r w:rsidR="001D223A">
        <w:t xml:space="preserve"> and covered with turf.</w:t>
      </w:r>
      <w:r w:rsidR="001D223A">
        <w:rPr>
          <w:rStyle w:val="FootnoteReference"/>
        </w:rPr>
        <w:footnoteReference w:id="1"/>
      </w:r>
      <w:r w:rsidR="001D223A">
        <w:t xml:space="preserve"> After excavation began, this was swiftly found not to be the case</w:t>
      </w:r>
      <w:r w:rsidR="001F4307">
        <w:t xml:space="preserve"> as the mounds are just raised sections of earth.</w:t>
      </w:r>
      <w:r w:rsidR="00217AEF">
        <w:t xml:space="preserve"> </w:t>
      </w:r>
      <w:r w:rsidR="00EB4A5D">
        <w:t xml:space="preserve">The current hypothesis </w:t>
      </w:r>
      <w:r w:rsidR="00276170">
        <w:t xml:space="preserve">is that these raised areas were once islands in marshy ground, reflected in the modern environment by </w:t>
      </w:r>
      <w:r w:rsidR="00BC1798">
        <w:t>reeds growing on wetter ground all around these mounds.</w:t>
      </w:r>
      <w:r w:rsidR="00BC1798">
        <w:rPr>
          <w:rStyle w:val="FootnoteReference"/>
        </w:rPr>
        <w:footnoteReference w:id="2"/>
      </w:r>
    </w:p>
    <w:p w14:paraId="533CA1C1" w14:textId="61BC9C0D" w:rsidR="00C62248" w:rsidRDefault="00C62248">
      <w:r>
        <w:rPr>
          <w:noProof/>
        </w:rPr>
        <w:drawing>
          <wp:inline distT="0" distB="0" distL="0" distR="0" wp14:anchorId="6C27CCDE" wp14:editId="013D7B27">
            <wp:extent cx="3557489" cy="2674620"/>
            <wp:effectExtent l="0" t="0" r="5080" b="0"/>
            <wp:docPr id="1007488485" name="Picture 1" descr="A map of a fiel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7488485" name="Picture 1" descr="A map of a field&#10;&#10;Description automatically generated with medium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4731" cy="2687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E553A">
        <w:br/>
      </w:r>
      <w:r>
        <w:t>Figure 1</w:t>
      </w:r>
    </w:p>
    <w:p w14:paraId="2B6E59AC" w14:textId="6A3AAE04" w:rsidR="00BF46BE" w:rsidRDefault="004E3274" w:rsidP="00EE574D">
      <w:r>
        <w:t xml:space="preserve">The mounds can be seen labelled in </w:t>
      </w:r>
      <w:r w:rsidR="00B9659F">
        <w:t>figure</w:t>
      </w:r>
      <w:r w:rsidR="00C62248">
        <w:t xml:space="preserve"> 1</w:t>
      </w:r>
      <w:r w:rsidR="00B9659F">
        <w:t>. This year (2024) excavations on mound 1 are not being re-opened, however trench 10 on mound 2 wi</w:t>
      </w:r>
      <w:r w:rsidR="00100191">
        <w:t xml:space="preserve">ll be reopened and </w:t>
      </w:r>
      <w:r w:rsidR="00100191">
        <w:lastRenderedPageBreak/>
        <w:t>expanded both north and south. It was also decided to put in three n</w:t>
      </w:r>
      <w:r w:rsidR="00297728">
        <w:t>ew trench</w:t>
      </w:r>
      <w:r w:rsidR="00100191">
        <w:t>es</w:t>
      </w:r>
      <w:r w:rsidR="0043594C">
        <w:t>. Trench 13</w:t>
      </w:r>
      <w:r w:rsidR="00297728">
        <w:t xml:space="preserve"> </w:t>
      </w:r>
      <w:r w:rsidR="00100191">
        <w:t xml:space="preserve">just </w:t>
      </w:r>
      <w:r w:rsidR="00297728">
        <w:t>south of mound 2</w:t>
      </w:r>
      <w:r w:rsidR="00A55CD7">
        <w:t>;</w:t>
      </w:r>
      <w:r w:rsidR="0043594C">
        <w:t xml:space="preserve"> Trench 14 by a d</w:t>
      </w:r>
      <w:r w:rsidR="00297728">
        <w:t xml:space="preserve">ip at south end of </w:t>
      </w:r>
      <w:r w:rsidR="00A55CD7">
        <w:t xml:space="preserve">the same </w:t>
      </w:r>
      <w:r w:rsidR="00297728">
        <w:t>field</w:t>
      </w:r>
      <w:r w:rsidR="00A55CD7">
        <w:t>;</w:t>
      </w:r>
      <w:r w:rsidR="00297728">
        <w:t xml:space="preserve"> </w:t>
      </w:r>
      <w:r w:rsidR="00A55CD7">
        <w:t xml:space="preserve">and Trench 15 </w:t>
      </w:r>
      <w:r w:rsidR="006B0F7E">
        <w:t xml:space="preserve">in a separate field </w:t>
      </w:r>
      <w:r w:rsidR="00DF5E08">
        <w:t>entirely</w:t>
      </w:r>
      <w:r w:rsidR="006B0F7E">
        <w:t xml:space="preserve"> as labelled on figure </w:t>
      </w:r>
      <w:r w:rsidR="0034795D">
        <w:t>2</w:t>
      </w:r>
      <w:r w:rsidR="00BF46BE">
        <w:t>. The locations for trenches 13 and 14 were chosen by students after we were d</w:t>
      </w:r>
      <w:r w:rsidR="00BF46BE">
        <w:t>iv</w:t>
      </w:r>
      <w:r w:rsidR="00BF46BE">
        <w:t>ided</w:t>
      </w:r>
      <w:r w:rsidR="00BF46BE">
        <w:t xml:space="preserve"> into groups </w:t>
      </w:r>
      <w:r w:rsidR="00BF46BE">
        <w:t xml:space="preserve">and asked to </w:t>
      </w:r>
      <w:r w:rsidR="00785398">
        <w:t xml:space="preserve">pick a </w:t>
      </w:r>
      <w:proofErr w:type="gramStart"/>
      <w:r w:rsidR="00785398">
        <w:t>place</w:t>
      </w:r>
      <w:proofErr w:type="gramEnd"/>
      <w:r w:rsidR="00785398">
        <w:t xml:space="preserve"> we thought a trench would work. Martin then asked us to justify our logic</w:t>
      </w:r>
      <w:r w:rsidR="00E1700E">
        <w:t>. Trench 13 was proposed as running north – south from an area of</w:t>
      </w:r>
      <w:r w:rsidR="00BF46BE">
        <w:t xml:space="preserve"> reeds </w:t>
      </w:r>
      <w:r w:rsidR="00E1700E">
        <w:t>to</w:t>
      </w:r>
      <w:r w:rsidR="00BF46BE">
        <w:t xml:space="preserve"> </w:t>
      </w:r>
      <w:r w:rsidR="00E1700E">
        <w:t xml:space="preserve">slightly </w:t>
      </w:r>
      <w:r w:rsidR="00BF46BE">
        <w:t>high</w:t>
      </w:r>
      <w:r w:rsidR="00E1700E">
        <w:t>er</w:t>
      </w:r>
      <w:r w:rsidR="00BF46BE">
        <w:t xml:space="preserve"> ground</w:t>
      </w:r>
      <w:r w:rsidR="00EB4A5D">
        <w:t xml:space="preserve">, checking </w:t>
      </w:r>
      <w:r w:rsidR="00EE574D">
        <w:t>for the</w:t>
      </w:r>
      <w:r w:rsidR="00EB4A5D">
        <w:t xml:space="preserve"> potential edge of an island.</w:t>
      </w:r>
      <w:r w:rsidR="00EE574D">
        <w:t xml:space="preserve"> Trench 14 was also placed</w:t>
      </w:r>
      <w:r w:rsidR="00B259D6">
        <w:t xml:space="preserve"> on a north – south axis with one end in the dip</w:t>
      </w:r>
      <w:r w:rsidR="00F97209">
        <w:t>,</w:t>
      </w:r>
      <w:r w:rsidR="00B259D6">
        <w:t xml:space="preserve"> which might be the remnant of a stream</w:t>
      </w:r>
      <w:r w:rsidR="00F97209">
        <w:t>.</w:t>
      </w:r>
      <w:r w:rsidR="00F97209">
        <w:rPr>
          <w:rStyle w:val="FootnoteReference"/>
        </w:rPr>
        <w:footnoteReference w:id="3"/>
      </w:r>
      <w:r w:rsidR="00F97209">
        <w:t xml:space="preserve"> </w:t>
      </w:r>
      <w:r w:rsidR="00AB562B">
        <w:t>The evidence for the dip being a stream is twofold, one it</w:t>
      </w:r>
      <w:r w:rsidR="00B6437E">
        <w:t xml:space="preserve"> is a shallow u-shaped depression which curves </w:t>
      </w:r>
      <w:r w:rsidR="001C32CB">
        <w:t>like a stream; and two it</w:t>
      </w:r>
      <w:r w:rsidR="00AB562B">
        <w:t xml:space="preserve"> has reeds growing at the bottom of it</w:t>
      </w:r>
      <w:r w:rsidR="001C32CB">
        <w:t>,</w:t>
      </w:r>
      <w:r w:rsidR="00AB562B">
        <w:t xml:space="preserve"> implying a much wetter </w:t>
      </w:r>
      <w:r w:rsidR="00B6437E">
        <w:t>bit of land amidst dry</w:t>
      </w:r>
      <w:r w:rsidR="001C32CB">
        <w:t>.</w:t>
      </w:r>
    </w:p>
    <w:p w14:paraId="70AE5008" w14:textId="5ED96547" w:rsidR="008C079E" w:rsidRDefault="008C079E" w:rsidP="00EE574D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50F4FD3" wp14:editId="2B343163">
                <wp:simplePos x="0" y="0"/>
                <wp:positionH relativeFrom="column">
                  <wp:posOffset>289560</wp:posOffset>
                </wp:positionH>
                <wp:positionV relativeFrom="paragraph">
                  <wp:posOffset>2430780</wp:posOffset>
                </wp:positionV>
                <wp:extent cx="800100" cy="297180"/>
                <wp:effectExtent l="0" t="0" r="0" b="7620"/>
                <wp:wrapNone/>
                <wp:docPr id="479094284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0100" cy="29718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B113F6B" w14:textId="0AAF6973" w:rsidR="008C079E" w:rsidRPr="008C079E" w:rsidRDefault="008C079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079E">
                              <w:rPr>
                                <w:sz w:val="16"/>
                                <w:szCs w:val="16"/>
                              </w:rPr>
                              <w:t>Trench 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50F4FD3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22.8pt;margin-top:191.4pt;width:63pt;height:23.4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" filled="f" stroked="f" strokeweight=".5pt">
                <v:textbox>
                  <w:txbxContent>
                    <w:p w14:paraId="7B113F6B" w14:textId="0AAF6973" w:rsidR="008C079E" w:rsidRPr="008C079E" w:rsidRDefault="008C079E">
                      <w:pPr>
                        <w:rPr>
                          <w:sz w:val="16"/>
                          <w:szCs w:val="16"/>
                        </w:rPr>
                      </w:pPr>
                      <w:r w:rsidRPr="008C079E">
                        <w:rPr>
                          <w:sz w:val="16"/>
                          <w:szCs w:val="16"/>
                        </w:rPr>
                        <w:t>Trench 15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317DB1F" wp14:editId="7877CD01">
                <wp:simplePos x="0" y="0"/>
                <wp:positionH relativeFrom="column">
                  <wp:posOffset>800100</wp:posOffset>
                </wp:positionH>
                <wp:positionV relativeFrom="paragraph">
                  <wp:posOffset>2446020</wp:posOffset>
                </wp:positionV>
                <wp:extent cx="129540" cy="45720"/>
                <wp:effectExtent l="19050" t="57150" r="22860" b="68580"/>
                <wp:wrapNone/>
                <wp:docPr id="1841163939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692272">
                          <a:off x="0" y="0"/>
                          <a:ext cx="129540" cy="457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348554D" id="Rectangle 6" o:spid="_x0000_s1026" style="position:absolute;margin-left:63pt;margin-top:192.6pt;width:10.2pt;height:3.6pt;rotation:2940679fd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" fillcolor="black [3200]" strokecolor="black [480]" strokeweight="1pt"/>
            </w:pict>
          </mc:Fallback>
        </mc:AlternateContent>
      </w:r>
      <w:r w:rsidRPr="008C079E">
        <w:rPr>
          <w:noProof/>
        </w:rPr>
        <w:drawing>
          <wp:inline distT="0" distB="0" distL="0" distR="0" wp14:anchorId="4F4C0656" wp14:editId="0C575BD7">
            <wp:extent cx="3400842" cy="2443488"/>
            <wp:effectExtent l="2223" t="0" r="0" b="0"/>
            <wp:docPr id="1569872640" name="Picture 5" descr="A map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9872640" name="Picture 5" descr="A map of a city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265" t="18280" r="15130" b="28439"/>
                    <a:stretch/>
                  </pic:blipFill>
                  <pic:spPr bwMode="auto">
                    <a:xfrm rot="5400000">
                      <a:off x="0" y="0"/>
                      <a:ext cx="3419679" cy="24570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CA761C" w14:textId="5C84E0BB" w:rsidR="000A0E9C" w:rsidRDefault="0047635C" w:rsidP="00EE574D">
      <w:r>
        <w:t>Figure 2</w:t>
      </w:r>
    </w:p>
    <w:p w14:paraId="1653A8DF" w14:textId="77777777" w:rsidR="00877480" w:rsidRDefault="00F82F56" w:rsidP="001C62DF">
      <w:r>
        <w:t>Trench 15 was proposed by Martin as i</w:t>
      </w:r>
      <w:r w:rsidR="00E336F5">
        <w:t xml:space="preserve">t is understood </w:t>
      </w:r>
      <w:r w:rsidR="008D6B39">
        <w:t xml:space="preserve">that </w:t>
      </w:r>
      <w:r w:rsidR="006B6AC9">
        <w:t xml:space="preserve">Mesolithic people probably living along </w:t>
      </w:r>
      <w:r>
        <w:t xml:space="preserve">the edge of the wetland and were </w:t>
      </w:r>
      <w:r w:rsidR="006B6AC9">
        <w:t>working on islands</w:t>
      </w:r>
      <w:r>
        <w:t>.</w:t>
      </w:r>
      <w:r>
        <w:rPr>
          <w:rStyle w:val="FootnoteReference"/>
        </w:rPr>
        <w:footnoteReference w:id="4"/>
      </w:r>
      <w:r>
        <w:t xml:space="preserve"> Thus he put a trench near the </w:t>
      </w:r>
      <w:r w:rsidR="005E39F6">
        <w:t>probable edge of the lake to check for evidence of habitation. Specifically</w:t>
      </w:r>
      <w:r w:rsidR="009D415C">
        <w:t>,</w:t>
      </w:r>
      <w:r w:rsidR="005E39F6">
        <w:t xml:space="preserve"> </w:t>
      </w:r>
      <w:r w:rsidR="00615824">
        <w:t>postholes</w:t>
      </w:r>
      <w:r w:rsidR="00A852AB">
        <w:t>, the hole dug to hold up the post of a house or other building</w:t>
      </w:r>
      <w:r w:rsidR="009D415C">
        <w:t>.</w:t>
      </w:r>
      <w:r w:rsidR="009D415C">
        <w:rPr>
          <w:rStyle w:val="FootnoteReference"/>
        </w:rPr>
        <w:footnoteReference w:id="5"/>
      </w:r>
      <w:r w:rsidR="009D415C">
        <w:t xml:space="preserve"> These can be located if the post has not been removed but rather decayed in place as </w:t>
      </w:r>
      <w:r w:rsidR="00D626F3">
        <w:lastRenderedPageBreak/>
        <w:t>it will leave a dark stain in the soil as its composition is different from the fill around it</w:t>
      </w:r>
      <w:r w:rsidR="00853ABF">
        <w:t>.</w:t>
      </w:r>
      <w:r w:rsidR="00853ABF">
        <w:rPr>
          <w:rStyle w:val="FootnoteReference"/>
        </w:rPr>
        <w:footnoteReference w:id="6"/>
      </w:r>
    </w:p>
    <w:p w14:paraId="0D8E0A0A" w14:textId="62349562" w:rsidR="004179E4" w:rsidRDefault="000D6E4E" w:rsidP="001C62DF">
      <w:r>
        <w:t>This year the t</w:t>
      </w:r>
      <w:r w:rsidR="00297728">
        <w:t>est pits</w:t>
      </w:r>
      <w:r>
        <w:t xml:space="preserve"> which had been </w:t>
      </w:r>
      <w:r w:rsidR="00683D69">
        <w:t>excavated last year will not be reopened as they are finished.</w:t>
      </w:r>
      <w:r w:rsidR="00683D69">
        <w:rPr>
          <w:rStyle w:val="FootnoteReference"/>
        </w:rPr>
        <w:footnoteReference w:id="7"/>
      </w:r>
      <w:r w:rsidR="00095C6D">
        <w:t xml:space="preserve"> While he explained this, Martin also pointed out that test pits </w:t>
      </w:r>
      <w:r w:rsidR="001C62DF">
        <w:t>are not always the most useful method of excavation, it all depends upon the site and what the dig is looking for or expects to find.</w:t>
      </w:r>
      <w:r w:rsidR="00973070">
        <w:rPr>
          <w:rStyle w:val="FootnoteReference"/>
        </w:rPr>
        <w:footnoteReference w:id="8"/>
      </w:r>
      <w:r w:rsidR="001C62DF">
        <w:t xml:space="preserve"> Test pits are</w:t>
      </w:r>
      <w:r w:rsidR="008D6FB2">
        <w:t xml:space="preserve"> dug</w:t>
      </w:r>
      <w:r w:rsidR="001C62DF">
        <w:t xml:space="preserve"> </w:t>
      </w:r>
      <w:r w:rsidR="008D6FB2">
        <w:t>1 metre by 1 metre</w:t>
      </w:r>
      <w:r w:rsidR="00994620">
        <w:t xml:space="preserve">, this small area </w:t>
      </w:r>
      <w:r w:rsidR="00B64482">
        <w:t xml:space="preserve">allows an archaeologist to conduct a vertical excavation, </w:t>
      </w:r>
      <w:r w:rsidR="007C2E64">
        <w:t xml:space="preserve">digging deeper and analysing the stratigraphic layers of deposits </w:t>
      </w:r>
      <w:r w:rsidR="00486C57">
        <w:t xml:space="preserve">at a </w:t>
      </w:r>
      <w:r w:rsidR="00C077AF">
        <w:t>greater depth.</w:t>
      </w:r>
      <w:r w:rsidR="007948FB">
        <w:rPr>
          <w:rStyle w:val="FootnoteReference"/>
        </w:rPr>
        <w:footnoteReference w:id="9"/>
      </w:r>
      <w:r w:rsidR="008D6FB2">
        <w:t xml:space="preserve"> </w:t>
      </w:r>
      <w:r w:rsidR="001C62DF">
        <w:t xml:space="preserve">Test pits work well </w:t>
      </w:r>
      <w:r w:rsidR="00297728">
        <w:t>for prehistoric</w:t>
      </w:r>
      <w:r w:rsidR="001C62DF">
        <w:t xml:space="preserve"> sites as generally archaeologists are looking for finds as opposed to features. </w:t>
      </w:r>
      <w:r w:rsidR="007948FB">
        <w:t xml:space="preserve">They </w:t>
      </w:r>
      <w:proofErr w:type="gramStart"/>
      <w:r w:rsidR="007948FB">
        <w:t>are</w:t>
      </w:r>
      <w:proofErr w:type="gramEnd"/>
      <w:r w:rsidR="007948FB">
        <w:t xml:space="preserve"> however, n</w:t>
      </w:r>
      <w:r w:rsidR="00297728">
        <w:t xml:space="preserve">ot as good for </w:t>
      </w:r>
      <w:r w:rsidR="007948FB">
        <w:t>R</w:t>
      </w:r>
      <w:r w:rsidR="00297728">
        <w:t>oman</w:t>
      </w:r>
      <w:r w:rsidR="004179E4">
        <w:t xml:space="preserve">, </w:t>
      </w:r>
      <w:r w:rsidR="007948FB">
        <w:t>B</w:t>
      </w:r>
      <w:r w:rsidR="004179E4">
        <w:t xml:space="preserve">ronze </w:t>
      </w:r>
      <w:r w:rsidR="007948FB">
        <w:t>A</w:t>
      </w:r>
      <w:r w:rsidR="004179E4">
        <w:t xml:space="preserve">ge </w:t>
      </w:r>
      <w:r w:rsidR="007948FB">
        <w:t xml:space="preserve">or Medieval sites where features </w:t>
      </w:r>
      <w:r w:rsidR="00E74169">
        <w:t>are being uncovered.</w:t>
      </w:r>
      <w:r w:rsidR="00E74169">
        <w:rPr>
          <w:rStyle w:val="FootnoteReference"/>
        </w:rPr>
        <w:footnoteReference w:id="10"/>
      </w:r>
      <w:r w:rsidR="001C62DF">
        <w:t xml:space="preserve"> </w:t>
      </w:r>
    </w:p>
    <w:p w14:paraId="46927690" w14:textId="2D49F3D5" w:rsidR="0040301B" w:rsidRDefault="00305413" w:rsidP="00BD2C20">
      <w:pPr>
        <w:rPr>
          <w:u w:val="single"/>
        </w:rPr>
      </w:pPr>
      <w:r w:rsidRPr="00305413">
        <w:rPr>
          <w:u w:val="single"/>
        </w:rPr>
        <w:t>Digging a trench</w:t>
      </w:r>
    </w:p>
    <w:p w14:paraId="17A54EB6" w14:textId="003AEE4C" w:rsidR="004E2CFD" w:rsidRDefault="00C26172" w:rsidP="00BD2C20">
      <w:r>
        <w:t>Archaeologist</w:t>
      </w:r>
      <w:r w:rsidR="00B53870">
        <w:t>s</w:t>
      </w:r>
      <w:r w:rsidR="00637E0A">
        <w:t xml:space="preserve"> will generally</w:t>
      </w:r>
      <w:r>
        <w:t xml:space="preserve"> follow a </w:t>
      </w:r>
      <w:r w:rsidR="00637E0A">
        <w:t xml:space="preserve">common </w:t>
      </w:r>
      <w:r>
        <w:t xml:space="preserve">process </w:t>
      </w:r>
      <w:r w:rsidR="00B53870">
        <w:t>for</w:t>
      </w:r>
      <w:r>
        <w:t xml:space="preserve"> digging trenches</w:t>
      </w:r>
      <w:r w:rsidR="00637E0A">
        <w:t>.</w:t>
      </w:r>
      <w:r w:rsidR="00877480">
        <w:t xml:space="preserve"> </w:t>
      </w:r>
      <w:r>
        <w:t>The first part of this is to select the trench’s location. As already discussed</w:t>
      </w:r>
      <w:r w:rsidR="00B53870">
        <w:t>,</w:t>
      </w:r>
      <w:r>
        <w:t xml:space="preserve"> this was decided either by conjecture from students or </w:t>
      </w:r>
      <w:r w:rsidR="00B53870">
        <w:t xml:space="preserve">informed by previous excavation at the site. </w:t>
      </w:r>
      <w:r w:rsidR="00735030">
        <w:t xml:space="preserve">In the case of Trench 10 North, it was the latter as the </w:t>
      </w:r>
      <w:r w:rsidR="00860FC4">
        <w:t>location was chosen to uncover the extent of a flint scatter found in Trench 10 the year before.</w:t>
      </w:r>
      <w:r w:rsidR="00860FC4">
        <w:rPr>
          <w:rStyle w:val="FootnoteReference"/>
        </w:rPr>
        <w:footnoteReference w:id="11"/>
      </w:r>
      <w:r w:rsidR="008F1994">
        <w:t xml:space="preserve"> </w:t>
      </w:r>
      <w:r w:rsidR="00696503">
        <w:t xml:space="preserve">As such T10 (N) was measured from the north edge of Trench 10 </w:t>
      </w:r>
      <w:r w:rsidR="008B0683">
        <w:t xml:space="preserve">with its origin at its </w:t>
      </w:r>
      <w:r w:rsidR="002F2A96">
        <w:t>Southeast</w:t>
      </w:r>
      <w:r w:rsidR="008B0683">
        <w:t xml:space="preserve"> corner. The origin is the point from which</w:t>
      </w:r>
      <w:r w:rsidR="002F2A96">
        <w:t xml:space="preserve"> all measurements in the trench start from.</w:t>
      </w:r>
      <w:r w:rsidR="002F2A96">
        <w:rPr>
          <w:rStyle w:val="FootnoteReference"/>
        </w:rPr>
        <w:footnoteReference w:id="12"/>
      </w:r>
      <w:r w:rsidR="002F2A96">
        <w:t xml:space="preserve"> </w:t>
      </w:r>
      <w:r w:rsidR="00DA593C">
        <w:t xml:space="preserve">String was placed around the proposed shape of the trench </w:t>
      </w:r>
      <w:r w:rsidR="00DF1F2A">
        <w:t>to mark it ready for digging and to provide a tangible shape and size</w:t>
      </w:r>
      <w:r w:rsidR="002E7B1B">
        <w:rPr>
          <w:rStyle w:val="FootnoteReference"/>
        </w:rPr>
        <w:footnoteReference w:id="13"/>
      </w:r>
      <w:r w:rsidR="00D10FAE">
        <w:t xml:space="preserve"> – in this case, 8.54 metres length and </w:t>
      </w:r>
      <w:r w:rsidR="00685005">
        <w:t xml:space="preserve">a 2.01 metres width. </w:t>
      </w:r>
      <w:r w:rsidR="00BA7F6E">
        <w:t>Normally for trenches whole measurements would be used</w:t>
      </w:r>
      <w:r w:rsidR="00F34391">
        <w:t>, for example Trench 8 was 3 metres by 6 metres</w:t>
      </w:r>
      <w:r w:rsidR="001D2F36">
        <w:rPr>
          <w:rStyle w:val="FootnoteReference"/>
        </w:rPr>
        <w:footnoteReference w:id="14"/>
      </w:r>
      <w:r w:rsidR="00F34391">
        <w:t xml:space="preserve"> and Trench 1</w:t>
      </w:r>
      <w:r w:rsidR="001D2F36">
        <w:t xml:space="preserve">4 was </w:t>
      </w:r>
      <w:r w:rsidR="00BD4E41">
        <w:t>6</w:t>
      </w:r>
      <w:r w:rsidR="001D2F36">
        <w:t xml:space="preserve"> metres by </w:t>
      </w:r>
      <w:r w:rsidR="00BD4E41">
        <w:t>2</w:t>
      </w:r>
      <w:r w:rsidR="001D2F36">
        <w:t xml:space="preserve"> metres.</w:t>
      </w:r>
      <w:r w:rsidR="001D2F36">
        <w:rPr>
          <w:rStyle w:val="FootnoteReference"/>
        </w:rPr>
        <w:footnoteReference w:id="15"/>
      </w:r>
      <w:r w:rsidR="00BD4E41">
        <w:t xml:space="preserve"> The reason why </w:t>
      </w:r>
      <w:r w:rsidR="00BA1724">
        <w:t xml:space="preserve">T10 (N) </w:t>
      </w:r>
      <w:r w:rsidR="00497D67">
        <w:t>has a</w:t>
      </w:r>
      <w:r w:rsidR="004D7BFE">
        <w:t>n odd length was because it was measured off the still visible footprint of Trench 10</w:t>
      </w:r>
      <w:r w:rsidR="009314BE">
        <w:t>.</w:t>
      </w:r>
    </w:p>
    <w:p w14:paraId="49B74EAC" w14:textId="77777777" w:rsidR="009E1614" w:rsidRDefault="009314BE" w:rsidP="00BD2C20">
      <w:r>
        <w:t>Following the selection and measuring of T10 (N)</w:t>
      </w:r>
      <w:r w:rsidR="00832A84">
        <w:t xml:space="preserve"> the excavation proper could begin. The first stage of this is the removal of the turf </w:t>
      </w:r>
      <w:r w:rsidR="002E7B1B">
        <w:t>surrounded by the string.</w:t>
      </w:r>
      <w:r w:rsidR="00F72942">
        <w:t xml:space="preserve"> </w:t>
      </w:r>
      <w:r w:rsidR="0029715A">
        <w:t>The turf is cut, either with a half-moon or spade, into squares then lifted</w:t>
      </w:r>
      <w:r w:rsidR="00B3132A">
        <w:t xml:space="preserve"> and stacked in a low wall around three edges of a tarpaulin laid for the spoil heap.</w:t>
      </w:r>
      <w:r w:rsidR="007D6CA8">
        <w:t xml:space="preserve"> Both the de turfing </w:t>
      </w:r>
      <w:r w:rsidR="007D6CA8">
        <w:lastRenderedPageBreak/>
        <w:t xml:space="preserve">itself and the tarpaulin are methods to prevent unnecessary </w:t>
      </w:r>
      <w:r w:rsidR="00690A45">
        <w:t>destruction of the field.</w:t>
      </w:r>
      <w:r w:rsidR="006B300E">
        <w:t xml:space="preserve"> The tarpaulin stops the present gr</w:t>
      </w:r>
      <w:r w:rsidR="000C5591">
        <w:t>ass from being choked or killed off by piles the spoil heap while de turfing allows us to recover the trench when finished leaving little to no trace of excavation.</w:t>
      </w:r>
      <w:r w:rsidR="000C5591">
        <w:rPr>
          <w:rStyle w:val="FootnoteReference"/>
        </w:rPr>
        <w:footnoteReference w:id="16"/>
      </w:r>
      <w:r w:rsidR="00C329F5">
        <w:t xml:space="preserve"> </w:t>
      </w:r>
    </w:p>
    <w:p w14:paraId="2FE5A33C" w14:textId="77777777" w:rsidR="00BB0DEC" w:rsidRDefault="00C329F5" w:rsidP="00BD2C20">
      <w:r>
        <w:t xml:space="preserve">Once the turves have been removed, the trench edges must be neatened so they </w:t>
      </w:r>
      <w:r w:rsidR="00B26402">
        <w:t>closely follow the string line</w:t>
      </w:r>
      <w:r w:rsidR="00374C04">
        <w:t xml:space="preserve">. This is to better expose the trench’s section </w:t>
      </w:r>
      <w:r w:rsidR="009E1614">
        <w:t>so that the stratigraphy of the ground can be analysed.</w:t>
      </w:r>
      <w:r w:rsidR="00AD5158">
        <w:rPr>
          <w:rStyle w:val="FootnoteReference"/>
        </w:rPr>
        <w:footnoteReference w:id="17"/>
      </w:r>
      <w:r w:rsidR="00AD5158">
        <w:t xml:space="preserve"> </w:t>
      </w:r>
      <w:r w:rsidR="000E11EB">
        <w:t>A site’s stratigraphy</w:t>
      </w:r>
      <w:r w:rsidR="00011D9C">
        <w:t xml:space="preserve"> are</w:t>
      </w:r>
      <w:r w:rsidR="000E11EB">
        <w:t xml:space="preserve"> the</w:t>
      </w:r>
      <w:r w:rsidR="00011D9C">
        <w:t xml:space="preserve"> series of earth</w:t>
      </w:r>
      <w:r w:rsidR="000E11EB">
        <w:t xml:space="preserve"> layers</w:t>
      </w:r>
      <w:r w:rsidR="00011D9C">
        <w:t xml:space="preserve"> under the surface.</w:t>
      </w:r>
      <w:r w:rsidR="00011D9C">
        <w:rPr>
          <w:rStyle w:val="FootnoteReference"/>
        </w:rPr>
        <w:footnoteReference w:id="18"/>
      </w:r>
      <w:r w:rsidR="00683525">
        <w:t xml:space="preserve"> Assuming that the area hasn’t been disturbed by say ploughing</w:t>
      </w:r>
      <w:r w:rsidR="00065236">
        <w:t>, the layers should get successively older in date the deeper they are and so can provide archaeologists with an understanding of the earth at different points of history.</w:t>
      </w:r>
      <w:r w:rsidR="00065236">
        <w:rPr>
          <w:rStyle w:val="FootnoteReference"/>
        </w:rPr>
        <w:footnoteReference w:id="19"/>
      </w:r>
    </w:p>
    <w:p w14:paraId="258D5747" w14:textId="77777777" w:rsidR="00A87D2A" w:rsidRDefault="00BB0DEC" w:rsidP="00BD2C20">
      <w:r>
        <w:t>While the edges were being neatened,</w:t>
      </w:r>
      <w:r w:rsidR="00E75FEB">
        <w:t xml:space="preserve"> the other task was to flatten out the trench floor. The most effective method for this is using mattocks to break up the dirt before it is shovelled out</w:t>
      </w:r>
      <w:r w:rsidR="008F16D7">
        <w:t xml:space="preserve"> and</w:t>
      </w:r>
      <w:r w:rsidR="00682DBA">
        <w:t xml:space="preserve"> sieved onto the spoil heap. Sieving of soil is done to catch any finds which haven’t been spotted and </w:t>
      </w:r>
      <w:r w:rsidR="00E720DE">
        <w:t>are removed with the spoil.</w:t>
      </w:r>
      <w:r w:rsidR="00E720DE">
        <w:rPr>
          <w:rStyle w:val="FootnoteReference"/>
        </w:rPr>
        <w:footnoteReference w:id="20"/>
      </w:r>
      <w:r w:rsidR="0045632B">
        <w:t xml:space="preserve"> Martin instructed all spoil to be sieved as many of the flint finds in previous years </w:t>
      </w:r>
      <w:r w:rsidR="009D0BDC">
        <w:t>were very small flakes and had only been noticed because spoil was sieved.</w:t>
      </w:r>
      <w:r w:rsidR="009D0BDC">
        <w:rPr>
          <w:rStyle w:val="FootnoteReference"/>
        </w:rPr>
        <w:footnoteReference w:id="21"/>
      </w:r>
      <w:r w:rsidR="003B14E0">
        <w:t xml:space="preserve"> </w:t>
      </w:r>
    </w:p>
    <w:p w14:paraId="4C87CE8C" w14:textId="628B8A46" w:rsidR="00305413" w:rsidRDefault="00A87D2A" w:rsidP="00BD2C20">
      <w:r>
        <w:t xml:space="preserve">With the trench floor suitably levelled out we could begin </w:t>
      </w:r>
      <w:r w:rsidR="00305413">
        <w:t>scraping with trowels</w:t>
      </w:r>
      <w:r>
        <w:t>.</w:t>
      </w:r>
      <w:r w:rsidR="00341E4E">
        <w:t xml:space="preserve"> </w:t>
      </w:r>
      <w:r w:rsidR="00D53E91">
        <w:t xml:space="preserve">By doing this they </w:t>
      </w:r>
      <w:proofErr w:type="gramStart"/>
      <w:r w:rsidR="00D53E91">
        <w:t>are able to</w:t>
      </w:r>
      <w:proofErr w:type="gramEnd"/>
      <w:r w:rsidR="00D53E91">
        <w:t xml:space="preserve"> remove the dirt layer by layer and so spot finds in situ. </w:t>
      </w:r>
      <w:r w:rsidR="00FD308A">
        <w:t xml:space="preserve">T10 (N) had four excavators in it most days, two working east to west the others west to east. </w:t>
      </w:r>
      <w:r w:rsidR="008F1704">
        <w:t xml:space="preserve">The only disadvantage of having four people </w:t>
      </w:r>
      <w:r w:rsidR="004939C5">
        <w:t>scraping a trench</w:t>
      </w:r>
      <w:r w:rsidR="00A81D53">
        <w:t xml:space="preserve"> </w:t>
      </w:r>
      <w:r w:rsidR="004939C5">
        <w:t xml:space="preserve">is that </w:t>
      </w:r>
      <w:r w:rsidR="00FB0799">
        <w:t xml:space="preserve">care </w:t>
      </w:r>
      <w:r w:rsidR="00294375">
        <w:t>must</w:t>
      </w:r>
      <w:r w:rsidR="008F1704">
        <w:t xml:space="preserve"> be </w:t>
      </w:r>
      <w:r w:rsidR="00FB0799">
        <w:t>taken to avoid mound in centre</w:t>
      </w:r>
      <w:r w:rsidR="00A81D53">
        <w:t xml:space="preserve"> where they meet</w:t>
      </w:r>
      <w:r w:rsidR="004939C5">
        <w:t xml:space="preserve">. </w:t>
      </w:r>
      <w:r w:rsidR="003D41C0">
        <w:t>To</w:t>
      </w:r>
      <w:r w:rsidR="00E04163">
        <w:t xml:space="preserve"> prevent this the excavators </w:t>
      </w:r>
      <w:r w:rsidR="00294375">
        <w:t>just need to meet and turn 90 degrees before scraping to the north and south edges respectively.</w:t>
      </w:r>
      <w:r w:rsidR="00294375">
        <w:rPr>
          <w:rStyle w:val="FootnoteReference"/>
        </w:rPr>
        <w:footnoteReference w:id="22"/>
      </w:r>
    </w:p>
    <w:p w14:paraId="42235781" w14:textId="58C06319" w:rsidR="00FB0799" w:rsidRDefault="00FB0799" w:rsidP="00BD2C20">
      <w:pPr>
        <w:rPr>
          <w:u w:val="single"/>
        </w:rPr>
      </w:pPr>
      <w:r w:rsidRPr="00FB0799">
        <w:rPr>
          <w:u w:val="single"/>
        </w:rPr>
        <w:t>Drawing Board</w:t>
      </w:r>
    </w:p>
    <w:p w14:paraId="0B07CFF6" w14:textId="478E9E2B" w:rsidR="00DD73D6" w:rsidRPr="00DD73D6" w:rsidRDefault="00B51EB0" w:rsidP="00BD2C20">
      <w:r>
        <w:rPr>
          <w:noProof/>
        </w:rPr>
        <w:lastRenderedPageBreak/>
        <w:drawing>
          <wp:inline distT="0" distB="0" distL="0" distR="0" wp14:anchorId="59BF00A5" wp14:editId="47C0948E">
            <wp:extent cx="5731510" cy="4298950"/>
            <wp:effectExtent l="0" t="0" r="2540" b="6350"/>
            <wp:docPr id="1170177401" name="Picture 4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0177401" name="Picture 4" descr="A piece of paper with writing on i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Figure </w:t>
      </w:r>
      <w:r w:rsidR="004E2CFD">
        <w:t>3</w:t>
      </w:r>
    </w:p>
    <w:p w14:paraId="0F6E2EA2" w14:textId="2BD930FF" w:rsidR="00BC2C7A" w:rsidRDefault="00FD308A" w:rsidP="00BD2C20">
      <w:r>
        <w:t xml:space="preserve">With excavation of the trench in progress, </w:t>
      </w:r>
      <w:r w:rsidR="000E62EE">
        <w:t xml:space="preserve">recording of relevant information could begin. </w:t>
      </w:r>
      <w:r w:rsidR="007B4CD9">
        <w:t>Drawing boards were prepared and handed out to the trenches.</w:t>
      </w:r>
      <w:r w:rsidR="00385D2A">
        <w:t xml:space="preserve"> A drawing board consists of a piece of wood with graph paper and then tracing paper taped over it</w:t>
      </w:r>
      <w:r w:rsidR="00B07D4E">
        <w:t xml:space="preserve">. The idea behind this is that when a plan or section drawing has been completed on the tracing paper it can be removed and replaced with a new sheet, saving graph </w:t>
      </w:r>
      <w:proofErr w:type="gramStart"/>
      <w:r w:rsidR="00B07D4E">
        <w:t>paper</w:t>
      </w:r>
      <w:proofErr w:type="gramEnd"/>
      <w:r w:rsidR="00B07D4E">
        <w:t xml:space="preserve"> and also allowing plans of different contexts or layers to be stacked and give a full impression of the trench.</w:t>
      </w:r>
      <w:r w:rsidR="00B07D4E">
        <w:rPr>
          <w:rStyle w:val="FootnoteReference"/>
        </w:rPr>
        <w:footnoteReference w:id="23"/>
      </w:r>
      <w:r w:rsidR="00E4150E">
        <w:t xml:space="preserve"> Plans are a</w:t>
      </w:r>
      <w:r w:rsidR="00BC1BAF">
        <w:t xml:space="preserve"> s</w:t>
      </w:r>
      <w:r w:rsidR="00FB0799">
        <w:t xml:space="preserve">cale drawing of </w:t>
      </w:r>
      <w:r w:rsidR="00BC1BAF">
        <w:t xml:space="preserve">a </w:t>
      </w:r>
      <w:r w:rsidR="00FB0799">
        <w:t>trench</w:t>
      </w:r>
      <w:r w:rsidR="00BC1BAF">
        <w:t xml:space="preserve"> on which are plotted the locations of any finds</w:t>
      </w:r>
      <w:r w:rsidR="00BC1226">
        <w:t xml:space="preserve"> or features</w:t>
      </w:r>
      <w:r w:rsidR="00717522">
        <w:t>.</w:t>
      </w:r>
      <w:r w:rsidR="00717522">
        <w:rPr>
          <w:rStyle w:val="FootnoteReference"/>
        </w:rPr>
        <w:footnoteReference w:id="24"/>
      </w:r>
      <w:r w:rsidR="00717522">
        <w:t xml:space="preserve"> </w:t>
      </w:r>
      <w:r w:rsidR="00BC1226">
        <w:t>T10 (N)’s plan was drawn to a scale of 1:20</w:t>
      </w:r>
      <w:r w:rsidR="00646BE4">
        <w:t xml:space="preserve">, that is one large square on the plan is equal to 20 cm in reality. These larger squares can be vaguely seen in figure </w:t>
      </w:r>
      <w:r w:rsidR="00167B26">
        <w:t>3</w:t>
      </w:r>
      <w:r w:rsidR="00646BE4">
        <w:t xml:space="preserve">. It should also be noted </w:t>
      </w:r>
      <w:r w:rsidR="00F16750">
        <w:t xml:space="preserve">in figure </w:t>
      </w:r>
      <w:r w:rsidR="00167B26">
        <w:t>3</w:t>
      </w:r>
      <w:r w:rsidR="00F16750">
        <w:t xml:space="preserve"> that a </w:t>
      </w:r>
      <w:r w:rsidR="00FB0799">
        <w:t>dot and dash line</w:t>
      </w:r>
      <w:r w:rsidR="00F16750">
        <w:t xml:space="preserve"> has been</w:t>
      </w:r>
      <w:r w:rsidR="00FB0799">
        <w:t xml:space="preserve"> </w:t>
      </w:r>
      <w:r w:rsidR="00664F73">
        <w:t xml:space="preserve">used to draw </w:t>
      </w:r>
      <w:r w:rsidR="00F16750">
        <w:t xml:space="preserve">the trench </w:t>
      </w:r>
      <w:r w:rsidR="00664F73">
        <w:t>edges</w:t>
      </w:r>
      <w:r w:rsidR="00002687">
        <w:t xml:space="preserve">. The precise drawing methods vary by </w:t>
      </w:r>
      <w:r w:rsidR="00637E0A">
        <w:t>excavation,</w:t>
      </w:r>
      <w:r w:rsidR="00002687">
        <w:t xml:space="preserve"> but Martin Bates explained that he preferred dots and dashed as ‘a solid line suggests an </w:t>
      </w:r>
      <w:proofErr w:type="gramStart"/>
      <w:r w:rsidR="00002687">
        <w:t>end</w:t>
      </w:r>
      <w:proofErr w:type="gramEnd"/>
      <w:r w:rsidR="00002687">
        <w:t xml:space="preserve"> but this leaves room to expand if needed’.</w:t>
      </w:r>
      <w:r w:rsidR="00002687">
        <w:rPr>
          <w:rStyle w:val="FootnoteReference"/>
        </w:rPr>
        <w:footnoteReference w:id="25"/>
      </w:r>
    </w:p>
    <w:p w14:paraId="64915665" w14:textId="2727F850" w:rsidR="00EC413C" w:rsidRDefault="00BC2C7A" w:rsidP="00BD2C20">
      <w:r>
        <w:lastRenderedPageBreak/>
        <w:t>Further details are also recorded on the plan</w:t>
      </w:r>
      <w:r w:rsidR="0088045E">
        <w:t xml:space="preserve">. These </w:t>
      </w:r>
      <w:r w:rsidR="00171046">
        <w:t xml:space="preserve">can be seen in figure </w:t>
      </w:r>
      <w:r w:rsidR="00167B26">
        <w:t>3</w:t>
      </w:r>
      <w:r w:rsidR="003B028F">
        <w:t>.</w:t>
      </w:r>
      <w:r w:rsidR="0088045E">
        <w:t xml:space="preserve"> </w:t>
      </w:r>
      <w:r w:rsidR="003B028F">
        <w:t>T</w:t>
      </w:r>
      <w:r w:rsidR="0088045E">
        <w:t>he g</w:t>
      </w:r>
      <w:r w:rsidR="004D395F">
        <w:t xml:space="preserve">round levels of </w:t>
      </w:r>
      <w:r w:rsidR="0088045E">
        <w:t xml:space="preserve">each </w:t>
      </w:r>
      <w:r w:rsidR="004D395F">
        <w:t>corner</w:t>
      </w:r>
      <w:r w:rsidR="003B028F">
        <w:t xml:space="preserve"> are</w:t>
      </w:r>
      <w:r w:rsidR="004D395F">
        <w:t xml:space="preserve"> </w:t>
      </w:r>
      <w:r w:rsidR="007D7D4D">
        <w:t>noted in the top right corner</w:t>
      </w:r>
      <w:r w:rsidR="003B028F">
        <w:t>;</w:t>
      </w:r>
      <w:r w:rsidR="007D7D4D">
        <w:rPr>
          <w:rStyle w:val="FootnoteReference"/>
        </w:rPr>
        <w:footnoteReference w:id="26"/>
      </w:r>
      <w:r w:rsidR="003B028F">
        <w:t xml:space="preserve"> then t</w:t>
      </w:r>
      <w:r w:rsidR="00A14684">
        <w:t xml:space="preserve">o the left is the site code (LLYR/24); </w:t>
      </w:r>
      <w:r w:rsidR="00B51BFE">
        <w:t xml:space="preserve">date the plan was started; trench number; </w:t>
      </w:r>
      <w:r w:rsidR="00271D13">
        <w:t>scale; and a north indicator.</w:t>
      </w:r>
      <w:r w:rsidR="00271D13">
        <w:rPr>
          <w:rStyle w:val="FootnoteReference"/>
        </w:rPr>
        <w:footnoteReference w:id="27"/>
      </w:r>
      <w:r w:rsidR="00271D13">
        <w:t xml:space="preserve"> Apparently it is a</w:t>
      </w:r>
      <w:r w:rsidR="004D395F">
        <w:t>lso good idea to describe weather conditions</w:t>
      </w:r>
      <w:r w:rsidR="00271D13">
        <w:rPr>
          <w:rStyle w:val="FootnoteReference"/>
        </w:rPr>
        <w:footnoteReference w:id="28"/>
      </w:r>
      <w:r w:rsidR="00271D13">
        <w:t xml:space="preserve"> and so this is </w:t>
      </w:r>
      <w:r w:rsidR="00CB0A23">
        <w:t>written to the right of the other information.</w:t>
      </w:r>
      <w:r w:rsidR="00CB0A23">
        <w:rPr>
          <w:rStyle w:val="FootnoteReference"/>
        </w:rPr>
        <w:footnoteReference w:id="29"/>
      </w:r>
      <w:r w:rsidR="00EC0C46">
        <w:t xml:space="preserve"> Beneath this are the initials of all those who were involved in creating the plan,</w:t>
      </w:r>
      <w:r w:rsidR="00EC0C46">
        <w:rPr>
          <w:rStyle w:val="FootnoteReference"/>
        </w:rPr>
        <w:footnoteReference w:id="30"/>
      </w:r>
      <w:r w:rsidR="001C266A">
        <w:t xml:space="preserve"> this is so that if there are any errors or confusion the appropriate people can be contacted to check</w:t>
      </w:r>
      <w:r w:rsidR="00A05F4B">
        <w:t>.</w:t>
      </w:r>
      <w:r w:rsidR="00A05F4B">
        <w:rPr>
          <w:rStyle w:val="FootnoteReference"/>
        </w:rPr>
        <w:footnoteReference w:id="31"/>
      </w:r>
      <w:r w:rsidR="00812753">
        <w:t xml:space="preserve"> Finally the c</w:t>
      </w:r>
      <w:r w:rsidR="00EC413C">
        <w:t>ontext</w:t>
      </w:r>
      <w:r w:rsidR="00812753">
        <w:t>’</w:t>
      </w:r>
      <w:r w:rsidR="00EC413C">
        <w:t xml:space="preserve">s </w:t>
      </w:r>
      <w:r w:rsidR="00812753">
        <w:t xml:space="preserve">number is written on the plan, in this case </w:t>
      </w:r>
      <w:r w:rsidR="00EC413C">
        <w:t>100001</w:t>
      </w:r>
      <w:r w:rsidR="00812753">
        <w:t>.</w:t>
      </w:r>
      <w:r w:rsidR="001C778B">
        <w:t xml:space="preserve"> </w:t>
      </w:r>
      <w:r w:rsidR="00252494">
        <w:t>This is necessary to differentiate plans as e</w:t>
      </w:r>
      <w:r w:rsidR="00EC413C">
        <w:t>ach context has its own plan</w:t>
      </w:r>
      <w:r w:rsidR="00252494">
        <w:t>.</w:t>
      </w:r>
      <w:r w:rsidR="00252494">
        <w:rPr>
          <w:rStyle w:val="FootnoteReference"/>
        </w:rPr>
        <w:footnoteReference w:id="32"/>
      </w:r>
    </w:p>
    <w:p w14:paraId="0CD22D79" w14:textId="76D9AAC6" w:rsidR="00F02FA2" w:rsidRDefault="00F02FA2" w:rsidP="00BD2C20">
      <w:r>
        <w:t xml:space="preserve">Every single small find which </w:t>
      </w:r>
      <w:proofErr w:type="gramStart"/>
      <w:r>
        <w:t>was located in</w:t>
      </w:r>
      <w:proofErr w:type="gramEnd"/>
      <w:r>
        <w:t xml:space="preserve"> situ in context 100001 of Trench 10 (N) is then plotted</w:t>
      </w:r>
      <w:r w:rsidR="00A877AC">
        <w:t xml:space="preserve"> to scale</w:t>
      </w:r>
      <w:r>
        <w:t xml:space="preserve"> on the plan</w:t>
      </w:r>
      <w:r w:rsidR="00A877AC">
        <w:t>.</w:t>
      </w:r>
      <w:r w:rsidR="00A877AC">
        <w:rPr>
          <w:rStyle w:val="FootnoteReference"/>
        </w:rPr>
        <w:footnoteReference w:id="33"/>
      </w:r>
      <w:r w:rsidR="00A877AC">
        <w:t xml:space="preserve"> Underneath this </w:t>
      </w:r>
      <w:r w:rsidR="00314980">
        <w:t>is then written the small finds numbers and precisely measured locations of all these finds.</w:t>
      </w:r>
      <w:r w:rsidR="00314980">
        <w:rPr>
          <w:rStyle w:val="FootnoteReference"/>
        </w:rPr>
        <w:footnoteReference w:id="34"/>
      </w:r>
      <w:r w:rsidR="00314980">
        <w:t xml:space="preserve"> This provides archaeologists with a tool to analyse the scatter of finds to see if there are any relevant correlations.</w:t>
      </w:r>
      <w:r w:rsidR="00314980">
        <w:rPr>
          <w:rStyle w:val="FootnoteReference"/>
        </w:rPr>
        <w:footnoteReference w:id="35"/>
      </w:r>
    </w:p>
    <w:p w14:paraId="62A318BB" w14:textId="00CB2C60" w:rsidR="00F61F1C" w:rsidRDefault="00F61F1C" w:rsidP="00BD2C20">
      <w:pPr>
        <w:rPr>
          <w:u w:val="single"/>
        </w:rPr>
      </w:pPr>
      <w:r>
        <w:rPr>
          <w:u w:val="single"/>
        </w:rPr>
        <w:t>Artefact Records</w:t>
      </w:r>
    </w:p>
    <w:p w14:paraId="4559B710" w14:textId="4DB988A9" w:rsidR="00065866" w:rsidRPr="00DD73D6" w:rsidRDefault="00DD73D6" w:rsidP="00BD2C20">
      <w:r>
        <w:rPr>
          <w:noProof/>
          <w:u w:val="single"/>
        </w:rPr>
        <w:lastRenderedPageBreak/>
        <w:drawing>
          <wp:inline distT="0" distB="0" distL="0" distR="0" wp14:anchorId="2DCAD0BC" wp14:editId="45C1D9CC">
            <wp:extent cx="5488861" cy="3750815"/>
            <wp:effectExtent l="0" t="7302" r="0" b="0"/>
            <wp:docPr id="1557057754" name="Picture 2" descr="A white paper with black wri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7057754" name="Picture 2" descr="A white paper with black writing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06" t="8512" r="590" b="5470"/>
                    <a:stretch/>
                  </pic:blipFill>
                  <pic:spPr bwMode="auto">
                    <a:xfrm rot="5400000">
                      <a:off x="0" y="0"/>
                      <a:ext cx="5509222" cy="37647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3E553A">
        <w:br/>
      </w:r>
      <w:r w:rsidRPr="00DD73D6">
        <w:t xml:space="preserve">Figure </w:t>
      </w:r>
      <w:r w:rsidR="004E2CFD">
        <w:t>4</w:t>
      </w:r>
    </w:p>
    <w:p w14:paraId="17651474" w14:textId="59FDC2A0" w:rsidR="005D6B94" w:rsidRDefault="00DF13CF" w:rsidP="00BD2C20">
      <w:r>
        <w:t xml:space="preserve">Finds are portable artefacts located </w:t>
      </w:r>
      <w:proofErr w:type="gramStart"/>
      <w:r>
        <w:t>in the course of</w:t>
      </w:r>
      <w:proofErr w:type="gramEnd"/>
      <w:r>
        <w:t xml:space="preserve"> an excavation.</w:t>
      </w:r>
      <w:r>
        <w:rPr>
          <w:rStyle w:val="FootnoteReference"/>
        </w:rPr>
        <w:footnoteReference w:id="36"/>
      </w:r>
      <w:r w:rsidR="00017D02">
        <w:t xml:space="preserve"> Those which are relevant to the intention of the excavation will be assigned a small finds number and recorded on an artefact record sheet as well as in the small finds register</w:t>
      </w:r>
      <w:r w:rsidR="00223025">
        <w:t>.</w:t>
      </w:r>
      <w:r w:rsidR="00223025">
        <w:rPr>
          <w:rStyle w:val="FootnoteReference"/>
        </w:rPr>
        <w:footnoteReference w:id="37"/>
      </w:r>
      <w:r w:rsidR="00065866">
        <w:t xml:space="preserve"> An example of an artefact record can be seen in figure</w:t>
      </w:r>
      <w:r w:rsidR="00872E75">
        <w:t xml:space="preserve"> 4</w:t>
      </w:r>
      <w:r w:rsidR="00BA4096">
        <w:t xml:space="preserve">. </w:t>
      </w:r>
      <w:r w:rsidR="002E2B08">
        <w:t xml:space="preserve">In this example are recorded all the details pertinent to small find 68 of the 2024 excavation at </w:t>
      </w:r>
      <w:proofErr w:type="spellStart"/>
      <w:r w:rsidR="002E2B08">
        <w:t>Llanllyr</w:t>
      </w:r>
      <w:proofErr w:type="spellEnd"/>
      <w:r w:rsidR="002E2B08">
        <w:t>.</w:t>
      </w:r>
      <w:r w:rsidR="00174108">
        <w:t xml:space="preserve"> The object type, material and a brief description are given</w:t>
      </w:r>
      <w:r w:rsidR="00F73050">
        <w:t xml:space="preserve"> so that the artefact can be matched to its record.</w:t>
      </w:r>
      <w:r w:rsidR="00F73050">
        <w:rPr>
          <w:rStyle w:val="FootnoteReference"/>
        </w:rPr>
        <w:footnoteReference w:id="38"/>
      </w:r>
      <w:r w:rsidR="006D0C45">
        <w:t xml:space="preserve"> </w:t>
      </w:r>
      <w:r w:rsidR="00C423E8">
        <w:t xml:space="preserve">Then the date and method of collection </w:t>
      </w:r>
      <w:r w:rsidR="004E5D59">
        <w:t>a</w:t>
      </w:r>
      <w:r w:rsidR="00C423E8">
        <w:t xml:space="preserve">re </w:t>
      </w:r>
      <w:r w:rsidR="004E5D59">
        <w:t>listed.</w:t>
      </w:r>
      <w:r w:rsidR="004E5D59">
        <w:rPr>
          <w:rStyle w:val="FootnoteReference"/>
        </w:rPr>
        <w:footnoteReference w:id="39"/>
      </w:r>
      <w:r w:rsidR="004E5D59">
        <w:t xml:space="preserve"> </w:t>
      </w:r>
      <w:r w:rsidR="0044537D">
        <w:t>The l</w:t>
      </w:r>
      <w:r w:rsidR="005D6B94">
        <w:t xml:space="preserve">ocation description is not only a good place to record measurements as they are </w:t>
      </w:r>
      <w:r w:rsidR="001936C9">
        <w:t xml:space="preserve">taken but can </w:t>
      </w:r>
      <w:r w:rsidR="001E3723">
        <w:t xml:space="preserve">also </w:t>
      </w:r>
      <w:r w:rsidR="001936C9">
        <w:t>be used to find the exact place that the find was found. Moreover,</w:t>
      </w:r>
      <w:r w:rsidR="00B45938">
        <w:t xml:space="preserve"> this </w:t>
      </w:r>
      <w:r w:rsidR="00B45938">
        <w:lastRenderedPageBreak/>
        <w:t xml:space="preserve">information can then be </w:t>
      </w:r>
      <w:proofErr w:type="gramStart"/>
      <w:r w:rsidR="00B45938">
        <w:t>referred back</w:t>
      </w:r>
      <w:proofErr w:type="gramEnd"/>
      <w:r w:rsidR="00B45938">
        <w:t xml:space="preserve"> to when plotting finds on a plan or checking all finds are present in bags.</w:t>
      </w:r>
      <w:r w:rsidR="00B45938">
        <w:rPr>
          <w:rStyle w:val="FootnoteReference"/>
        </w:rPr>
        <w:footnoteReference w:id="40"/>
      </w:r>
      <w:r w:rsidR="00987570">
        <w:t xml:space="preserve"> The length, width and sketch of the artefact are also there to help </w:t>
      </w:r>
      <w:r w:rsidR="00CB7BEA">
        <w:t>match up finds to records in case they are confused or mixed up.</w:t>
      </w:r>
      <w:r w:rsidR="00CB7BEA">
        <w:rPr>
          <w:rStyle w:val="FootnoteReference"/>
        </w:rPr>
        <w:footnoteReference w:id="41"/>
      </w:r>
      <w:r w:rsidR="00CB7BEA">
        <w:t xml:space="preserve"> The other boxes have been left blank as they are either not applicable to this find or </w:t>
      </w:r>
      <w:r w:rsidR="007F7777">
        <w:t>could not be filled in on site – an example being storage medium.</w:t>
      </w:r>
      <w:r w:rsidR="007F7777">
        <w:rPr>
          <w:rStyle w:val="FootnoteReference"/>
        </w:rPr>
        <w:footnoteReference w:id="42"/>
      </w:r>
    </w:p>
    <w:p w14:paraId="4BFE266F" w14:textId="0AC818C0" w:rsidR="008F1994" w:rsidRDefault="008F1994" w:rsidP="00BD2C20">
      <w:pPr>
        <w:rPr>
          <w:u w:val="single"/>
        </w:rPr>
      </w:pPr>
      <w:r>
        <w:rPr>
          <w:u w:val="single"/>
        </w:rPr>
        <w:t>Bagging Finds</w:t>
      </w:r>
    </w:p>
    <w:p w14:paraId="463190FA" w14:textId="1BBB84B4" w:rsidR="001E3723" w:rsidRPr="00B51EB0" w:rsidRDefault="000B1258" w:rsidP="00BD2C20">
      <w:r w:rsidRPr="00B51EB0">
        <w:rPr>
          <w:noProof/>
        </w:rPr>
        <w:drawing>
          <wp:inline distT="0" distB="0" distL="0" distR="0" wp14:anchorId="58A4C3C2" wp14:editId="254393A5">
            <wp:extent cx="2957819" cy="3513173"/>
            <wp:effectExtent l="7938" t="0" r="3492" b="3493"/>
            <wp:docPr id="244727663" name="Picture 3" descr="A piece of brown substance in a plastic ba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4727663" name="Picture 3" descr="A piece of brown substance in a plastic bag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042" t="10224" r="26892" b="7318"/>
                    <a:stretch/>
                  </pic:blipFill>
                  <pic:spPr bwMode="auto">
                    <a:xfrm rot="5400000">
                      <a:off x="0" y="0"/>
                      <a:ext cx="2969403" cy="35269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3E553A">
        <w:br/>
      </w:r>
      <w:r w:rsidR="00B51EB0" w:rsidRPr="00B51EB0">
        <w:t>Figure</w:t>
      </w:r>
      <w:r w:rsidR="004E2CFD">
        <w:t xml:space="preserve"> 5</w:t>
      </w:r>
    </w:p>
    <w:p w14:paraId="0ED8DB6B" w14:textId="2A882443" w:rsidR="005F4700" w:rsidRDefault="00CC62C9" w:rsidP="00BD2C20">
      <w:r>
        <w:t>All small finds, after they have been recorded</w:t>
      </w:r>
      <w:r w:rsidR="00D772D9">
        <w:t xml:space="preserve">, can then be </w:t>
      </w:r>
      <w:proofErr w:type="gramStart"/>
      <w:r w:rsidR="00D772D9">
        <w:t>lifted</w:t>
      </w:r>
      <w:proofErr w:type="gramEnd"/>
      <w:r w:rsidR="00D772D9">
        <w:t xml:space="preserve"> </w:t>
      </w:r>
      <w:r w:rsidR="00240B99">
        <w:t>and placed into bags.</w:t>
      </w:r>
      <w:r w:rsidR="0028049D">
        <w:rPr>
          <w:rStyle w:val="FootnoteReference"/>
        </w:rPr>
        <w:footnoteReference w:id="43"/>
      </w:r>
      <w:r w:rsidR="00240B99">
        <w:t xml:space="preserve"> </w:t>
      </w:r>
      <w:r w:rsidR="003D35EA">
        <w:t xml:space="preserve">Small plastic bags like the one in figure </w:t>
      </w:r>
      <w:r w:rsidR="00872E75">
        <w:t xml:space="preserve">5 </w:t>
      </w:r>
      <w:r w:rsidR="00886754">
        <w:t xml:space="preserve">are used and </w:t>
      </w:r>
      <w:r w:rsidR="002F2DC6">
        <w:t>identifying information is written on them. Specifically, the site code</w:t>
      </w:r>
      <w:r w:rsidR="0043796C">
        <w:t>;</w:t>
      </w:r>
      <w:r w:rsidR="002F2DC6">
        <w:t xml:space="preserve"> date </w:t>
      </w:r>
      <w:r w:rsidR="0043796C">
        <w:t>the artefact was found; trench and</w:t>
      </w:r>
      <w:r w:rsidR="001B2B3F">
        <w:t xml:space="preserve"> </w:t>
      </w:r>
      <w:r w:rsidR="00184AD7">
        <w:t>context</w:t>
      </w:r>
      <w:r w:rsidR="001B2B3F">
        <w:t xml:space="preserve"> numbers; and the small finds number itself.</w:t>
      </w:r>
      <w:r w:rsidR="0028049D">
        <w:rPr>
          <w:rStyle w:val="FootnoteReference"/>
        </w:rPr>
        <w:footnoteReference w:id="44"/>
      </w:r>
      <w:r w:rsidR="007F7777">
        <w:t xml:space="preserve"> </w:t>
      </w:r>
      <w:r w:rsidR="005A6DAD">
        <w:t xml:space="preserve">This information allows archaeologists to catalogue the find correctly </w:t>
      </w:r>
      <w:r w:rsidR="001E693B">
        <w:t>to the site, trench and context preventing confusion or loss if an artefact is revisited years after a site has been excavated.</w:t>
      </w:r>
    </w:p>
    <w:p w14:paraId="32E02AFA" w14:textId="77777777" w:rsidR="00C22115" w:rsidRDefault="00C22115" w:rsidP="00BD2C20"/>
    <w:p w14:paraId="030D59D4" w14:textId="77777777" w:rsidR="00B02447" w:rsidRPr="00BD0F1B" w:rsidRDefault="00B02447" w:rsidP="00B02447">
      <w:pPr>
        <w:jc w:val="center"/>
        <w:rPr>
          <w:rFonts w:cs="Arial"/>
          <w:b/>
          <w:sz w:val="36"/>
          <w:u w:val="single"/>
          <w:lang w:val="en-US"/>
        </w:rPr>
      </w:pPr>
      <w:r w:rsidRPr="00BD0F1B">
        <w:rPr>
          <w:rFonts w:cs="Arial"/>
          <w:b/>
          <w:sz w:val="36"/>
          <w:u w:val="single"/>
          <w:lang w:val="en-US"/>
        </w:rPr>
        <w:t>Appendices</w:t>
      </w:r>
    </w:p>
    <w:p w14:paraId="323BDA15" w14:textId="77777777" w:rsidR="00B02447" w:rsidRPr="00BD0F1B" w:rsidRDefault="00B02447" w:rsidP="00B02447">
      <w:pPr>
        <w:jc w:val="center"/>
        <w:rPr>
          <w:rFonts w:cs="Arial"/>
          <w:b/>
          <w:sz w:val="32"/>
          <w:u w:val="single"/>
          <w:lang w:val="en-US"/>
        </w:rPr>
      </w:pPr>
      <w:r w:rsidRPr="00BD0F1B">
        <w:rPr>
          <w:rFonts w:cs="Arial"/>
          <w:b/>
          <w:sz w:val="32"/>
          <w:u w:val="single"/>
          <w:lang w:val="en-US"/>
        </w:rPr>
        <w:t>Illustrations</w:t>
      </w:r>
    </w:p>
    <w:p w14:paraId="3D2A16B9" w14:textId="77777777" w:rsidR="00B02447" w:rsidRPr="007C4E89" w:rsidRDefault="00B02447" w:rsidP="00B02447">
      <w:pPr>
        <w:pStyle w:val="ListParagraph"/>
        <w:numPr>
          <w:ilvl w:val="0"/>
          <w:numId w:val="2"/>
        </w:numPr>
        <w:spacing w:after="200" w:line="276" w:lineRule="auto"/>
        <w:rPr>
          <w:rFonts w:cs="Arial"/>
          <w:b/>
          <w:sz w:val="32"/>
          <w:szCs w:val="22"/>
          <w:u w:val="single"/>
          <w:lang w:val="en-US"/>
        </w:rPr>
      </w:pPr>
      <w:r>
        <w:rPr>
          <w:rFonts w:cs="Arial"/>
          <w:bCs/>
          <w:szCs w:val="18"/>
          <w:lang w:val="en-US"/>
        </w:rPr>
        <w:t xml:space="preserve">Site Map of </w:t>
      </w:r>
      <w:proofErr w:type="spellStart"/>
      <w:r>
        <w:rPr>
          <w:rFonts w:cs="Arial"/>
          <w:bCs/>
          <w:szCs w:val="18"/>
          <w:lang w:val="en-US"/>
        </w:rPr>
        <w:t>Llanllyr</w:t>
      </w:r>
      <w:proofErr w:type="spellEnd"/>
      <w:r>
        <w:rPr>
          <w:rFonts w:cs="Arial"/>
          <w:bCs/>
          <w:szCs w:val="18"/>
          <w:lang w:val="en-US"/>
        </w:rPr>
        <w:t>, Martin Bates</w:t>
      </w:r>
    </w:p>
    <w:p w14:paraId="12B67F71" w14:textId="01DA4425" w:rsidR="00B02447" w:rsidRPr="00C5007C" w:rsidRDefault="002646F1" w:rsidP="00B02447">
      <w:pPr>
        <w:pStyle w:val="ListParagraph"/>
        <w:numPr>
          <w:ilvl w:val="0"/>
          <w:numId w:val="2"/>
        </w:numPr>
        <w:spacing w:after="200" w:line="276" w:lineRule="auto"/>
        <w:rPr>
          <w:rFonts w:cs="Arial"/>
          <w:b/>
          <w:sz w:val="32"/>
          <w:szCs w:val="22"/>
          <w:u w:val="single"/>
          <w:lang w:val="en-US"/>
        </w:rPr>
      </w:pPr>
      <w:r>
        <w:rPr>
          <w:rFonts w:cs="Arial"/>
          <w:bCs/>
          <w:szCs w:val="18"/>
          <w:lang w:val="en-US"/>
        </w:rPr>
        <w:lastRenderedPageBreak/>
        <w:t>OS Explorer</w:t>
      </w:r>
      <w:r w:rsidR="00CB547A">
        <w:rPr>
          <w:rFonts w:cs="Arial"/>
          <w:bCs/>
          <w:szCs w:val="18"/>
          <w:lang w:val="en-US"/>
        </w:rPr>
        <w:t xml:space="preserve"> 199 Lampeter/Llanbedr Pont Steffan, </w:t>
      </w:r>
      <w:proofErr w:type="spellStart"/>
      <w:r w:rsidR="00CB547A">
        <w:rPr>
          <w:rFonts w:cs="Arial"/>
          <w:bCs/>
          <w:szCs w:val="18"/>
          <w:lang w:val="en-US"/>
        </w:rPr>
        <w:t>Tregaron</w:t>
      </w:r>
      <w:proofErr w:type="spellEnd"/>
      <w:r w:rsidR="00CB547A">
        <w:rPr>
          <w:rFonts w:cs="Arial"/>
          <w:bCs/>
          <w:szCs w:val="18"/>
          <w:lang w:val="en-US"/>
        </w:rPr>
        <w:t xml:space="preserve"> &amp; Llan-non</w:t>
      </w:r>
      <w:r w:rsidR="00B02447">
        <w:rPr>
          <w:rFonts w:cs="Arial"/>
          <w:bCs/>
          <w:szCs w:val="18"/>
          <w:lang w:val="en-US"/>
        </w:rPr>
        <w:t>,</w:t>
      </w:r>
      <w:r w:rsidR="00C44FFF">
        <w:rPr>
          <w:rFonts w:cs="Arial"/>
          <w:bCs/>
          <w:szCs w:val="18"/>
          <w:lang w:val="en-US"/>
        </w:rPr>
        <w:t xml:space="preserve"> (Frome: Ordinance Survey, 2015),</w:t>
      </w:r>
      <w:r w:rsidR="00B02447">
        <w:rPr>
          <w:rFonts w:cs="Arial"/>
          <w:bCs/>
          <w:szCs w:val="18"/>
          <w:lang w:val="en-US"/>
        </w:rPr>
        <w:t xml:space="preserve"> Photograph courtesy Isaac Law.</w:t>
      </w:r>
    </w:p>
    <w:p w14:paraId="7E43C96B" w14:textId="77777777" w:rsidR="00B02447" w:rsidRPr="00656342" w:rsidRDefault="00B02447" w:rsidP="00B02447">
      <w:pPr>
        <w:pStyle w:val="ListParagraph"/>
        <w:numPr>
          <w:ilvl w:val="0"/>
          <w:numId w:val="2"/>
        </w:numPr>
        <w:spacing w:after="200" w:line="276" w:lineRule="auto"/>
        <w:rPr>
          <w:rFonts w:cs="Arial"/>
          <w:b/>
          <w:sz w:val="32"/>
          <w:szCs w:val="22"/>
          <w:u w:val="single"/>
          <w:lang w:val="en-US"/>
        </w:rPr>
      </w:pPr>
      <w:r>
        <w:rPr>
          <w:rFonts w:cs="Arial"/>
          <w:bCs/>
          <w:szCs w:val="18"/>
          <w:lang w:val="en-US"/>
        </w:rPr>
        <w:t xml:space="preserve">Plan of Trench 10 North from </w:t>
      </w:r>
      <w:proofErr w:type="spellStart"/>
      <w:r>
        <w:rPr>
          <w:rFonts w:cs="Arial"/>
          <w:bCs/>
          <w:szCs w:val="18"/>
          <w:lang w:val="en-US"/>
        </w:rPr>
        <w:t>Llanllyr</w:t>
      </w:r>
      <w:proofErr w:type="spellEnd"/>
      <w:r>
        <w:rPr>
          <w:rFonts w:cs="Arial"/>
          <w:bCs/>
          <w:szCs w:val="18"/>
          <w:lang w:val="en-US"/>
        </w:rPr>
        <w:t xml:space="preserve"> 2024, Photograph courtesy Isaac Law.</w:t>
      </w:r>
    </w:p>
    <w:p w14:paraId="099316FE" w14:textId="77777777" w:rsidR="00B02447" w:rsidRPr="00673C7D" w:rsidRDefault="00B02447" w:rsidP="00B02447">
      <w:pPr>
        <w:pStyle w:val="ListParagraph"/>
        <w:numPr>
          <w:ilvl w:val="0"/>
          <w:numId w:val="2"/>
        </w:numPr>
        <w:spacing w:after="200" w:line="276" w:lineRule="auto"/>
        <w:rPr>
          <w:rFonts w:cs="Arial"/>
          <w:b/>
          <w:sz w:val="32"/>
          <w:szCs w:val="22"/>
          <w:u w:val="single"/>
          <w:lang w:val="en-US"/>
        </w:rPr>
      </w:pPr>
      <w:r>
        <w:rPr>
          <w:rFonts w:cs="Arial"/>
          <w:bCs/>
          <w:szCs w:val="18"/>
          <w:lang w:val="en-US"/>
        </w:rPr>
        <w:t>Artefact record sheet for SF 68, Photograph courtesy Isaac Law.</w:t>
      </w:r>
    </w:p>
    <w:p w14:paraId="6AE5D155" w14:textId="77777777" w:rsidR="00B02447" w:rsidRPr="00347652" w:rsidRDefault="00B02447" w:rsidP="00B02447">
      <w:pPr>
        <w:pStyle w:val="ListParagraph"/>
        <w:numPr>
          <w:ilvl w:val="0"/>
          <w:numId w:val="2"/>
        </w:numPr>
        <w:spacing w:after="200" w:line="276" w:lineRule="auto"/>
        <w:rPr>
          <w:rFonts w:cs="Arial"/>
          <w:b/>
          <w:sz w:val="32"/>
          <w:u w:val="single"/>
          <w:lang w:val="en-US"/>
        </w:rPr>
      </w:pPr>
      <w:r>
        <w:rPr>
          <w:rFonts w:cs="Arial"/>
          <w:bCs/>
          <w:szCs w:val="18"/>
          <w:lang w:val="en-US"/>
        </w:rPr>
        <w:t>SF 93 in accompanying bag, Photograph courtesy Isaac Law.</w:t>
      </w:r>
    </w:p>
    <w:p w14:paraId="0D9C9987" w14:textId="77777777" w:rsidR="00B02447" w:rsidRPr="00EA3F5E" w:rsidRDefault="00B02447" w:rsidP="00B02447">
      <w:pPr>
        <w:pStyle w:val="ListParagraph"/>
        <w:rPr>
          <w:rFonts w:cs="Arial"/>
          <w:b/>
          <w:sz w:val="32"/>
          <w:u w:val="single"/>
          <w:lang w:val="en-US"/>
        </w:rPr>
      </w:pPr>
    </w:p>
    <w:p w14:paraId="4BBA7608" w14:textId="77777777" w:rsidR="00B02447" w:rsidRPr="00EA3F5E" w:rsidRDefault="00B02447" w:rsidP="00B02447">
      <w:pPr>
        <w:pStyle w:val="ListParagraph"/>
        <w:jc w:val="center"/>
        <w:rPr>
          <w:rFonts w:cs="Arial"/>
          <w:b/>
          <w:sz w:val="32"/>
          <w:u w:val="single"/>
          <w:lang w:val="en-US"/>
        </w:rPr>
      </w:pPr>
      <w:r w:rsidRPr="00EA3F5E">
        <w:rPr>
          <w:rFonts w:cs="Arial"/>
          <w:b/>
          <w:sz w:val="32"/>
          <w:u w:val="single"/>
          <w:lang w:val="en-US"/>
        </w:rPr>
        <w:t>Bibliography</w:t>
      </w:r>
    </w:p>
    <w:p w14:paraId="4B4EEE44" w14:textId="77777777" w:rsidR="00B02447" w:rsidRDefault="00B02447" w:rsidP="00B02447">
      <w:pPr>
        <w:rPr>
          <w:rFonts w:cs="Arial"/>
          <w:lang w:val="en-US"/>
        </w:rPr>
      </w:pPr>
      <w:r>
        <w:rPr>
          <w:rFonts w:cs="Arial"/>
          <w:lang w:val="en-US"/>
        </w:rPr>
        <w:t xml:space="preserve">Adkins, R., L. Adkins and V. Leitch, </w:t>
      </w:r>
      <w:r>
        <w:rPr>
          <w:rFonts w:cs="Arial"/>
          <w:i/>
          <w:iCs/>
          <w:lang w:val="en-US"/>
        </w:rPr>
        <w:t>The Handbook of British Archaeology</w:t>
      </w:r>
      <w:r>
        <w:rPr>
          <w:rFonts w:cs="Arial"/>
          <w:lang w:val="en-US"/>
        </w:rPr>
        <w:t xml:space="preserve">, revised </w:t>
      </w:r>
      <w:proofErr w:type="spellStart"/>
      <w:r>
        <w:rPr>
          <w:rFonts w:cs="Arial"/>
          <w:lang w:val="en-US"/>
        </w:rPr>
        <w:t>edn</w:t>
      </w:r>
      <w:proofErr w:type="spellEnd"/>
      <w:r>
        <w:rPr>
          <w:rFonts w:cs="Arial"/>
          <w:lang w:val="en-US"/>
        </w:rPr>
        <w:t>., (London: Constable, 2008).</w:t>
      </w:r>
    </w:p>
    <w:p w14:paraId="2E178CFB" w14:textId="77777777" w:rsidR="00B02447" w:rsidRDefault="00B02447" w:rsidP="00B02447">
      <w:pPr>
        <w:rPr>
          <w:rFonts w:cs="Arial"/>
          <w:lang w:val="en-US"/>
        </w:rPr>
      </w:pPr>
      <w:r>
        <w:rPr>
          <w:rFonts w:cs="Arial"/>
          <w:lang w:val="en-US"/>
        </w:rPr>
        <w:t xml:space="preserve">Catling, C., </w:t>
      </w:r>
      <w:r>
        <w:rPr>
          <w:rFonts w:cs="Arial"/>
          <w:i/>
          <w:iCs/>
          <w:lang w:val="en-US"/>
        </w:rPr>
        <w:t>Archaeology Step-by-step: a Practical Guide to Uncovering the Past</w:t>
      </w:r>
      <w:r>
        <w:rPr>
          <w:rFonts w:cs="Arial"/>
          <w:lang w:val="en-US"/>
        </w:rPr>
        <w:t>, (London: Hermes House, 2009).</w:t>
      </w:r>
    </w:p>
    <w:p w14:paraId="588850B3" w14:textId="77777777" w:rsidR="00B02447" w:rsidRPr="00EB7FAD" w:rsidRDefault="00B02447" w:rsidP="00B02447">
      <w:pPr>
        <w:rPr>
          <w:rFonts w:cs="Arial"/>
          <w:lang w:val="en-US"/>
        </w:rPr>
      </w:pPr>
      <w:r>
        <w:rPr>
          <w:rFonts w:cs="Arial"/>
          <w:lang w:val="en-US"/>
        </w:rPr>
        <w:t xml:space="preserve">Cobb, H., K. Greene and T. Moore, </w:t>
      </w:r>
      <w:r>
        <w:rPr>
          <w:rFonts w:cs="Arial"/>
          <w:i/>
          <w:iCs/>
          <w:lang w:val="en-US"/>
        </w:rPr>
        <w:t>Archaeology: an introduction,</w:t>
      </w:r>
      <w:r>
        <w:rPr>
          <w:rFonts w:cs="Arial"/>
          <w:lang w:val="en-US"/>
        </w:rPr>
        <w:t xml:space="preserve"> 6</w:t>
      </w:r>
      <w:r w:rsidRPr="00EB7FAD">
        <w:rPr>
          <w:rFonts w:cs="Arial"/>
          <w:vertAlign w:val="superscript"/>
          <w:lang w:val="en-US"/>
        </w:rPr>
        <w:t>th</w:t>
      </w:r>
      <w:r>
        <w:rPr>
          <w:rFonts w:cs="Arial"/>
          <w:lang w:val="en-US"/>
        </w:rPr>
        <w:t xml:space="preserve"> </w:t>
      </w:r>
      <w:proofErr w:type="spellStart"/>
      <w:r>
        <w:rPr>
          <w:rFonts w:cs="Arial"/>
          <w:lang w:val="en-US"/>
        </w:rPr>
        <w:t>edn</w:t>
      </w:r>
      <w:proofErr w:type="spellEnd"/>
      <w:r>
        <w:rPr>
          <w:rFonts w:cs="Arial"/>
          <w:lang w:val="en-US"/>
        </w:rPr>
        <w:t>., (London: Routledge, 2023).</w:t>
      </w:r>
    </w:p>
    <w:p w14:paraId="3870502D" w14:textId="567A9B31" w:rsidR="00C22115" w:rsidRPr="00B02447" w:rsidRDefault="00B02447" w:rsidP="00BD2C20">
      <w:pPr>
        <w:rPr>
          <w:rFonts w:cs="Arial"/>
          <w:lang w:val="en-US"/>
        </w:rPr>
      </w:pPr>
      <w:r>
        <w:rPr>
          <w:rFonts w:cs="Arial"/>
          <w:lang w:val="en-US"/>
        </w:rPr>
        <w:t xml:space="preserve">Hunter, J. and I. Ralston, eds., </w:t>
      </w:r>
      <w:r>
        <w:rPr>
          <w:rFonts w:cs="Arial"/>
          <w:i/>
          <w:iCs/>
          <w:lang w:val="en-US"/>
        </w:rPr>
        <w:t xml:space="preserve">The Archaeology of Britain: an introduction from the upper </w:t>
      </w:r>
      <w:proofErr w:type="spellStart"/>
      <w:r>
        <w:rPr>
          <w:rFonts w:cs="Arial"/>
          <w:i/>
          <w:iCs/>
          <w:lang w:val="en-US"/>
        </w:rPr>
        <w:t>palaeolithic</w:t>
      </w:r>
      <w:proofErr w:type="spellEnd"/>
      <w:r>
        <w:rPr>
          <w:rFonts w:cs="Arial"/>
          <w:i/>
          <w:iCs/>
          <w:lang w:val="en-US"/>
        </w:rPr>
        <w:t xml:space="preserve"> to the industrial revolution</w:t>
      </w:r>
      <w:r>
        <w:rPr>
          <w:rFonts w:cs="Arial"/>
          <w:lang w:val="en-US"/>
        </w:rPr>
        <w:t>, (London: Routledge, 2003).</w:t>
      </w:r>
    </w:p>
    <w:sectPr w:rsidR="00C22115" w:rsidRPr="00B024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0005547" w14:textId="77777777" w:rsidR="00446CDA" w:rsidRDefault="00446CDA" w:rsidP="001D223A">
      <w:pPr>
        <w:spacing w:after="0" w:line="240" w:lineRule="auto"/>
      </w:pPr>
      <w:r>
        <w:separator/>
      </w:r>
    </w:p>
  </w:endnote>
  <w:endnote w:type="continuationSeparator" w:id="0">
    <w:p w14:paraId="7B5026B9" w14:textId="77777777" w:rsidR="00446CDA" w:rsidRDefault="00446CDA" w:rsidP="001D22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AF8FA58" w14:textId="77777777" w:rsidR="00446CDA" w:rsidRDefault="00446CDA" w:rsidP="001D223A">
      <w:pPr>
        <w:spacing w:after="0" w:line="240" w:lineRule="auto"/>
      </w:pPr>
      <w:r>
        <w:separator/>
      </w:r>
    </w:p>
  </w:footnote>
  <w:footnote w:type="continuationSeparator" w:id="0">
    <w:p w14:paraId="62BB0040" w14:textId="77777777" w:rsidR="00446CDA" w:rsidRDefault="00446CDA" w:rsidP="001D223A">
      <w:pPr>
        <w:spacing w:after="0" w:line="240" w:lineRule="auto"/>
      </w:pPr>
      <w:r>
        <w:continuationSeparator/>
      </w:r>
    </w:p>
  </w:footnote>
  <w:footnote w:id="1">
    <w:p w14:paraId="76C039E3" w14:textId="03668DEC" w:rsidR="001D223A" w:rsidRPr="000F7B16" w:rsidRDefault="001D223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0F7B16" w:rsidRPr="000F7B16">
        <w:rPr>
          <w:lang w:val="en-US"/>
        </w:rPr>
        <w:t xml:space="preserve">J. </w:t>
      </w:r>
      <w:r w:rsidR="00346346">
        <w:rPr>
          <w:lang w:val="en-US"/>
        </w:rPr>
        <w:t xml:space="preserve">Hunter </w:t>
      </w:r>
      <w:r w:rsidR="000F7B16" w:rsidRPr="000F7B16">
        <w:rPr>
          <w:lang w:val="en-US"/>
        </w:rPr>
        <w:t xml:space="preserve">and I. Ralston, eds., </w:t>
      </w:r>
      <w:r w:rsidR="000F7B16" w:rsidRPr="000F7B16">
        <w:rPr>
          <w:i/>
          <w:iCs/>
          <w:lang w:val="en-US"/>
        </w:rPr>
        <w:t xml:space="preserve">The Archaeology of Britain: an introduction from the upper </w:t>
      </w:r>
      <w:proofErr w:type="spellStart"/>
      <w:r w:rsidR="000F7B16" w:rsidRPr="000F7B16">
        <w:rPr>
          <w:i/>
          <w:iCs/>
          <w:lang w:val="en-US"/>
        </w:rPr>
        <w:t>palaeolithic</w:t>
      </w:r>
      <w:proofErr w:type="spellEnd"/>
      <w:r w:rsidR="000F7B16" w:rsidRPr="000F7B16">
        <w:rPr>
          <w:i/>
          <w:iCs/>
          <w:lang w:val="en-US"/>
        </w:rPr>
        <w:t xml:space="preserve"> to the industrial revolution</w:t>
      </w:r>
      <w:r w:rsidR="000F7B16" w:rsidRPr="000F7B16">
        <w:rPr>
          <w:lang w:val="en-US"/>
        </w:rPr>
        <w:t>, (London: Routledge, 2003)</w:t>
      </w:r>
      <w:r w:rsidR="000F7B16">
        <w:rPr>
          <w:lang w:val="en-US"/>
        </w:rPr>
        <w:t>, pp. 102-103.</w:t>
      </w:r>
    </w:p>
  </w:footnote>
  <w:footnote w:id="2">
    <w:p w14:paraId="39B074ED" w14:textId="38A2C202" w:rsidR="00BC1798" w:rsidRDefault="00BC1798">
      <w:pPr>
        <w:pStyle w:val="FootnoteText"/>
      </w:pPr>
      <w:r>
        <w:rPr>
          <w:rStyle w:val="FootnoteReference"/>
        </w:rPr>
        <w:footnoteRef/>
      </w:r>
      <w:r>
        <w:t xml:space="preserve"> Pers. Comm. Martin Bates</w:t>
      </w:r>
    </w:p>
  </w:footnote>
  <w:footnote w:id="3">
    <w:p w14:paraId="2259FC73" w14:textId="53B454DE" w:rsidR="00F97209" w:rsidRDefault="00F97209">
      <w:pPr>
        <w:pStyle w:val="FootnoteText"/>
      </w:pPr>
      <w:r>
        <w:rPr>
          <w:rStyle w:val="FootnoteReference"/>
        </w:rPr>
        <w:footnoteRef/>
      </w:r>
      <w:r>
        <w:t xml:space="preserve"> Pers. Comm. David </w:t>
      </w:r>
      <w:proofErr w:type="spellStart"/>
      <w:r>
        <w:t>Hinsull</w:t>
      </w:r>
      <w:proofErr w:type="spellEnd"/>
    </w:p>
  </w:footnote>
  <w:footnote w:id="4">
    <w:p w14:paraId="6F290665" w14:textId="701661E8" w:rsidR="00F82F56" w:rsidRDefault="00F82F5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Pers. Comm. Martin Bates</w:t>
      </w:r>
    </w:p>
  </w:footnote>
  <w:footnote w:id="5">
    <w:p w14:paraId="4F4F94A3" w14:textId="126A4FD8" w:rsidR="009D415C" w:rsidRDefault="009D415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00C99" w:rsidRPr="009B0B9A">
        <w:rPr>
          <w:lang w:val="en-US"/>
        </w:rPr>
        <w:t xml:space="preserve">R. </w:t>
      </w:r>
      <w:r w:rsidR="00500C99">
        <w:rPr>
          <w:lang w:val="en-US"/>
        </w:rPr>
        <w:t xml:space="preserve">Adkins, </w:t>
      </w:r>
      <w:r w:rsidR="00500C99" w:rsidRPr="009B0B9A">
        <w:rPr>
          <w:lang w:val="en-US"/>
        </w:rPr>
        <w:t xml:space="preserve">L. Adkins and V. Leitch, </w:t>
      </w:r>
      <w:r w:rsidR="00500C99" w:rsidRPr="009B0B9A">
        <w:rPr>
          <w:i/>
          <w:iCs/>
          <w:lang w:val="en-US"/>
        </w:rPr>
        <w:t>The Handbook of British Archaeology</w:t>
      </w:r>
      <w:r w:rsidR="00500C99" w:rsidRPr="009B0B9A">
        <w:rPr>
          <w:lang w:val="en-US"/>
        </w:rPr>
        <w:t xml:space="preserve">, revised </w:t>
      </w:r>
      <w:proofErr w:type="spellStart"/>
      <w:r w:rsidR="00500C99" w:rsidRPr="009B0B9A">
        <w:rPr>
          <w:lang w:val="en-US"/>
        </w:rPr>
        <w:t>edn</w:t>
      </w:r>
      <w:proofErr w:type="spellEnd"/>
      <w:r w:rsidR="00500C99" w:rsidRPr="009B0B9A">
        <w:rPr>
          <w:lang w:val="en-US"/>
        </w:rPr>
        <w:t>., (London: Constable, 2008)</w:t>
      </w:r>
      <w:r w:rsidR="00500C99">
        <w:rPr>
          <w:lang w:val="en-US"/>
        </w:rPr>
        <w:t>, p. 36</w:t>
      </w:r>
      <w:r w:rsidR="00500C99">
        <w:rPr>
          <w:lang w:val="en-US"/>
        </w:rPr>
        <w:t>5</w:t>
      </w:r>
      <w:r w:rsidR="00500C99">
        <w:rPr>
          <w:lang w:val="en-US"/>
        </w:rPr>
        <w:t>.</w:t>
      </w:r>
    </w:p>
  </w:footnote>
  <w:footnote w:id="6">
    <w:p w14:paraId="4DAF830B" w14:textId="37ACB00F" w:rsidR="00853ABF" w:rsidRDefault="00853AB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00C99">
        <w:t xml:space="preserve">Adkins, Adkins and Leitch, </w:t>
      </w:r>
      <w:r w:rsidR="00500C99">
        <w:rPr>
          <w:i/>
          <w:iCs/>
        </w:rPr>
        <w:t>The Handbook of British Archaeology</w:t>
      </w:r>
      <w:r w:rsidR="00500C99">
        <w:t>, p. 36</w:t>
      </w:r>
      <w:r w:rsidR="00500C99">
        <w:t>5</w:t>
      </w:r>
      <w:r w:rsidR="00500C99">
        <w:t>.</w:t>
      </w:r>
    </w:p>
  </w:footnote>
  <w:footnote w:id="7">
    <w:p w14:paraId="67F54513" w14:textId="40D767A5" w:rsidR="00683D69" w:rsidRDefault="00683D69">
      <w:pPr>
        <w:pStyle w:val="FootnoteText"/>
      </w:pPr>
      <w:r>
        <w:rPr>
          <w:rStyle w:val="FootnoteReference"/>
        </w:rPr>
        <w:footnoteRef/>
      </w:r>
      <w:r>
        <w:t xml:space="preserve"> Pers. Comm. Martin Bates</w:t>
      </w:r>
    </w:p>
  </w:footnote>
  <w:footnote w:id="8">
    <w:p w14:paraId="5951E5D9" w14:textId="647FB011" w:rsidR="00973070" w:rsidRDefault="0097307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Adkins, Adkins and Leitch, </w:t>
      </w:r>
      <w:r>
        <w:rPr>
          <w:i/>
          <w:iCs/>
        </w:rPr>
        <w:t>The Handbook of British Archaeology</w:t>
      </w:r>
      <w:r>
        <w:t>, p. 36</w:t>
      </w:r>
      <w:r>
        <w:t>4.</w:t>
      </w:r>
    </w:p>
  </w:footnote>
  <w:footnote w:id="9">
    <w:p w14:paraId="36B2EED2" w14:textId="30258A69" w:rsidR="007948FB" w:rsidRDefault="007948F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Adkins, Adkins and Leitch, </w:t>
      </w:r>
      <w:r>
        <w:rPr>
          <w:i/>
          <w:iCs/>
        </w:rPr>
        <w:t>The Handbook of British Archaeology</w:t>
      </w:r>
      <w:r>
        <w:t>, p. 36</w:t>
      </w:r>
      <w:r>
        <w:t>4.</w:t>
      </w:r>
    </w:p>
  </w:footnote>
  <w:footnote w:id="10">
    <w:p w14:paraId="04B59F24" w14:textId="72704009" w:rsidR="00E74169" w:rsidRPr="0099571E" w:rsidRDefault="00E7416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99571E" w:rsidRPr="0099571E">
        <w:rPr>
          <w:lang w:val="en-US"/>
        </w:rPr>
        <w:t>H.</w:t>
      </w:r>
      <w:r w:rsidR="0099571E">
        <w:rPr>
          <w:lang w:val="en-US"/>
        </w:rPr>
        <w:t xml:space="preserve"> Cobb</w:t>
      </w:r>
      <w:r w:rsidR="0099571E" w:rsidRPr="0099571E">
        <w:rPr>
          <w:lang w:val="en-US"/>
        </w:rPr>
        <w:t xml:space="preserve">, K. Greene and T. Moore, </w:t>
      </w:r>
      <w:r w:rsidR="0099571E" w:rsidRPr="0099571E">
        <w:rPr>
          <w:i/>
          <w:iCs/>
          <w:lang w:val="en-US"/>
        </w:rPr>
        <w:t>Archaeology: an introduction,</w:t>
      </w:r>
      <w:r w:rsidR="0099571E" w:rsidRPr="0099571E">
        <w:rPr>
          <w:lang w:val="en-US"/>
        </w:rPr>
        <w:t xml:space="preserve"> 6</w:t>
      </w:r>
      <w:r w:rsidR="0099571E" w:rsidRPr="0099571E">
        <w:rPr>
          <w:vertAlign w:val="superscript"/>
          <w:lang w:val="en-US"/>
        </w:rPr>
        <w:t>th</w:t>
      </w:r>
      <w:r w:rsidR="0099571E" w:rsidRPr="0099571E">
        <w:rPr>
          <w:lang w:val="en-US"/>
        </w:rPr>
        <w:t xml:space="preserve"> </w:t>
      </w:r>
      <w:proofErr w:type="spellStart"/>
      <w:r w:rsidR="0099571E" w:rsidRPr="0099571E">
        <w:rPr>
          <w:lang w:val="en-US"/>
        </w:rPr>
        <w:t>edn</w:t>
      </w:r>
      <w:proofErr w:type="spellEnd"/>
      <w:r w:rsidR="0099571E" w:rsidRPr="0099571E">
        <w:rPr>
          <w:lang w:val="en-US"/>
        </w:rPr>
        <w:t>., (London: Routledge, 2023)</w:t>
      </w:r>
      <w:r w:rsidR="0099571E">
        <w:rPr>
          <w:lang w:val="en-US"/>
        </w:rPr>
        <w:t>,</w:t>
      </w:r>
      <w:r w:rsidR="008E4152">
        <w:t xml:space="preserve"> p. 62.</w:t>
      </w:r>
    </w:p>
  </w:footnote>
  <w:footnote w:id="11">
    <w:p w14:paraId="3ACE596D" w14:textId="34FE8034" w:rsidR="00860FC4" w:rsidRDefault="00860FC4">
      <w:pPr>
        <w:pStyle w:val="FootnoteText"/>
      </w:pPr>
      <w:r>
        <w:rPr>
          <w:rStyle w:val="FootnoteReference"/>
        </w:rPr>
        <w:footnoteRef/>
      </w:r>
      <w:r>
        <w:t xml:space="preserve"> Pers. Comm. </w:t>
      </w:r>
      <w:r w:rsidR="002F5185">
        <w:t>Martin Bates</w:t>
      </w:r>
      <w:r w:rsidR="00B53B82">
        <w:t>.</w:t>
      </w:r>
    </w:p>
  </w:footnote>
  <w:footnote w:id="12">
    <w:p w14:paraId="6285921B" w14:textId="071258F4" w:rsidR="002F2A96" w:rsidRDefault="002F2A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0148B">
        <w:t>Pers. Comm. Martin Bates.</w:t>
      </w:r>
    </w:p>
  </w:footnote>
  <w:footnote w:id="13">
    <w:p w14:paraId="343B3611" w14:textId="2E7FB92A" w:rsidR="002E7B1B" w:rsidRDefault="002E7B1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3516E">
        <w:t>Pers. Comm. Quentin Drew.</w:t>
      </w:r>
    </w:p>
  </w:footnote>
  <w:footnote w:id="14">
    <w:p w14:paraId="7DA7EB9B" w14:textId="61A51855" w:rsidR="001D2F36" w:rsidRDefault="001D2F3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53B82">
        <w:t>Trench 8 laid out and excavated by author.</w:t>
      </w:r>
    </w:p>
  </w:footnote>
  <w:footnote w:id="15">
    <w:p w14:paraId="732677EA" w14:textId="29BF8FDB" w:rsidR="001D2F36" w:rsidRDefault="001D2F36">
      <w:pPr>
        <w:pStyle w:val="FootnoteText"/>
      </w:pPr>
      <w:r>
        <w:rPr>
          <w:rStyle w:val="FootnoteReference"/>
        </w:rPr>
        <w:footnoteRef/>
      </w:r>
      <w:r>
        <w:t xml:space="preserve"> Pers. Comm. David </w:t>
      </w:r>
      <w:proofErr w:type="spellStart"/>
      <w:r>
        <w:t>Hinsull</w:t>
      </w:r>
      <w:proofErr w:type="spellEnd"/>
      <w:r w:rsidR="00B53B82">
        <w:t>.</w:t>
      </w:r>
    </w:p>
  </w:footnote>
  <w:footnote w:id="16">
    <w:p w14:paraId="375622F6" w14:textId="34BFDDDF" w:rsidR="000C5591" w:rsidRDefault="000C55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70BC0">
        <w:t>Pers. Comm. Ros Coard and Quentin Drew.</w:t>
      </w:r>
    </w:p>
  </w:footnote>
  <w:footnote w:id="17">
    <w:p w14:paraId="283759F6" w14:textId="4C780BFB" w:rsidR="00AD5158" w:rsidRDefault="00AD5158">
      <w:pPr>
        <w:pStyle w:val="FootnoteText"/>
      </w:pPr>
      <w:r>
        <w:rPr>
          <w:rStyle w:val="FootnoteReference"/>
        </w:rPr>
        <w:footnoteRef/>
      </w:r>
      <w:r>
        <w:t xml:space="preserve"> Pers. Comm. Ros Coard</w:t>
      </w:r>
      <w:r w:rsidR="00294375">
        <w:t>.</w:t>
      </w:r>
    </w:p>
  </w:footnote>
  <w:footnote w:id="18">
    <w:p w14:paraId="55EC51BF" w14:textId="1414F7BD" w:rsidR="00011D9C" w:rsidRPr="009B0B9A" w:rsidRDefault="00011D9C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500C99">
        <w:t xml:space="preserve">Adkins, Adkins and Leitch, </w:t>
      </w:r>
      <w:r w:rsidR="00500C99">
        <w:rPr>
          <w:i/>
          <w:iCs/>
        </w:rPr>
        <w:t>The Handbook of British Archaeology</w:t>
      </w:r>
      <w:r w:rsidR="00500C99">
        <w:t>, p. 366.</w:t>
      </w:r>
    </w:p>
  </w:footnote>
  <w:footnote w:id="19">
    <w:p w14:paraId="1BC8CEB7" w14:textId="073517E2" w:rsidR="00065236" w:rsidRPr="00065236" w:rsidRDefault="00065236">
      <w:pPr>
        <w:pStyle w:val="FootnoteText"/>
      </w:pPr>
      <w:r>
        <w:rPr>
          <w:rStyle w:val="FootnoteReference"/>
        </w:rPr>
        <w:footnoteRef/>
      </w:r>
      <w:r>
        <w:t xml:space="preserve"> Adkins, Adkins and Leitch, </w:t>
      </w:r>
      <w:r>
        <w:rPr>
          <w:i/>
          <w:iCs/>
        </w:rPr>
        <w:t>The Handbook of British Archaeology</w:t>
      </w:r>
      <w:r>
        <w:t>, p. 366.</w:t>
      </w:r>
    </w:p>
  </w:footnote>
  <w:footnote w:id="20">
    <w:p w14:paraId="3E1B43FF" w14:textId="53F72CA1" w:rsidR="00E720DE" w:rsidRDefault="00E720DE">
      <w:pPr>
        <w:pStyle w:val="FootnoteText"/>
      </w:pPr>
      <w:r>
        <w:rPr>
          <w:rStyle w:val="FootnoteReference"/>
        </w:rPr>
        <w:footnoteRef/>
      </w:r>
      <w:r>
        <w:t xml:space="preserve"> Pers. Comm. Martin Bates</w:t>
      </w:r>
      <w:r w:rsidR="00294375">
        <w:t>.</w:t>
      </w:r>
    </w:p>
  </w:footnote>
  <w:footnote w:id="21">
    <w:p w14:paraId="1E2170A9" w14:textId="2E7830DC" w:rsidR="009D0BDC" w:rsidRDefault="009D0BD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Pers. Comm. Martin Bates</w:t>
      </w:r>
      <w:r w:rsidR="00294375">
        <w:t>.</w:t>
      </w:r>
    </w:p>
  </w:footnote>
  <w:footnote w:id="22">
    <w:p w14:paraId="04B6B205" w14:textId="73BCD65A" w:rsidR="00294375" w:rsidRDefault="00294375">
      <w:pPr>
        <w:pStyle w:val="FootnoteText"/>
      </w:pPr>
      <w:r>
        <w:rPr>
          <w:rStyle w:val="FootnoteReference"/>
        </w:rPr>
        <w:footnoteRef/>
      </w:r>
      <w:r>
        <w:t xml:space="preserve"> Pers. Comm. Ros Coard.</w:t>
      </w:r>
    </w:p>
  </w:footnote>
  <w:footnote w:id="23">
    <w:p w14:paraId="03620F0A" w14:textId="644979C0" w:rsidR="00B07D4E" w:rsidRDefault="00B07D4E">
      <w:pPr>
        <w:pStyle w:val="FootnoteText"/>
      </w:pPr>
      <w:r>
        <w:rPr>
          <w:rStyle w:val="FootnoteReference"/>
        </w:rPr>
        <w:footnoteRef/>
      </w:r>
      <w:r>
        <w:t xml:space="preserve"> Pers. Comm. Quentin Drew.</w:t>
      </w:r>
    </w:p>
  </w:footnote>
  <w:footnote w:id="24">
    <w:p w14:paraId="47B01CAC" w14:textId="17FADEFA" w:rsidR="00717522" w:rsidRDefault="0071752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Pers. Comm. Martin Bates.</w:t>
      </w:r>
    </w:p>
  </w:footnote>
  <w:footnote w:id="25">
    <w:p w14:paraId="63C3F367" w14:textId="268EBE01" w:rsidR="00002687" w:rsidRDefault="0000268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Pers. Comm. Martin Bates.</w:t>
      </w:r>
    </w:p>
  </w:footnote>
  <w:footnote w:id="26">
    <w:p w14:paraId="1C579666" w14:textId="2A623819" w:rsidR="007D7D4D" w:rsidRDefault="007D7D4D">
      <w:pPr>
        <w:pStyle w:val="FootnoteText"/>
      </w:pPr>
      <w:r>
        <w:rPr>
          <w:rStyle w:val="FootnoteReference"/>
        </w:rPr>
        <w:footnoteRef/>
      </w:r>
      <w:r>
        <w:t xml:space="preserve"> Figure </w:t>
      </w:r>
      <w:r w:rsidR="00167B26">
        <w:t>3.</w:t>
      </w:r>
    </w:p>
  </w:footnote>
  <w:footnote w:id="27">
    <w:p w14:paraId="4F359A9C" w14:textId="08FE470B" w:rsidR="00271D13" w:rsidRDefault="00271D13">
      <w:pPr>
        <w:pStyle w:val="FootnoteText"/>
      </w:pPr>
      <w:r>
        <w:rPr>
          <w:rStyle w:val="FootnoteReference"/>
        </w:rPr>
        <w:footnoteRef/>
      </w:r>
      <w:r>
        <w:t xml:space="preserve"> Figure</w:t>
      </w:r>
      <w:r w:rsidR="00167B26">
        <w:t xml:space="preserve"> 3.</w:t>
      </w:r>
    </w:p>
  </w:footnote>
  <w:footnote w:id="28">
    <w:p w14:paraId="03CA5874" w14:textId="642BECF2" w:rsidR="00271D13" w:rsidRDefault="00271D13">
      <w:pPr>
        <w:pStyle w:val="FootnoteText"/>
      </w:pPr>
      <w:r>
        <w:rPr>
          <w:rStyle w:val="FootnoteReference"/>
        </w:rPr>
        <w:footnoteRef/>
      </w:r>
      <w:r>
        <w:t xml:space="preserve"> Pers. Comm, Martin Bates.</w:t>
      </w:r>
    </w:p>
  </w:footnote>
  <w:footnote w:id="29">
    <w:p w14:paraId="53A18CB7" w14:textId="2CEC86DB" w:rsidR="00CB0A23" w:rsidRDefault="00CB0A23">
      <w:pPr>
        <w:pStyle w:val="FootnoteText"/>
      </w:pPr>
      <w:r>
        <w:rPr>
          <w:rStyle w:val="FootnoteReference"/>
        </w:rPr>
        <w:footnoteRef/>
      </w:r>
      <w:r>
        <w:t xml:space="preserve"> Figure</w:t>
      </w:r>
      <w:r w:rsidR="00167B26">
        <w:t xml:space="preserve"> 3.</w:t>
      </w:r>
    </w:p>
  </w:footnote>
  <w:footnote w:id="30">
    <w:p w14:paraId="6AD5640B" w14:textId="65C53791" w:rsidR="00EC0C46" w:rsidRDefault="00EC0C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C266A">
        <w:t>Figure</w:t>
      </w:r>
      <w:r w:rsidR="00167B26">
        <w:t xml:space="preserve"> 3.</w:t>
      </w:r>
    </w:p>
  </w:footnote>
  <w:footnote w:id="31">
    <w:p w14:paraId="7B779EF6" w14:textId="037CE294" w:rsidR="00A05F4B" w:rsidRDefault="00A05F4B">
      <w:pPr>
        <w:pStyle w:val="FootnoteText"/>
      </w:pPr>
      <w:r>
        <w:rPr>
          <w:rStyle w:val="FootnoteReference"/>
        </w:rPr>
        <w:footnoteRef/>
      </w:r>
      <w:r>
        <w:t xml:space="preserve"> Pers. Comm. Ros Coard.</w:t>
      </w:r>
    </w:p>
  </w:footnote>
  <w:footnote w:id="32">
    <w:p w14:paraId="41B64B48" w14:textId="46E9B6C2" w:rsidR="00252494" w:rsidRDefault="0025249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Pers. Comm. Ros Coard.</w:t>
      </w:r>
    </w:p>
  </w:footnote>
  <w:footnote w:id="33">
    <w:p w14:paraId="4662F8E4" w14:textId="4EFD211B" w:rsidR="00A877AC" w:rsidRDefault="00A877AC">
      <w:pPr>
        <w:pStyle w:val="FootnoteText"/>
      </w:pPr>
      <w:r>
        <w:rPr>
          <w:rStyle w:val="FootnoteReference"/>
        </w:rPr>
        <w:footnoteRef/>
      </w:r>
      <w:r>
        <w:t xml:space="preserve"> Figure</w:t>
      </w:r>
      <w:r>
        <w:softHyphen/>
      </w:r>
      <w:r w:rsidR="00167B26">
        <w:t xml:space="preserve"> 3.</w:t>
      </w:r>
    </w:p>
  </w:footnote>
  <w:footnote w:id="34">
    <w:p w14:paraId="197CE9DE" w14:textId="4544643C" w:rsidR="00314980" w:rsidRDefault="00314980">
      <w:pPr>
        <w:pStyle w:val="FootnoteText"/>
      </w:pPr>
      <w:r>
        <w:rPr>
          <w:rStyle w:val="FootnoteReference"/>
        </w:rPr>
        <w:footnoteRef/>
      </w:r>
      <w:r>
        <w:t xml:space="preserve"> Figure</w:t>
      </w:r>
      <w:r w:rsidR="00167B26">
        <w:t xml:space="preserve"> 3.</w:t>
      </w:r>
    </w:p>
  </w:footnote>
  <w:footnote w:id="35">
    <w:p w14:paraId="1779637F" w14:textId="5FE43F5A" w:rsidR="00314980" w:rsidRDefault="003149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72E08">
        <w:rPr>
          <w:lang w:val="en-US"/>
        </w:rPr>
        <w:t>Cobb</w:t>
      </w:r>
      <w:r w:rsidR="00472E08" w:rsidRPr="0099571E">
        <w:rPr>
          <w:lang w:val="en-US"/>
        </w:rPr>
        <w:t xml:space="preserve">, Greene and Moore, </w:t>
      </w:r>
      <w:r w:rsidR="00472E08" w:rsidRPr="0099571E">
        <w:rPr>
          <w:i/>
          <w:iCs/>
          <w:lang w:val="en-US"/>
        </w:rPr>
        <w:t>Archaeology</w:t>
      </w:r>
      <w:r w:rsidR="00472897">
        <w:rPr>
          <w:i/>
          <w:iCs/>
          <w:lang w:val="en-US"/>
        </w:rPr>
        <w:t>,</w:t>
      </w:r>
      <w:r w:rsidR="00472E08">
        <w:t xml:space="preserve"> p. 159</w:t>
      </w:r>
      <w:r w:rsidR="00472897">
        <w:t>.</w:t>
      </w:r>
    </w:p>
  </w:footnote>
  <w:footnote w:id="36">
    <w:p w14:paraId="50EEBE3A" w14:textId="1A34C180" w:rsidR="00DF13CF" w:rsidRDefault="00DF13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Adkins, Adkins and Leitch, </w:t>
      </w:r>
      <w:r>
        <w:rPr>
          <w:i/>
          <w:iCs/>
        </w:rPr>
        <w:t>The Handbook of British Archaeology</w:t>
      </w:r>
      <w:r>
        <w:t>, p. 36</w:t>
      </w:r>
      <w:r w:rsidR="00017D02">
        <w:t>6.</w:t>
      </w:r>
    </w:p>
  </w:footnote>
  <w:footnote w:id="37">
    <w:p w14:paraId="52DA77F5" w14:textId="4549A65A" w:rsidR="00223025" w:rsidRDefault="0022302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Adkins, Adkins and Leitch, </w:t>
      </w:r>
      <w:r>
        <w:rPr>
          <w:i/>
          <w:iCs/>
        </w:rPr>
        <w:t>The Handbook of British Archaeology</w:t>
      </w:r>
      <w:r>
        <w:t>, p. 366.</w:t>
      </w:r>
    </w:p>
  </w:footnote>
  <w:footnote w:id="38">
    <w:p w14:paraId="5E5CC6CE" w14:textId="56A51991" w:rsidR="00F73050" w:rsidRDefault="00F7305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74FF6">
        <w:t>Pers. Comm. Ros Coard.</w:t>
      </w:r>
    </w:p>
  </w:footnote>
  <w:footnote w:id="39">
    <w:p w14:paraId="77A91731" w14:textId="458955F9" w:rsidR="004E5D59" w:rsidRDefault="004E5D59">
      <w:pPr>
        <w:pStyle w:val="FootnoteText"/>
      </w:pPr>
      <w:r>
        <w:rPr>
          <w:rStyle w:val="FootnoteReference"/>
        </w:rPr>
        <w:footnoteRef/>
      </w:r>
      <w:r>
        <w:t xml:space="preserve"> Figure</w:t>
      </w:r>
      <w:r w:rsidR="00872E75">
        <w:t xml:space="preserve"> 4.</w:t>
      </w:r>
    </w:p>
  </w:footnote>
  <w:footnote w:id="40">
    <w:p w14:paraId="6A43773C" w14:textId="2380C809" w:rsidR="00B45938" w:rsidRDefault="00B45938">
      <w:pPr>
        <w:pStyle w:val="FootnoteText"/>
      </w:pPr>
      <w:r>
        <w:rPr>
          <w:rStyle w:val="FootnoteReference"/>
        </w:rPr>
        <w:footnoteRef/>
      </w:r>
      <w:r>
        <w:t xml:space="preserve"> Pers. Comm. Martin Bates and Ros Coard.</w:t>
      </w:r>
    </w:p>
  </w:footnote>
  <w:footnote w:id="41">
    <w:p w14:paraId="5F84F823" w14:textId="3665540E" w:rsidR="00CB7BEA" w:rsidRDefault="00CB7BEA">
      <w:pPr>
        <w:pStyle w:val="FootnoteText"/>
      </w:pPr>
      <w:r>
        <w:rPr>
          <w:rStyle w:val="FootnoteReference"/>
        </w:rPr>
        <w:footnoteRef/>
      </w:r>
      <w:r>
        <w:t xml:space="preserve"> Pers. Comm. Ros Coard.</w:t>
      </w:r>
    </w:p>
  </w:footnote>
  <w:footnote w:id="42">
    <w:p w14:paraId="77204C2A" w14:textId="3BF56E00" w:rsidR="007F7777" w:rsidRDefault="007F7777">
      <w:pPr>
        <w:pStyle w:val="FootnoteText"/>
      </w:pPr>
      <w:r>
        <w:rPr>
          <w:rStyle w:val="FootnoteReference"/>
        </w:rPr>
        <w:footnoteRef/>
      </w:r>
      <w:r>
        <w:t xml:space="preserve"> Figure 4.</w:t>
      </w:r>
    </w:p>
  </w:footnote>
  <w:footnote w:id="43">
    <w:p w14:paraId="1225F0B9" w14:textId="59C5C2D4" w:rsidR="0028049D" w:rsidRPr="00B239A3" w:rsidRDefault="0028049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239A3">
        <w:rPr>
          <w:lang w:val="en-US"/>
        </w:rPr>
        <w:t>Cobb</w:t>
      </w:r>
      <w:r w:rsidR="00B239A3" w:rsidRPr="0099571E">
        <w:rPr>
          <w:lang w:val="en-US"/>
        </w:rPr>
        <w:t xml:space="preserve">, K. Greene and T. Moore, </w:t>
      </w:r>
      <w:r w:rsidR="00B239A3" w:rsidRPr="0099571E">
        <w:rPr>
          <w:i/>
          <w:iCs/>
          <w:lang w:val="en-US"/>
        </w:rPr>
        <w:t>Archaeology</w:t>
      </w:r>
      <w:r w:rsidR="00B239A3">
        <w:rPr>
          <w:lang w:val="en-US"/>
        </w:rPr>
        <w:t>, p. 59.</w:t>
      </w:r>
    </w:p>
  </w:footnote>
  <w:footnote w:id="44">
    <w:p w14:paraId="0C6F4F27" w14:textId="3B386021" w:rsidR="0028049D" w:rsidRDefault="0028049D">
      <w:pPr>
        <w:pStyle w:val="FootnoteText"/>
      </w:pPr>
      <w:r>
        <w:rPr>
          <w:rStyle w:val="FootnoteReference"/>
        </w:rPr>
        <w:footnoteRef/>
      </w:r>
      <w:r>
        <w:t xml:space="preserve"> Figure 5.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EB62EDB"/>
    <w:multiLevelType w:val="hybridMultilevel"/>
    <w:tmpl w:val="AB84884E"/>
    <w:lvl w:ilvl="0" w:tplc="86F29B12">
      <w:numFmt w:val="bullet"/>
      <w:lvlText w:val="-"/>
      <w:lvlJc w:val="left"/>
      <w:pPr>
        <w:ind w:left="720" w:hanging="360"/>
      </w:pPr>
      <w:rPr>
        <w:rFonts w:ascii="Book Antiqua" w:eastAsiaTheme="minorHAnsi" w:hAnsi="Book Antiqu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DA078E"/>
    <w:multiLevelType w:val="hybridMultilevel"/>
    <w:tmpl w:val="7ABE5798"/>
    <w:lvl w:ilvl="0" w:tplc="D1486B16">
      <w:start w:val="1"/>
      <w:numFmt w:val="upperRoman"/>
      <w:lvlText w:val="%1."/>
      <w:lvlJc w:val="right"/>
      <w:pPr>
        <w:ind w:left="720" w:hanging="360"/>
      </w:pPr>
      <w:rPr>
        <w:b w:val="0"/>
        <w:bCs/>
        <w:sz w:val="24"/>
        <w:szCs w:val="24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09782342">
    <w:abstractNumId w:val="0"/>
  </w:num>
  <w:num w:numId="2" w16cid:durableId="62096365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458"/>
    <w:rsid w:val="00002687"/>
    <w:rsid w:val="00011D9C"/>
    <w:rsid w:val="00017D02"/>
    <w:rsid w:val="00044E68"/>
    <w:rsid w:val="00047A28"/>
    <w:rsid w:val="00065236"/>
    <w:rsid w:val="00065866"/>
    <w:rsid w:val="000868EC"/>
    <w:rsid w:val="00093D2F"/>
    <w:rsid w:val="00094DB2"/>
    <w:rsid w:val="00095C6D"/>
    <w:rsid w:val="0009769E"/>
    <w:rsid w:val="000A0E9C"/>
    <w:rsid w:val="000B1258"/>
    <w:rsid w:val="000C5591"/>
    <w:rsid w:val="000D6E4E"/>
    <w:rsid w:val="000E11EB"/>
    <w:rsid w:val="000E62EE"/>
    <w:rsid w:val="000F6553"/>
    <w:rsid w:val="000F7B16"/>
    <w:rsid w:val="00100191"/>
    <w:rsid w:val="00113D28"/>
    <w:rsid w:val="0012509F"/>
    <w:rsid w:val="00160B86"/>
    <w:rsid w:val="001625E2"/>
    <w:rsid w:val="00167B26"/>
    <w:rsid w:val="00171046"/>
    <w:rsid w:val="00174108"/>
    <w:rsid w:val="00184AD7"/>
    <w:rsid w:val="001936C9"/>
    <w:rsid w:val="001B2B3F"/>
    <w:rsid w:val="001B3FC5"/>
    <w:rsid w:val="001C266A"/>
    <w:rsid w:val="001C32CB"/>
    <w:rsid w:val="001C62DF"/>
    <w:rsid w:val="001C778B"/>
    <w:rsid w:val="001D223A"/>
    <w:rsid w:val="001D2F36"/>
    <w:rsid w:val="001E3723"/>
    <w:rsid w:val="001E693B"/>
    <w:rsid w:val="001F4307"/>
    <w:rsid w:val="001F6FDB"/>
    <w:rsid w:val="0020148B"/>
    <w:rsid w:val="002032F7"/>
    <w:rsid w:val="0021438E"/>
    <w:rsid w:val="00217AEF"/>
    <w:rsid w:val="00223025"/>
    <w:rsid w:val="002238D7"/>
    <w:rsid w:val="00235167"/>
    <w:rsid w:val="00240B99"/>
    <w:rsid w:val="00252494"/>
    <w:rsid w:val="002646F1"/>
    <w:rsid w:val="00270BC0"/>
    <w:rsid w:val="00271D13"/>
    <w:rsid w:val="00276170"/>
    <w:rsid w:val="0028049D"/>
    <w:rsid w:val="00294375"/>
    <w:rsid w:val="0029715A"/>
    <w:rsid w:val="00297728"/>
    <w:rsid w:val="002A3941"/>
    <w:rsid w:val="002A74A5"/>
    <w:rsid w:val="002D3B26"/>
    <w:rsid w:val="002E2B08"/>
    <w:rsid w:val="002E7B1B"/>
    <w:rsid w:val="002F2A96"/>
    <w:rsid w:val="002F2DC6"/>
    <w:rsid w:val="002F5185"/>
    <w:rsid w:val="002F7842"/>
    <w:rsid w:val="00305413"/>
    <w:rsid w:val="00306FAA"/>
    <w:rsid w:val="003136E8"/>
    <w:rsid w:val="00314980"/>
    <w:rsid w:val="00315726"/>
    <w:rsid w:val="003174CC"/>
    <w:rsid w:val="00341E4E"/>
    <w:rsid w:val="00346346"/>
    <w:rsid w:val="0034795D"/>
    <w:rsid w:val="00353E5C"/>
    <w:rsid w:val="00374C04"/>
    <w:rsid w:val="00385D2A"/>
    <w:rsid w:val="00394D91"/>
    <w:rsid w:val="003B028F"/>
    <w:rsid w:val="003B14E0"/>
    <w:rsid w:val="003B2BA6"/>
    <w:rsid w:val="003D35EA"/>
    <w:rsid w:val="003D41C0"/>
    <w:rsid w:val="003E553A"/>
    <w:rsid w:val="003F2897"/>
    <w:rsid w:val="0040301B"/>
    <w:rsid w:val="004179E4"/>
    <w:rsid w:val="00426EBA"/>
    <w:rsid w:val="0043594C"/>
    <w:rsid w:val="0043796C"/>
    <w:rsid w:val="004436A5"/>
    <w:rsid w:val="0044537D"/>
    <w:rsid w:val="00446CDA"/>
    <w:rsid w:val="0045632B"/>
    <w:rsid w:val="00463DFE"/>
    <w:rsid w:val="00472897"/>
    <w:rsid w:val="00472E08"/>
    <w:rsid w:val="00474FF6"/>
    <w:rsid w:val="0047635C"/>
    <w:rsid w:val="00484C84"/>
    <w:rsid w:val="00486C57"/>
    <w:rsid w:val="00487F3B"/>
    <w:rsid w:val="00491E15"/>
    <w:rsid w:val="004939C5"/>
    <w:rsid w:val="00497D67"/>
    <w:rsid w:val="004C4F10"/>
    <w:rsid w:val="004D395F"/>
    <w:rsid w:val="004D7BFE"/>
    <w:rsid w:val="004E2CFD"/>
    <w:rsid w:val="004E3274"/>
    <w:rsid w:val="004E5D59"/>
    <w:rsid w:val="00500C99"/>
    <w:rsid w:val="005078DD"/>
    <w:rsid w:val="0053062D"/>
    <w:rsid w:val="005344C0"/>
    <w:rsid w:val="00557324"/>
    <w:rsid w:val="0058529B"/>
    <w:rsid w:val="00587647"/>
    <w:rsid w:val="005A6DAD"/>
    <w:rsid w:val="005C52BB"/>
    <w:rsid w:val="005D6B94"/>
    <w:rsid w:val="005D7F39"/>
    <w:rsid w:val="005E39F6"/>
    <w:rsid w:val="005F4700"/>
    <w:rsid w:val="006029AE"/>
    <w:rsid w:val="0061380E"/>
    <w:rsid w:val="00615824"/>
    <w:rsid w:val="00637E0A"/>
    <w:rsid w:val="0064291B"/>
    <w:rsid w:val="00646BE4"/>
    <w:rsid w:val="0065212F"/>
    <w:rsid w:val="00655E42"/>
    <w:rsid w:val="00664F73"/>
    <w:rsid w:val="00672CEA"/>
    <w:rsid w:val="00682DBA"/>
    <w:rsid w:val="00683525"/>
    <w:rsid w:val="00683D69"/>
    <w:rsid w:val="00685005"/>
    <w:rsid w:val="00690105"/>
    <w:rsid w:val="00690A45"/>
    <w:rsid w:val="00693766"/>
    <w:rsid w:val="00696503"/>
    <w:rsid w:val="0069718C"/>
    <w:rsid w:val="006B0F7E"/>
    <w:rsid w:val="006B300E"/>
    <w:rsid w:val="006B6AC9"/>
    <w:rsid w:val="006D0C45"/>
    <w:rsid w:val="00717522"/>
    <w:rsid w:val="00721D2E"/>
    <w:rsid w:val="00735030"/>
    <w:rsid w:val="0073516E"/>
    <w:rsid w:val="00742C86"/>
    <w:rsid w:val="0076119E"/>
    <w:rsid w:val="00774C11"/>
    <w:rsid w:val="00785398"/>
    <w:rsid w:val="00786FAE"/>
    <w:rsid w:val="00793F68"/>
    <w:rsid w:val="007948FB"/>
    <w:rsid w:val="007B4CD9"/>
    <w:rsid w:val="007C2E64"/>
    <w:rsid w:val="007D6CA8"/>
    <w:rsid w:val="007D7D4D"/>
    <w:rsid w:val="007E7458"/>
    <w:rsid w:val="007F7777"/>
    <w:rsid w:val="00812753"/>
    <w:rsid w:val="00832A84"/>
    <w:rsid w:val="00853ABF"/>
    <w:rsid w:val="00860FC4"/>
    <w:rsid w:val="00872E75"/>
    <w:rsid w:val="00877480"/>
    <w:rsid w:val="0088045E"/>
    <w:rsid w:val="00886754"/>
    <w:rsid w:val="00894145"/>
    <w:rsid w:val="008B0683"/>
    <w:rsid w:val="008C079E"/>
    <w:rsid w:val="008D05E1"/>
    <w:rsid w:val="008D0F26"/>
    <w:rsid w:val="008D4BC0"/>
    <w:rsid w:val="008D5E6D"/>
    <w:rsid w:val="008D6B39"/>
    <w:rsid w:val="008D6FB2"/>
    <w:rsid w:val="008E4152"/>
    <w:rsid w:val="008E4D14"/>
    <w:rsid w:val="008F16D7"/>
    <w:rsid w:val="008F1704"/>
    <w:rsid w:val="008F1994"/>
    <w:rsid w:val="008F461B"/>
    <w:rsid w:val="00930FC6"/>
    <w:rsid w:val="009314BE"/>
    <w:rsid w:val="00934D8D"/>
    <w:rsid w:val="00973070"/>
    <w:rsid w:val="0097685F"/>
    <w:rsid w:val="00987570"/>
    <w:rsid w:val="00994620"/>
    <w:rsid w:val="0099571E"/>
    <w:rsid w:val="009B0B9A"/>
    <w:rsid w:val="009D0BDC"/>
    <w:rsid w:val="009D415C"/>
    <w:rsid w:val="009E1614"/>
    <w:rsid w:val="00A05F4B"/>
    <w:rsid w:val="00A14684"/>
    <w:rsid w:val="00A43FA9"/>
    <w:rsid w:val="00A55CD7"/>
    <w:rsid w:val="00A81D53"/>
    <w:rsid w:val="00A852AB"/>
    <w:rsid w:val="00A877AC"/>
    <w:rsid w:val="00A87D2A"/>
    <w:rsid w:val="00A90AF5"/>
    <w:rsid w:val="00AB562B"/>
    <w:rsid w:val="00AD5158"/>
    <w:rsid w:val="00AE5EC8"/>
    <w:rsid w:val="00B02447"/>
    <w:rsid w:val="00B05A06"/>
    <w:rsid w:val="00B07D4E"/>
    <w:rsid w:val="00B1462C"/>
    <w:rsid w:val="00B239A3"/>
    <w:rsid w:val="00B259D6"/>
    <w:rsid w:val="00B26402"/>
    <w:rsid w:val="00B3132A"/>
    <w:rsid w:val="00B45938"/>
    <w:rsid w:val="00B51BFE"/>
    <w:rsid w:val="00B51EB0"/>
    <w:rsid w:val="00B53870"/>
    <w:rsid w:val="00B53B82"/>
    <w:rsid w:val="00B56433"/>
    <w:rsid w:val="00B6437E"/>
    <w:rsid w:val="00B64482"/>
    <w:rsid w:val="00B701B5"/>
    <w:rsid w:val="00B747D7"/>
    <w:rsid w:val="00B9659F"/>
    <w:rsid w:val="00BA1724"/>
    <w:rsid w:val="00BA4096"/>
    <w:rsid w:val="00BA7F6E"/>
    <w:rsid w:val="00BB0DEC"/>
    <w:rsid w:val="00BB2971"/>
    <w:rsid w:val="00BC1226"/>
    <w:rsid w:val="00BC1798"/>
    <w:rsid w:val="00BC1BAF"/>
    <w:rsid w:val="00BC2C7A"/>
    <w:rsid w:val="00BD2C20"/>
    <w:rsid w:val="00BD4E41"/>
    <w:rsid w:val="00BD6E28"/>
    <w:rsid w:val="00BF3E2B"/>
    <w:rsid w:val="00BF46BE"/>
    <w:rsid w:val="00C077AF"/>
    <w:rsid w:val="00C10C5C"/>
    <w:rsid w:val="00C22115"/>
    <w:rsid w:val="00C26172"/>
    <w:rsid w:val="00C329F5"/>
    <w:rsid w:val="00C423E8"/>
    <w:rsid w:val="00C44FFF"/>
    <w:rsid w:val="00C62248"/>
    <w:rsid w:val="00C942AD"/>
    <w:rsid w:val="00C960C6"/>
    <w:rsid w:val="00CB0A23"/>
    <w:rsid w:val="00CB547A"/>
    <w:rsid w:val="00CB7BEA"/>
    <w:rsid w:val="00CC62C9"/>
    <w:rsid w:val="00D10FAE"/>
    <w:rsid w:val="00D12DF1"/>
    <w:rsid w:val="00D44478"/>
    <w:rsid w:val="00D53B39"/>
    <w:rsid w:val="00D53E91"/>
    <w:rsid w:val="00D626F3"/>
    <w:rsid w:val="00D763F3"/>
    <w:rsid w:val="00D772D9"/>
    <w:rsid w:val="00D8610D"/>
    <w:rsid w:val="00D909F3"/>
    <w:rsid w:val="00DA2FBF"/>
    <w:rsid w:val="00DA593C"/>
    <w:rsid w:val="00DA5CCA"/>
    <w:rsid w:val="00DD73D6"/>
    <w:rsid w:val="00DF13CF"/>
    <w:rsid w:val="00DF1F2A"/>
    <w:rsid w:val="00DF5E08"/>
    <w:rsid w:val="00E04163"/>
    <w:rsid w:val="00E1700E"/>
    <w:rsid w:val="00E336F5"/>
    <w:rsid w:val="00E4150E"/>
    <w:rsid w:val="00E720DE"/>
    <w:rsid w:val="00E74169"/>
    <w:rsid w:val="00E7596D"/>
    <w:rsid w:val="00E75FEB"/>
    <w:rsid w:val="00E83443"/>
    <w:rsid w:val="00EA0BC0"/>
    <w:rsid w:val="00EB4A5D"/>
    <w:rsid w:val="00EC0C46"/>
    <w:rsid w:val="00EC413C"/>
    <w:rsid w:val="00EE574D"/>
    <w:rsid w:val="00F02FA2"/>
    <w:rsid w:val="00F07AB7"/>
    <w:rsid w:val="00F10353"/>
    <w:rsid w:val="00F16750"/>
    <w:rsid w:val="00F33D55"/>
    <w:rsid w:val="00F34391"/>
    <w:rsid w:val="00F5769C"/>
    <w:rsid w:val="00F61F1C"/>
    <w:rsid w:val="00F63FEC"/>
    <w:rsid w:val="00F72942"/>
    <w:rsid w:val="00F73050"/>
    <w:rsid w:val="00F82F56"/>
    <w:rsid w:val="00F9270B"/>
    <w:rsid w:val="00F97209"/>
    <w:rsid w:val="00FB0799"/>
    <w:rsid w:val="00FD0BE5"/>
    <w:rsid w:val="00FD30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1003129"/>
  <w15:chartTrackingRefBased/>
  <w15:docId w15:val="{B7FAC82D-9DBC-4B81-9F53-CE9D9B00A3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 w:qFormat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52BB"/>
    <w:rPr>
      <w:rFonts w:ascii="Book Antiqua" w:hAnsi="Book Antiqua"/>
    </w:rPr>
  </w:style>
  <w:style w:type="paragraph" w:styleId="Heading1">
    <w:name w:val="heading 1"/>
    <w:basedOn w:val="Normal"/>
    <w:next w:val="Normal"/>
    <w:link w:val="Heading1Char"/>
    <w:uiPriority w:val="9"/>
    <w:qFormat/>
    <w:rsid w:val="005C52BB"/>
    <w:pPr>
      <w:keepNext/>
      <w:keepLines/>
      <w:spacing w:before="360" w:after="80"/>
      <w:jc w:val="center"/>
      <w:outlineLvl w:val="0"/>
    </w:pPr>
    <w:rPr>
      <w:rFonts w:eastAsiaTheme="majorEastAsia" w:cstheme="majorBidi"/>
      <w:b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C52BB"/>
    <w:pPr>
      <w:keepNext/>
      <w:keepLines/>
      <w:spacing w:before="160" w:after="80"/>
      <w:outlineLvl w:val="1"/>
    </w:pPr>
    <w:rPr>
      <w:rFonts w:eastAsiaTheme="majorEastAsia" w:cstheme="majorBidi"/>
      <w:b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7458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7458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7458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7458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7458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7458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7458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2">
    <w:name w:val="toc 2"/>
    <w:basedOn w:val="Normal"/>
    <w:next w:val="Normal"/>
    <w:autoRedefine/>
    <w:uiPriority w:val="39"/>
    <w:unhideWhenUsed/>
    <w:qFormat/>
    <w:rsid w:val="005C52BB"/>
    <w:pPr>
      <w:tabs>
        <w:tab w:val="right" w:leader="dot" w:pos="9016"/>
      </w:tabs>
      <w:spacing w:after="100"/>
      <w:ind w:left="240"/>
    </w:pPr>
    <w:rPr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52BB"/>
    <w:pPr>
      <w:numPr>
        <w:ilvl w:val="1"/>
      </w:numPr>
      <w:spacing w:line="240" w:lineRule="auto"/>
      <w:jc w:val="center"/>
    </w:pPr>
    <w:rPr>
      <w:rFonts w:eastAsiaTheme="majorEastAsia" w:cstheme="majorBidi"/>
      <w:b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52BB"/>
    <w:rPr>
      <w:rFonts w:ascii="Book Antiqua" w:eastAsiaTheme="majorEastAsia" w:hAnsi="Book Antiqua" w:cstheme="majorBidi"/>
      <w:b/>
      <w:spacing w:val="15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C52BB"/>
    <w:rPr>
      <w:rFonts w:ascii="Book Antiqua" w:eastAsiaTheme="majorEastAsia" w:hAnsi="Book Antiqua" w:cstheme="majorBidi"/>
      <w:b/>
      <w:szCs w:val="32"/>
    </w:rPr>
  </w:style>
  <w:style w:type="paragraph" w:customStyle="1" w:styleId="SectionTitle">
    <w:name w:val="Section Title"/>
    <w:basedOn w:val="Normal"/>
    <w:link w:val="SectionTitleChar"/>
    <w:qFormat/>
    <w:rsid w:val="005C52BB"/>
    <w:pPr>
      <w:jc w:val="center"/>
    </w:pPr>
    <w:rPr>
      <w:b/>
      <w:bCs/>
      <w:sz w:val="28"/>
      <w:szCs w:val="28"/>
    </w:rPr>
  </w:style>
  <w:style w:type="character" w:customStyle="1" w:styleId="SectionTitleChar">
    <w:name w:val="Section Title Char"/>
    <w:basedOn w:val="DefaultParagraphFont"/>
    <w:link w:val="SectionTitle"/>
    <w:rsid w:val="005C52BB"/>
    <w:rPr>
      <w:rFonts w:ascii="Book Antiqua" w:hAnsi="Book Antiqua"/>
      <w:b/>
      <w:bCs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5C52BB"/>
    <w:rPr>
      <w:rFonts w:ascii="Book Antiqua" w:eastAsiaTheme="majorEastAsia" w:hAnsi="Book Antiqua" w:cstheme="majorBidi"/>
      <w:b/>
      <w:sz w:val="28"/>
      <w:szCs w:val="40"/>
    </w:rPr>
  </w:style>
  <w:style w:type="paragraph" w:styleId="Title">
    <w:name w:val="Title"/>
    <w:basedOn w:val="Normal"/>
    <w:next w:val="Normal"/>
    <w:link w:val="TitleChar"/>
    <w:uiPriority w:val="10"/>
    <w:qFormat/>
    <w:rsid w:val="005C52BB"/>
    <w:pPr>
      <w:spacing w:after="80" w:line="240" w:lineRule="auto"/>
      <w:contextualSpacing/>
      <w:jc w:val="center"/>
    </w:pPr>
    <w:rPr>
      <w:rFonts w:eastAsiaTheme="majorEastAsia" w:cstheme="majorBidi"/>
      <w:b/>
      <w:spacing w:val="-10"/>
      <w:kern w:val="28"/>
      <w:sz w:val="32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52BB"/>
    <w:rPr>
      <w:rFonts w:ascii="Book Antiqua" w:eastAsiaTheme="majorEastAsia" w:hAnsi="Book Antiqua" w:cstheme="majorBidi"/>
      <w:b/>
      <w:spacing w:val="-10"/>
      <w:kern w:val="28"/>
      <w:sz w:val="32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745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745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745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74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74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74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7458"/>
    <w:rPr>
      <w:rFonts w:eastAsiaTheme="majorEastAsia" w:cstheme="majorBidi"/>
      <w:color w:val="272727" w:themeColor="text1" w:themeTint="D8"/>
    </w:rPr>
  </w:style>
  <w:style w:type="paragraph" w:styleId="Quote">
    <w:name w:val="Quote"/>
    <w:basedOn w:val="Normal"/>
    <w:next w:val="Normal"/>
    <w:link w:val="QuoteChar"/>
    <w:uiPriority w:val="29"/>
    <w:qFormat/>
    <w:rsid w:val="007E74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7458"/>
    <w:rPr>
      <w:rFonts w:ascii="Book Antiqua" w:hAnsi="Book Antiqua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74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74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74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7458"/>
    <w:rPr>
      <w:rFonts w:ascii="Book Antiqua" w:hAnsi="Book Antiqua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7458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D223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D223A"/>
    <w:rPr>
      <w:rFonts w:ascii="Book Antiqua" w:hAnsi="Book Antiqua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D223A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1396</TotalTime>
  <Pages>9</Pages>
  <Words>2083</Words>
  <Characters>9641</Characters>
  <Application>Microsoft Office Word</Application>
  <DocSecurity>0</DocSecurity>
  <Lines>163</Lines>
  <Paragraphs>33</Paragraphs>
  <ScaleCrop>false</ScaleCrop>
  <Company/>
  <LinksUpToDate>false</LinksUpToDate>
  <CharactersWithSpaces>11691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Isaac Law</dc:creator>
  <cp:keywords/>
  <dc:description/>
  <cp:lastModifiedBy>Isaac Law</cp:lastModifiedBy>
  <cp:revision>315</cp:revision>
  <dcterms:created xsi:type="dcterms:W3CDTF">2024-04-23T21:53:00Z</dcterms:created>
  <dcterms:modified xsi:type="dcterms:W3CDTF">2024-05-08T22:50:00Z</dcterms:modified>
</cp:coreProperties>
</file>