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DF4D9" w14:textId="77777777" w:rsidR="001B7E49" w:rsidRPr="007272D2" w:rsidRDefault="001B7E49" w:rsidP="00C94CDF">
      <w:pPr>
        <w:spacing w:line="360" w:lineRule="auto"/>
        <w:jc w:val="center"/>
        <w:rPr>
          <w:rFonts w:ascii="Arial" w:eastAsia="Arial" w:hAnsi="Arial" w:cs="Arial"/>
          <w:sz w:val="22"/>
          <w:szCs w:val="22"/>
        </w:rPr>
      </w:pPr>
    </w:p>
    <w:p w14:paraId="7F14C0F0" w14:textId="0A87ACF0" w:rsidR="007042BB" w:rsidRPr="007272D2" w:rsidRDefault="007042BB" w:rsidP="00C94CDF">
      <w:pPr>
        <w:spacing w:line="360" w:lineRule="auto"/>
        <w:jc w:val="center"/>
        <w:rPr>
          <w:rFonts w:ascii="Arial" w:hAnsi="Arial" w:cs="Arial"/>
          <w:sz w:val="22"/>
          <w:szCs w:val="22"/>
        </w:rPr>
      </w:pPr>
    </w:p>
    <w:p w14:paraId="5A3AA9D4" w14:textId="77777777" w:rsidR="007042BB" w:rsidRPr="0076711C" w:rsidRDefault="00000000" w:rsidP="00C94CDF">
      <w:pPr>
        <w:spacing w:line="360" w:lineRule="auto"/>
        <w:jc w:val="center"/>
        <w:rPr>
          <w:rFonts w:ascii="Arial" w:hAnsi="Arial" w:cs="Arial"/>
          <w:sz w:val="40"/>
          <w:szCs w:val="40"/>
        </w:rPr>
      </w:pPr>
      <w:r w:rsidRPr="0076711C">
        <w:rPr>
          <w:rFonts w:ascii="Arial" w:eastAsia="Arial" w:hAnsi="Arial" w:cs="Arial"/>
          <w:sz w:val="40"/>
          <w:szCs w:val="40"/>
        </w:rPr>
        <w:t>Module: Psychology in Health and Social Care (LCHS4010)</w:t>
      </w:r>
    </w:p>
    <w:p w14:paraId="7B74A340" w14:textId="77777777" w:rsidR="0076711C" w:rsidRDefault="0076711C" w:rsidP="00C94CDF">
      <w:pPr>
        <w:spacing w:line="360" w:lineRule="auto"/>
        <w:jc w:val="center"/>
        <w:rPr>
          <w:rFonts w:ascii="Arial" w:eastAsia="Arial" w:hAnsi="Arial" w:cs="Arial"/>
          <w:sz w:val="22"/>
          <w:szCs w:val="22"/>
        </w:rPr>
      </w:pPr>
    </w:p>
    <w:p w14:paraId="76209905" w14:textId="77777777" w:rsidR="0076711C" w:rsidRDefault="0076711C" w:rsidP="00C94CDF">
      <w:pPr>
        <w:spacing w:line="360" w:lineRule="auto"/>
        <w:jc w:val="center"/>
        <w:rPr>
          <w:rFonts w:ascii="Arial" w:eastAsia="Arial" w:hAnsi="Arial" w:cs="Arial"/>
          <w:sz w:val="22"/>
          <w:szCs w:val="22"/>
        </w:rPr>
      </w:pPr>
    </w:p>
    <w:p w14:paraId="6CF4C25B" w14:textId="77777777" w:rsidR="0076711C" w:rsidRDefault="0076711C" w:rsidP="00C94CDF">
      <w:pPr>
        <w:spacing w:line="360" w:lineRule="auto"/>
        <w:jc w:val="center"/>
        <w:rPr>
          <w:rFonts w:ascii="Arial" w:eastAsia="Arial" w:hAnsi="Arial" w:cs="Arial"/>
          <w:sz w:val="22"/>
          <w:szCs w:val="22"/>
        </w:rPr>
      </w:pPr>
    </w:p>
    <w:p w14:paraId="654E05CE" w14:textId="77777777" w:rsidR="0076711C" w:rsidRDefault="0076711C" w:rsidP="00C94CDF">
      <w:pPr>
        <w:spacing w:line="360" w:lineRule="auto"/>
        <w:jc w:val="center"/>
        <w:rPr>
          <w:rFonts w:ascii="Arial" w:eastAsia="Arial" w:hAnsi="Arial" w:cs="Arial"/>
          <w:sz w:val="22"/>
          <w:szCs w:val="22"/>
        </w:rPr>
      </w:pPr>
    </w:p>
    <w:p w14:paraId="17920090" w14:textId="7D41ABC4" w:rsidR="007042BB" w:rsidRPr="0076711C" w:rsidRDefault="00000000" w:rsidP="00C94CDF">
      <w:pPr>
        <w:spacing w:line="360" w:lineRule="auto"/>
        <w:jc w:val="center"/>
        <w:rPr>
          <w:rFonts w:ascii="Arial" w:hAnsi="Arial" w:cs="Arial"/>
          <w:sz w:val="32"/>
          <w:szCs w:val="32"/>
        </w:rPr>
      </w:pPr>
      <w:r w:rsidRPr="0076711C">
        <w:rPr>
          <w:rFonts w:ascii="Arial" w:eastAsia="Arial" w:hAnsi="Arial" w:cs="Arial"/>
          <w:sz w:val="32"/>
          <w:szCs w:val="32"/>
        </w:rPr>
        <w:t>Student Name: Andres Carlos Michel Pina</w:t>
      </w:r>
    </w:p>
    <w:p w14:paraId="572C3FEB" w14:textId="77777777" w:rsidR="007042BB" w:rsidRPr="0076711C" w:rsidRDefault="00000000" w:rsidP="00C94CDF">
      <w:pPr>
        <w:spacing w:line="360" w:lineRule="auto"/>
        <w:jc w:val="center"/>
        <w:rPr>
          <w:rFonts w:ascii="Arial" w:hAnsi="Arial" w:cs="Arial"/>
          <w:sz w:val="32"/>
          <w:szCs w:val="32"/>
        </w:rPr>
      </w:pPr>
      <w:r w:rsidRPr="0076711C">
        <w:rPr>
          <w:rFonts w:ascii="Arial" w:eastAsia="Arial" w:hAnsi="Arial" w:cs="Arial"/>
          <w:sz w:val="32"/>
          <w:szCs w:val="32"/>
        </w:rPr>
        <w:t>Student ID: 2442079</w:t>
      </w:r>
    </w:p>
    <w:p w14:paraId="579D0FA2" w14:textId="77777777" w:rsidR="007042BB" w:rsidRPr="0076711C" w:rsidRDefault="00000000" w:rsidP="00C94CDF">
      <w:pPr>
        <w:spacing w:line="360" w:lineRule="auto"/>
        <w:jc w:val="center"/>
        <w:rPr>
          <w:rFonts w:ascii="Arial" w:hAnsi="Arial" w:cs="Arial"/>
          <w:sz w:val="32"/>
          <w:szCs w:val="32"/>
        </w:rPr>
      </w:pPr>
      <w:r w:rsidRPr="0076711C">
        <w:rPr>
          <w:rFonts w:ascii="Arial" w:eastAsia="Arial" w:hAnsi="Arial" w:cs="Arial"/>
          <w:sz w:val="32"/>
          <w:szCs w:val="32"/>
        </w:rPr>
        <w:t>Lecturer: Farah Wiita</w:t>
      </w:r>
    </w:p>
    <w:p w14:paraId="3F6D9DF5" w14:textId="03576C22" w:rsidR="007042BB" w:rsidRPr="0076711C" w:rsidRDefault="00000000" w:rsidP="00C94CDF">
      <w:pPr>
        <w:spacing w:line="360" w:lineRule="auto"/>
        <w:jc w:val="center"/>
        <w:rPr>
          <w:rFonts w:ascii="Arial" w:hAnsi="Arial" w:cs="Arial"/>
          <w:sz w:val="32"/>
          <w:szCs w:val="32"/>
        </w:rPr>
      </w:pPr>
      <w:r w:rsidRPr="0076711C">
        <w:rPr>
          <w:rFonts w:ascii="Arial" w:eastAsia="Arial" w:hAnsi="Arial" w:cs="Arial"/>
          <w:sz w:val="32"/>
          <w:szCs w:val="32"/>
        </w:rPr>
        <w:t>Submission Date: 21st April 2026</w:t>
      </w:r>
    </w:p>
    <w:p w14:paraId="32A4DADE" w14:textId="19D599C9" w:rsidR="007042BB" w:rsidRPr="007272D2" w:rsidRDefault="00000000" w:rsidP="00C94CDF">
      <w:pPr>
        <w:pageBreakBefore/>
        <w:spacing w:line="360" w:lineRule="auto"/>
        <w:jc w:val="both"/>
        <w:rPr>
          <w:rFonts w:ascii="Arial" w:hAnsi="Arial" w:cs="Arial"/>
          <w:sz w:val="22"/>
          <w:szCs w:val="22"/>
        </w:rPr>
      </w:pPr>
      <w:r w:rsidRPr="007272D2">
        <w:rPr>
          <w:rFonts w:ascii="Arial" w:eastAsia="Arial" w:hAnsi="Arial" w:cs="Arial"/>
          <w:b/>
          <w:bCs/>
          <w:sz w:val="22"/>
          <w:szCs w:val="22"/>
        </w:rPr>
        <w:lastRenderedPageBreak/>
        <w:t>PART A: ANNOTATED BIBLIOGRAPHY</w:t>
      </w:r>
    </w:p>
    <w:p w14:paraId="796D51FC" w14:textId="4502333D" w:rsidR="007042BB" w:rsidRPr="007272D2" w:rsidRDefault="00F0206D" w:rsidP="00C94CDF">
      <w:pPr>
        <w:spacing w:after="240" w:line="360" w:lineRule="auto"/>
        <w:jc w:val="both"/>
        <w:rPr>
          <w:rFonts w:ascii="Arial" w:hAnsi="Arial" w:cs="Arial"/>
          <w:sz w:val="22"/>
          <w:szCs w:val="22"/>
        </w:rPr>
      </w:pPr>
      <w:r w:rsidRPr="00F0206D">
        <w:rPr>
          <w:rFonts w:ascii="Arial" w:hAnsi="Arial" w:cs="Arial"/>
          <w:sz w:val="22"/>
          <w:szCs w:val="22"/>
        </w:rPr>
        <w:t>This annotated bibliography contains four scholarly sources that have been pertinent to lifespan development theories and how they can be applied in supporting older adults in both health and social care practices. Two of them pertain to Sociocultural Theory by Vygotsky (Weeks 1–5) and two to the Social Cognitive Theory by Bandura (Weeks 79).</w:t>
      </w:r>
    </w:p>
    <w:p w14:paraId="71EF1A7E" w14:textId="6C12D659" w:rsidR="007042BB" w:rsidRPr="007272D2" w:rsidRDefault="00000000" w:rsidP="00C94CDF">
      <w:pPr>
        <w:spacing w:before="280" w:after="120" w:line="360" w:lineRule="auto"/>
        <w:jc w:val="both"/>
        <w:rPr>
          <w:rFonts w:ascii="Arial" w:hAnsi="Arial" w:cs="Arial"/>
          <w:sz w:val="22"/>
          <w:szCs w:val="22"/>
        </w:rPr>
      </w:pPr>
      <w:r w:rsidRPr="007272D2">
        <w:rPr>
          <w:rFonts w:ascii="Arial" w:eastAsia="Arial" w:hAnsi="Arial" w:cs="Arial"/>
          <w:b/>
          <w:bCs/>
          <w:sz w:val="22"/>
          <w:szCs w:val="22"/>
        </w:rPr>
        <w:t>Source 1</w:t>
      </w:r>
      <w:r w:rsidR="00C94CDF" w:rsidRPr="007272D2">
        <w:rPr>
          <w:rFonts w:ascii="Arial" w:eastAsia="Arial" w:hAnsi="Arial" w:cs="Arial"/>
          <w:b/>
          <w:bCs/>
          <w:sz w:val="22"/>
          <w:szCs w:val="22"/>
        </w:rPr>
        <w:t>:</w:t>
      </w:r>
      <w:r w:rsidRPr="007272D2">
        <w:rPr>
          <w:rFonts w:ascii="Arial" w:eastAsia="Arial" w:hAnsi="Arial" w:cs="Arial"/>
          <w:b/>
          <w:bCs/>
          <w:sz w:val="22"/>
          <w:szCs w:val="22"/>
        </w:rPr>
        <w:t xml:space="preserve"> Vygotsky's Sociocultural Theory</w:t>
      </w:r>
    </w:p>
    <w:p w14:paraId="7CD84DFA"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Reference:</w:t>
      </w:r>
    </w:p>
    <w:p w14:paraId="113479EB" w14:textId="77777777" w:rsidR="007042BB" w:rsidRPr="007272D2" w:rsidRDefault="00000000" w:rsidP="00C94CDF">
      <w:pPr>
        <w:spacing w:after="160" w:line="360" w:lineRule="auto"/>
        <w:jc w:val="both"/>
        <w:rPr>
          <w:rFonts w:ascii="Arial" w:hAnsi="Arial" w:cs="Arial"/>
          <w:sz w:val="22"/>
          <w:szCs w:val="22"/>
        </w:rPr>
      </w:pPr>
      <w:r w:rsidRPr="007272D2">
        <w:rPr>
          <w:rFonts w:ascii="Arial" w:eastAsia="Arial" w:hAnsi="Arial" w:cs="Arial"/>
          <w:i/>
          <w:iCs/>
          <w:sz w:val="22"/>
          <w:szCs w:val="22"/>
        </w:rPr>
        <w:t>Tuong, N.P.C., Beyers, W. and Valcke, M. (2020) 'Care competencies in adolescents: Development of a new measure and relationships with well-being', Current Psychology, 41(2), pp. 713–726. doi:10.1007/s12144-019-00603-4.</w:t>
      </w:r>
    </w:p>
    <w:p w14:paraId="2535D6DB"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Summary:</w:t>
      </w:r>
    </w:p>
    <w:p w14:paraId="1D806907" w14:textId="4E2EB23A" w:rsidR="007042BB" w:rsidRPr="007272D2" w:rsidRDefault="00BE3352" w:rsidP="00C94CDF">
      <w:pPr>
        <w:spacing w:after="240" w:line="360" w:lineRule="auto"/>
        <w:jc w:val="both"/>
        <w:rPr>
          <w:rFonts w:ascii="Arial" w:hAnsi="Arial" w:cs="Arial"/>
          <w:sz w:val="22"/>
          <w:szCs w:val="22"/>
        </w:rPr>
      </w:pPr>
      <w:r w:rsidRPr="00BE3352">
        <w:rPr>
          <w:rFonts w:ascii="Arial" w:hAnsi="Arial" w:cs="Arial"/>
          <w:sz w:val="22"/>
          <w:szCs w:val="22"/>
        </w:rPr>
        <w:t xml:space="preserve">Tuong, Beyers and Valcke (2020) focus their research on the connection between the development of care competencies in adolescents and their psychological </w:t>
      </w:r>
      <w:r w:rsidR="003E648A">
        <w:rPr>
          <w:rFonts w:ascii="Arial" w:hAnsi="Arial" w:cs="Arial"/>
          <w:sz w:val="22"/>
          <w:szCs w:val="22"/>
        </w:rPr>
        <w:t>well-being</w:t>
      </w:r>
      <w:r w:rsidRPr="00BE3352">
        <w:rPr>
          <w:rFonts w:ascii="Arial" w:hAnsi="Arial" w:cs="Arial"/>
          <w:sz w:val="22"/>
          <w:szCs w:val="22"/>
        </w:rPr>
        <w:t xml:space="preserve"> using the sociocultural framework proposed by Vygotsky, as well as argue that competence is developed during the process of social interaction and guided learning within meaningful environmental contexts. The authors affirm that the Zone of Proximal Development (ZPD) gap between what one can accomplish alone and with adept assistance is pivotal to the </w:t>
      </w:r>
      <w:proofErr w:type="spellStart"/>
      <w:r w:rsidR="00837CF5">
        <w:rPr>
          <w:rFonts w:ascii="Arial" w:hAnsi="Arial" w:cs="Arial"/>
          <w:sz w:val="22"/>
          <w:szCs w:val="22"/>
        </w:rPr>
        <w:t>conceptualisation</w:t>
      </w:r>
      <w:proofErr w:type="spellEnd"/>
      <w:r w:rsidRPr="00BE3352">
        <w:rPr>
          <w:rFonts w:ascii="Arial" w:hAnsi="Arial" w:cs="Arial"/>
          <w:sz w:val="22"/>
          <w:szCs w:val="22"/>
        </w:rPr>
        <w:t xml:space="preserve"> of the way caring skills develop in the long run (Vygotsky, 1978). The paper has also reported that those adolescents with </w:t>
      </w:r>
      <w:proofErr w:type="spellStart"/>
      <w:r w:rsidR="00837CF5">
        <w:rPr>
          <w:rFonts w:ascii="Arial" w:hAnsi="Arial" w:cs="Arial"/>
          <w:sz w:val="22"/>
          <w:szCs w:val="22"/>
        </w:rPr>
        <w:t>organised</w:t>
      </w:r>
      <w:proofErr w:type="spellEnd"/>
      <w:r w:rsidRPr="00BE3352">
        <w:rPr>
          <w:rFonts w:ascii="Arial" w:hAnsi="Arial" w:cs="Arial"/>
          <w:sz w:val="22"/>
          <w:szCs w:val="22"/>
        </w:rPr>
        <w:t xml:space="preserve"> social support in place experienced greater competence and well-being, which corroborates the assertion by Vygotsky that development is inherently </w:t>
      </w:r>
      <w:proofErr w:type="spellStart"/>
      <w:r w:rsidR="00837CF5">
        <w:rPr>
          <w:rFonts w:ascii="Arial" w:hAnsi="Arial" w:cs="Arial"/>
          <w:sz w:val="22"/>
          <w:szCs w:val="22"/>
        </w:rPr>
        <w:t>emphasised</w:t>
      </w:r>
      <w:proofErr w:type="spellEnd"/>
      <w:r w:rsidRPr="00BE3352">
        <w:rPr>
          <w:rFonts w:ascii="Arial" w:hAnsi="Arial" w:cs="Arial"/>
          <w:sz w:val="22"/>
          <w:szCs w:val="22"/>
        </w:rPr>
        <w:t xml:space="preserve"> by social relations and contextual assistance.</w:t>
      </w:r>
    </w:p>
    <w:p w14:paraId="6249E05F"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Critical Comment:</w:t>
      </w:r>
    </w:p>
    <w:p w14:paraId="55AE4537" w14:textId="2867C870" w:rsidR="007403E1" w:rsidRPr="007272D2" w:rsidRDefault="00837CF5" w:rsidP="00C94CDF">
      <w:pPr>
        <w:spacing w:after="240" w:line="360" w:lineRule="auto"/>
        <w:jc w:val="both"/>
        <w:rPr>
          <w:rFonts w:ascii="Arial" w:hAnsi="Arial" w:cs="Arial"/>
          <w:sz w:val="22"/>
          <w:szCs w:val="22"/>
        </w:rPr>
      </w:pPr>
      <w:r w:rsidRPr="00837CF5">
        <w:rPr>
          <w:rFonts w:ascii="Arial" w:hAnsi="Arial" w:cs="Arial"/>
          <w:sz w:val="22"/>
          <w:szCs w:val="22"/>
        </w:rPr>
        <w:t xml:space="preserve">This reference is very applicable to the health and social care practice with older adults since it shows that </w:t>
      </w:r>
      <w:r w:rsidR="008E4781">
        <w:rPr>
          <w:rFonts w:ascii="Arial" w:hAnsi="Arial" w:cs="Arial"/>
          <w:sz w:val="22"/>
          <w:szCs w:val="22"/>
        </w:rPr>
        <w:t xml:space="preserve">guiding </w:t>
      </w:r>
      <w:r w:rsidRPr="00837CF5">
        <w:rPr>
          <w:rFonts w:ascii="Arial" w:hAnsi="Arial" w:cs="Arial"/>
          <w:sz w:val="22"/>
          <w:szCs w:val="22"/>
        </w:rPr>
        <w:t xml:space="preserve">the delivery of structured, graduated assistance can </w:t>
      </w:r>
      <w:r w:rsidR="007403E1">
        <w:rPr>
          <w:rFonts w:ascii="Arial" w:hAnsi="Arial" w:cs="Arial"/>
          <w:sz w:val="22"/>
          <w:szCs w:val="22"/>
        </w:rPr>
        <w:t>significantly</w:t>
      </w:r>
      <w:r w:rsidRPr="00837CF5">
        <w:rPr>
          <w:rFonts w:ascii="Arial" w:hAnsi="Arial" w:cs="Arial"/>
          <w:sz w:val="22"/>
          <w:szCs w:val="22"/>
        </w:rPr>
        <w:t xml:space="preserve"> improve both skills acquisition and psychological </w:t>
      </w:r>
      <w:r w:rsidR="003E648A">
        <w:rPr>
          <w:rFonts w:ascii="Arial" w:hAnsi="Arial" w:cs="Arial"/>
          <w:sz w:val="22"/>
          <w:szCs w:val="22"/>
        </w:rPr>
        <w:t>well-being</w:t>
      </w:r>
      <w:r w:rsidRPr="00837CF5">
        <w:rPr>
          <w:rFonts w:ascii="Arial" w:hAnsi="Arial" w:cs="Arial"/>
          <w:sz w:val="22"/>
          <w:szCs w:val="22"/>
        </w:rPr>
        <w:t xml:space="preserve">. In the context of residential care, </w:t>
      </w:r>
      <w:r w:rsidR="003E648A">
        <w:rPr>
          <w:rFonts w:ascii="Arial" w:hAnsi="Arial" w:cs="Arial"/>
          <w:sz w:val="22"/>
          <w:szCs w:val="22"/>
        </w:rPr>
        <w:t xml:space="preserve">the </w:t>
      </w:r>
      <w:r w:rsidRPr="00837CF5">
        <w:rPr>
          <w:rFonts w:ascii="Arial" w:hAnsi="Arial" w:cs="Arial"/>
          <w:sz w:val="22"/>
          <w:szCs w:val="22"/>
        </w:rPr>
        <w:t>ZPD created by Vygotsky provides practitioners with a pattern to develop person-</w:t>
      </w:r>
      <w:proofErr w:type="spellStart"/>
      <w:r w:rsidRPr="00837CF5">
        <w:rPr>
          <w:rFonts w:ascii="Arial" w:hAnsi="Arial" w:cs="Arial"/>
          <w:sz w:val="22"/>
          <w:szCs w:val="22"/>
        </w:rPr>
        <w:t>centred</w:t>
      </w:r>
      <w:proofErr w:type="spellEnd"/>
      <w:r w:rsidRPr="00837CF5">
        <w:rPr>
          <w:rFonts w:ascii="Arial" w:hAnsi="Arial" w:cs="Arial"/>
          <w:sz w:val="22"/>
          <w:szCs w:val="22"/>
        </w:rPr>
        <w:t xml:space="preserve"> activities that challenge but do not overwhelm the residents. But a clear shortcoming of the study is that it only involved adolescents</w:t>
      </w:r>
      <w:r w:rsidR="003E648A">
        <w:rPr>
          <w:rFonts w:ascii="Arial" w:hAnsi="Arial" w:cs="Arial"/>
          <w:sz w:val="22"/>
          <w:szCs w:val="22"/>
        </w:rPr>
        <w:t>,</w:t>
      </w:r>
      <w:r w:rsidRPr="00837CF5">
        <w:rPr>
          <w:rFonts w:ascii="Arial" w:hAnsi="Arial" w:cs="Arial"/>
          <w:sz w:val="22"/>
          <w:szCs w:val="22"/>
        </w:rPr>
        <w:t xml:space="preserve"> and it is unclear how the findings can be </w:t>
      </w:r>
      <w:proofErr w:type="spellStart"/>
      <w:r w:rsidR="007403E1">
        <w:rPr>
          <w:rFonts w:ascii="Arial" w:hAnsi="Arial" w:cs="Arial"/>
          <w:sz w:val="22"/>
          <w:szCs w:val="22"/>
        </w:rPr>
        <w:t>generalised</w:t>
      </w:r>
      <w:proofErr w:type="spellEnd"/>
      <w:r w:rsidRPr="00837CF5">
        <w:rPr>
          <w:rFonts w:ascii="Arial" w:hAnsi="Arial" w:cs="Arial"/>
          <w:sz w:val="22"/>
          <w:szCs w:val="22"/>
        </w:rPr>
        <w:t xml:space="preserve"> to older adults who might have very different development trajectories and cognitive abilities.</w:t>
      </w:r>
    </w:p>
    <w:p w14:paraId="35984F8A" w14:textId="6A282CBF" w:rsidR="000E556E" w:rsidRDefault="00A44DE6" w:rsidP="00A44DE6">
      <w:pPr>
        <w:spacing w:before="280" w:after="120" w:line="360" w:lineRule="auto"/>
        <w:jc w:val="both"/>
        <w:rPr>
          <w:rFonts w:ascii="Arial" w:eastAsia="Arial" w:hAnsi="Arial" w:cs="Arial"/>
          <w:sz w:val="22"/>
          <w:szCs w:val="22"/>
        </w:rPr>
      </w:pPr>
      <w:r w:rsidRPr="007272D2">
        <w:rPr>
          <w:rFonts w:ascii="Arial" w:eastAsia="Arial" w:hAnsi="Arial" w:cs="Arial"/>
          <w:b/>
          <w:bCs/>
          <w:sz w:val="22"/>
          <w:szCs w:val="22"/>
        </w:rPr>
        <w:t xml:space="preserve">Source 2: Vygotsky's Sociocultural </w:t>
      </w:r>
      <w:r w:rsidR="003E648A">
        <w:rPr>
          <w:rFonts w:ascii="Arial" w:eastAsia="Arial" w:hAnsi="Arial" w:cs="Arial"/>
          <w:b/>
          <w:bCs/>
          <w:sz w:val="22"/>
          <w:szCs w:val="22"/>
        </w:rPr>
        <w:t>Theory Reference</w:t>
      </w:r>
      <w:r w:rsidRPr="007272D2">
        <w:rPr>
          <w:rFonts w:ascii="Arial" w:eastAsia="Arial" w:hAnsi="Arial" w:cs="Arial"/>
          <w:b/>
          <w:bCs/>
          <w:sz w:val="22"/>
          <w:szCs w:val="22"/>
        </w:rPr>
        <w:t>:</w:t>
      </w:r>
    </w:p>
    <w:p w14:paraId="4AC1A20D" w14:textId="33EB5D71" w:rsidR="00A44DE6" w:rsidRPr="000E556E" w:rsidRDefault="0043047A" w:rsidP="00A44DE6">
      <w:pPr>
        <w:spacing w:before="280" w:after="120" w:line="360" w:lineRule="auto"/>
        <w:jc w:val="both"/>
        <w:rPr>
          <w:rFonts w:ascii="Arial" w:eastAsia="Arial" w:hAnsi="Arial" w:cs="Arial"/>
          <w:b/>
          <w:bCs/>
          <w:sz w:val="22"/>
          <w:szCs w:val="22"/>
        </w:rPr>
      </w:pPr>
      <w:r w:rsidRPr="007272D2">
        <w:rPr>
          <w:rFonts w:ascii="Arial" w:eastAsia="Arial" w:hAnsi="Arial" w:cs="Arial"/>
          <w:sz w:val="22"/>
          <w:szCs w:val="22"/>
        </w:rPr>
        <w:t>Bu and Fancourt</w:t>
      </w:r>
      <w:r w:rsidR="000E556E">
        <w:rPr>
          <w:rFonts w:ascii="Arial" w:eastAsia="Arial" w:hAnsi="Arial" w:cs="Arial"/>
          <w:sz w:val="22"/>
          <w:szCs w:val="22"/>
        </w:rPr>
        <w:t xml:space="preserve"> (</w:t>
      </w:r>
      <w:r w:rsidRPr="007272D2">
        <w:rPr>
          <w:rFonts w:ascii="Arial" w:eastAsia="Arial" w:hAnsi="Arial" w:cs="Arial"/>
          <w:sz w:val="22"/>
          <w:szCs w:val="22"/>
        </w:rPr>
        <w:t xml:space="preserve">2024) </w:t>
      </w:r>
      <w:r w:rsidR="00A44DE6" w:rsidRPr="007272D2">
        <w:rPr>
          <w:rFonts w:ascii="Arial" w:eastAsia="Arial" w:hAnsi="Arial" w:cs="Arial"/>
          <w:sz w:val="22"/>
          <w:szCs w:val="22"/>
        </w:rPr>
        <w:t xml:space="preserve">‘Patterns of social connection and their associations with health and wellbeing among older adults’, </w:t>
      </w:r>
      <w:r w:rsidR="00A44DE6" w:rsidRPr="007272D2">
        <w:rPr>
          <w:rFonts w:ascii="Arial" w:eastAsia="Arial" w:hAnsi="Arial" w:cs="Arial"/>
          <w:i/>
          <w:iCs/>
          <w:sz w:val="22"/>
          <w:szCs w:val="22"/>
        </w:rPr>
        <w:t>JAMA Network Open</w:t>
      </w:r>
      <w:r w:rsidR="00A44DE6" w:rsidRPr="007272D2">
        <w:rPr>
          <w:rFonts w:ascii="Arial" w:eastAsia="Arial" w:hAnsi="Arial" w:cs="Arial"/>
          <w:sz w:val="22"/>
          <w:szCs w:val="22"/>
        </w:rPr>
        <w:t>.</w:t>
      </w:r>
    </w:p>
    <w:p w14:paraId="0172A96A" w14:textId="3607D361" w:rsidR="00A44DE6" w:rsidRPr="007272D2" w:rsidRDefault="00A44DE6" w:rsidP="00A44DE6">
      <w:pPr>
        <w:spacing w:before="280" w:after="120" w:line="360" w:lineRule="auto"/>
        <w:jc w:val="both"/>
        <w:rPr>
          <w:rFonts w:ascii="Arial" w:eastAsia="Arial" w:hAnsi="Arial" w:cs="Arial"/>
          <w:sz w:val="22"/>
          <w:szCs w:val="22"/>
        </w:rPr>
      </w:pPr>
      <w:r w:rsidRPr="007272D2">
        <w:rPr>
          <w:rFonts w:ascii="Arial" w:eastAsia="Arial" w:hAnsi="Arial" w:cs="Arial"/>
          <w:b/>
          <w:bCs/>
          <w:sz w:val="22"/>
          <w:szCs w:val="22"/>
        </w:rPr>
        <w:lastRenderedPageBreak/>
        <w:t>Summary:</w:t>
      </w:r>
      <w:r w:rsidRPr="007272D2">
        <w:rPr>
          <w:rFonts w:ascii="Arial" w:eastAsia="Arial" w:hAnsi="Arial" w:cs="Arial"/>
          <w:sz w:val="22"/>
          <w:szCs w:val="22"/>
        </w:rPr>
        <w:br/>
      </w:r>
      <w:r w:rsidR="000E556E" w:rsidRPr="000E556E">
        <w:rPr>
          <w:rFonts w:ascii="Arial" w:eastAsia="Arial" w:hAnsi="Arial" w:cs="Arial"/>
          <w:sz w:val="22"/>
          <w:szCs w:val="22"/>
        </w:rPr>
        <w:t xml:space="preserve">Bu and Fancourt (2024) use the reports of </w:t>
      </w:r>
      <w:r w:rsidR="003E648A">
        <w:rPr>
          <w:rFonts w:ascii="Arial" w:eastAsia="Arial" w:hAnsi="Arial" w:cs="Arial"/>
          <w:sz w:val="22"/>
          <w:szCs w:val="22"/>
        </w:rPr>
        <w:t xml:space="preserve">the </w:t>
      </w:r>
      <w:r w:rsidR="000E556E" w:rsidRPr="000E556E">
        <w:rPr>
          <w:rFonts w:ascii="Arial" w:eastAsia="Arial" w:hAnsi="Arial" w:cs="Arial"/>
          <w:sz w:val="22"/>
          <w:szCs w:val="22"/>
        </w:rPr>
        <w:t xml:space="preserve">English Longitudinal Study of Ageing, which consider the degree of social connection as a variable in the impact of social connection on health and psychological </w:t>
      </w:r>
      <w:r w:rsidR="003E648A">
        <w:rPr>
          <w:rFonts w:ascii="Arial" w:eastAsia="Arial" w:hAnsi="Arial" w:cs="Arial"/>
          <w:sz w:val="22"/>
          <w:szCs w:val="22"/>
        </w:rPr>
        <w:t>well-being</w:t>
      </w:r>
      <w:r w:rsidR="000E556E" w:rsidRPr="000E556E">
        <w:rPr>
          <w:rFonts w:ascii="Arial" w:eastAsia="Arial" w:hAnsi="Arial" w:cs="Arial"/>
          <w:sz w:val="22"/>
          <w:szCs w:val="22"/>
        </w:rPr>
        <w:t xml:space="preserve"> among 50-year-old adults in the UK. The researchers define clear patterns of social interaction, showing that those who experience significant depths of social </w:t>
      </w:r>
      <w:r w:rsidR="003E648A">
        <w:rPr>
          <w:rFonts w:ascii="Arial" w:eastAsia="Arial" w:hAnsi="Arial" w:cs="Arial"/>
          <w:sz w:val="22"/>
          <w:szCs w:val="22"/>
        </w:rPr>
        <w:t>interaction</w:t>
      </w:r>
      <w:r w:rsidR="000E556E" w:rsidRPr="000E556E">
        <w:rPr>
          <w:rFonts w:ascii="Arial" w:eastAsia="Arial" w:hAnsi="Arial" w:cs="Arial"/>
          <w:sz w:val="22"/>
          <w:szCs w:val="22"/>
        </w:rPr>
        <w:t xml:space="preserve"> report a much healthier mind and body. On the other hand, social isolation is closely linked to more depression, cognitive </w:t>
      </w:r>
      <w:r w:rsidR="003E648A">
        <w:rPr>
          <w:rFonts w:ascii="Arial" w:eastAsia="Arial" w:hAnsi="Arial" w:cs="Arial"/>
          <w:sz w:val="22"/>
          <w:szCs w:val="22"/>
        </w:rPr>
        <w:t xml:space="preserve">impairment, </w:t>
      </w:r>
      <w:r w:rsidR="000E556E" w:rsidRPr="000E556E">
        <w:rPr>
          <w:rFonts w:ascii="Arial" w:eastAsia="Arial" w:hAnsi="Arial" w:cs="Arial"/>
          <w:sz w:val="22"/>
          <w:szCs w:val="22"/>
        </w:rPr>
        <w:t xml:space="preserve">and worse overall </w:t>
      </w:r>
      <w:r w:rsidR="003E648A">
        <w:rPr>
          <w:rFonts w:ascii="Arial" w:eastAsia="Arial" w:hAnsi="Arial" w:cs="Arial"/>
          <w:sz w:val="22"/>
          <w:szCs w:val="22"/>
        </w:rPr>
        <w:t>well-being</w:t>
      </w:r>
      <w:r w:rsidR="000E556E" w:rsidRPr="000E556E">
        <w:rPr>
          <w:rFonts w:ascii="Arial" w:eastAsia="Arial" w:hAnsi="Arial" w:cs="Arial"/>
          <w:sz w:val="22"/>
          <w:szCs w:val="22"/>
        </w:rPr>
        <w:t xml:space="preserve">. The results highlight that systemic and regular social association acts as </w:t>
      </w:r>
      <w:r w:rsidR="003E648A">
        <w:rPr>
          <w:rFonts w:ascii="Arial" w:eastAsia="Arial" w:hAnsi="Arial" w:cs="Arial"/>
          <w:sz w:val="22"/>
          <w:szCs w:val="22"/>
        </w:rPr>
        <w:t>a condition</w:t>
      </w:r>
      <w:r w:rsidR="000E556E" w:rsidRPr="000E556E">
        <w:rPr>
          <w:rFonts w:ascii="Arial" w:eastAsia="Arial" w:hAnsi="Arial" w:cs="Arial"/>
          <w:sz w:val="22"/>
          <w:szCs w:val="22"/>
        </w:rPr>
        <w:t xml:space="preserve"> important to the outcome of health later in life</w:t>
      </w:r>
      <w:r w:rsidR="003E648A">
        <w:rPr>
          <w:rFonts w:ascii="Arial" w:eastAsia="Arial" w:hAnsi="Arial" w:cs="Arial"/>
          <w:sz w:val="22"/>
          <w:szCs w:val="22"/>
        </w:rPr>
        <w:t>,</w:t>
      </w:r>
      <w:r w:rsidR="000E556E" w:rsidRPr="000E556E">
        <w:rPr>
          <w:rFonts w:ascii="Arial" w:eastAsia="Arial" w:hAnsi="Arial" w:cs="Arial"/>
          <w:sz w:val="22"/>
          <w:szCs w:val="22"/>
        </w:rPr>
        <w:t xml:space="preserve"> and the significance of environmental and relational surroundings in future </w:t>
      </w:r>
      <w:proofErr w:type="spellStart"/>
      <w:r w:rsidR="000E556E" w:rsidRPr="000E556E">
        <w:rPr>
          <w:rFonts w:ascii="Arial" w:eastAsia="Arial" w:hAnsi="Arial" w:cs="Arial"/>
          <w:sz w:val="22"/>
          <w:szCs w:val="22"/>
        </w:rPr>
        <w:t>behavioural</w:t>
      </w:r>
      <w:proofErr w:type="spellEnd"/>
      <w:r w:rsidR="000E556E" w:rsidRPr="000E556E">
        <w:rPr>
          <w:rFonts w:ascii="Arial" w:eastAsia="Arial" w:hAnsi="Arial" w:cs="Arial"/>
          <w:sz w:val="22"/>
          <w:szCs w:val="22"/>
        </w:rPr>
        <w:t xml:space="preserve"> and emotional </w:t>
      </w:r>
      <w:r w:rsidR="003E648A">
        <w:rPr>
          <w:rFonts w:ascii="Arial" w:eastAsia="Arial" w:hAnsi="Arial" w:cs="Arial"/>
          <w:sz w:val="22"/>
          <w:szCs w:val="22"/>
        </w:rPr>
        <w:t>outcomes</w:t>
      </w:r>
      <w:r w:rsidR="000E556E" w:rsidRPr="000E556E">
        <w:rPr>
          <w:rFonts w:ascii="Arial" w:eastAsia="Arial" w:hAnsi="Arial" w:cs="Arial"/>
          <w:sz w:val="22"/>
          <w:szCs w:val="22"/>
        </w:rPr>
        <w:t>.</w:t>
      </w:r>
    </w:p>
    <w:p w14:paraId="29CBA8E5" w14:textId="77777777" w:rsidR="00A44DE6" w:rsidRPr="007272D2" w:rsidRDefault="00A44DE6" w:rsidP="00A44DE6">
      <w:pPr>
        <w:spacing w:before="280" w:after="120" w:line="360" w:lineRule="auto"/>
        <w:jc w:val="both"/>
        <w:rPr>
          <w:rFonts w:ascii="Arial" w:eastAsia="Arial" w:hAnsi="Arial" w:cs="Arial"/>
          <w:sz w:val="22"/>
          <w:szCs w:val="22"/>
        </w:rPr>
      </w:pPr>
      <w:r w:rsidRPr="007272D2">
        <w:rPr>
          <w:rFonts w:ascii="Arial" w:eastAsia="Arial" w:hAnsi="Arial" w:cs="Arial"/>
          <w:b/>
          <w:bCs/>
          <w:sz w:val="22"/>
          <w:szCs w:val="22"/>
        </w:rPr>
        <w:t>Critical Comment:</w:t>
      </w:r>
    </w:p>
    <w:p w14:paraId="2CC61FE8" w14:textId="6FC50276" w:rsidR="00A44DE6" w:rsidRPr="007272D2" w:rsidRDefault="000E556E" w:rsidP="00C94CDF">
      <w:pPr>
        <w:spacing w:before="280" w:after="120" w:line="360" w:lineRule="auto"/>
        <w:jc w:val="both"/>
        <w:rPr>
          <w:rFonts w:ascii="Arial" w:eastAsia="Arial" w:hAnsi="Arial" w:cs="Arial"/>
          <w:sz w:val="22"/>
          <w:szCs w:val="22"/>
        </w:rPr>
      </w:pPr>
      <w:r w:rsidRPr="000E556E">
        <w:rPr>
          <w:rFonts w:ascii="Arial" w:eastAsia="Arial" w:hAnsi="Arial" w:cs="Arial"/>
          <w:sz w:val="22"/>
          <w:szCs w:val="22"/>
        </w:rPr>
        <w:t xml:space="preserve">This work is very applicable to the sociocultural theory of Vygotsky, since it also contains solid evidence based on the UK that shows that social interaction still holds the key to development as well as </w:t>
      </w:r>
      <w:r w:rsidR="003E648A">
        <w:rPr>
          <w:rFonts w:ascii="Arial" w:eastAsia="Arial" w:hAnsi="Arial" w:cs="Arial"/>
          <w:sz w:val="22"/>
          <w:szCs w:val="22"/>
        </w:rPr>
        <w:t>well-being</w:t>
      </w:r>
      <w:r w:rsidRPr="000E556E">
        <w:rPr>
          <w:rFonts w:ascii="Arial" w:eastAsia="Arial" w:hAnsi="Arial" w:cs="Arial"/>
          <w:sz w:val="22"/>
          <w:szCs w:val="22"/>
        </w:rPr>
        <w:t xml:space="preserve"> in old age. It justifies the idea of socially mediated learning in which interaction with people can serve as a scaffold to continue cognitive and emotional processes. Nonetheless, it is important to note that the study </w:t>
      </w:r>
      <w:proofErr w:type="spellStart"/>
      <w:r w:rsidR="003E648A">
        <w:rPr>
          <w:rFonts w:ascii="Arial" w:eastAsia="Arial" w:hAnsi="Arial" w:cs="Arial"/>
          <w:sz w:val="22"/>
          <w:szCs w:val="22"/>
        </w:rPr>
        <w:t>centres</w:t>
      </w:r>
      <w:proofErr w:type="spellEnd"/>
      <w:r w:rsidRPr="000E556E">
        <w:rPr>
          <w:rFonts w:ascii="Arial" w:eastAsia="Arial" w:hAnsi="Arial" w:cs="Arial"/>
          <w:sz w:val="22"/>
          <w:szCs w:val="22"/>
        </w:rPr>
        <w:t xml:space="preserve"> on observational relationships, as opposed to guided learning processes, preventing implementation in the Zone of Proximal Development.</w:t>
      </w:r>
    </w:p>
    <w:p w14:paraId="56472A8C" w14:textId="47B2ADE6" w:rsidR="007042BB" w:rsidRPr="007272D2" w:rsidRDefault="00000000" w:rsidP="00C94CDF">
      <w:pPr>
        <w:spacing w:before="280" w:after="120" w:line="360" w:lineRule="auto"/>
        <w:jc w:val="both"/>
        <w:rPr>
          <w:rFonts w:ascii="Arial" w:hAnsi="Arial" w:cs="Arial"/>
          <w:sz w:val="22"/>
          <w:szCs w:val="22"/>
        </w:rPr>
      </w:pPr>
      <w:r w:rsidRPr="007272D2">
        <w:rPr>
          <w:rFonts w:ascii="Arial" w:eastAsia="Arial" w:hAnsi="Arial" w:cs="Arial"/>
          <w:b/>
          <w:bCs/>
          <w:sz w:val="22"/>
          <w:szCs w:val="22"/>
        </w:rPr>
        <w:t>Source 3</w:t>
      </w:r>
      <w:r w:rsidR="00C94CDF" w:rsidRPr="007272D2">
        <w:rPr>
          <w:rFonts w:ascii="Arial" w:eastAsia="Arial" w:hAnsi="Arial" w:cs="Arial"/>
          <w:b/>
          <w:bCs/>
          <w:sz w:val="22"/>
          <w:szCs w:val="22"/>
        </w:rPr>
        <w:t>:</w:t>
      </w:r>
      <w:r w:rsidRPr="007272D2">
        <w:rPr>
          <w:rFonts w:ascii="Arial" w:eastAsia="Arial" w:hAnsi="Arial" w:cs="Arial"/>
          <w:b/>
          <w:bCs/>
          <w:sz w:val="22"/>
          <w:szCs w:val="22"/>
        </w:rPr>
        <w:t xml:space="preserve"> Bandura's Social Cognitive Theory</w:t>
      </w:r>
    </w:p>
    <w:p w14:paraId="0338313A"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Reference:</w:t>
      </w:r>
    </w:p>
    <w:p w14:paraId="1DC534EC" w14:textId="3F250338" w:rsidR="007042BB" w:rsidRPr="007272D2" w:rsidRDefault="00000000" w:rsidP="00C94CDF">
      <w:pPr>
        <w:spacing w:after="160" w:line="360" w:lineRule="auto"/>
        <w:jc w:val="both"/>
        <w:rPr>
          <w:rFonts w:ascii="Arial" w:hAnsi="Arial" w:cs="Arial"/>
          <w:sz w:val="22"/>
          <w:szCs w:val="22"/>
        </w:rPr>
      </w:pPr>
      <w:proofErr w:type="spellStart"/>
      <w:r w:rsidRPr="007272D2">
        <w:rPr>
          <w:rFonts w:ascii="Arial" w:eastAsia="Arial" w:hAnsi="Arial" w:cs="Arial"/>
          <w:i/>
          <w:iCs/>
          <w:sz w:val="22"/>
          <w:szCs w:val="22"/>
        </w:rPr>
        <w:t>Egele</w:t>
      </w:r>
      <w:proofErr w:type="spellEnd"/>
      <w:r w:rsidRPr="007272D2">
        <w:rPr>
          <w:rFonts w:ascii="Arial" w:eastAsia="Arial" w:hAnsi="Arial" w:cs="Arial"/>
          <w:i/>
          <w:iCs/>
          <w:sz w:val="22"/>
          <w:szCs w:val="22"/>
        </w:rPr>
        <w:t xml:space="preserve">, V.S., Klopp, E. and Stark, R. (2025) 'An empirical ranking of the importance of the sources of self-efficacy for physical activity', Health Psychology and </w:t>
      </w:r>
      <w:proofErr w:type="spellStart"/>
      <w:r w:rsidR="003E648A">
        <w:rPr>
          <w:rFonts w:ascii="Arial" w:eastAsia="Arial" w:hAnsi="Arial" w:cs="Arial"/>
          <w:i/>
          <w:iCs/>
          <w:sz w:val="22"/>
          <w:szCs w:val="22"/>
        </w:rPr>
        <w:t>Behavioural</w:t>
      </w:r>
      <w:proofErr w:type="spellEnd"/>
      <w:r w:rsidRPr="007272D2">
        <w:rPr>
          <w:rFonts w:ascii="Arial" w:eastAsia="Arial" w:hAnsi="Arial" w:cs="Arial"/>
          <w:i/>
          <w:iCs/>
          <w:sz w:val="22"/>
          <w:szCs w:val="22"/>
        </w:rPr>
        <w:t xml:space="preserve"> Medicine, 13(1), 2567322. doi:10.1080/21642850.2025.2567322.</w:t>
      </w:r>
    </w:p>
    <w:p w14:paraId="318BF3B7"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Summary:</w:t>
      </w:r>
    </w:p>
    <w:p w14:paraId="611183E0" w14:textId="52122857" w:rsidR="007042BB" w:rsidRPr="007272D2" w:rsidRDefault="00DB4BC6" w:rsidP="00C94CDF">
      <w:pPr>
        <w:spacing w:after="240" w:line="360" w:lineRule="auto"/>
        <w:jc w:val="both"/>
        <w:rPr>
          <w:rFonts w:ascii="Arial" w:hAnsi="Arial" w:cs="Arial"/>
          <w:sz w:val="22"/>
          <w:szCs w:val="22"/>
        </w:rPr>
      </w:pPr>
      <w:r w:rsidRPr="00DB4BC6">
        <w:rPr>
          <w:rFonts w:ascii="Arial" w:hAnsi="Arial" w:cs="Arial"/>
          <w:sz w:val="22"/>
          <w:szCs w:val="22"/>
        </w:rPr>
        <w:t xml:space="preserve">The empirical study, by </w:t>
      </w:r>
      <w:proofErr w:type="spellStart"/>
      <w:r w:rsidRPr="00DB4BC6">
        <w:rPr>
          <w:rFonts w:ascii="Arial" w:hAnsi="Arial" w:cs="Arial"/>
          <w:sz w:val="22"/>
          <w:szCs w:val="22"/>
        </w:rPr>
        <w:t>Egele</w:t>
      </w:r>
      <w:proofErr w:type="spellEnd"/>
      <w:r w:rsidRPr="00DB4BC6">
        <w:rPr>
          <w:rFonts w:ascii="Arial" w:hAnsi="Arial" w:cs="Arial"/>
          <w:sz w:val="22"/>
          <w:szCs w:val="22"/>
        </w:rPr>
        <w:t>, Klopp and Stark (2025), aims to test the relative significance of the four sources of self-efficacy</w:t>
      </w:r>
      <w:r w:rsidR="003E648A">
        <w:rPr>
          <w:rFonts w:ascii="Arial" w:hAnsi="Arial" w:cs="Arial"/>
          <w:sz w:val="22"/>
          <w:szCs w:val="22"/>
        </w:rPr>
        <w:t>:</w:t>
      </w:r>
      <w:r w:rsidRPr="00DB4BC6">
        <w:rPr>
          <w:rFonts w:ascii="Arial" w:hAnsi="Arial" w:cs="Arial"/>
          <w:sz w:val="22"/>
          <w:szCs w:val="22"/>
        </w:rPr>
        <w:t xml:space="preserve"> mastery experience, vicarious experience, verbal persuasion and physiological/emotional state</w:t>
      </w:r>
      <w:r w:rsidR="003E648A">
        <w:rPr>
          <w:rFonts w:ascii="Arial" w:hAnsi="Arial" w:cs="Arial"/>
          <w:sz w:val="22"/>
          <w:szCs w:val="22"/>
        </w:rPr>
        <w:t>,</w:t>
      </w:r>
      <w:r w:rsidRPr="00DB4BC6">
        <w:rPr>
          <w:rFonts w:ascii="Arial" w:hAnsi="Arial" w:cs="Arial"/>
          <w:sz w:val="22"/>
          <w:szCs w:val="22"/>
        </w:rPr>
        <w:t xml:space="preserve"> to assess their significance to </w:t>
      </w:r>
      <w:proofErr w:type="spellStart"/>
      <w:r w:rsidRPr="00DB4BC6">
        <w:rPr>
          <w:rFonts w:ascii="Arial" w:hAnsi="Arial" w:cs="Arial"/>
          <w:sz w:val="22"/>
          <w:szCs w:val="22"/>
        </w:rPr>
        <w:t>behaviour</w:t>
      </w:r>
      <w:proofErr w:type="spellEnd"/>
      <w:r w:rsidRPr="00DB4BC6">
        <w:rPr>
          <w:rFonts w:ascii="Arial" w:hAnsi="Arial" w:cs="Arial"/>
          <w:sz w:val="22"/>
          <w:szCs w:val="22"/>
        </w:rPr>
        <w:t xml:space="preserve">. </w:t>
      </w:r>
      <w:proofErr w:type="spellStart"/>
      <w:r w:rsidR="003E648A">
        <w:rPr>
          <w:rFonts w:ascii="Arial" w:hAnsi="Arial" w:cs="Arial"/>
          <w:sz w:val="22"/>
          <w:szCs w:val="22"/>
        </w:rPr>
        <w:t>Analysing</w:t>
      </w:r>
      <w:proofErr w:type="spellEnd"/>
      <w:r w:rsidRPr="00DB4BC6">
        <w:rPr>
          <w:rFonts w:ascii="Arial" w:hAnsi="Arial" w:cs="Arial"/>
          <w:sz w:val="22"/>
          <w:szCs w:val="22"/>
        </w:rPr>
        <w:t xml:space="preserve"> dominance in 335 German adults, the researchers prove mastery experience to be the strongest source of self-efficacy, having a stronger effect than verbal self-persuasion and positive affective states. The results indicate that people who build up direct experience of success grow more self-efficacy </w:t>
      </w:r>
      <w:r w:rsidR="003E648A">
        <w:rPr>
          <w:rFonts w:ascii="Arial" w:hAnsi="Arial" w:cs="Arial"/>
          <w:sz w:val="22"/>
          <w:szCs w:val="22"/>
        </w:rPr>
        <w:t>beliefs,</w:t>
      </w:r>
      <w:r w:rsidRPr="00DB4BC6">
        <w:rPr>
          <w:rFonts w:ascii="Arial" w:hAnsi="Arial" w:cs="Arial"/>
          <w:sz w:val="22"/>
          <w:szCs w:val="22"/>
        </w:rPr>
        <w:t xml:space="preserve"> which in fact support healthy </w:t>
      </w:r>
      <w:proofErr w:type="spellStart"/>
      <w:r w:rsidRPr="00DB4BC6">
        <w:rPr>
          <w:rFonts w:ascii="Arial" w:hAnsi="Arial" w:cs="Arial"/>
          <w:sz w:val="22"/>
          <w:szCs w:val="22"/>
        </w:rPr>
        <w:t>behavioural</w:t>
      </w:r>
      <w:proofErr w:type="spellEnd"/>
      <w:r w:rsidRPr="00DB4BC6">
        <w:rPr>
          <w:rFonts w:ascii="Arial" w:hAnsi="Arial" w:cs="Arial"/>
          <w:sz w:val="22"/>
          <w:szCs w:val="22"/>
        </w:rPr>
        <w:t xml:space="preserve"> patterns. The combination of the four sources explained about 60% of the variation in self-efficacy, highlighting the empirical soundness of the theory.</w:t>
      </w:r>
    </w:p>
    <w:p w14:paraId="77FD24C1"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lastRenderedPageBreak/>
        <w:t>Critical Comment:</w:t>
      </w:r>
    </w:p>
    <w:p w14:paraId="24F394BB" w14:textId="1A2FA1D9" w:rsidR="007042BB" w:rsidRPr="007272D2" w:rsidRDefault="00A35530" w:rsidP="00C94CDF">
      <w:pPr>
        <w:spacing w:after="240" w:line="360" w:lineRule="auto"/>
        <w:jc w:val="both"/>
        <w:rPr>
          <w:rFonts w:ascii="Arial" w:hAnsi="Arial" w:cs="Arial"/>
          <w:sz w:val="22"/>
          <w:szCs w:val="22"/>
        </w:rPr>
      </w:pPr>
      <w:r w:rsidRPr="00A35530">
        <w:rPr>
          <w:rFonts w:ascii="Arial" w:hAnsi="Arial" w:cs="Arial"/>
          <w:sz w:val="22"/>
          <w:szCs w:val="22"/>
        </w:rPr>
        <w:t>This source is quite applicable to older adult care because it offers empirical data showing that self-efficacy could be promoted by mastery-based and deliberate interventions that can directly be translated to the care home practice</w:t>
      </w:r>
      <w:r w:rsidR="003E648A">
        <w:rPr>
          <w:rFonts w:ascii="Arial" w:hAnsi="Arial" w:cs="Arial"/>
          <w:sz w:val="22"/>
          <w:szCs w:val="22"/>
        </w:rPr>
        <w:t>,</w:t>
      </w:r>
      <w:r w:rsidRPr="00A35530">
        <w:rPr>
          <w:rFonts w:ascii="Arial" w:hAnsi="Arial" w:cs="Arial"/>
          <w:sz w:val="22"/>
          <w:szCs w:val="22"/>
        </w:rPr>
        <w:t xml:space="preserve"> where the residents might lack confidence in their capabilities. Through these findings, care staff can create activities to provide attainable successes</w:t>
      </w:r>
      <w:r w:rsidR="003E648A">
        <w:rPr>
          <w:rFonts w:ascii="Arial" w:hAnsi="Arial" w:cs="Arial"/>
          <w:sz w:val="22"/>
          <w:szCs w:val="22"/>
        </w:rPr>
        <w:t>,</w:t>
      </w:r>
      <w:r w:rsidRPr="00A35530">
        <w:rPr>
          <w:rFonts w:ascii="Arial" w:hAnsi="Arial" w:cs="Arial"/>
          <w:sz w:val="22"/>
          <w:szCs w:val="22"/>
        </w:rPr>
        <w:t xml:space="preserve"> which in turn will help restore competence and motivation in the residents. The sample of the study, however, was represented by young healthy German adults, and it is unclear how this sample relates to the elderly with some form of cognitive decline, chronic disease or social isolation</w:t>
      </w:r>
      <w:r w:rsidR="003E648A">
        <w:rPr>
          <w:rFonts w:ascii="Arial" w:hAnsi="Arial" w:cs="Arial"/>
          <w:sz w:val="22"/>
          <w:szCs w:val="22"/>
        </w:rPr>
        <w:t>,</w:t>
      </w:r>
      <w:r w:rsidRPr="00A35530">
        <w:rPr>
          <w:rFonts w:ascii="Arial" w:hAnsi="Arial" w:cs="Arial"/>
          <w:sz w:val="22"/>
          <w:szCs w:val="22"/>
        </w:rPr>
        <w:t xml:space="preserve"> which </w:t>
      </w:r>
      <w:r w:rsidR="003E648A">
        <w:rPr>
          <w:rFonts w:ascii="Arial" w:hAnsi="Arial" w:cs="Arial"/>
          <w:sz w:val="22"/>
          <w:szCs w:val="22"/>
        </w:rPr>
        <w:t>does not even</w:t>
      </w:r>
      <w:r w:rsidRPr="00A35530">
        <w:rPr>
          <w:rFonts w:ascii="Arial" w:hAnsi="Arial" w:cs="Arial"/>
          <w:sz w:val="22"/>
          <w:szCs w:val="22"/>
        </w:rPr>
        <w:t xml:space="preserve"> rule out the fact that some of their conclusions can be made</w:t>
      </w:r>
      <w:r w:rsidR="003E648A">
        <w:rPr>
          <w:rFonts w:ascii="Arial" w:hAnsi="Arial" w:cs="Arial"/>
          <w:sz w:val="22"/>
          <w:szCs w:val="22"/>
        </w:rPr>
        <w:t>,</w:t>
      </w:r>
      <w:r w:rsidRPr="00A35530">
        <w:rPr>
          <w:rFonts w:ascii="Arial" w:hAnsi="Arial" w:cs="Arial"/>
          <w:sz w:val="22"/>
          <w:szCs w:val="22"/>
        </w:rPr>
        <w:t xml:space="preserve"> but some replications in </w:t>
      </w:r>
      <w:r w:rsidR="003E648A">
        <w:rPr>
          <w:rFonts w:ascii="Arial" w:hAnsi="Arial" w:cs="Arial"/>
          <w:sz w:val="22"/>
          <w:szCs w:val="22"/>
        </w:rPr>
        <w:t xml:space="preserve">the </w:t>
      </w:r>
      <w:r w:rsidRPr="00A35530">
        <w:rPr>
          <w:rFonts w:ascii="Arial" w:hAnsi="Arial" w:cs="Arial"/>
          <w:sz w:val="22"/>
          <w:szCs w:val="22"/>
        </w:rPr>
        <w:t>geriatric care population are needed.</w:t>
      </w:r>
    </w:p>
    <w:p w14:paraId="2F9D8C06" w14:textId="57E4E941" w:rsidR="007042BB" w:rsidRPr="007272D2" w:rsidRDefault="00000000" w:rsidP="00C94CDF">
      <w:pPr>
        <w:spacing w:before="280" w:after="120" w:line="360" w:lineRule="auto"/>
        <w:jc w:val="both"/>
        <w:rPr>
          <w:rFonts w:ascii="Arial" w:hAnsi="Arial" w:cs="Arial"/>
          <w:sz w:val="22"/>
          <w:szCs w:val="22"/>
        </w:rPr>
      </w:pPr>
      <w:r w:rsidRPr="007272D2">
        <w:rPr>
          <w:rFonts w:ascii="Arial" w:eastAsia="Arial" w:hAnsi="Arial" w:cs="Arial"/>
          <w:b/>
          <w:bCs/>
          <w:sz w:val="22"/>
          <w:szCs w:val="22"/>
        </w:rPr>
        <w:t>Source 4</w:t>
      </w:r>
      <w:r w:rsidR="00C94CDF" w:rsidRPr="007272D2">
        <w:rPr>
          <w:rFonts w:ascii="Arial" w:eastAsia="Arial" w:hAnsi="Arial" w:cs="Arial"/>
          <w:b/>
          <w:bCs/>
          <w:sz w:val="22"/>
          <w:szCs w:val="22"/>
        </w:rPr>
        <w:t>:</w:t>
      </w:r>
      <w:r w:rsidRPr="007272D2">
        <w:rPr>
          <w:rFonts w:ascii="Arial" w:eastAsia="Arial" w:hAnsi="Arial" w:cs="Arial"/>
          <w:b/>
          <w:bCs/>
          <w:sz w:val="22"/>
          <w:szCs w:val="22"/>
        </w:rPr>
        <w:t xml:space="preserve"> Bandura's Social Cognitive Theory</w:t>
      </w:r>
    </w:p>
    <w:p w14:paraId="4A117D99"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Reference:</w:t>
      </w:r>
    </w:p>
    <w:p w14:paraId="1C0C31FF" w14:textId="77777777" w:rsidR="007042BB" w:rsidRPr="007272D2" w:rsidRDefault="00000000" w:rsidP="00C94CDF">
      <w:pPr>
        <w:spacing w:after="160" w:line="360" w:lineRule="auto"/>
        <w:jc w:val="both"/>
        <w:rPr>
          <w:rFonts w:ascii="Arial" w:hAnsi="Arial" w:cs="Arial"/>
          <w:sz w:val="22"/>
          <w:szCs w:val="22"/>
        </w:rPr>
      </w:pPr>
      <w:r w:rsidRPr="007272D2">
        <w:rPr>
          <w:rFonts w:ascii="Arial" w:eastAsia="Arial" w:hAnsi="Arial" w:cs="Arial"/>
          <w:i/>
          <w:iCs/>
          <w:sz w:val="22"/>
          <w:szCs w:val="22"/>
        </w:rPr>
        <w:t>Honicke, T., Broadbent, J. and Fuller-Tyszkiewicz, M. (2023) 'The self-efficacy and academic performance reciprocal relationship: the influence of task difficulty and baseline achievement on learner trajectory', Higher Education Research and Development, 42(8), pp. 1936–1953. doi:10.1080/07294360.2023.2197194.</w:t>
      </w:r>
    </w:p>
    <w:p w14:paraId="1AE6CE31"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Summary:</w:t>
      </w:r>
    </w:p>
    <w:p w14:paraId="2380FD60" w14:textId="16133B16" w:rsidR="007042BB" w:rsidRPr="007272D2" w:rsidRDefault="003E3E5C" w:rsidP="00C94CDF">
      <w:pPr>
        <w:spacing w:after="240" w:line="360" w:lineRule="auto"/>
        <w:jc w:val="both"/>
        <w:rPr>
          <w:rFonts w:ascii="Arial" w:hAnsi="Arial" w:cs="Arial"/>
          <w:sz w:val="22"/>
          <w:szCs w:val="22"/>
        </w:rPr>
      </w:pPr>
      <w:r w:rsidRPr="003E3E5C">
        <w:rPr>
          <w:rFonts w:ascii="Arial" w:hAnsi="Arial" w:cs="Arial"/>
          <w:sz w:val="22"/>
          <w:szCs w:val="22"/>
        </w:rPr>
        <w:t>Honicke, Broadbent and Fuller-Tyszkiewicz (2023) study this theory offered by Bandura, which is reciprocal determinism, and how self-efficacy and performance can impact one another, over time. The study employed a longitudinal experimental design consisting of 261 university students</w:t>
      </w:r>
      <w:r w:rsidR="003E648A">
        <w:rPr>
          <w:rFonts w:ascii="Arial" w:hAnsi="Arial" w:cs="Arial"/>
          <w:sz w:val="22"/>
          <w:szCs w:val="22"/>
        </w:rPr>
        <w:t>, which</w:t>
      </w:r>
      <w:r w:rsidRPr="003E3E5C">
        <w:rPr>
          <w:rFonts w:ascii="Arial" w:hAnsi="Arial" w:cs="Arial"/>
          <w:sz w:val="22"/>
          <w:szCs w:val="22"/>
        </w:rPr>
        <w:t xml:space="preserve"> revealed that previous performance always and positively predicted subsequent self-efficacy, which supports the argument made by Bandura (1997) that mastery of experience is the strongest source of efficacy beliefs. Notably, the experiment indicates that initially low-performers can recuperate and develop self-efficacy amid scaffolded task achievement</w:t>
      </w:r>
      <w:r w:rsidR="003E648A">
        <w:rPr>
          <w:rFonts w:ascii="Arial" w:hAnsi="Arial" w:cs="Arial"/>
          <w:sz w:val="22"/>
          <w:szCs w:val="22"/>
        </w:rPr>
        <w:t>,</w:t>
      </w:r>
      <w:r w:rsidRPr="003E3E5C">
        <w:rPr>
          <w:rFonts w:ascii="Arial" w:hAnsi="Arial" w:cs="Arial"/>
          <w:sz w:val="22"/>
          <w:szCs w:val="22"/>
        </w:rPr>
        <w:t xml:space="preserve"> a procedure the researchers term a rebound effect</w:t>
      </w:r>
      <w:r w:rsidR="003E648A">
        <w:rPr>
          <w:rFonts w:ascii="Arial" w:hAnsi="Arial" w:cs="Arial"/>
          <w:sz w:val="22"/>
          <w:szCs w:val="22"/>
        </w:rPr>
        <w:t>,</w:t>
      </w:r>
      <w:r w:rsidRPr="003E3E5C">
        <w:rPr>
          <w:rFonts w:ascii="Arial" w:hAnsi="Arial" w:cs="Arial"/>
          <w:sz w:val="22"/>
          <w:szCs w:val="22"/>
        </w:rPr>
        <w:t xml:space="preserve"> in </w:t>
      </w:r>
      <w:proofErr w:type="spellStart"/>
      <w:r w:rsidR="003E648A">
        <w:rPr>
          <w:rFonts w:ascii="Arial" w:hAnsi="Arial" w:cs="Arial"/>
          <w:sz w:val="22"/>
          <w:szCs w:val="22"/>
        </w:rPr>
        <w:t>emphasising</w:t>
      </w:r>
      <w:proofErr w:type="spellEnd"/>
      <w:r w:rsidRPr="003E3E5C">
        <w:rPr>
          <w:rFonts w:ascii="Arial" w:hAnsi="Arial" w:cs="Arial"/>
          <w:sz w:val="22"/>
          <w:szCs w:val="22"/>
        </w:rPr>
        <w:t xml:space="preserve"> cumulative experience effects on confidence patterns.</w:t>
      </w:r>
    </w:p>
    <w:p w14:paraId="268521F8" w14:textId="77777777" w:rsidR="007042BB" w:rsidRPr="007272D2" w:rsidRDefault="00000000" w:rsidP="00C94CDF">
      <w:pPr>
        <w:spacing w:after="120" w:line="360" w:lineRule="auto"/>
        <w:jc w:val="both"/>
        <w:rPr>
          <w:rFonts w:ascii="Arial" w:hAnsi="Arial" w:cs="Arial"/>
          <w:sz w:val="22"/>
          <w:szCs w:val="22"/>
        </w:rPr>
      </w:pPr>
      <w:r w:rsidRPr="007272D2">
        <w:rPr>
          <w:rFonts w:ascii="Arial" w:eastAsia="Arial" w:hAnsi="Arial" w:cs="Arial"/>
          <w:b/>
          <w:bCs/>
          <w:sz w:val="22"/>
          <w:szCs w:val="22"/>
        </w:rPr>
        <w:t>Critical Comment:</w:t>
      </w:r>
    </w:p>
    <w:p w14:paraId="5C74F59E" w14:textId="285FEA16" w:rsidR="007042BB" w:rsidRPr="007272D2" w:rsidRDefault="00000000" w:rsidP="00C94CDF">
      <w:pPr>
        <w:spacing w:after="240" w:line="360" w:lineRule="auto"/>
        <w:jc w:val="both"/>
        <w:rPr>
          <w:rFonts w:ascii="Arial" w:hAnsi="Arial" w:cs="Arial"/>
          <w:sz w:val="22"/>
          <w:szCs w:val="22"/>
        </w:rPr>
      </w:pPr>
      <w:r w:rsidRPr="007272D2">
        <w:rPr>
          <w:rFonts w:ascii="Arial" w:eastAsia="Arial" w:hAnsi="Arial" w:cs="Arial"/>
          <w:sz w:val="22"/>
          <w:szCs w:val="22"/>
        </w:rPr>
        <w:t xml:space="preserve">Although conducted within an academic setting, the core findings of </w:t>
      </w:r>
      <w:proofErr w:type="spellStart"/>
      <w:r w:rsidRPr="007272D2">
        <w:rPr>
          <w:rFonts w:ascii="Arial" w:eastAsia="Arial" w:hAnsi="Arial" w:cs="Arial"/>
          <w:sz w:val="22"/>
          <w:szCs w:val="22"/>
        </w:rPr>
        <w:t>Honicke</w:t>
      </w:r>
      <w:proofErr w:type="spellEnd"/>
      <w:r w:rsidRPr="007272D2">
        <w:rPr>
          <w:rFonts w:ascii="Arial" w:eastAsia="Arial" w:hAnsi="Arial" w:cs="Arial"/>
          <w:sz w:val="22"/>
          <w:szCs w:val="22"/>
        </w:rPr>
        <w:t xml:space="preserve"> et al. (2023) have meaningful implications for older adult care. The concept of reciprocal determinism suggests that small, structured achievements can set in motion a positive cycle of growing confidence and capability directly applicable to residents in care homes who may have lost confidence following illness or relocation. However, the study's exclusive focus on university students significantly limits direct transferability to health and social care contexts. Factors unique to </w:t>
      </w:r>
      <w:r w:rsidRPr="007272D2">
        <w:rPr>
          <w:rFonts w:ascii="Arial" w:eastAsia="Arial" w:hAnsi="Arial" w:cs="Arial"/>
          <w:sz w:val="22"/>
          <w:szCs w:val="22"/>
        </w:rPr>
        <w:lastRenderedPageBreak/>
        <w:t>older adults, such as dementia, physical frailty and grief, are not addressed, meaning practitioners must apply these findings cautiously and in conjunction with additional evidence.</w:t>
      </w:r>
    </w:p>
    <w:p w14:paraId="3E8AC129" w14:textId="77777777" w:rsidR="007272D2" w:rsidRDefault="007272D2">
      <w:pPr>
        <w:rPr>
          <w:rFonts w:ascii="Arial" w:hAnsi="Arial" w:cs="Arial"/>
          <w:sz w:val="22"/>
          <w:szCs w:val="22"/>
        </w:rPr>
      </w:pPr>
      <w:r>
        <w:rPr>
          <w:rFonts w:ascii="Arial" w:hAnsi="Arial" w:cs="Arial"/>
          <w:sz w:val="22"/>
          <w:szCs w:val="22"/>
        </w:rPr>
        <w:br w:type="page"/>
      </w:r>
    </w:p>
    <w:p w14:paraId="212B460A" w14:textId="5C157733" w:rsidR="007042BB" w:rsidRPr="0097234D" w:rsidRDefault="00000000" w:rsidP="00C94CDF">
      <w:pPr>
        <w:spacing w:before="360" w:after="180" w:line="360" w:lineRule="auto"/>
        <w:jc w:val="both"/>
        <w:rPr>
          <w:rFonts w:ascii="Arial" w:hAnsi="Arial" w:cs="Arial"/>
          <w:sz w:val="28"/>
          <w:szCs w:val="28"/>
        </w:rPr>
      </w:pPr>
      <w:r w:rsidRPr="0097234D">
        <w:rPr>
          <w:rFonts w:ascii="Arial" w:eastAsia="Arial" w:hAnsi="Arial" w:cs="Arial"/>
          <w:b/>
          <w:bCs/>
          <w:sz w:val="28"/>
          <w:szCs w:val="28"/>
        </w:rPr>
        <w:lastRenderedPageBreak/>
        <w:t>PART B: SHORT REPORT</w:t>
      </w:r>
    </w:p>
    <w:p w14:paraId="142AA9A7" w14:textId="713FDC2C" w:rsidR="007042BB" w:rsidRPr="007272D2" w:rsidRDefault="00000000" w:rsidP="00C94CDF">
      <w:pPr>
        <w:spacing w:after="100" w:line="360" w:lineRule="auto"/>
        <w:jc w:val="both"/>
        <w:rPr>
          <w:rFonts w:ascii="Arial" w:hAnsi="Arial" w:cs="Arial"/>
          <w:sz w:val="22"/>
          <w:szCs w:val="22"/>
        </w:rPr>
      </w:pPr>
      <w:r w:rsidRPr="007272D2">
        <w:rPr>
          <w:rFonts w:ascii="Arial" w:eastAsia="Arial" w:hAnsi="Arial" w:cs="Arial"/>
          <w:sz w:val="22"/>
          <w:szCs w:val="22"/>
        </w:rPr>
        <w:t xml:space="preserve">Applying Bandura's Social Cognitive Theory to Improve Psychological </w:t>
      </w:r>
      <w:r w:rsidR="003E648A">
        <w:rPr>
          <w:rFonts w:ascii="Arial" w:eastAsia="Arial" w:hAnsi="Arial" w:cs="Arial"/>
          <w:sz w:val="22"/>
          <w:szCs w:val="22"/>
        </w:rPr>
        <w:t>Well-being</w:t>
      </w:r>
      <w:r w:rsidRPr="007272D2">
        <w:rPr>
          <w:rFonts w:ascii="Arial" w:eastAsia="Arial" w:hAnsi="Arial" w:cs="Arial"/>
          <w:sz w:val="22"/>
          <w:szCs w:val="22"/>
        </w:rPr>
        <w:t xml:space="preserve"> in Older Adults Living in Residential Care</w:t>
      </w:r>
    </w:p>
    <w:p w14:paraId="7F7DDF64" w14:textId="6C210F5E" w:rsidR="007042BB" w:rsidRPr="007272D2" w:rsidRDefault="00000000" w:rsidP="007272D2">
      <w:pPr>
        <w:spacing w:after="160" w:line="360" w:lineRule="auto"/>
        <w:jc w:val="both"/>
        <w:rPr>
          <w:rFonts w:ascii="Arial" w:hAnsi="Arial" w:cs="Arial"/>
          <w:sz w:val="22"/>
          <w:szCs w:val="22"/>
        </w:rPr>
      </w:pPr>
      <w:r w:rsidRPr="007272D2">
        <w:rPr>
          <w:rFonts w:ascii="Arial" w:eastAsia="Arial" w:hAnsi="Arial" w:cs="Arial"/>
          <w:i/>
          <w:iCs/>
          <w:sz w:val="22"/>
          <w:szCs w:val="22"/>
        </w:rPr>
        <w:t>Prepared for Health and Social Care Professionals in Older Adult Residential Settings</w:t>
      </w:r>
    </w:p>
    <w:p w14:paraId="1AEFF844" w14:textId="2B1100F3" w:rsidR="007042BB" w:rsidRPr="0097234D" w:rsidRDefault="00000000" w:rsidP="007272D2">
      <w:pPr>
        <w:pStyle w:val="ListParagraph"/>
        <w:numPr>
          <w:ilvl w:val="0"/>
          <w:numId w:val="2"/>
        </w:numPr>
        <w:spacing w:before="280" w:after="120" w:line="360" w:lineRule="auto"/>
        <w:jc w:val="both"/>
        <w:rPr>
          <w:rFonts w:ascii="Arial" w:eastAsia="Arial" w:hAnsi="Arial" w:cs="Arial"/>
          <w:b/>
          <w:bCs/>
          <w:sz w:val="24"/>
          <w:szCs w:val="24"/>
        </w:rPr>
      </w:pPr>
      <w:r w:rsidRPr="0097234D">
        <w:rPr>
          <w:rFonts w:ascii="Arial" w:eastAsia="Arial" w:hAnsi="Arial" w:cs="Arial"/>
          <w:b/>
          <w:bCs/>
          <w:sz w:val="24"/>
          <w:szCs w:val="24"/>
        </w:rPr>
        <w:t>Introduction: Bandura's Social Cognitive Theory</w:t>
      </w:r>
    </w:p>
    <w:p w14:paraId="3E8D6C33" w14:textId="68190762" w:rsidR="007272D2" w:rsidRPr="007272D2" w:rsidRDefault="007272D2" w:rsidP="007272D2">
      <w:pPr>
        <w:spacing w:before="280" w:after="120" w:line="360" w:lineRule="auto"/>
        <w:jc w:val="both"/>
        <w:rPr>
          <w:rFonts w:ascii="Arial" w:hAnsi="Arial" w:cs="Arial"/>
          <w:sz w:val="22"/>
          <w:szCs w:val="22"/>
        </w:rPr>
      </w:pPr>
      <w:r w:rsidRPr="007272D2">
        <w:rPr>
          <w:rFonts w:ascii="Arial" w:hAnsi="Arial" w:cs="Arial"/>
          <w:sz w:val="22"/>
          <w:szCs w:val="22"/>
        </w:rPr>
        <w:t xml:space="preserve">According to Bandura (1997), a dynamic interaction between the personal, environmental and </w:t>
      </w:r>
      <w:proofErr w:type="spellStart"/>
      <w:r w:rsidRPr="007272D2">
        <w:rPr>
          <w:rFonts w:ascii="Arial" w:hAnsi="Arial" w:cs="Arial"/>
          <w:sz w:val="22"/>
          <w:szCs w:val="22"/>
        </w:rPr>
        <w:t>behavioural</w:t>
      </w:r>
      <w:proofErr w:type="spellEnd"/>
      <w:r w:rsidRPr="007272D2">
        <w:rPr>
          <w:rFonts w:ascii="Arial" w:hAnsi="Arial" w:cs="Arial"/>
          <w:sz w:val="22"/>
          <w:szCs w:val="22"/>
        </w:rPr>
        <w:t xml:space="preserve"> factors shapes human conduct in what he has described as reciprocal determinism in his Social Cognitive Theory. The key aspect of this theory is that of self-efficacy</w:t>
      </w:r>
      <w:r w:rsidR="003E648A">
        <w:rPr>
          <w:rFonts w:ascii="Arial" w:hAnsi="Arial" w:cs="Arial"/>
          <w:sz w:val="22"/>
          <w:szCs w:val="22"/>
        </w:rPr>
        <w:t>,</w:t>
      </w:r>
      <w:r w:rsidRPr="007272D2">
        <w:rPr>
          <w:rFonts w:ascii="Arial" w:hAnsi="Arial" w:cs="Arial"/>
          <w:sz w:val="22"/>
          <w:szCs w:val="22"/>
        </w:rPr>
        <w:t xml:space="preserve"> which is described as a belief held by an individual about their ability to perform the </w:t>
      </w:r>
      <w:proofErr w:type="spellStart"/>
      <w:r w:rsidR="003E648A">
        <w:rPr>
          <w:rFonts w:ascii="Arial" w:hAnsi="Arial" w:cs="Arial"/>
          <w:sz w:val="22"/>
          <w:szCs w:val="22"/>
        </w:rPr>
        <w:t>behaviours</w:t>
      </w:r>
      <w:proofErr w:type="spellEnd"/>
      <w:r w:rsidRPr="007272D2">
        <w:rPr>
          <w:rFonts w:ascii="Arial" w:hAnsi="Arial" w:cs="Arial"/>
          <w:sz w:val="22"/>
          <w:szCs w:val="22"/>
        </w:rPr>
        <w:t xml:space="preserve"> needed in attaining a desired outcome. Bandura has then outlined four main channels of self-efficacy beliefs development: mastery experience (direct personal success), vicarious experience (observers of similar others succeeding), verbal persuasion (help of credible others) and physiological/emotional states (an evaluation of internal body cues as evidence of capability). A well-established, evidence-based framework presented by Bandura should help practitioners address the issue of identity loss and loss of confidence in older adults who might experience other negative aspects in the context of residential care and aim to restore psychological </w:t>
      </w:r>
      <w:r w:rsidR="003E648A">
        <w:rPr>
          <w:rFonts w:ascii="Arial" w:hAnsi="Arial" w:cs="Arial"/>
          <w:sz w:val="22"/>
          <w:szCs w:val="22"/>
        </w:rPr>
        <w:t>well-being</w:t>
      </w:r>
      <w:r w:rsidRPr="007272D2">
        <w:rPr>
          <w:rFonts w:ascii="Arial" w:hAnsi="Arial" w:cs="Arial"/>
          <w:sz w:val="22"/>
          <w:szCs w:val="22"/>
        </w:rPr>
        <w:t>, as the latter may be significantly reduced in residential care.</w:t>
      </w:r>
    </w:p>
    <w:p w14:paraId="527CB7E5" w14:textId="77777777" w:rsidR="007272D2" w:rsidRPr="007272D2" w:rsidRDefault="007272D2" w:rsidP="007272D2">
      <w:pPr>
        <w:spacing w:before="280" w:after="120" w:line="360" w:lineRule="auto"/>
        <w:jc w:val="both"/>
        <w:rPr>
          <w:rFonts w:ascii="Arial" w:hAnsi="Arial" w:cs="Arial"/>
          <w:b/>
          <w:bCs/>
          <w:sz w:val="24"/>
          <w:szCs w:val="24"/>
        </w:rPr>
      </w:pPr>
      <w:r w:rsidRPr="007272D2">
        <w:rPr>
          <w:rFonts w:ascii="Arial" w:hAnsi="Arial" w:cs="Arial"/>
          <w:b/>
          <w:bCs/>
          <w:sz w:val="24"/>
          <w:szCs w:val="24"/>
        </w:rPr>
        <w:t>2. Application to Residential Care</w:t>
      </w:r>
    </w:p>
    <w:p w14:paraId="5A68A049" w14:textId="7A450FB3" w:rsidR="007272D2" w:rsidRPr="007272D2" w:rsidRDefault="007272D2" w:rsidP="007272D2">
      <w:pPr>
        <w:spacing w:before="280" w:after="120" w:line="360" w:lineRule="auto"/>
        <w:jc w:val="both"/>
        <w:rPr>
          <w:rFonts w:ascii="Arial" w:hAnsi="Arial" w:cs="Arial"/>
          <w:sz w:val="22"/>
          <w:szCs w:val="22"/>
        </w:rPr>
      </w:pPr>
      <w:r w:rsidRPr="007272D2">
        <w:rPr>
          <w:rFonts w:ascii="Arial" w:hAnsi="Arial" w:cs="Arial"/>
          <w:sz w:val="22"/>
          <w:szCs w:val="22"/>
        </w:rPr>
        <w:t xml:space="preserve">The practical implementation of the Bandura theory in a care home situation requires a clear attempt to make the environment of the place as welcoming as </w:t>
      </w:r>
      <w:r w:rsidR="003E648A">
        <w:rPr>
          <w:rFonts w:ascii="Arial" w:hAnsi="Arial" w:cs="Arial"/>
          <w:sz w:val="22"/>
          <w:szCs w:val="22"/>
        </w:rPr>
        <w:t xml:space="preserve">possible </w:t>
      </w:r>
      <w:r w:rsidRPr="007272D2">
        <w:rPr>
          <w:rFonts w:ascii="Arial" w:hAnsi="Arial" w:cs="Arial"/>
          <w:sz w:val="22"/>
          <w:szCs w:val="22"/>
        </w:rPr>
        <w:t>to actual mastery in its residents. Care professionals can do this by designing daily activities that are difficult but achievable, and progressively more difficult to develop cumulative confidence</w:t>
      </w:r>
      <w:r w:rsidR="003E648A">
        <w:rPr>
          <w:rFonts w:ascii="Arial" w:hAnsi="Arial" w:cs="Arial"/>
          <w:sz w:val="22"/>
          <w:szCs w:val="22"/>
        </w:rPr>
        <w:t>, a</w:t>
      </w:r>
      <w:r w:rsidRPr="007272D2">
        <w:rPr>
          <w:rFonts w:ascii="Arial" w:hAnsi="Arial" w:cs="Arial"/>
          <w:sz w:val="22"/>
          <w:szCs w:val="22"/>
        </w:rPr>
        <w:t xml:space="preserve"> process which </w:t>
      </w:r>
      <w:proofErr w:type="spellStart"/>
      <w:r w:rsidRPr="007272D2">
        <w:rPr>
          <w:rFonts w:ascii="Arial" w:hAnsi="Arial" w:cs="Arial"/>
          <w:sz w:val="22"/>
          <w:szCs w:val="22"/>
        </w:rPr>
        <w:t>Egele</w:t>
      </w:r>
      <w:proofErr w:type="spellEnd"/>
      <w:r w:rsidRPr="007272D2">
        <w:rPr>
          <w:rFonts w:ascii="Arial" w:hAnsi="Arial" w:cs="Arial"/>
          <w:sz w:val="22"/>
          <w:szCs w:val="22"/>
        </w:rPr>
        <w:t xml:space="preserve">, Klopp and Stark (2025) note is the most empirically important source of self-efficacy. To give an example, meaningful activities like occupational ones, like preparing simple meals, taking care of a small garden, or </w:t>
      </w:r>
      <w:proofErr w:type="spellStart"/>
      <w:r w:rsidR="003E648A">
        <w:rPr>
          <w:rFonts w:ascii="Arial" w:hAnsi="Arial" w:cs="Arial"/>
          <w:sz w:val="22"/>
          <w:szCs w:val="22"/>
        </w:rPr>
        <w:t>organising</w:t>
      </w:r>
      <w:proofErr w:type="spellEnd"/>
      <w:r w:rsidRPr="007272D2">
        <w:rPr>
          <w:rFonts w:ascii="Arial" w:hAnsi="Arial" w:cs="Arial"/>
          <w:sz w:val="22"/>
          <w:szCs w:val="22"/>
        </w:rPr>
        <w:t xml:space="preserve"> reminiscence, offer regular opportunities to gain mastery experience which consolidates their sense of agency. Peer mentoring schemes can be used to encourage vicarious experience</w:t>
      </w:r>
      <w:r w:rsidR="003E648A">
        <w:rPr>
          <w:rFonts w:ascii="Arial" w:hAnsi="Arial" w:cs="Arial"/>
          <w:sz w:val="22"/>
          <w:szCs w:val="22"/>
        </w:rPr>
        <w:t>,</w:t>
      </w:r>
      <w:r w:rsidRPr="007272D2">
        <w:rPr>
          <w:rFonts w:ascii="Arial" w:hAnsi="Arial" w:cs="Arial"/>
          <w:sz w:val="22"/>
          <w:szCs w:val="22"/>
        </w:rPr>
        <w:t xml:space="preserve"> where residents who have successfully adapted to life in care homes are used to model adaptive coping methods to newer or more vulnerable residents. This method is specifically useful because Bandura (1997) maintains that the social modelling technique works best when the observed person is perceived as someone similar to the situation. Also, communicated reliably and in a genuine </w:t>
      </w:r>
      <w:r w:rsidR="003E648A">
        <w:rPr>
          <w:rFonts w:ascii="Arial" w:hAnsi="Arial" w:cs="Arial"/>
          <w:sz w:val="22"/>
          <w:szCs w:val="22"/>
        </w:rPr>
        <w:lastRenderedPageBreak/>
        <w:t>tone</w:t>
      </w:r>
      <w:r w:rsidRPr="007272D2">
        <w:rPr>
          <w:rFonts w:ascii="Arial" w:hAnsi="Arial" w:cs="Arial"/>
          <w:sz w:val="22"/>
          <w:szCs w:val="22"/>
        </w:rPr>
        <w:t xml:space="preserve"> by </w:t>
      </w:r>
      <w:r w:rsidR="003E648A">
        <w:rPr>
          <w:rFonts w:ascii="Arial" w:hAnsi="Arial" w:cs="Arial"/>
          <w:sz w:val="22"/>
          <w:szCs w:val="22"/>
        </w:rPr>
        <w:t>dependent</w:t>
      </w:r>
      <w:r w:rsidRPr="007272D2">
        <w:rPr>
          <w:rFonts w:ascii="Arial" w:hAnsi="Arial" w:cs="Arial"/>
          <w:sz w:val="22"/>
          <w:szCs w:val="22"/>
        </w:rPr>
        <w:t xml:space="preserve"> care staff, verbal persuasion solidifies the sense of self-belief in the residents, especially at times of decline or impaired functioning. Taking care of emotional and physiological conditions also plays a vital role; anxiety</w:t>
      </w:r>
      <w:r w:rsidR="003E648A">
        <w:rPr>
          <w:rFonts w:ascii="Arial" w:hAnsi="Arial" w:cs="Arial"/>
          <w:sz w:val="22"/>
          <w:szCs w:val="22"/>
        </w:rPr>
        <w:t>,</w:t>
      </w:r>
      <w:r w:rsidRPr="007272D2">
        <w:rPr>
          <w:rFonts w:ascii="Arial" w:hAnsi="Arial" w:cs="Arial"/>
          <w:sz w:val="22"/>
          <w:szCs w:val="22"/>
        </w:rPr>
        <w:t xml:space="preserve"> using relaxing spaces, routine and therapeutic interactions can work so that residents </w:t>
      </w:r>
      <w:r w:rsidR="003E648A">
        <w:rPr>
          <w:rFonts w:ascii="Arial" w:hAnsi="Arial" w:cs="Arial"/>
          <w:sz w:val="22"/>
          <w:szCs w:val="22"/>
        </w:rPr>
        <w:t>positively perceive themselves</w:t>
      </w:r>
      <w:r w:rsidRPr="007272D2">
        <w:rPr>
          <w:rFonts w:ascii="Arial" w:hAnsi="Arial" w:cs="Arial"/>
          <w:sz w:val="22"/>
          <w:szCs w:val="22"/>
        </w:rPr>
        <w:t xml:space="preserve"> to remain positive and supportive, instead of </w:t>
      </w:r>
      <w:r w:rsidR="003E648A">
        <w:rPr>
          <w:rFonts w:ascii="Arial" w:hAnsi="Arial" w:cs="Arial"/>
          <w:sz w:val="22"/>
          <w:szCs w:val="22"/>
        </w:rPr>
        <w:t>harmful</w:t>
      </w:r>
      <w:r w:rsidRPr="007272D2">
        <w:rPr>
          <w:rFonts w:ascii="Arial" w:hAnsi="Arial" w:cs="Arial"/>
          <w:sz w:val="22"/>
          <w:szCs w:val="22"/>
        </w:rPr>
        <w:t>, of self-efficacy.</w:t>
      </w:r>
    </w:p>
    <w:p w14:paraId="7AD9F8BE" w14:textId="77777777" w:rsidR="007272D2" w:rsidRPr="007272D2" w:rsidRDefault="007272D2" w:rsidP="007272D2">
      <w:pPr>
        <w:spacing w:before="280" w:after="120" w:line="360" w:lineRule="auto"/>
        <w:jc w:val="both"/>
        <w:rPr>
          <w:rFonts w:ascii="Arial" w:hAnsi="Arial" w:cs="Arial"/>
          <w:b/>
          <w:bCs/>
          <w:sz w:val="24"/>
          <w:szCs w:val="24"/>
        </w:rPr>
      </w:pPr>
      <w:r w:rsidRPr="007272D2">
        <w:rPr>
          <w:rFonts w:ascii="Arial" w:hAnsi="Arial" w:cs="Arial"/>
          <w:b/>
          <w:bCs/>
          <w:sz w:val="24"/>
          <w:szCs w:val="24"/>
        </w:rPr>
        <w:t>3. Case Scenario</w:t>
      </w:r>
    </w:p>
    <w:p w14:paraId="0866E645" w14:textId="1C44DCF8" w:rsidR="007272D2" w:rsidRPr="007272D2" w:rsidRDefault="007272D2" w:rsidP="007272D2">
      <w:pPr>
        <w:spacing w:before="280" w:after="120" w:line="360" w:lineRule="auto"/>
        <w:jc w:val="both"/>
        <w:rPr>
          <w:rFonts w:ascii="Arial" w:hAnsi="Arial" w:cs="Arial"/>
          <w:sz w:val="22"/>
          <w:szCs w:val="22"/>
        </w:rPr>
      </w:pPr>
      <w:r w:rsidRPr="007272D2">
        <w:rPr>
          <w:rFonts w:ascii="Arial" w:hAnsi="Arial" w:cs="Arial"/>
          <w:sz w:val="22"/>
          <w:szCs w:val="22"/>
        </w:rPr>
        <w:t xml:space="preserve">Imagine the case of Margaret, aged 79, who came to a residential care home due to a fall and hip replacement surgery. At admission, Margaret was deeply opposed to </w:t>
      </w:r>
      <w:r w:rsidR="003E648A">
        <w:rPr>
          <w:rFonts w:ascii="Arial" w:hAnsi="Arial" w:cs="Arial"/>
          <w:sz w:val="22"/>
          <w:szCs w:val="22"/>
        </w:rPr>
        <w:t>participating</w:t>
      </w:r>
      <w:r w:rsidRPr="007272D2">
        <w:rPr>
          <w:rFonts w:ascii="Arial" w:hAnsi="Arial" w:cs="Arial"/>
          <w:sz w:val="22"/>
          <w:szCs w:val="22"/>
        </w:rPr>
        <w:t xml:space="preserve"> in activities, often saying she was too old and too tired to bother. Based on the model by Bandura, the care team created an </w:t>
      </w:r>
      <w:proofErr w:type="spellStart"/>
      <w:r w:rsidRPr="007272D2">
        <w:rPr>
          <w:rFonts w:ascii="Arial" w:hAnsi="Arial" w:cs="Arial"/>
          <w:sz w:val="22"/>
          <w:szCs w:val="22"/>
        </w:rPr>
        <w:t>individualised</w:t>
      </w:r>
      <w:proofErr w:type="spellEnd"/>
      <w:r w:rsidRPr="007272D2">
        <w:rPr>
          <w:rFonts w:ascii="Arial" w:hAnsi="Arial" w:cs="Arial"/>
          <w:sz w:val="22"/>
          <w:szCs w:val="22"/>
        </w:rPr>
        <w:t xml:space="preserve"> </w:t>
      </w:r>
      <w:proofErr w:type="spellStart"/>
      <w:r w:rsidRPr="007272D2">
        <w:rPr>
          <w:rFonts w:ascii="Arial" w:hAnsi="Arial" w:cs="Arial"/>
          <w:sz w:val="22"/>
          <w:szCs w:val="22"/>
        </w:rPr>
        <w:t>programme</w:t>
      </w:r>
      <w:proofErr w:type="spellEnd"/>
      <w:r w:rsidRPr="007272D2">
        <w:rPr>
          <w:rFonts w:ascii="Arial" w:hAnsi="Arial" w:cs="Arial"/>
          <w:sz w:val="22"/>
          <w:szCs w:val="22"/>
        </w:rPr>
        <w:t xml:space="preserve"> that involves small, very </w:t>
      </w:r>
      <w:r w:rsidR="003E648A">
        <w:rPr>
          <w:rFonts w:ascii="Arial" w:hAnsi="Arial" w:cs="Arial"/>
          <w:sz w:val="22"/>
          <w:szCs w:val="22"/>
        </w:rPr>
        <w:t>easy-to-achieve</w:t>
      </w:r>
      <w:r w:rsidRPr="007272D2">
        <w:rPr>
          <w:rFonts w:ascii="Arial" w:hAnsi="Arial" w:cs="Arial"/>
          <w:sz w:val="22"/>
          <w:szCs w:val="22"/>
        </w:rPr>
        <w:t xml:space="preserve"> tasks: </w:t>
      </w:r>
      <w:proofErr w:type="spellStart"/>
      <w:r w:rsidR="003E648A">
        <w:rPr>
          <w:rFonts w:ascii="Arial" w:hAnsi="Arial" w:cs="Arial"/>
          <w:sz w:val="22"/>
          <w:szCs w:val="22"/>
        </w:rPr>
        <w:t>organising</w:t>
      </w:r>
      <w:proofErr w:type="spellEnd"/>
      <w:r w:rsidRPr="007272D2">
        <w:rPr>
          <w:rFonts w:ascii="Arial" w:hAnsi="Arial" w:cs="Arial"/>
          <w:sz w:val="22"/>
          <w:szCs w:val="22"/>
        </w:rPr>
        <w:t xml:space="preserve"> flowers </w:t>
      </w:r>
      <w:r w:rsidR="003E648A">
        <w:rPr>
          <w:rFonts w:ascii="Arial" w:hAnsi="Arial" w:cs="Arial"/>
          <w:sz w:val="22"/>
          <w:szCs w:val="22"/>
        </w:rPr>
        <w:t>in</w:t>
      </w:r>
      <w:r w:rsidRPr="007272D2">
        <w:rPr>
          <w:rFonts w:ascii="Arial" w:hAnsi="Arial" w:cs="Arial"/>
          <w:sz w:val="22"/>
          <w:szCs w:val="22"/>
        </w:rPr>
        <w:t xml:space="preserve"> the communal lounge and helping with the weekly reading group. Staff praised each little accomplishment openly, which gave her verbal encouragement that enhanced her fledgling sense of competence. In six weeks, Margaret volunteered to become group leader of the reading group; this was a significant leap in engagement and self-reported wellbeing compared to her trajectory at baseline, and her participation in the reading group corresponded to the sequence of the reciprocal, self-reinforcing cycle of </w:t>
      </w:r>
      <w:proofErr w:type="spellStart"/>
      <w:r w:rsidRPr="007272D2">
        <w:rPr>
          <w:rFonts w:ascii="Arial" w:hAnsi="Arial" w:cs="Arial"/>
          <w:sz w:val="22"/>
          <w:szCs w:val="22"/>
        </w:rPr>
        <w:t>Honicke</w:t>
      </w:r>
      <w:proofErr w:type="spellEnd"/>
      <w:r w:rsidRPr="007272D2">
        <w:rPr>
          <w:rFonts w:ascii="Arial" w:hAnsi="Arial" w:cs="Arial"/>
          <w:sz w:val="22"/>
          <w:szCs w:val="22"/>
        </w:rPr>
        <w:t xml:space="preserve">, Broadbent and Fuller-Tyszkiewicz (2023), in which performance success and increasing </w:t>
      </w:r>
      <w:r w:rsidR="003E648A">
        <w:rPr>
          <w:rFonts w:ascii="Arial" w:hAnsi="Arial" w:cs="Arial"/>
          <w:sz w:val="22"/>
          <w:szCs w:val="22"/>
        </w:rPr>
        <w:t>self-efficacy</w:t>
      </w:r>
    </w:p>
    <w:p w14:paraId="6E9C9611" w14:textId="77777777" w:rsidR="007272D2" w:rsidRPr="007272D2" w:rsidRDefault="007272D2" w:rsidP="007272D2">
      <w:pPr>
        <w:spacing w:before="280" w:after="120" w:line="360" w:lineRule="auto"/>
        <w:jc w:val="both"/>
        <w:rPr>
          <w:rFonts w:ascii="Arial" w:hAnsi="Arial" w:cs="Arial"/>
          <w:b/>
          <w:bCs/>
          <w:sz w:val="24"/>
          <w:szCs w:val="24"/>
        </w:rPr>
      </w:pPr>
      <w:r w:rsidRPr="007272D2">
        <w:rPr>
          <w:rFonts w:ascii="Arial" w:hAnsi="Arial" w:cs="Arial"/>
          <w:b/>
          <w:bCs/>
          <w:sz w:val="24"/>
          <w:szCs w:val="24"/>
        </w:rPr>
        <w:t>4. Challenge in Applying the Theory</w:t>
      </w:r>
    </w:p>
    <w:p w14:paraId="1B084AB2" w14:textId="57A03130" w:rsidR="007272D2" w:rsidRPr="007272D2" w:rsidRDefault="007272D2" w:rsidP="007272D2">
      <w:pPr>
        <w:spacing w:before="280" w:after="120" w:line="360" w:lineRule="auto"/>
        <w:jc w:val="both"/>
        <w:rPr>
          <w:rFonts w:ascii="Arial" w:hAnsi="Arial" w:cs="Arial"/>
          <w:sz w:val="22"/>
          <w:szCs w:val="22"/>
        </w:rPr>
      </w:pPr>
      <w:r w:rsidRPr="007272D2">
        <w:rPr>
          <w:rFonts w:ascii="Arial" w:hAnsi="Arial" w:cs="Arial"/>
          <w:sz w:val="22"/>
          <w:szCs w:val="22"/>
        </w:rPr>
        <w:t>One of the main issues using the theory of Bandura in residential care is the cognitive and physical functioning diversification among the aged individuals. Consciousness of moderate to severe dementia patients to their own efficacy beliefs might be absent, making it challenging to engage certain elements of the verbal persuasion and self-monitoring steps of the Bandura model in a regular manner. In addition, the inconsistency of mastery-based interventions due to high staff turnover and fluctuating levels of training on person-</w:t>
      </w:r>
      <w:proofErr w:type="spellStart"/>
      <w:r w:rsidRPr="007272D2">
        <w:rPr>
          <w:rFonts w:ascii="Arial" w:hAnsi="Arial" w:cs="Arial"/>
          <w:sz w:val="22"/>
          <w:szCs w:val="22"/>
        </w:rPr>
        <w:t>centred</w:t>
      </w:r>
      <w:proofErr w:type="spellEnd"/>
      <w:r w:rsidRPr="007272D2">
        <w:rPr>
          <w:rFonts w:ascii="Arial" w:hAnsi="Arial" w:cs="Arial"/>
          <w:sz w:val="22"/>
          <w:szCs w:val="22"/>
        </w:rPr>
        <w:t xml:space="preserve"> care risks can compromise the effectiveness of interventions by producing task failure instead of success, which may destroy instead of promote self-efficacy.</w:t>
      </w:r>
    </w:p>
    <w:p w14:paraId="2826577F" w14:textId="77777777" w:rsidR="007272D2" w:rsidRPr="007272D2" w:rsidRDefault="007272D2" w:rsidP="007272D2">
      <w:pPr>
        <w:spacing w:before="280" w:after="120" w:line="360" w:lineRule="auto"/>
        <w:jc w:val="both"/>
        <w:rPr>
          <w:rFonts w:ascii="Arial" w:hAnsi="Arial" w:cs="Arial"/>
          <w:b/>
          <w:bCs/>
          <w:sz w:val="24"/>
          <w:szCs w:val="24"/>
        </w:rPr>
      </w:pPr>
      <w:r w:rsidRPr="007272D2">
        <w:rPr>
          <w:rFonts w:ascii="Arial" w:hAnsi="Arial" w:cs="Arial"/>
          <w:b/>
          <w:bCs/>
          <w:sz w:val="24"/>
          <w:szCs w:val="24"/>
        </w:rPr>
        <w:t>5. Evidence-Based Solution</w:t>
      </w:r>
    </w:p>
    <w:p w14:paraId="18485C7E" w14:textId="61F76BE4" w:rsidR="007272D2" w:rsidRPr="007272D2" w:rsidRDefault="007272D2" w:rsidP="007272D2">
      <w:pPr>
        <w:spacing w:before="280" w:after="120" w:line="360" w:lineRule="auto"/>
        <w:jc w:val="both"/>
        <w:rPr>
          <w:rFonts w:ascii="Arial" w:hAnsi="Arial" w:cs="Arial"/>
          <w:sz w:val="22"/>
          <w:szCs w:val="22"/>
        </w:rPr>
      </w:pPr>
      <w:r w:rsidRPr="007272D2">
        <w:rPr>
          <w:rFonts w:ascii="Arial" w:hAnsi="Arial" w:cs="Arial"/>
          <w:sz w:val="22"/>
          <w:szCs w:val="22"/>
        </w:rPr>
        <w:t xml:space="preserve">The evidence-based approach to this issue is to invest in structured staff training </w:t>
      </w:r>
      <w:proofErr w:type="spellStart"/>
      <w:r w:rsidRPr="007272D2">
        <w:rPr>
          <w:rFonts w:ascii="Arial" w:hAnsi="Arial" w:cs="Arial"/>
          <w:sz w:val="22"/>
          <w:szCs w:val="22"/>
        </w:rPr>
        <w:t>programmes</w:t>
      </w:r>
      <w:proofErr w:type="spellEnd"/>
      <w:r w:rsidRPr="007272D2">
        <w:rPr>
          <w:rFonts w:ascii="Arial" w:hAnsi="Arial" w:cs="Arial"/>
          <w:sz w:val="22"/>
          <w:szCs w:val="22"/>
        </w:rPr>
        <w:t xml:space="preserve"> with a specific emphasis on the Bandura sources of self-efficacy and how these can be effectively applied in geriatric care. </w:t>
      </w:r>
      <w:proofErr w:type="spellStart"/>
      <w:r w:rsidRPr="007272D2">
        <w:rPr>
          <w:rFonts w:ascii="Arial" w:hAnsi="Arial" w:cs="Arial"/>
          <w:sz w:val="22"/>
          <w:szCs w:val="22"/>
        </w:rPr>
        <w:t>Egele</w:t>
      </w:r>
      <w:proofErr w:type="spellEnd"/>
      <w:r w:rsidRPr="007272D2">
        <w:rPr>
          <w:rFonts w:ascii="Arial" w:hAnsi="Arial" w:cs="Arial"/>
          <w:sz w:val="22"/>
          <w:szCs w:val="22"/>
        </w:rPr>
        <w:t xml:space="preserve">, Klopp and Stark (2025) illustrate that interventions that specifically focus on mastery experience generate the strongest increase in self-efficacy, so it is necessary to equip care staff with the capacity to design and implement graded activity </w:t>
      </w:r>
      <w:proofErr w:type="spellStart"/>
      <w:r w:rsidRPr="007272D2">
        <w:rPr>
          <w:rFonts w:ascii="Arial" w:hAnsi="Arial" w:cs="Arial"/>
          <w:sz w:val="22"/>
          <w:szCs w:val="22"/>
        </w:rPr>
        <w:lastRenderedPageBreak/>
        <w:t>programmes</w:t>
      </w:r>
      <w:proofErr w:type="spellEnd"/>
      <w:r w:rsidRPr="007272D2">
        <w:rPr>
          <w:rFonts w:ascii="Arial" w:hAnsi="Arial" w:cs="Arial"/>
          <w:sz w:val="22"/>
          <w:szCs w:val="22"/>
        </w:rPr>
        <w:t xml:space="preserve">. The consistency of approach can also be maintained by regular visits and sessions of reflection </w:t>
      </w:r>
      <w:proofErr w:type="spellStart"/>
      <w:r w:rsidRPr="007272D2">
        <w:rPr>
          <w:rFonts w:ascii="Arial" w:hAnsi="Arial" w:cs="Arial"/>
          <w:sz w:val="22"/>
          <w:szCs w:val="22"/>
        </w:rPr>
        <w:t>practise</w:t>
      </w:r>
      <w:proofErr w:type="spellEnd"/>
      <w:r w:rsidRPr="007272D2">
        <w:rPr>
          <w:rFonts w:ascii="Arial" w:hAnsi="Arial" w:cs="Arial"/>
          <w:sz w:val="22"/>
          <w:szCs w:val="22"/>
        </w:rPr>
        <w:t xml:space="preserve">, which will help the staff to adjust their activities to the residents of varying cognitive and physical states. By applying the theoretical tenets posited by Bandura in the frameworks of care home development, </w:t>
      </w:r>
      <w:proofErr w:type="spellStart"/>
      <w:r w:rsidRPr="007272D2">
        <w:rPr>
          <w:rFonts w:ascii="Arial" w:hAnsi="Arial" w:cs="Arial"/>
          <w:sz w:val="22"/>
          <w:szCs w:val="22"/>
        </w:rPr>
        <w:t>organisations</w:t>
      </w:r>
      <w:proofErr w:type="spellEnd"/>
      <w:r w:rsidRPr="007272D2">
        <w:rPr>
          <w:rFonts w:ascii="Arial" w:hAnsi="Arial" w:cs="Arial"/>
          <w:sz w:val="22"/>
          <w:szCs w:val="22"/>
        </w:rPr>
        <w:t xml:space="preserve"> may develop the environments where the older generation can be reintegrated to restore their trust, independence and mental health, systematically.</w:t>
      </w:r>
    </w:p>
    <w:p w14:paraId="0C847B7E" w14:textId="77777777" w:rsidR="007272D2" w:rsidRDefault="007272D2">
      <w:pPr>
        <w:rPr>
          <w:rFonts w:ascii="Arial" w:eastAsia="Arial" w:hAnsi="Arial" w:cs="Arial"/>
          <w:b/>
          <w:bCs/>
          <w:sz w:val="22"/>
          <w:szCs w:val="22"/>
        </w:rPr>
      </w:pPr>
      <w:r>
        <w:rPr>
          <w:rFonts w:ascii="Arial" w:eastAsia="Arial" w:hAnsi="Arial" w:cs="Arial"/>
          <w:b/>
          <w:bCs/>
          <w:sz w:val="22"/>
          <w:szCs w:val="22"/>
        </w:rPr>
        <w:br w:type="page"/>
      </w:r>
    </w:p>
    <w:p w14:paraId="2E0FFBAA" w14:textId="378BE2B1" w:rsidR="007042BB" w:rsidRPr="007272D2" w:rsidRDefault="00000000" w:rsidP="00C94CDF">
      <w:pPr>
        <w:spacing w:before="360" w:after="180" w:line="360" w:lineRule="auto"/>
        <w:jc w:val="both"/>
        <w:rPr>
          <w:rFonts w:ascii="Arial" w:hAnsi="Arial" w:cs="Arial"/>
          <w:sz w:val="22"/>
          <w:szCs w:val="22"/>
        </w:rPr>
      </w:pPr>
      <w:r w:rsidRPr="007272D2">
        <w:rPr>
          <w:rFonts w:ascii="Arial" w:eastAsia="Arial" w:hAnsi="Arial" w:cs="Arial"/>
          <w:b/>
          <w:bCs/>
          <w:sz w:val="22"/>
          <w:szCs w:val="22"/>
        </w:rPr>
        <w:lastRenderedPageBreak/>
        <w:t>REFERENCE LIST</w:t>
      </w:r>
    </w:p>
    <w:p w14:paraId="5DDE8010" w14:textId="410C9C8A" w:rsidR="00822352" w:rsidRPr="007272D2" w:rsidRDefault="00822352" w:rsidP="00C94CDF">
      <w:pPr>
        <w:spacing w:after="160" w:line="360" w:lineRule="auto"/>
        <w:jc w:val="both"/>
        <w:rPr>
          <w:rFonts w:ascii="Arial" w:hAnsi="Arial" w:cs="Arial"/>
          <w:sz w:val="22"/>
          <w:szCs w:val="22"/>
        </w:rPr>
      </w:pPr>
      <w:r w:rsidRPr="007272D2">
        <w:rPr>
          <w:rFonts w:ascii="Arial" w:eastAsia="Arial" w:hAnsi="Arial" w:cs="Arial"/>
          <w:i/>
          <w:iCs/>
          <w:sz w:val="22"/>
          <w:szCs w:val="22"/>
        </w:rPr>
        <w:t>Bandura, A. (1997)</w:t>
      </w:r>
      <w:r w:rsidR="003E648A">
        <w:rPr>
          <w:rFonts w:ascii="Arial" w:eastAsia="Arial" w:hAnsi="Arial" w:cs="Arial"/>
          <w:i/>
          <w:iCs/>
          <w:sz w:val="22"/>
          <w:szCs w:val="22"/>
        </w:rPr>
        <w:t>.</w:t>
      </w:r>
      <w:r w:rsidRPr="007272D2">
        <w:rPr>
          <w:rFonts w:ascii="Arial" w:eastAsia="Arial" w:hAnsi="Arial" w:cs="Arial"/>
          <w:i/>
          <w:iCs/>
          <w:sz w:val="22"/>
          <w:szCs w:val="22"/>
        </w:rPr>
        <w:t xml:space="preserve"> Self-efficacy: The exercise of control. New York: Freeman.</w:t>
      </w:r>
    </w:p>
    <w:p w14:paraId="3BE3C57F" w14:textId="1011294E" w:rsidR="00822352" w:rsidRPr="007272D2" w:rsidRDefault="00822352" w:rsidP="00822352">
      <w:pPr>
        <w:spacing w:after="160" w:line="360" w:lineRule="auto"/>
        <w:jc w:val="both"/>
        <w:rPr>
          <w:rFonts w:ascii="Arial" w:hAnsi="Arial" w:cs="Arial"/>
          <w:sz w:val="22"/>
          <w:szCs w:val="22"/>
        </w:rPr>
      </w:pPr>
      <w:r w:rsidRPr="007272D2">
        <w:rPr>
          <w:rFonts w:ascii="Arial" w:hAnsi="Arial" w:cs="Arial"/>
          <w:sz w:val="22"/>
          <w:szCs w:val="22"/>
        </w:rPr>
        <w:t>Bu, F. and Fancourt, D. (2024). Patterns of Social Connection Among Older Adults in England. </w:t>
      </w:r>
      <w:r w:rsidRPr="007272D2">
        <w:rPr>
          <w:rFonts w:ascii="Arial" w:hAnsi="Arial" w:cs="Arial"/>
          <w:i/>
          <w:iCs/>
          <w:sz w:val="22"/>
          <w:szCs w:val="22"/>
        </w:rPr>
        <w:t>JAMA Network Open</w:t>
      </w:r>
      <w:r w:rsidRPr="007272D2">
        <w:rPr>
          <w:rFonts w:ascii="Arial" w:hAnsi="Arial" w:cs="Arial"/>
          <w:sz w:val="22"/>
          <w:szCs w:val="22"/>
        </w:rPr>
        <w:t>, [online] 7(12), p.e2451580. doi:10.1001/</w:t>
      </w:r>
      <w:proofErr w:type="spellStart"/>
      <w:r w:rsidR="003E648A">
        <w:rPr>
          <w:rFonts w:ascii="Arial" w:hAnsi="Arial" w:cs="Arial"/>
          <w:sz w:val="22"/>
          <w:szCs w:val="22"/>
        </w:rPr>
        <w:t>jamanetworkopen</w:t>
      </w:r>
      <w:proofErr w:type="spellEnd"/>
      <w:r w:rsidR="003E648A">
        <w:rPr>
          <w:rFonts w:ascii="Arial" w:hAnsi="Arial" w:cs="Arial"/>
          <w:sz w:val="22"/>
          <w:szCs w:val="22"/>
        </w:rPr>
        <w:t xml:space="preserve">. </w:t>
      </w:r>
      <w:r w:rsidRPr="007272D2">
        <w:rPr>
          <w:rFonts w:ascii="Arial" w:hAnsi="Arial" w:cs="Arial"/>
          <w:sz w:val="22"/>
          <w:szCs w:val="22"/>
        </w:rPr>
        <w:t>2024.51580.</w:t>
      </w:r>
    </w:p>
    <w:p w14:paraId="2C1C7141" w14:textId="59E213FA" w:rsidR="00822352" w:rsidRPr="007272D2" w:rsidRDefault="00822352" w:rsidP="00C94CDF">
      <w:pPr>
        <w:spacing w:after="160" w:line="360" w:lineRule="auto"/>
        <w:jc w:val="both"/>
        <w:rPr>
          <w:rFonts w:ascii="Arial" w:hAnsi="Arial" w:cs="Arial"/>
          <w:sz w:val="22"/>
          <w:szCs w:val="22"/>
        </w:rPr>
      </w:pPr>
      <w:proofErr w:type="spellStart"/>
      <w:r w:rsidRPr="007272D2">
        <w:rPr>
          <w:rFonts w:ascii="Arial" w:eastAsia="Arial" w:hAnsi="Arial" w:cs="Arial"/>
          <w:i/>
          <w:iCs/>
          <w:sz w:val="22"/>
          <w:szCs w:val="22"/>
        </w:rPr>
        <w:t>Egele</w:t>
      </w:r>
      <w:proofErr w:type="spellEnd"/>
      <w:r w:rsidRPr="007272D2">
        <w:rPr>
          <w:rFonts w:ascii="Arial" w:eastAsia="Arial" w:hAnsi="Arial" w:cs="Arial"/>
          <w:i/>
          <w:iCs/>
          <w:sz w:val="22"/>
          <w:szCs w:val="22"/>
        </w:rPr>
        <w:t xml:space="preserve">, V.S., Klopp, E. and Stark, R. (2025) 'An empirical ranking of the importance of the sources of self-efficacy for physical activity', Health Psychology and </w:t>
      </w:r>
      <w:proofErr w:type="spellStart"/>
      <w:r w:rsidR="003E648A">
        <w:rPr>
          <w:rFonts w:ascii="Arial" w:eastAsia="Arial" w:hAnsi="Arial" w:cs="Arial"/>
          <w:i/>
          <w:iCs/>
          <w:sz w:val="22"/>
          <w:szCs w:val="22"/>
        </w:rPr>
        <w:t>Behavioural</w:t>
      </w:r>
      <w:proofErr w:type="spellEnd"/>
      <w:r w:rsidRPr="007272D2">
        <w:rPr>
          <w:rFonts w:ascii="Arial" w:eastAsia="Arial" w:hAnsi="Arial" w:cs="Arial"/>
          <w:i/>
          <w:iCs/>
          <w:sz w:val="22"/>
          <w:szCs w:val="22"/>
        </w:rPr>
        <w:t xml:space="preserve"> Medicine, 13(1), 2567322. doi:10.1080/21642850.2025.2567322.</w:t>
      </w:r>
    </w:p>
    <w:p w14:paraId="5A319577" w14:textId="77777777" w:rsidR="00822352" w:rsidRPr="007272D2" w:rsidRDefault="00822352" w:rsidP="00C94CDF">
      <w:pPr>
        <w:spacing w:after="160" w:line="360" w:lineRule="auto"/>
        <w:jc w:val="both"/>
        <w:rPr>
          <w:rFonts w:ascii="Arial" w:hAnsi="Arial" w:cs="Arial"/>
          <w:sz w:val="22"/>
          <w:szCs w:val="22"/>
        </w:rPr>
      </w:pPr>
      <w:r w:rsidRPr="007272D2">
        <w:rPr>
          <w:rFonts w:ascii="Arial" w:eastAsia="Arial" w:hAnsi="Arial" w:cs="Arial"/>
          <w:i/>
          <w:iCs/>
          <w:sz w:val="22"/>
          <w:szCs w:val="22"/>
        </w:rPr>
        <w:t>Honicke, T., Broadbent, J. and Fuller-Tyszkiewicz, M. (2023) 'The self-efficacy and academic performance reciprocal relationship: the influence of task difficulty and baseline achievement on learner trajectory', Higher Education Research and Development, 42(8), pp. 1936–1953. doi:10.1080/07294360.2023.2197194.</w:t>
      </w:r>
    </w:p>
    <w:p w14:paraId="3B3FE1AE" w14:textId="77777777" w:rsidR="00822352" w:rsidRPr="007272D2" w:rsidRDefault="00822352" w:rsidP="00C94CDF">
      <w:pPr>
        <w:spacing w:after="160" w:line="360" w:lineRule="auto"/>
        <w:jc w:val="both"/>
        <w:rPr>
          <w:rFonts w:ascii="Arial" w:hAnsi="Arial" w:cs="Arial"/>
          <w:sz w:val="22"/>
          <w:szCs w:val="22"/>
        </w:rPr>
      </w:pPr>
      <w:r w:rsidRPr="007272D2">
        <w:rPr>
          <w:rFonts w:ascii="Arial" w:eastAsia="Arial" w:hAnsi="Arial" w:cs="Arial"/>
          <w:i/>
          <w:iCs/>
          <w:sz w:val="22"/>
          <w:szCs w:val="22"/>
        </w:rPr>
        <w:t>Lacey, R.E., Xue, B. and McMunn, A. (2022) 'The mental and physical health of young carers: a systematic review', The Lancet Public Health, 7(9), pp. e787–e796. doi:10.1016/s2468-2667(22)00161-x.</w:t>
      </w:r>
    </w:p>
    <w:p w14:paraId="1CC195D2" w14:textId="77777777" w:rsidR="00822352" w:rsidRPr="007272D2" w:rsidRDefault="00822352" w:rsidP="00C94CDF">
      <w:pPr>
        <w:spacing w:after="160" w:line="360" w:lineRule="auto"/>
        <w:jc w:val="both"/>
        <w:rPr>
          <w:rFonts w:ascii="Arial" w:hAnsi="Arial" w:cs="Arial"/>
          <w:sz w:val="22"/>
          <w:szCs w:val="22"/>
        </w:rPr>
      </w:pPr>
      <w:r w:rsidRPr="007272D2">
        <w:rPr>
          <w:rFonts w:ascii="Arial" w:eastAsia="Arial" w:hAnsi="Arial" w:cs="Arial"/>
          <w:i/>
          <w:iCs/>
          <w:sz w:val="22"/>
          <w:szCs w:val="22"/>
        </w:rPr>
        <w:t>Tuong, N.P.C., Beyers, W. and Valcke, M. (2020) 'Care competencies in adolescents: Development of a new measure and relationships with well-being', Current Psychology, 41(2), pp. 713–726. doi:10.1007/s12144-019-00603-4.</w:t>
      </w:r>
    </w:p>
    <w:p w14:paraId="499D6950" w14:textId="483F0FB8" w:rsidR="00822352" w:rsidRPr="007272D2" w:rsidRDefault="00822352" w:rsidP="00C94CDF">
      <w:pPr>
        <w:spacing w:after="160" w:line="360" w:lineRule="auto"/>
        <w:jc w:val="both"/>
        <w:rPr>
          <w:rFonts w:ascii="Arial" w:eastAsia="Arial" w:hAnsi="Arial" w:cs="Arial"/>
          <w:i/>
          <w:iCs/>
          <w:sz w:val="22"/>
          <w:szCs w:val="22"/>
        </w:rPr>
      </w:pPr>
      <w:r w:rsidRPr="007272D2">
        <w:rPr>
          <w:rFonts w:ascii="Arial" w:eastAsia="Arial" w:hAnsi="Arial" w:cs="Arial"/>
          <w:i/>
          <w:iCs/>
          <w:sz w:val="22"/>
          <w:szCs w:val="22"/>
        </w:rPr>
        <w:t>Vygotsky, L.S. (1978)</w:t>
      </w:r>
      <w:r w:rsidR="003E648A">
        <w:rPr>
          <w:rFonts w:ascii="Arial" w:eastAsia="Arial" w:hAnsi="Arial" w:cs="Arial"/>
          <w:i/>
          <w:iCs/>
          <w:sz w:val="22"/>
          <w:szCs w:val="22"/>
        </w:rPr>
        <w:t>.</w:t>
      </w:r>
      <w:r w:rsidRPr="007272D2">
        <w:rPr>
          <w:rFonts w:ascii="Arial" w:eastAsia="Arial" w:hAnsi="Arial" w:cs="Arial"/>
          <w:i/>
          <w:iCs/>
          <w:sz w:val="22"/>
          <w:szCs w:val="22"/>
        </w:rPr>
        <w:t xml:space="preserve"> Mind in society: The development of higher psychological processes. Cambridge, MA: Harvard University Press.</w:t>
      </w:r>
    </w:p>
    <w:p w14:paraId="2C844C70" w14:textId="77777777" w:rsidR="00822352" w:rsidRPr="007272D2" w:rsidRDefault="00822352" w:rsidP="00822352">
      <w:pPr>
        <w:spacing w:after="160" w:line="360" w:lineRule="auto"/>
        <w:jc w:val="both"/>
        <w:rPr>
          <w:rFonts w:ascii="Arial" w:hAnsi="Arial" w:cs="Arial"/>
          <w:sz w:val="22"/>
          <w:szCs w:val="22"/>
        </w:rPr>
      </w:pPr>
      <w:r w:rsidRPr="007272D2">
        <w:rPr>
          <w:rFonts w:ascii="Arial" w:hAnsi="Arial" w:cs="Arial"/>
          <w:sz w:val="22"/>
          <w:szCs w:val="22"/>
        </w:rPr>
        <w:t>‌</w:t>
      </w:r>
    </w:p>
    <w:p w14:paraId="28558BE1" w14:textId="77777777" w:rsidR="00822352" w:rsidRPr="007272D2" w:rsidRDefault="00822352" w:rsidP="00C94CDF">
      <w:pPr>
        <w:spacing w:after="160" w:line="360" w:lineRule="auto"/>
        <w:jc w:val="both"/>
        <w:rPr>
          <w:rFonts w:ascii="Arial" w:hAnsi="Arial" w:cs="Arial"/>
          <w:sz w:val="22"/>
          <w:szCs w:val="22"/>
        </w:rPr>
      </w:pPr>
    </w:p>
    <w:sectPr w:rsidR="00822352" w:rsidRPr="007272D2">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E4946" w14:textId="77777777" w:rsidR="002413BE" w:rsidRDefault="002413BE">
      <w:r>
        <w:separator/>
      </w:r>
    </w:p>
  </w:endnote>
  <w:endnote w:type="continuationSeparator" w:id="0">
    <w:p w14:paraId="10FF455E" w14:textId="77777777" w:rsidR="002413BE" w:rsidRDefault="00241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FDC36D" w14:textId="77777777" w:rsidR="007042BB" w:rsidRDefault="00000000">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1B7E49">
      <w:rPr>
        <w:rFonts w:ascii="Arial" w:eastAsia="Arial" w:hAnsi="Arial" w:cs="Arial"/>
        <w:noProof/>
        <w:sz w:val="18"/>
        <w:szCs w:val="18"/>
      </w:rPr>
      <w:t>1</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0D8FC" w14:textId="77777777" w:rsidR="002413BE" w:rsidRDefault="002413BE">
      <w:r>
        <w:separator/>
      </w:r>
    </w:p>
  </w:footnote>
  <w:footnote w:type="continuationSeparator" w:id="0">
    <w:p w14:paraId="5902F523" w14:textId="77777777" w:rsidR="002413BE" w:rsidRDefault="002413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56C40"/>
    <w:multiLevelType w:val="hybridMultilevel"/>
    <w:tmpl w:val="CB58ADE6"/>
    <w:lvl w:ilvl="0" w:tplc="C936C85E">
      <w:start w:val="1"/>
      <w:numFmt w:val="bullet"/>
      <w:lvlText w:val="●"/>
      <w:lvlJc w:val="left"/>
      <w:pPr>
        <w:ind w:left="720" w:hanging="360"/>
      </w:pPr>
    </w:lvl>
    <w:lvl w:ilvl="1" w:tplc="5AD4E9DA">
      <w:start w:val="1"/>
      <w:numFmt w:val="bullet"/>
      <w:lvlText w:val="○"/>
      <w:lvlJc w:val="left"/>
      <w:pPr>
        <w:ind w:left="1440" w:hanging="360"/>
      </w:pPr>
    </w:lvl>
    <w:lvl w:ilvl="2" w:tplc="109EE292">
      <w:start w:val="1"/>
      <w:numFmt w:val="bullet"/>
      <w:lvlText w:val="■"/>
      <w:lvlJc w:val="left"/>
      <w:pPr>
        <w:ind w:left="2160" w:hanging="360"/>
      </w:pPr>
    </w:lvl>
    <w:lvl w:ilvl="3" w:tplc="9F0653D2">
      <w:start w:val="1"/>
      <w:numFmt w:val="bullet"/>
      <w:lvlText w:val="●"/>
      <w:lvlJc w:val="left"/>
      <w:pPr>
        <w:ind w:left="2880" w:hanging="360"/>
      </w:pPr>
    </w:lvl>
    <w:lvl w:ilvl="4" w:tplc="218C3F6A">
      <w:start w:val="1"/>
      <w:numFmt w:val="bullet"/>
      <w:lvlText w:val="○"/>
      <w:lvlJc w:val="left"/>
      <w:pPr>
        <w:ind w:left="3600" w:hanging="360"/>
      </w:pPr>
    </w:lvl>
    <w:lvl w:ilvl="5" w:tplc="3C448230">
      <w:start w:val="1"/>
      <w:numFmt w:val="bullet"/>
      <w:lvlText w:val="■"/>
      <w:lvlJc w:val="left"/>
      <w:pPr>
        <w:ind w:left="4320" w:hanging="360"/>
      </w:pPr>
    </w:lvl>
    <w:lvl w:ilvl="6" w:tplc="E3E0C730">
      <w:start w:val="1"/>
      <w:numFmt w:val="bullet"/>
      <w:lvlText w:val="●"/>
      <w:lvlJc w:val="left"/>
      <w:pPr>
        <w:ind w:left="5040" w:hanging="360"/>
      </w:pPr>
    </w:lvl>
    <w:lvl w:ilvl="7" w:tplc="1160EF38">
      <w:start w:val="1"/>
      <w:numFmt w:val="bullet"/>
      <w:lvlText w:val="●"/>
      <w:lvlJc w:val="left"/>
      <w:pPr>
        <w:ind w:left="5760" w:hanging="360"/>
      </w:pPr>
    </w:lvl>
    <w:lvl w:ilvl="8" w:tplc="E67CDE4C">
      <w:start w:val="1"/>
      <w:numFmt w:val="bullet"/>
      <w:lvlText w:val="●"/>
      <w:lvlJc w:val="left"/>
      <w:pPr>
        <w:ind w:left="6480" w:hanging="360"/>
      </w:pPr>
    </w:lvl>
  </w:abstractNum>
  <w:abstractNum w:abstractNumId="1" w15:restartNumberingAfterBreak="0">
    <w:nsid w:val="710A4E33"/>
    <w:multiLevelType w:val="hybridMultilevel"/>
    <w:tmpl w:val="063C85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2127970">
    <w:abstractNumId w:val="0"/>
    <w:lvlOverride w:ilvl="0">
      <w:startOverride w:val="1"/>
    </w:lvlOverride>
  </w:num>
  <w:num w:numId="2" w16cid:durableId="1136602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2BB"/>
    <w:rsid w:val="000E556E"/>
    <w:rsid w:val="001B7E49"/>
    <w:rsid w:val="002413BE"/>
    <w:rsid w:val="00277A2E"/>
    <w:rsid w:val="003E3E5C"/>
    <w:rsid w:val="003E648A"/>
    <w:rsid w:val="0043047A"/>
    <w:rsid w:val="00470307"/>
    <w:rsid w:val="00663297"/>
    <w:rsid w:val="00693DA3"/>
    <w:rsid w:val="007042BB"/>
    <w:rsid w:val="007260E8"/>
    <w:rsid w:val="007272D2"/>
    <w:rsid w:val="007403E1"/>
    <w:rsid w:val="0076711C"/>
    <w:rsid w:val="00822352"/>
    <w:rsid w:val="00837CF5"/>
    <w:rsid w:val="0085539E"/>
    <w:rsid w:val="008E0EC2"/>
    <w:rsid w:val="008E4781"/>
    <w:rsid w:val="0097234D"/>
    <w:rsid w:val="009A4042"/>
    <w:rsid w:val="00A35530"/>
    <w:rsid w:val="00A44DE6"/>
    <w:rsid w:val="00A61A66"/>
    <w:rsid w:val="00BE3352"/>
    <w:rsid w:val="00C94CDF"/>
    <w:rsid w:val="00DB4BC6"/>
    <w:rsid w:val="00E51517"/>
    <w:rsid w:val="00F0206D"/>
    <w:rsid w:val="00F047C0"/>
    <w:rsid w:val="00F415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3A638"/>
  <w15:docId w15:val="{3B364117-BEA8-439F-A60C-BA83BC0D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2237</Words>
  <Characters>12756</Characters>
  <Application>Microsoft Office Word</Application>
  <DocSecurity>0</DocSecurity>
  <Lines>106</Lines>
  <Paragraphs>29</Paragraphs>
  <ScaleCrop>false</ScaleCrop>
  <Company/>
  <LinksUpToDate>false</LinksUpToDate>
  <CharactersWithSpaces>14964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michelpina2025@outlook.com</cp:lastModifiedBy>
  <cp:revision>5</cp:revision>
  <dcterms:created xsi:type="dcterms:W3CDTF">2026-04-16T09:00:00Z</dcterms:created>
  <dcterms:modified xsi:type="dcterms:W3CDTF">2026-04-16T09:02:00Z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448522a3-5ba8-4dff-ac44-3ffdc9f51044</vt:lpwstr>
  </property>
</Properties>
</file>