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77D5A5D" wp14:paraId="22A2D8CD" wp14:textId="05F1FC47">
      <w:pPr>
        <w:spacing w:before="0" w:beforeAutospacing="off" w:after="160" w:afterAutospacing="off" w:line="257" w:lineRule="auto"/>
        <w:rPr>
          <w:rFonts w:ascii="Arial" w:hAnsi="Arial" w:eastAsia="Arial" w:cs="Arial"/>
          <w:b w:val="1"/>
          <w:bCs w:val="1"/>
          <w:noProof w:val="0"/>
          <w:sz w:val="22"/>
          <w:szCs w:val="22"/>
          <w:lang w:val="en-GB"/>
        </w:rPr>
      </w:pPr>
    </w:p>
    <w:p xmlns:wp14="http://schemas.microsoft.com/office/word/2010/wordml" w:rsidP="277D5A5D" wp14:paraId="618A08DA" wp14:textId="3E2732BC">
      <w:pPr>
        <w:spacing w:before="0" w:beforeAutospacing="off" w:after="160" w:afterAutospacing="off" w:line="257" w:lineRule="auto"/>
      </w:pPr>
      <w:r w:rsidRPr="277D5A5D" w:rsidR="308A8F5C">
        <w:rPr>
          <w:rFonts w:ascii="Arial" w:hAnsi="Arial" w:eastAsia="Arial" w:cs="Arial"/>
          <w:b w:val="1"/>
          <w:bCs w:val="1"/>
          <w:noProof w:val="0"/>
          <w:sz w:val="22"/>
          <w:szCs w:val="22"/>
          <w:lang w:val="en-GB"/>
        </w:rPr>
        <w:t xml:space="preserve"> </w:t>
      </w:r>
    </w:p>
    <w:p xmlns:wp14="http://schemas.microsoft.com/office/word/2010/wordml" w:rsidP="277D5A5D" wp14:paraId="6874801E" wp14:textId="4304C857">
      <w:pPr>
        <w:spacing w:before="0" w:beforeAutospacing="off" w:after="160" w:afterAutospacing="off"/>
      </w:pPr>
      <w:r w:rsidR="308A8F5C">
        <w:drawing>
          <wp:inline xmlns:wp14="http://schemas.microsoft.com/office/word/2010/wordprocessingDrawing" wp14:editId="25F81700" wp14:anchorId="75820C90">
            <wp:extent cx="2619375" cy="1171575"/>
            <wp:effectExtent l="0" t="0" r="0" b="0"/>
            <wp:docPr id="1803571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3571534" name="Picture 1803571534"/>
                    <pic:cNvPicPr/>
                  </pic:nvPicPr>
                  <pic:blipFill>
                    <a:blip xmlns:r="http://schemas.openxmlformats.org/officeDocument/2006/relationships" r:embed="rId1049552583">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277D5A5D" wp14:paraId="05447E36" wp14:textId="7AC900D2">
      <w:pPr>
        <w:spacing w:before="0" w:beforeAutospacing="off" w:after="160" w:afterAutospacing="off"/>
      </w:pPr>
      <w:r w:rsidRPr="277D5A5D" w:rsidR="308A8F5C">
        <w:rPr>
          <w:rFonts w:ascii="Arial" w:hAnsi="Arial" w:eastAsia="Arial" w:cs="Arial"/>
          <w:noProof w:val="0"/>
          <w:sz w:val="22"/>
          <w:szCs w:val="22"/>
          <w:lang w:val="en-GB"/>
        </w:rPr>
        <w:t xml:space="preserve"> </w:t>
      </w:r>
    </w:p>
    <w:p xmlns:wp14="http://schemas.microsoft.com/office/word/2010/wordml" w:rsidP="277D5A5D" wp14:paraId="6200C8D0" wp14:textId="180AFB26">
      <w:pPr>
        <w:spacing w:before="0" w:beforeAutospacing="off" w:after="160" w:afterAutospacing="off"/>
      </w:pPr>
      <w:r w:rsidRPr="277D5A5D" w:rsidR="308A8F5C">
        <w:rPr>
          <w:rFonts w:ascii="Arial" w:hAnsi="Arial" w:eastAsia="Arial" w:cs="Arial"/>
          <w:noProof w:val="0"/>
          <w:sz w:val="22"/>
          <w:szCs w:val="22"/>
          <w:lang w:val="en-GB"/>
        </w:rPr>
        <w:t xml:space="preserve"> </w:t>
      </w:r>
    </w:p>
    <w:p xmlns:wp14="http://schemas.microsoft.com/office/word/2010/wordml" w:rsidP="277D5A5D" wp14:paraId="24F8BB4C" wp14:textId="47EE8312">
      <w:pPr>
        <w:spacing w:before="0" w:beforeAutospacing="off" w:after="160" w:afterAutospacing="off"/>
      </w:pPr>
      <w:r w:rsidRPr="277D5A5D" w:rsidR="308A8F5C">
        <w:rPr>
          <w:rFonts w:ascii="Arial" w:hAnsi="Arial" w:eastAsia="Arial" w:cs="Arial"/>
          <w:noProof w:val="0"/>
          <w:sz w:val="22"/>
          <w:szCs w:val="22"/>
          <w:lang w:val="en-GB"/>
        </w:rPr>
        <w:t xml:space="preserve"> </w:t>
      </w:r>
    </w:p>
    <w:p xmlns:wp14="http://schemas.microsoft.com/office/word/2010/wordml" w:rsidP="277D5A5D" wp14:paraId="0CB806A6" wp14:textId="50DABCAE">
      <w:pPr>
        <w:spacing w:before="0" w:beforeAutospacing="off" w:after="160" w:afterAutospacing="off"/>
      </w:pPr>
      <w:r w:rsidRPr="277D5A5D" w:rsidR="308A8F5C">
        <w:rPr>
          <w:rFonts w:ascii="Arial" w:hAnsi="Arial" w:eastAsia="Arial" w:cs="Arial"/>
          <w:noProof w:val="0"/>
          <w:sz w:val="22"/>
          <w:szCs w:val="22"/>
          <w:lang w:val="en-GB"/>
        </w:rPr>
        <w:t xml:space="preserve"> </w:t>
      </w:r>
    </w:p>
    <w:p xmlns:wp14="http://schemas.microsoft.com/office/word/2010/wordml" w:rsidP="0CB8677B" wp14:paraId="35B92D56" wp14:textId="02FBDAC1">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6905CD3C" wp14:textId="601C0D34">
      <w:pPr>
        <w:spacing w:before="0" w:beforeAutospacing="off" w:after="160" w:afterAutospacing="off" w:line="360" w:lineRule="auto"/>
        <w:jc w:val="both"/>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Name:  Alexandra Gkousa</w:t>
      </w:r>
    </w:p>
    <w:p xmlns:wp14="http://schemas.microsoft.com/office/word/2010/wordml" w:rsidP="0CB8677B" wp14:paraId="5C3FA370" wp14:textId="361567AD">
      <w:pPr>
        <w:spacing w:before="0" w:beforeAutospacing="off" w:after="160" w:afterAutospacing="off" w:line="360" w:lineRule="auto"/>
        <w:jc w:val="both"/>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noProof w:val="0"/>
          <w:sz w:val="22"/>
          <w:szCs w:val="22"/>
          <w:lang w:val="en-GB"/>
        </w:rPr>
        <w:t xml:space="preserve">Student ID: </w:t>
      </w:r>
      <w:r w:rsidRPr="0CB8677B" w:rsidR="1EFA3F3E">
        <w:rPr>
          <w:rFonts w:ascii="Arial Nova" w:hAnsi="Arial Nova" w:eastAsia="Arial Nova" w:cs="Arial Nova"/>
          <w:b w:val="1"/>
          <w:bCs w:val="1"/>
          <w:noProof w:val="0"/>
          <w:sz w:val="22"/>
          <w:szCs w:val="22"/>
          <w:lang w:val="en-GB"/>
        </w:rPr>
        <w:t>(2534923)</w:t>
      </w:r>
    </w:p>
    <w:p xmlns:wp14="http://schemas.microsoft.com/office/word/2010/wordml" w:rsidP="0CB8677B" wp14:paraId="5A1AF655" wp14:textId="66A2F93F">
      <w:pPr>
        <w:spacing w:before="0" w:beforeAutospacing="off" w:after="160" w:afterAutospacing="off" w:line="360" w:lineRule="auto"/>
        <w:jc w:val="both"/>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noProof w:val="0"/>
          <w:sz w:val="22"/>
          <w:szCs w:val="22"/>
          <w:lang w:val="en-GB"/>
        </w:rPr>
        <w:t xml:space="preserve">Module Code: </w:t>
      </w:r>
      <w:r w:rsidRPr="0CB8677B" w:rsidR="1EFA3F3E">
        <w:rPr>
          <w:rFonts w:ascii="Arial Nova" w:hAnsi="Arial Nova" w:eastAsia="Arial Nova" w:cs="Arial Nova"/>
          <w:b w:val="1"/>
          <w:bCs w:val="1"/>
          <w:noProof w:val="0"/>
          <w:sz w:val="22"/>
          <w:szCs w:val="22"/>
          <w:lang w:val="en-GB"/>
        </w:rPr>
        <w:t>(LCHS4003_BIRM)</w:t>
      </w:r>
    </w:p>
    <w:p xmlns:wp14="http://schemas.microsoft.com/office/word/2010/wordml" w:rsidP="0CB8677B" wp14:paraId="1595DFFB" wp14:textId="0FBAD706">
      <w:pPr>
        <w:spacing w:before="0" w:beforeAutospacing="off" w:after="160" w:afterAutospacing="off" w:line="360" w:lineRule="auto"/>
        <w:jc w:val="both"/>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noProof w:val="0"/>
          <w:sz w:val="22"/>
          <w:szCs w:val="22"/>
          <w:lang w:val="en-GB"/>
        </w:rPr>
        <w:t xml:space="preserve">Module: </w:t>
      </w:r>
      <w:r w:rsidRPr="0CB8677B" w:rsidR="1EFA3F3E">
        <w:rPr>
          <w:rFonts w:ascii="Arial Nova" w:hAnsi="Arial Nova" w:eastAsia="Arial Nova" w:cs="Arial Nova"/>
          <w:b w:val="1"/>
          <w:bCs w:val="1"/>
          <w:noProof w:val="0"/>
          <w:sz w:val="22"/>
          <w:szCs w:val="22"/>
          <w:lang w:val="en-GB"/>
        </w:rPr>
        <w:t>Introduction to Health and Social Care</w:t>
      </w:r>
    </w:p>
    <w:p xmlns:wp14="http://schemas.microsoft.com/office/word/2010/wordml" w:rsidP="0CB8677B" wp14:paraId="59906665" wp14:textId="28A3A393">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Lecturer: Zarah Ahmed</w:t>
      </w:r>
    </w:p>
    <w:p xmlns:wp14="http://schemas.microsoft.com/office/word/2010/wordml" w:rsidP="0CB8677B" wp14:paraId="76F926A5" wp14:textId="00D922B4">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288643C5" wp14:textId="2B3555AC">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1C4F300D" wp14:textId="3702A910">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0FE630E2" wp14:textId="0F73D20E">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73645F4C" wp14:textId="577E424C">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2CCBA9F3" wp14:textId="56655D96">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6553F9C6" wp14:textId="30E7BEE0">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45FC5D89" wp14:textId="09CAFC81">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1DFEB92F" wp14:textId="3E956657">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247252F4" wp14:textId="0D624294">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7211DD75" wp14:textId="7E7F15EE">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39F3AE71" wp14:textId="36C994E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039A25EA" wp14:textId="11F902ED">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47998428" wp14:textId="70D837D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03A518AD" wp14:textId="130EC0BB">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Task 1 </w:t>
      </w:r>
    </w:p>
    <w:p xmlns:wp14="http://schemas.microsoft.com/office/word/2010/wordml" w:rsidP="0CB8677B" wp14:paraId="7DBB39B5" wp14:textId="62BFDA79">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 </w:t>
      </w:r>
    </w:p>
    <w:p xmlns:wp14="http://schemas.microsoft.com/office/word/2010/wordml" w:rsidP="0CB8677B" wp14:paraId="7EB5B016" wp14:textId="4D9D6C08">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To: Councillor Sarah Smith, Redditch Borough Council</w:t>
      </w:r>
    </w:p>
    <w:p xmlns:wp14="http://schemas.microsoft.com/office/word/2010/wordml" w:rsidP="0CB8677B" wp14:paraId="0EB87255" wp14:textId="2AEEC850">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Subject: Addressing Residential Care Home Shortages in Redditch</w:t>
      </w:r>
    </w:p>
    <w:p xmlns:wp14="http://schemas.microsoft.com/office/word/2010/wordml" w:rsidP="0CB8677B" wp14:paraId="0856CA41" wp14:textId="18D52FF9">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Prepared by: Alexandra Gkousa</w:t>
      </w:r>
    </w:p>
    <w:p xmlns:wp14="http://schemas.microsoft.com/office/word/2010/wordml" w:rsidP="0CB8677B" wp14:paraId="136270EA" wp14:textId="3C69FC7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Date: 16/10/2026</w:t>
      </w:r>
    </w:p>
    <w:p xmlns:wp14="http://schemas.microsoft.com/office/word/2010/wordml" w:rsidP="0CB8677B" wp14:paraId="373BF5D1" wp14:textId="6A88D93C">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Introduction </w:t>
      </w:r>
    </w:p>
    <w:p xmlns:wp14="http://schemas.microsoft.com/office/word/2010/wordml" w:rsidP="0CB8677B" wp14:paraId="7874CBCE" wp14:textId="03A19C81">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This report outlines pressures on residential care home provision affecting Redditch and proposes actions aligned with the statutory duties set out in the </w:t>
      </w:r>
      <w:r w:rsidRPr="0CB8677B" w:rsidR="1EFA3F3E">
        <w:rPr>
          <w:rFonts w:ascii="Arial Nova" w:hAnsi="Arial Nova" w:eastAsia="Arial Nova" w:cs="Arial Nova"/>
          <w:b w:val="1"/>
          <w:bCs w:val="1"/>
          <w:noProof w:val="0"/>
          <w:sz w:val="22"/>
          <w:szCs w:val="22"/>
          <w:lang w:val="en-GB"/>
        </w:rPr>
        <w:t>Care Act 2014</w:t>
      </w:r>
      <w:r w:rsidRPr="0CB8677B" w:rsidR="1EFA3F3E">
        <w:rPr>
          <w:rFonts w:ascii="Arial Nova" w:hAnsi="Arial Nova" w:eastAsia="Arial Nova" w:cs="Arial Nova"/>
          <w:noProof w:val="0"/>
          <w:sz w:val="22"/>
          <w:szCs w:val="22"/>
          <w:lang w:val="en-GB"/>
        </w:rPr>
        <w:t>. Residential care homes play a vital role in supporting adults with complex needs who require 24</w:t>
      </w:r>
      <w:r>
        <w:noBreakHyphen/>
      </w:r>
      <w:r w:rsidRPr="0CB8677B" w:rsidR="1EFA3F3E">
        <w:rPr>
          <w:rFonts w:ascii="Arial Nova" w:hAnsi="Arial Nova" w:eastAsia="Arial Nova" w:cs="Arial Nova"/>
          <w:noProof w:val="0"/>
          <w:sz w:val="22"/>
          <w:szCs w:val="22"/>
          <w:lang w:val="en-GB"/>
        </w:rPr>
        <w:t>hour care, including older adults, individuals with disabilities, and those with long</w:t>
      </w:r>
      <w:r>
        <w:noBreakHyphen/>
      </w:r>
      <w:r w:rsidRPr="0CB8677B" w:rsidR="1EFA3F3E">
        <w:rPr>
          <w:rFonts w:ascii="Arial Nova" w:hAnsi="Arial Nova" w:eastAsia="Arial Nova" w:cs="Arial Nova"/>
          <w:noProof w:val="0"/>
          <w:sz w:val="22"/>
          <w:szCs w:val="22"/>
          <w:lang w:val="en-GB"/>
        </w:rPr>
        <w:t>term health conditions. Evidence indicates that care provision is under pressure from rising demand, workforce shortages and limited investment in care infrastructure (Age UK, 2022; Skills for Care, 2023).</w:t>
      </w:r>
    </w:p>
    <w:p xmlns:wp14="http://schemas.microsoft.com/office/word/2010/wordml" w:rsidP="0CB8677B" wp14:paraId="73453315" wp14:textId="241679D4">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Under </w:t>
      </w:r>
      <w:r w:rsidRPr="0CB8677B" w:rsidR="1EFA3F3E">
        <w:rPr>
          <w:rFonts w:ascii="Arial Nova" w:hAnsi="Arial Nova" w:eastAsia="Arial Nova" w:cs="Arial Nova"/>
          <w:b w:val="1"/>
          <w:bCs w:val="1"/>
          <w:noProof w:val="0"/>
          <w:sz w:val="22"/>
          <w:szCs w:val="22"/>
          <w:lang w:val="en-GB"/>
        </w:rPr>
        <w:t>Part One of the Care Act 2014</w:t>
      </w:r>
      <w:r w:rsidRPr="0CB8677B" w:rsidR="1EFA3F3E">
        <w:rPr>
          <w:rFonts w:ascii="Arial Nova" w:hAnsi="Arial Nova" w:eastAsia="Arial Nova" w:cs="Arial Nova"/>
          <w:noProof w:val="0"/>
          <w:sz w:val="22"/>
          <w:szCs w:val="22"/>
          <w:lang w:val="en-GB"/>
        </w:rPr>
        <w:t>, Local Authorities have a duty to promote individual wellbeing, prevent escalating care needs, and ensure a sustainable, high</w:t>
      </w:r>
      <w:r>
        <w:noBreakHyphen/>
      </w:r>
      <w:r w:rsidRPr="0CB8677B" w:rsidR="1EFA3F3E">
        <w:rPr>
          <w:rFonts w:ascii="Arial Nova" w:hAnsi="Arial Nova" w:eastAsia="Arial Nova" w:cs="Arial Nova"/>
          <w:noProof w:val="0"/>
          <w:sz w:val="22"/>
          <w:szCs w:val="22"/>
          <w:lang w:val="en-GB"/>
        </w:rPr>
        <w:t>quality care market (Care Act 2014). The current shortage undermines these duties and risks leaving vulnerable residents without appropriate support. This report presents the impact of the shortage on the community and recommends a strategic response to strengthen residential care capacity across the borough.</w:t>
      </w:r>
    </w:p>
    <w:p xmlns:wp14="http://schemas.microsoft.com/office/word/2010/wordml" w:rsidP="0CB8677B" wp14:paraId="13CE8DC5" wp14:textId="1BFAC4A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Impact on the Community</w:t>
      </w:r>
    </w:p>
    <w:p xmlns:wp14="http://schemas.microsoft.com/office/word/2010/wordml" w:rsidP="0CB8677B" wp14:paraId="286C2CA2" wp14:textId="674C7B1F">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The shortage of residential care home placements in Redditch has significant consequences for individuals, families, and the wider health and social care system. For older adults with high levels of need, delays in accessing residential care can lead to deterioration in physical and mental health, increased risk of falls, and heightened social isolation. Families often experience emotional strain and financial pressure when forced to seek placements outside the local area, disrupting continuity of care and reducing opportunities for regular visits.</w:t>
      </w:r>
    </w:p>
    <w:p xmlns:wp14="http://schemas.microsoft.com/office/word/2010/wordml" w:rsidP="0CB8677B" wp14:paraId="24B2E769" wp14:textId="10112296">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The shortage also affects hospital discharge pathways. NHS England guidance recognises that limited social care capacity can delay the discharge of medically fit patients. Such delays contribute to longer hospital stays, reduced bed availability and additional pressure on urgent and emergency care services (NHS England, 2023). The Care Act 2014 emphasises the importance of preventing needs from escalating and ensuring that people receive timely, appropriate support; shortages in suitable provision make it more difficult for the Local Authority to fulfil these duties (Care Act 2014).</w:t>
      </w:r>
    </w:p>
    <w:p xmlns:wp14="http://schemas.microsoft.com/office/word/2010/wordml" w:rsidP="0CB8677B" wp14:paraId="46C597C3" wp14:textId="26A02F07">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Furthermore, the local care market faces instability. Providers struggle with recruitment and retention due to low pay, limited career progression, and high workloads (Skills for Care, 2023). This workforce fragility reduces the ability of existing homes to expand capacity or maintain high</w:t>
      </w:r>
      <w:r>
        <w:noBreakHyphen/>
      </w:r>
      <w:r w:rsidRPr="0CB8677B" w:rsidR="1EFA3F3E">
        <w:rPr>
          <w:rFonts w:ascii="Arial Nova" w:hAnsi="Arial Nova" w:eastAsia="Arial Nova" w:cs="Arial Nova"/>
          <w:noProof w:val="0"/>
          <w:sz w:val="22"/>
          <w:szCs w:val="22"/>
          <w:lang w:val="en-GB"/>
        </w:rPr>
        <w:t>quality care. The community also loses the economic and social benefits that well</w:t>
      </w:r>
      <w:r>
        <w:noBreakHyphen/>
      </w:r>
      <w:r w:rsidRPr="0CB8677B" w:rsidR="1EFA3F3E">
        <w:rPr>
          <w:rFonts w:ascii="Arial Nova" w:hAnsi="Arial Nova" w:eastAsia="Arial Nova" w:cs="Arial Nova"/>
          <w:noProof w:val="0"/>
          <w:sz w:val="22"/>
          <w:szCs w:val="22"/>
          <w:lang w:val="en-GB"/>
        </w:rPr>
        <w:t>resourced care homes bring, including employment opportunities and community engagement initiatives.</w:t>
      </w:r>
    </w:p>
    <w:p xmlns:wp14="http://schemas.microsoft.com/office/word/2010/wordml" w:rsidP="0CB8677B" wp14:paraId="3A16FC06" wp14:textId="4181E9D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Recent local workforce data reinforces the scale of this pressure. In 2024/25, Worcestershire’s adult social care sector had approximately </w:t>
      </w:r>
      <w:r w:rsidRPr="0CB8677B" w:rsidR="1EFA3F3E">
        <w:rPr>
          <w:rFonts w:ascii="Arial Nova" w:hAnsi="Arial Nova" w:eastAsia="Arial Nova" w:cs="Arial Nova"/>
          <w:b w:val="1"/>
          <w:bCs w:val="1"/>
          <w:noProof w:val="0"/>
          <w:sz w:val="22"/>
          <w:szCs w:val="22"/>
          <w:lang w:val="en-GB"/>
        </w:rPr>
        <w:t>16,000 posts</w:t>
      </w:r>
      <w:r w:rsidRPr="0CB8677B" w:rsidR="1EFA3F3E">
        <w:rPr>
          <w:rFonts w:ascii="Arial Nova" w:hAnsi="Arial Nova" w:eastAsia="Arial Nova" w:cs="Arial Nova"/>
          <w:noProof w:val="0"/>
          <w:sz w:val="22"/>
          <w:szCs w:val="22"/>
          <w:lang w:val="en-GB"/>
        </w:rPr>
        <w:t xml:space="preserve">, including around </w:t>
      </w:r>
      <w:r w:rsidRPr="0CB8677B" w:rsidR="1EFA3F3E">
        <w:rPr>
          <w:rFonts w:ascii="Arial Nova" w:hAnsi="Arial Nova" w:eastAsia="Arial Nova" w:cs="Arial Nova"/>
          <w:b w:val="1"/>
          <w:bCs w:val="1"/>
          <w:noProof w:val="0"/>
          <w:sz w:val="22"/>
          <w:szCs w:val="22"/>
          <w:lang w:val="en-GB"/>
        </w:rPr>
        <w:t>650 vacant posts</w:t>
      </w:r>
      <w:r w:rsidRPr="0CB8677B" w:rsidR="1EFA3F3E">
        <w:rPr>
          <w:rFonts w:ascii="Arial Nova" w:hAnsi="Arial Nova" w:eastAsia="Arial Nova" w:cs="Arial Nova"/>
          <w:noProof w:val="0"/>
          <w:sz w:val="22"/>
          <w:szCs w:val="22"/>
          <w:lang w:val="en-GB"/>
        </w:rPr>
        <w:t xml:space="preserve">, while the estimated staff turnover rate was </w:t>
      </w:r>
      <w:r w:rsidRPr="0CB8677B" w:rsidR="1EFA3F3E">
        <w:rPr>
          <w:rFonts w:ascii="Arial Nova" w:hAnsi="Arial Nova" w:eastAsia="Arial Nova" w:cs="Arial Nova"/>
          <w:b w:val="1"/>
          <w:bCs w:val="1"/>
          <w:noProof w:val="0"/>
          <w:sz w:val="22"/>
          <w:szCs w:val="22"/>
          <w:lang w:val="en-GB"/>
        </w:rPr>
        <w:t>24.2%</w:t>
      </w:r>
      <w:r w:rsidRPr="0CB8677B" w:rsidR="1EFA3F3E">
        <w:rPr>
          <w:rFonts w:ascii="Arial Nova" w:hAnsi="Arial Nova" w:eastAsia="Arial Nova" w:cs="Arial Nova"/>
          <w:noProof w:val="0"/>
          <w:sz w:val="22"/>
          <w:szCs w:val="22"/>
          <w:lang w:val="en-GB"/>
        </w:rPr>
        <w:t xml:space="preserve"> (Skills for Care, 2025). These figures indicate that, even where physical care-home capacity exists or is expanded, persistent recruitment and retention pressures may restrict the number of placements that providers can safely operate.</w:t>
      </w:r>
    </w:p>
    <w:p xmlns:wp14="http://schemas.microsoft.com/office/word/2010/wordml" w:rsidP="0CB8677B" wp14:paraId="2A5BD4B2" wp14:textId="08F318A2">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Although these county-level figures provide useful context, they do not show how many vacancies or unfilled placements are located specifically within Redditch. Borough-level commissioning and provider data would therefore be needed to measure the local shortage precisely.</w:t>
      </w:r>
    </w:p>
    <w:p xmlns:wp14="http://schemas.microsoft.com/office/word/2010/wordml" w:rsidP="0CB8677B" wp14:paraId="1357BB76" wp14:textId="44AA1EE2">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Overall, the shortage of residential care home provision undermines wellbeing, increases pressure on families, destabilises the care market, and places strain on NHS services—highlighting the urgent need for coordinated action.</w:t>
      </w:r>
    </w:p>
    <w:p xmlns:wp14="http://schemas.microsoft.com/office/word/2010/wordml" w:rsidP="0CB8677B" wp14:paraId="3D6D8183" wp14:textId="05DDA5D1">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 xml:space="preserve">Recommended Response </w:t>
      </w:r>
    </w:p>
    <w:p xmlns:wp14="http://schemas.microsoft.com/office/word/2010/wordml" w:rsidP="0CB8677B" wp14:paraId="37E66B24" wp14:textId="47074415">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To address the shortage of residential care home provision in Redditch, a multi</w:t>
      </w:r>
      <w:r>
        <w:noBreakHyphen/>
      </w:r>
      <w:r w:rsidRPr="0CB8677B" w:rsidR="1EFA3F3E">
        <w:rPr>
          <w:rFonts w:ascii="Arial Nova" w:hAnsi="Arial Nova" w:eastAsia="Arial Nova" w:cs="Arial Nova"/>
          <w:noProof w:val="0"/>
          <w:sz w:val="22"/>
          <w:szCs w:val="22"/>
          <w:lang w:val="en-GB"/>
        </w:rPr>
        <w:t>layered strategy aligned with the Care Act 2014 is recommended.</w:t>
      </w:r>
    </w:p>
    <w:p xmlns:wp14="http://schemas.microsoft.com/office/word/2010/wordml" w:rsidP="0CB8677B" wp14:paraId="6F1C3BF8" wp14:textId="07FB9778">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First, the Local Authority should strengthen its </w:t>
      </w:r>
      <w:r w:rsidRPr="0CB8677B" w:rsidR="1EFA3F3E">
        <w:rPr>
          <w:rFonts w:ascii="Arial Nova" w:hAnsi="Arial Nova" w:eastAsia="Arial Nova" w:cs="Arial Nova"/>
          <w:b w:val="1"/>
          <w:bCs w:val="1"/>
          <w:noProof w:val="0"/>
          <w:sz w:val="22"/>
          <w:szCs w:val="22"/>
          <w:lang w:val="en-GB"/>
        </w:rPr>
        <w:t>Market Shaping and Market Sustainability</w:t>
      </w:r>
      <w:r w:rsidRPr="0CB8677B" w:rsidR="1EFA3F3E">
        <w:rPr>
          <w:rFonts w:ascii="Arial Nova" w:hAnsi="Arial Nova" w:eastAsia="Arial Nova" w:cs="Arial Nova"/>
          <w:noProof w:val="0"/>
          <w:sz w:val="22"/>
          <w:szCs w:val="22"/>
          <w:lang w:val="en-GB"/>
        </w:rPr>
        <w:t xml:space="preserve"> duties under Section 5 of the Act (Care Act 2014). This includes working proactively with existing providers to support expansion, offering incentives for new providers to enter the market, and ensuring fee rates reflect the true cost of high</w:t>
      </w:r>
      <w:r>
        <w:noBreakHyphen/>
      </w:r>
      <w:r w:rsidRPr="0CB8677B" w:rsidR="1EFA3F3E">
        <w:rPr>
          <w:rFonts w:ascii="Arial Nova" w:hAnsi="Arial Nova" w:eastAsia="Arial Nova" w:cs="Arial Nova"/>
          <w:noProof w:val="0"/>
          <w:sz w:val="22"/>
          <w:szCs w:val="22"/>
          <w:lang w:val="en-GB"/>
        </w:rPr>
        <w:t>quality care. A targeted commissioning plan could identify priority areas for development, particularly for dementia</w:t>
      </w:r>
      <w:r>
        <w:noBreakHyphen/>
      </w:r>
      <w:r w:rsidRPr="0CB8677B" w:rsidR="1EFA3F3E">
        <w:rPr>
          <w:rFonts w:ascii="Arial Nova" w:hAnsi="Arial Nova" w:eastAsia="Arial Nova" w:cs="Arial Nova"/>
          <w:noProof w:val="0"/>
          <w:sz w:val="22"/>
          <w:szCs w:val="22"/>
          <w:lang w:val="en-GB"/>
        </w:rPr>
        <w:t>specific residential care (Local Government Association, 2023).</w:t>
      </w:r>
    </w:p>
    <w:p xmlns:wp14="http://schemas.microsoft.com/office/word/2010/wordml" w:rsidP="0CB8677B" wp14:paraId="44E32AC7" wp14:textId="5D2A5B41">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Second, workforce development must be prioritised. Partnering with local colleges, Skills for Care, and regional NHS bodies could help create training pathways, apprenticeships, and career progression frameworks. Improving pay, working conditions, and professional recognition will support recruitment and retention, enabling homes to operate at full capacity (Skills for Care, 2023).</w:t>
      </w:r>
    </w:p>
    <w:p xmlns:wp14="http://schemas.microsoft.com/office/word/2010/wordml" w:rsidP="0CB8677B" wp14:paraId="6F8AD879" wp14:textId="576DFA64">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Third, the Local Authority should explore </w:t>
      </w:r>
      <w:r w:rsidRPr="0CB8677B" w:rsidR="1EFA3F3E">
        <w:rPr>
          <w:rFonts w:ascii="Arial Nova" w:hAnsi="Arial Nova" w:eastAsia="Arial Nova" w:cs="Arial Nova"/>
          <w:b w:val="1"/>
          <w:bCs w:val="1"/>
          <w:noProof w:val="0"/>
          <w:sz w:val="22"/>
          <w:szCs w:val="22"/>
          <w:lang w:val="en-GB"/>
        </w:rPr>
        <w:t>integrated care partnerships</w:t>
      </w:r>
      <w:r w:rsidRPr="0CB8677B" w:rsidR="1EFA3F3E">
        <w:rPr>
          <w:rFonts w:ascii="Arial Nova" w:hAnsi="Arial Nova" w:eastAsia="Arial Nova" w:cs="Arial Nova"/>
          <w:noProof w:val="0"/>
          <w:sz w:val="22"/>
          <w:szCs w:val="22"/>
          <w:lang w:val="en-GB"/>
        </w:rPr>
        <w:t xml:space="preserve"> with the NHS to reduce discharge delays and jointly fund new residential care initiatives. This aligns with the Care Act’s emphasis on cooperation between agencies to promote wellbeing and prevent escalating needs.</w:t>
      </w:r>
    </w:p>
    <w:p xmlns:wp14="http://schemas.microsoft.com/office/word/2010/wordml" w:rsidP="0CB8677B" wp14:paraId="4706E2A0" wp14:textId="315C884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Fourth, capital investment should be sought through government grants, local regeneration funds, and partnerships with housing associations to develop modern, accessible residential care facilities. Co</w:t>
      </w:r>
      <w:r>
        <w:noBreakHyphen/>
      </w:r>
      <w:r w:rsidRPr="0CB8677B" w:rsidR="1EFA3F3E">
        <w:rPr>
          <w:rFonts w:ascii="Arial Nova" w:hAnsi="Arial Nova" w:eastAsia="Arial Nova" w:cs="Arial Nova"/>
          <w:noProof w:val="0"/>
          <w:sz w:val="22"/>
          <w:szCs w:val="22"/>
          <w:lang w:val="en-GB"/>
        </w:rPr>
        <w:t>located services—such as respite care, day centres, and community health hubs—could further enhance sustainability.</w:t>
      </w:r>
    </w:p>
    <w:p xmlns:wp14="http://schemas.microsoft.com/office/word/2010/wordml" w:rsidP="0CB8677B" wp14:paraId="1D52CD6F" wp14:textId="131881E7">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Finally, community engagement should be strengthened to ensure residents, families, and carers contribute to shaping future provision. Transparent consultation supports the Care Act’s principle of involving individuals in decisions about their care.</w:t>
      </w:r>
    </w:p>
    <w:p xmlns:wp14="http://schemas.microsoft.com/office/word/2010/wordml" w:rsidP="0CB8677B" wp14:paraId="6E84A6F0" wp14:textId="12B04EF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Conclusion</w:t>
      </w:r>
    </w:p>
    <w:p xmlns:wp14="http://schemas.microsoft.com/office/word/2010/wordml" w:rsidP="0CB8677B" wp14:paraId="5A483328" wp14:textId="6E507ACD">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The pressures affecting residential care home provision in Redditch present a serious challenge for vulnerable adults, families and local health services. In line with the Care Act 2014, the Local Authority has a duty to ensure a sustainable, high</w:t>
      </w:r>
      <w:r>
        <w:noBreakHyphen/>
      </w:r>
      <w:r w:rsidRPr="0CB8677B" w:rsidR="1EFA3F3E">
        <w:rPr>
          <w:rFonts w:ascii="Arial Nova" w:hAnsi="Arial Nova" w:eastAsia="Arial Nova" w:cs="Arial Nova"/>
          <w:noProof w:val="0"/>
          <w:sz w:val="22"/>
          <w:szCs w:val="22"/>
          <w:lang w:val="en-GB"/>
        </w:rPr>
        <w:t>quality care market that promotes wellbeing and prevents escalating needs. Although borough-level data would be needed to measure the local shortage precisely, investment in market sustainability, workforce development, integrated care partnerships and residential care infrastructure would help Redditch respond to growing demand. A coordinated, forward</w:t>
      </w:r>
      <w:r>
        <w:noBreakHyphen/>
      </w:r>
      <w:r w:rsidRPr="0CB8677B" w:rsidR="1EFA3F3E">
        <w:rPr>
          <w:rFonts w:ascii="Arial Nova" w:hAnsi="Arial Nova" w:eastAsia="Arial Nova" w:cs="Arial Nova"/>
          <w:noProof w:val="0"/>
          <w:sz w:val="22"/>
          <w:szCs w:val="22"/>
          <w:lang w:val="en-GB"/>
        </w:rPr>
        <w:t>looking approach would strengthen local provision and support residents to receive appropriate care with dignity.</w:t>
      </w:r>
    </w:p>
    <w:p xmlns:wp14="http://schemas.microsoft.com/office/word/2010/wordml" w:rsidP="0CB8677B" wp14:paraId="5D66084E" wp14:textId="77CDF3CC">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1F4FE1D4" wp14:textId="7F384790">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0D0D023A" wp14:textId="13C3991C">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3AC2F55A" wp14:textId="5EB0E42D">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36C2884D" wp14:textId="27AB6CB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1D7FC2F8" wp14:textId="2DA993D2">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02D6A404" wp14:textId="61EC61AF">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4CB79312" wp14:textId="0736D26D">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57670BAE" wp14:textId="3233F45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38BACD07" wp14:textId="7CBFBB2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5CBF6AC9" wp14:textId="7E24BBD6">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Task 2 </w:t>
      </w:r>
    </w:p>
    <w:p xmlns:wp14="http://schemas.microsoft.com/office/word/2010/wordml" w:rsidP="0CB8677B" wp14:paraId="019BE0F1" wp14:textId="13514E83">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 </w:t>
      </w:r>
    </w:p>
    <w:p xmlns:wp14="http://schemas.microsoft.com/office/word/2010/wordml" w:rsidP="0CB8677B" wp14:paraId="641761E9" wp14:textId="54C6768B">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Community Antenatal Midwifery Services: Origins, Contemporary Practice, and Impact on Quality of Life</w:t>
      </w:r>
    </w:p>
    <w:p xmlns:wp14="http://schemas.microsoft.com/office/word/2010/wordml" w:rsidP="0CB8677B" wp14:paraId="01A847DA" wp14:textId="6EF9B838">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Introduction</w:t>
      </w:r>
    </w:p>
    <w:p xmlns:wp14="http://schemas.microsoft.com/office/word/2010/wordml" w:rsidP="0CB8677B" wp14:paraId="221C7BCA" wp14:textId="6DA49DA9">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Community antenatal midwifery services are an important part of health and social care in the United Kingdom. They support pregnant women and birthing people from early pregnancy through to birth by providing regular checks, advice, emotional support and links to other services when needed. These services are usually delivered close to home in clinics, GP practices, children’s centres and sometimes through home visits, making maternity care more accessible. Antenatal midwives help to monitor the health of both parent and baby, identify risks early and promote informed choices about pregnancy and birth. This task will explore the historical development of community antenatal midwifery services, their current function, and their significance for service users. It will also critically evaluate the benefits and challenges of the service, particularly in relation to wellbeing, safety, equality of access and quality of life.</w:t>
      </w:r>
    </w:p>
    <w:p xmlns:wp14="http://schemas.microsoft.com/office/word/2010/wordml" w:rsidP="0CB8677B" wp14:paraId="5A7BB666" wp14:textId="717AB806">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Historical Context and Current Function</w:t>
      </w:r>
    </w:p>
    <w:p xmlns:wp14="http://schemas.microsoft.com/office/word/2010/wordml" w:rsidP="0CB8677B" wp14:paraId="7597DDDB" wp14:textId="5AA42713">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The origins of community antenatal midwifery services can be linked to the early twentieth century, when maternal and infant mortality were major public health concerns and access to skilled birth support varied widely (Loudon, 1992). Before formal regulation, many midwives worked independently in local communities, often relying on experience rather than standardised training. The Midwives Act 1902 was a key milestone because it introduced registration, training and professional standards for midwives. Later, the creation of the NHS in 1948 strengthened access to maternity care by making services available to all, regardless of income. The Department of Health report </w:t>
      </w:r>
      <w:r w:rsidRPr="0CB8677B" w:rsidR="1EFA3F3E">
        <w:rPr>
          <w:rFonts w:ascii="Arial Nova" w:hAnsi="Arial Nova" w:eastAsia="Arial Nova" w:cs="Arial Nova"/>
          <w:i w:val="1"/>
          <w:iCs w:val="1"/>
          <w:noProof w:val="0"/>
          <w:sz w:val="22"/>
          <w:szCs w:val="22"/>
          <w:lang w:val="en-GB"/>
        </w:rPr>
        <w:t>Changing Childbirth</w:t>
      </w:r>
      <w:r w:rsidRPr="0CB8677B" w:rsidR="1EFA3F3E">
        <w:rPr>
          <w:rFonts w:ascii="Arial Nova" w:hAnsi="Arial Nova" w:eastAsia="Arial Nova" w:cs="Arial Nova"/>
          <w:noProof w:val="0"/>
          <w:sz w:val="22"/>
          <w:szCs w:val="22"/>
          <w:lang w:val="en-GB"/>
        </w:rPr>
        <w:t xml:space="preserve"> (1993) further shaped modern maternity care by promoting choice, continuity and woman-centred support (Department of Health, 1993).</w:t>
      </w:r>
    </w:p>
    <w:p xmlns:wp14="http://schemas.microsoft.com/office/word/2010/wordml" w:rsidP="0CB8677B" wp14:paraId="3805BCE5" wp14:textId="15E3B8EB">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Today, community antenatal midwives work mainly within the NHS and provide routine pregnancy care in accessible community settings. Their role includes booking appointments, blood pressure checks, urine testing, blood tests, referrals for scans, fetal growth monitoring and identifying risks such as gestational diabetes, pre-eclampsia or mental health concerns (NICE, 2021). They also provide health education on nutrition, smoking cessation, alcohol, breastfeeding, birth planning and emotional wellbeing. Importantly, midwives coordinate care with GPs, obstetricians, safeguarding teams, mental health services and social care where additional support is required. Therefore, the current function of the service is both clinical and holistic: it protects physical health while also supporting informed choice, confidence and family preparation (Royal College of Midwives, 2023).</w:t>
      </w:r>
    </w:p>
    <w:p xmlns:wp14="http://schemas.microsoft.com/office/word/2010/wordml" w:rsidP="0CB8677B" wp14:paraId="6CAB78E7" wp14:textId="2A649E8B">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Critical Evaluation and Significance for Service Users</w:t>
      </w:r>
    </w:p>
    <w:p xmlns:wp14="http://schemas.microsoft.com/office/word/2010/wordml" w:rsidP="0CB8677B" wp14:paraId="0468635F" wp14:textId="5FDAEE8A">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Community antenatal midwifery services are significant because they make pregnancy care more accessible, preventative and person-centred. Regular appointments allow complications to be identified earlier, which can improve outcomes for both parent and baby (NICE, 2021). NICE guidance highlights that antenatal care should offer regular check-ups, information and support, and community midwives are central to delivering this in practice. For service users, this can reduce anxiety because they have regular contact with a professional who can explain changes in pregnancy, answer questions and make referrals when needed. Continuity of care is also important. When women see the same midwife or small team, trust and communication can improve, which may help them feel more confident and involved in decisions (Sandall et al., 2016).</w:t>
      </w:r>
    </w:p>
    <w:p xmlns:wp14="http://schemas.microsoft.com/office/word/2010/wordml" w:rsidP="0CB8677B" wp14:paraId="7D2138A4" wp14:textId="1B8FF662">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However, the service also has limitations. Workforce shortages, high caseloads and increasing complexity of pregnancies can reduce the time midwives have with each person (Beake et al., 2018). This may affect continuity and make it harder to build trusting relationships. Some service users may also face barriers such as language difficulties, poverty, transport problems, digital exclusion or fear of professionals, meaning that community care is not always equally accessible. Despite these challenges, the service remains highly valuable because it supports physical safety, emotional wellbeing and informed decision-making. It can also reduce health inequalities by bringing care closer to local communities and linking vulnerable families with wider support. Overall, community antenatal midwifery services have clear significance for quality of life because they promote safer pregnancies, confidence, autonomy and early intervention (Royal College of Midwives, 2023).</w:t>
      </w:r>
    </w:p>
    <w:p xmlns:wp14="http://schemas.microsoft.com/office/word/2010/wordml" w:rsidP="0CB8677B" wp14:paraId="120A58FF" wp14:textId="5B83133A">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Conclusion</w:t>
      </w:r>
    </w:p>
    <w:p xmlns:wp14="http://schemas.microsoft.com/office/word/2010/wordml" w:rsidP="0CB8677B" wp14:paraId="33264A4A" wp14:textId="0B58431E">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In conclusion, community antenatal midwifery services have developed from locally based birth support into a professional, evidence-informed service within the NHS. Regulation, universal healthcare and policies promoting woman-centred care have shaped modern practice. Today, community midwives provide essential monitoring, education, emotional support and coordination of care. Although staffing pressures and unequal access can limit continuity and availability, the service remains vital for improving safety, reducing anxiety and supporting positive pregnancy experiences. Its contribution to wellbeing, informed choice and quality of life therefore depends not only on the model of care, but also on sufficient staffing and equitable access for different communities.</w:t>
      </w:r>
    </w:p>
    <w:p xmlns:wp14="http://schemas.microsoft.com/office/word/2010/wordml" w:rsidP="0CB8677B" wp14:paraId="03F0110D" wp14:textId="08FFB845">
      <w:pPr>
        <w:spacing w:before="0" w:beforeAutospacing="off" w:after="160" w:afterAutospacing="off" w:line="360" w:lineRule="auto"/>
        <w:rPr>
          <w:rFonts w:ascii="Arial Nova" w:hAnsi="Arial Nova" w:eastAsia="Arial Nova" w:cs="Arial Nova"/>
          <w:b w:val="1"/>
          <w:bCs w:val="1"/>
          <w:noProof w:val="0"/>
          <w:sz w:val="22"/>
          <w:szCs w:val="22"/>
          <w:lang w:val="en-GB"/>
        </w:rPr>
      </w:pPr>
      <w:r w:rsidRPr="0CB8677B" w:rsidR="1EFA3F3E">
        <w:rPr>
          <w:rFonts w:ascii="Arial Nova" w:hAnsi="Arial Nova" w:eastAsia="Arial Nova" w:cs="Arial Nova"/>
          <w:b w:val="1"/>
          <w:bCs w:val="1"/>
          <w:noProof w:val="0"/>
          <w:sz w:val="22"/>
          <w:szCs w:val="22"/>
          <w:lang w:val="en-GB"/>
        </w:rPr>
        <w:t>References</w:t>
      </w:r>
    </w:p>
    <w:p xmlns:wp14="http://schemas.microsoft.com/office/word/2010/wordml" w:rsidP="0CB8677B" wp14:paraId="2E1CB37B" wp14:textId="0DE4D12B">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Age UK (2022) </w:t>
      </w:r>
      <w:r w:rsidRPr="0CB8677B" w:rsidR="1EFA3F3E">
        <w:rPr>
          <w:rFonts w:ascii="Arial Nova" w:hAnsi="Arial Nova" w:eastAsia="Arial Nova" w:cs="Arial Nova"/>
          <w:i w:val="1"/>
          <w:iCs w:val="1"/>
          <w:noProof w:val="0"/>
          <w:sz w:val="22"/>
          <w:szCs w:val="22"/>
          <w:lang w:val="en-GB"/>
        </w:rPr>
        <w:t>The care home shortage: impact on older people</w:t>
      </w:r>
      <w:r w:rsidRPr="0CB8677B" w:rsidR="1EFA3F3E">
        <w:rPr>
          <w:rFonts w:ascii="Arial Nova" w:hAnsi="Arial Nova" w:eastAsia="Arial Nova" w:cs="Arial Nova"/>
          <w:noProof w:val="0"/>
          <w:sz w:val="22"/>
          <w:szCs w:val="22"/>
          <w:lang w:val="en-GB"/>
        </w:rPr>
        <w:t>. London: Age UK. Available at: Age UK website (Accessed: 19 September 2026).</w:t>
      </w:r>
    </w:p>
    <w:p xmlns:wp14="http://schemas.microsoft.com/office/word/2010/wordml" w:rsidP="0CB8677B" wp14:paraId="7FCF1180" wp14:textId="684C1929">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Beake, S., Acosta, L., Cooke, P. and McCourt, C. (2018) ‘Antenatal care: a review of models of care’, </w:t>
      </w:r>
      <w:r w:rsidRPr="0CB8677B" w:rsidR="1EFA3F3E">
        <w:rPr>
          <w:rFonts w:ascii="Arial Nova" w:hAnsi="Arial Nova" w:eastAsia="Arial Nova" w:cs="Arial Nova"/>
          <w:i w:val="1"/>
          <w:iCs w:val="1"/>
          <w:noProof w:val="0"/>
          <w:sz w:val="22"/>
          <w:szCs w:val="22"/>
          <w:lang w:val="en-GB"/>
        </w:rPr>
        <w:t>Midwifery</w:t>
      </w:r>
      <w:r w:rsidRPr="0CB8677B" w:rsidR="1EFA3F3E">
        <w:rPr>
          <w:rFonts w:ascii="Arial Nova" w:hAnsi="Arial Nova" w:eastAsia="Arial Nova" w:cs="Arial Nova"/>
          <w:noProof w:val="0"/>
          <w:sz w:val="22"/>
          <w:szCs w:val="22"/>
          <w:lang w:val="en-GB"/>
        </w:rPr>
        <w:t>, 62, pp. 29–38.</w:t>
      </w:r>
    </w:p>
    <w:p xmlns:wp14="http://schemas.microsoft.com/office/word/2010/wordml" w:rsidP="0CB8677B" wp14:paraId="0B0E449D" wp14:textId="0089ABED">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Care Act 2014, c. 23. Available at: legislation.gov.uk (Accessed: 19 September 2026).</w:t>
      </w:r>
    </w:p>
    <w:p xmlns:wp14="http://schemas.microsoft.com/office/word/2010/wordml" w:rsidP="0CB8677B" wp14:paraId="71871CBD" wp14:textId="51FC5138">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Department of Health (1993) </w:t>
      </w:r>
      <w:r w:rsidRPr="0CB8677B" w:rsidR="1EFA3F3E">
        <w:rPr>
          <w:rFonts w:ascii="Arial Nova" w:hAnsi="Arial Nova" w:eastAsia="Arial Nova" w:cs="Arial Nova"/>
          <w:i w:val="1"/>
          <w:iCs w:val="1"/>
          <w:noProof w:val="0"/>
          <w:sz w:val="22"/>
          <w:szCs w:val="22"/>
          <w:lang w:val="en-GB"/>
        </w:rPr>
        <w:t>Changing childbirth: report of the Expert Maternity Group</w:t>
      </w:r>
      <w:r w:rsidRPr="0CB8677B" w:rsidR="1EFA3F3E">
        <w:rPr>
          <w:rFonts w:ascii="Arial Nova" w:hAnsi="Arial Nova" w:eastAsia="Arial Nova" w:cs="Arial Nova"/>
          <w:noProof w:val="0"/>
          <w:sz w:val="22"/>
          <w:szCs w:val="22"/>
          <w:lang w:val="en-GB"/>
        </w:rPr>
        <w:t>. London: HMSO.</w:t>
      </w:r>
    </w:p>
    <w:p xmlns:wp14="http://schemas.microsoft.com/office/word/2010/wordml" w:rsidP="0CB8677B" wp14:paraId="478486E2" wp14:textId="1F6866EA">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Department of Health and Social Care (2022) </w:t>
      </w:r>
      <w:r w:rsidRPr="0CB8677B" w:rsidR="1EFA3F3E">
        <w:rPr>
          <w:rFonts w:ascii="Arial Nova" w:hAnsi="Arial Nova" w:eastAsia="Arial Nova" w:cs="Arial Nova"/>
          <w:i w:val="1"/>
          <w:iCs w:val="1"/>
          <w:noProof w:val="0"/>
          <w:sz w:val="22"/>
          <w:szCs w:val="22"/>
          <w:lang w:val="en-GB"/>
        </w:rPr>
        <w:t>People at the heart of care: adult social care reform white paper</w:t>
      </w:r>
      <w:r w:rsidRPr="0CB8677B" w:rsidR="1EFA3F3E">
        <w:rPr>
          <w:rFonts w:ascii="Arial Nova" w:hAnsi="Arial Nova" w:eastAsia="Arial Nova" w:cs="Arial Nova"/>
          <w:noProof w:val="0"/>
          <w:sz w:val="22"/>
          <w:szCs w:val="22"/>
          <w:lang w:val="en-GB"/>
        </w:rPr>
        <w:t>. London: Department of Health and Social Care. Available at: GOV.UK (Accessed: 19 September 2026).</w:t>
      </w:r>
    </w:p>
    <w:p xmlns:wp14="http://schemas.microsoft.com/office/word/2010/wordml" w:rsidP="0CB8677B" wp14:paraId="453E3C3B" wp14:textId="3C92967F">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Local Government Association (2023) </w:t>
      </w:r>
      <w:r w:rsidRPr="0CB8677B" w:rsidR="1EFA3F3E">
        <w:rPr>
          <w:rFonts w:ascii="Arial Nova" w:hAnsi="Arial Nova" w:eastAsia="Arial Nova" w:cs="Arial Nova"/>
          <w:i w:val="1"/>
          <w:iCs w:val="1"/>
          <w:noProof w:val="0"/>
          <w:sz w:val="22"/>
          <w:szCs w:val="22"/>
          <w:lang w:val="en-GB"/>
        </w:rPr>
        <w:t>Market shaping and commissioning for adult social care</w:t>
      </w:r>
      <w:r w:rsidRPr="0CB8677B" w:rsidR="1EFA3F3E">
        <w:rPr>
          <w:rFonts w:ascii="Arial Nova" w:hAnsi="Arial Nova" w:eastAsia="Arial Nova" w:cs="Arial Nova"/>
          <w:noProof w:val="0"/>
          <w:sz w:val="22"/>
          <w:szCs w:val="22"/>
          <w:lang w:val="en-GB"/>
        </w:rPr>
        <w:t>. London: Local Government Association. Available at: Local Government Association website (Accessed: 19 September 2026).</w:t>
      </w:r>
    </w:p>
    <w:p xmlns:wp14="http://schemas.microsoft.com/office/word/2010/wordml" w:rsidP="0CB8677B" wp14:paraId="35C21FB1" wp14:textId="418E4BB8">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Loudon, I. (1992) </w:t>
      </w:r>
      <w:r w:rsidRPr="0CB8677B" w:rsidR="1EFA3F3E">
        <w:rPr>
          <w:rFonts w:ascii="Arial Nova" w:hAnsi="Arial Nova" w:eastAsia="Arial Nova" w:cs="Arial Nova"/>
          <w:i w:val="1"/>
          <w:iCs w:val="1"/>
          <w:noProof w:val="0"/>
          <w:sz w:val="22"/>
          <w:szCs w:val="22"/>
          <w:lang w:val="en-GB"/>
        </w:rPr>
        <w:t>Death in childbirth: an international study of maternal care and maternal mortality 1800–1950</w:t>
      </w:r>
      <w:r w:rsidRPr="0CB8677B" w:rsidR="1EFA3F3E">
        <w:rPr>
          <w:rFonts w:ascii="Arial Nova" w:hAnsi="Arial Nova" w:eastAsia="Arial Nova" w:cs="Arial Nova"/>
          <w:noProof w:val="0"/>
          <w:sz w:val="22"/>
          <w:szCs w:val="22"/>
          <w:lang w:val="en-GB"/>
        </w:rPr>
        <w:t>. Oxford: Clarendon Press.</w:t>
      </w:r>
    </w:p>
    <w:p xmlns:wp14="http://schemas.microsoft.com/office/word/2010/wordml" w:rsidP="0CB8677B" wp14:paraId="4683A2E3" wp14:textId="45990AC8">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National Institute for Health and Care Excellence (NICE) (2021) </w:t>
      </w:r>
      <w:r w:rsidRPr="0CB8677B" w:rsidR="1EFA3F3E">
        <w:rPr>
          <w:rFonts w:ascii="Arial Nova" w:hAnsi="Arial Nova" w:eastAsia="Arial Nova" w:cs="Arial Nova"/>
          <w:i w:val="1"/>
          <w:iCs w:val="1"/>
          <w:noProof w:val="0"/>
          <w:sz w:val="22"/>
          <w:szCs w:val="22"/>
          <w:lang w:val="en-GB"/>
        </w:rPr>
        <w:t>Antenatal care</w:t>
      </w:r>
      <w:r w:rsidRPr="0CB8677B" w:rsidR="1EFA3F3E">
        <w:rPr>
          <w:rFonts w:ascii="Arial Nova" w:hAnsi="Arial Nova" w:eastAsia="Arial Nova" w:cs="Arial Nova"/>
          <w:noProof w:val="0"/>
          <w:sz w:val="22"/>
          <w:szCs w:val="22"/>
          <w:lang w:val="en-GB"/>
        </w:rPr>
        <w:t>. NICE guideline NG201. Available at: NICE website (Accessed: 19 September 2026).</w:t>
      </w:r>
    </w:p>
    <w:p xmlns:wp14="http://schemas.microsoft.com/office/word/2010/wordml" w:rsidP="0CB8677B" wp14:paraId="422204BC" wp14:textId="6D130319">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NHS England (2023) </w:t>
      </w:r>
      <w:r w:rsidRPr="0CB8677B" w:rsidR="1EFA3F3E">
        <w:rPr>
          <w:rFonts w:ascii="Arial Nova" w:hAnsi="Arial Nova" w:eastAsia="Arial Nova" w:cs="Arial Nova"/>
          <w:i w:val="1"/>
          <w:iCs w:val="1"/>
          <w:noProof w:val="0"/>
          <w:sz w:val="22"/>
          <w:szCs w:val="22"/>
          <w:lang w:val="en-GB"/>
        </w:rPr>
        <w:t>Hospital discharge and community support guidance</w:t>
      </w:r>
      <w:r w:rsidRPr="0CB8677B" w:rsidR="1EFA3F3E">
        <w:rPr>
          <w:rFonts w:ascii="Arial Nova" w:hAnsi="Arial Nova" w:eastAsia="Arial Nova" w:cs="Arial Nova"/>
          <w:noProof w:val="0"/>
          <w:sz w:val="22"/>
          <w:szCs w:val="22"/>
          <w:lang w:val="en-GB"/>
        </w:rPr>
        <w:t>. London: NHS England. Available at: NHS England website (Accessed: 19 September 2026).</w:t>
      </w:r>
    </w:p>
    <w:p xmlns:wp14="http://schemas.microsoft.com/office/word/2010/wordml" w:rsidP="0CB8677B" wp14:paraId="6A387F86" wp14:textId="4E2E7D80">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Royal College of Midwives (2023) </w:t>
      </w:r>
      <w:r w:rsidRPr="0CB8677B" w:rsidR="1EFA3F3E">
        <w:rPr>
          <w:rFonts w:ascii="Arial Nova" w:hAnsi="Arial Nova" w:eastAsia="Arial Nova" w:cs="Arial Nova"/>
          <w:i w:val="1"/>
          <w:iCs w:val="1"/>
          <w:noProof w:val="0"/>
          <w:sz w:val="22"/>
          <w:szCs w:val="22"/>
          <w:lang w:val="en-GB"/>
        </w:rPr>
        <w:t>Midwifery in the community: position statement</w:t>
      </w:r>
      <w:r w:rsidRPr="0CB8677B" w:rsidR="1EFA3F3E">
        <w:rPr>
          <w:rFonts w:ascii="Arial Nova" w:hAnsi="Arial Nova" w:eastAsia="Arial Nova" w:cs="Arial Nova"/>
          <w:noProof w:val="0"/>
          <w:sz w:val="22"/>
          <w:szCs w:val="22"/>
          <w:lang w:val="en-GB"/>
        </w:rPr>
        <w:t>. London: Royal College of Midwives. Available at: Royal College of Midwives website (Accessed: 19 September 2026).</w:t>
      </w:r>
    </w:p>
    <w:p xmlns:wp14="http://schemas.microsoft.com/office/word/2010/wordml" w:rsidP="0CB8677B" wp14:paraId="09CB12B6" wp14:textId="2C9681CD">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Sandall, J. et al. (2016) ‘Midwife-led continuity models versus other models of care for childbearing women’, </w:t>
      </w:r>
      <w:r w:rsidRPr="0CB8677B" w:rsidR="1EFA3F3E">
        <w:rPr>
          <w:rFonts w:ascii="Arial Nova" w:hAnsi="Arial Nova" w:eastAsia="Arial Nova" w:cs="Arial Nova"/>
          <w:i w:val="1"/>
          <w:iCs w:val="1"/>
          <w:noProof w:val="0"/>
          <w:sz w:val="22"/>
          <w:szCs w:val="22"/>
          <w:lang w:val="en-GB"/>
        </w:rPr>
        <w:t>Cochrane Database of Systematic Reviews</w:t>
      </w:r>
      <w:r w:rsidRPr="0CB8677B" w:rsidR="1EFA3F3E">
        <w:rPr>
          <w:rFonts w:ascii="Arial Nova" w:hAnsi="Arial Nova" w:eastAsia="Arial Nova" w:cs="Arial Nova"/>
          <w:noProof w:val="0"/>
          <w:sz w:val="22"/>
          <w:szCs w:val="22"/>
          <w:lang w:val="en-GB"/>
        </w:rPr>
        <w:t>, 4.</w:t>
      </w:r>
    </w:p>
    <w:p xmlns:wp14="http://schemas.microsoft.com/office/word/2010/wordml" w:rsidP="0CB8677B" wp14:paraId="02016B7A" wp14:textId="21FB7158">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Skills for Care (2023) </w:t>
      </w:r>
      <w:r w:rsidRPr="0CB8677B" w:rsidR="1EFA3F3E">
        <w:rPr>
          <w:rFonts w:ascii="Arial Nova" w:hAnsi="Arial Nova" w:eastAsia="Arial Nova" w:cs="Arial Nova"/>
          <w:i w:val="1"/>
          <w:iCs w:val="1"/>
          <w:noProof w:val="0"/>
          <w:sz w:val="22"/>
          <w:szCs w:val="22"/>
          <w:lang w:val="en-GB"/>
        </w:rPr>
        <w:t>The state of the adult social care sector and workforce in England</w:t>
      </w:r>
      <w:r w:rsidRPr="0CB8677B" w:rsidR="1EFA3F3E">
        <w:rPr>
          <w:rFonts w:ascii="Arial Nova" w:hAnsi="Arial Nova" w:eastAsia="Arial Nova" w:cs="Arial Nova"/>
          <w:noProof w:val="0"/>
          <w:sz w:val="22"/>
          <w:szCs w:val="22"/>
          <w:lang w:val="en-GB"/>
        </w:rPr>
        <w:t>. Leeds: Skills for Care. Available at: Skills for Care website (Accessed: 19 September 2026).</w:t>
      </w:r>
    </w:p>
    <w:p xmlns:wp14="http://schemas.microsoft.com/office/word/2010/wordml" w:rsidP="0CB8677B" wp14:paraId="3DD34AA6" wp14:textId="204F67D1">
      <w:pPr>
        <w:spacing w:before="0" w:beforeAutospacing="off" w:after="160" w:afterAutospacing="off" w:line="360" w:lineRule="auto"/>
        <w:rPr>
          <w:rFonts w:ascii="Arial Nova" w:hAnsi="Arial Nova" w:eastAsia="Arial Nova" w:cs="Arial Nova"/>
          <w:noProof w:val="0"/>
          <w:sz w:val="22"/>
          <w:szCs w:val="22"/>
          <w:lang w:val="en-GB"/>
        </w:rPr>
      </w:pPr>
      <w:r w:rsidRPr="0CB8677B" w:rsidR="1EFA3F3E">
        <w:rPr>
          <w:rFonts w:ascii="Arial Nova" w:hAnsi="Arial Nova" w:eastAsia="Arial Nova" w:cs="Arial Nova"/>
          <w:noProof w:val="0"/>
          <w:sz w:val="22"/>
          <w:szCs w:val="22"/>
          <w:lang w:val="en-GB"/>
        </w:rPr>
        <w:t xml:space="preserve">Skills for Care (2025) </w:t>
      </w:r>
      <w:r w:rsidRPr="0CB8677B" w:rsidR="1EFA3F3E">
        <w:rPr>
          <w:rFonts w:ascii="Arial Nova" w:hAnsi="Arial Nova" w:eastAsia="Arial Nova" w:cs="Arial Nova"/>
          <w:i w:val="1"/>
          <w:iCs w:val="1"/>
          <w:noProof w:val="0"/>
          <w:sz w:val="22"/>
          <w:szCs w:val="22"/>
          <w:lang w:val="en-GB"/>
        </w:rPr>
        <w:t>A summary of the adult social care sector and workforce in Worcestershire 2024/25</w:t>
      </w:r>
      <w:r w:rsidRPr="0CB8677B" w:rsidR="1EFA3F3E">
        <w:rPr>
          <w:rFonts w:ascii="Arial Nova" w:hAnsi="Arial Nova" w:eastAsia="Arial Nova" w:cs="Arial Nova"/>
          <w:noProof w:val="0"/>
          <w:sz w:val="22"/>
          <w:szCs w:val="22"/>
          <w:lang w:val="en-GB"/>
        </w:rPr>
        <w:t xml:space="preserve">. Leeds: Skills for Care. Available at: </w:t>
      </w:r>
      <w:hyperlink r:id="R4de4f9528e9b4494">
        <w:r w:rsidRPr="0CB8677B" w:rsidR="1EFA3F3E">
          <w:rPr>
            <w:rStyle w:val="Hyperlink"/>
            <w:rFonts w:ascii="Arial Nova" w:hAnsi="Arial Nova" w:eastAsia="Arial Nova" w:cs="Arial Nova"/>
            <w:strike w:val="0"/>
            <w:dstrike w:val="0"/>
            <w:noProof w:val="0"/>
            <w:color w:val="0000FF"/>
            <w:sz w:val="22"/>
            <w:szCs w:val="22"/>
            <w:u w:val="single"/>
            <w:lang w:val="en-GB"/>
          </w:rPr>
          <w:t>Skills for Care website</w:t>
        </w:r>
      </w:hyperlink>
      <w:r w:rsidRPr="0CB8677B" w:rsidR="1EFA3F3E">
        <w:rPr>
          <w:rFonts w:ascii="Arial Nova" w:hAnsi="Arial Nova" w:eastAsia="Arial Nova" w:cs="Arial Nova"/>
          <w:noProof w:val="0"/>
          <w:sz w:val="22"/>
          <w:szCs w:val="22"/>
          <w:lang w:val="en-GB"/>
        </w:rPr>
        <w:t xml:space="preserve"> (Accessed: 13 October 2026).</w:t>
      </w:r>
    </w:p>
    <w:p xmlns:wp14="http://schemas.microsoft.com/office/word/2010/wordml" w:rsidP="0CB8677B" wp14:paraId="5AEA7B51" wp14:textId="7A7812FF">
      <w:pPr>
        <w:spacing w:before="0" w:beforeAutospacing="off" w:after="160" w:afterAutospacing="off"/>
        <w:rPr>
          <w:rFonts w:ascii="Arial Nova" w:hAnsi="Arial Nova" w:eastAsia="Arial Nova" w:cs="Arial Nova" w:asciiTheme="minorAscii" w:hAnsiTheme="minorAscii" w:eastAsiaTheme="minorAscii" w:cstheme="minorAscii"/>
          <w:noProof w:val="0"/>
          <w:sz w:val="22"/>
          <w:szCs w:val="22"/>
          <w:lang w:val="en-GB"/>
        </w:rPr>
      </w:pPr>
    </w:p>
    <w:p xmlns:wp14="http://schemas.microsoft.com/office/word/2010/wordml" w:rsidP="277D5A5D" wp14:paraId="5E5787A5" wp14:textId="6A86AAB3">
      <w:pPr>
        <w:spacing w:line="360" w:lineRule="auto"/>
        <w:rPr>
          <w:rFonts w:ascii="Arial Nova" w:hAnsi="Arial Nova" w:eastAsia="Arial Nova" w:cs="Arial Nova"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96EFB8"/>
    <w:rsid w:val="0A548E75"/>
    <w:rsid w:val="0CB8677B"/>
    <w:rsid w:val="1EFA3F3E"/>
    <w:rsid w:val="277D5A5D"/>
    <w:rsid w:val="308A8F5C"/>
    <w:rsid w:val="4596EFB8"/>
    <w:rsid w:val="6E3FE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A7BE3"/>
  <w15:chartTrackingRefBased/>
  <w15:docId w15:val="{4E3E86D2-8553-4CF5-AD79-00BA805B8D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77D5A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049552583" /><Relationship Type="http://schemas.openxmlformats.org/officeDocument/2006/relationships/hyperlink" Target="https://www.skillsforcare.org.uk/Adult-Social-Care-Workforce-Data/workforceintelligence/resources/Reports/Local/2025/West-Midlands/Worcestershire-Summary.pdf" TargetMode="External" Id="R4de4f9528e9b44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Gkousa (2534923)</dc:creator>
  <keywords/>
  <dc:description/>
  <lastModifiedBy>Alexandra Gkousa (2534923)</lastModifiedBy>
  <revision>3</revision>
  <dcterms:created xsi:type="dcterms:W3CDTF">2026-10-13T18:12:02.9944817Z</dcterms:created>
  <dcterms:modified xsi:type="dcterms:W3CDTF">2026-10-13T18:16:23.9895115Z</dcterms:modified>
</coreProperties>
</file>