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0CD054" w14:textId="77777777" w:rsidR="00187FDA" w:rsidRDefault="009F7B3D">
      <w:pPr>
        <w:pStyle w:val="BodyText"/>
        <w:ind w:left="157"/>
        <w:rPr>
          <w:rFonts w:ascii="Times New Roman"/>
          <w:sz w:val="20"/>
        </w:rPr>
      </w:pPr>
      <w:r>
        <w:rPr>
          <w:rFonts w:ascii="Times New Roman"/>
          <w:noProof/>
          <w:sz w:val="20"/>
        </w:rPr>
        <w:drawing>
          <wp:inline distT="0" distB="0" distL="0" distR="0" wp14:anchorId="2DBD6BD2" wp14:editId="56DE2B95">
            <wp:extent cx="2449866" cy="810101"/>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5" cstate="print"/>
                    <a:stretch>
                      <a:fillRect/>
                    </a:stretch>
                  </pic:blipFill>
                  <pic:spPr>
                    <a:xfrm>
                      <a:off x="0" y="0"/>
                      <a:ext cx="2449866" cy="810101"/>
                    </a:xfrm>
                    <a:prstGeom prst="rect">
                      <a:avLst/>
                    </a:prstGeom>
                  </pic:spPr>
                </pic:pic>
              </a:graphicData>
            </a:graphic>
          </wp:inline>
        </w:drawing>
      </w:r>
    </w:p>
    <w:p w14:paraId="57A0DC63" w14:textId="77777777" w:rsidR="00187FDA" w:rsidRDefault="00187FDA">
      <w:pPr>
        <w:pStyle w:val="BodyText"/>
        <w:rPr>
          <w:rFonts w:ascii="Times New Roman"/>
          <w:sz w:val="28"/>
        </w:rPr>
      </w:pPr>
    </w:p>
    <w:p w14:paraId="5133B2CE" w14:textId="77777777" w:rsidR="00187FDA" w:rsidRDefault="00187FDA">
      <w:pPr>
        <w:pStyle w:val="BodyText"/>
        <w:rPr>
          <w:rFonts w:ascii="Times New Roman"/>
          <w:sz w:val="28"/>
        </w:rPr>
      </w:pPr>
    </w:p>
    <w:p w14:paraId="475F77CE" w14:textId="77777777" w:rsidR="00187FDA" w:rsidRDefault="00187FDA">
      <w:pPr>
        <w:pStyle w:val="BodyText"/>
        <w:rPr>
          <w:rFonts w:ascii="Times New Roman"/>
          <w:sz w:val="28"/>
        </w:rPr>
      </w:pPr>
    </w:p>
    <w:p w14:paraId="3483F40D" w14:textId="77777777" w:rsidR="00187FDA" w:rsidRDefault="00187FDA">
      <w:pPr>
        <w:pStyle w:val="BodyText"/>
        <w:rPr>
          <w:rFonts w:ascii="Times New Roman"/>
          <w:sz w:val="28"/>
        </w:rPr>
      </w:pPr>
    </w:p>
    <w:p w14:paraId="453664DF" w14:textId="77777777" w:rsidR="00187FDA" w:rsidRDefault="00187FDA">
      <w:pPr>
        <w:pStyle w:val="BodyText"/>
        <w:rPr>
          <w:rFonts w:ascii="Times New Roman"/>
          <w:sz w:val="28"/>
        </w:rPr>
      </w:pPr>
    </w:p>
    <w:p w14:paraId="52C8AA29" w14:textId="77777777" w:rsidR="00187FDA" w:rsidRDefault="00187FDA">
      <w:pPr>
        <w:pStyle w:val="BodyText"/>
        <w:rPr>
          <w:rFonts w:ascii="Times New Roman"/>
          <w:sz w:val="28"/>
        </w:rPr>
      </w:pPr>
    </w:p>
    <w:p w14:paraId="7734B6FD" w14:textId="77777777" w:rsidR="00187FDA" w:rsidRDefault="00187FDA">
      <w:pPr>
        <w:pStyle w:val="BodyText"/>
        <w:rPr>
          <w:rFonts w:ascii="Times New Roman"/>
          <w:sz w:val="28"/>
        </w:rPr>
      </w:pPr>
    </w:p>
    <w:p w14:paraId="3C5D0EC8" w14:textId="77777777" w:rsidR="00187FDA" w:rsidRPr="00F74864" w:rsidRDefault="00187FDA">
      <w:pPr>
        <w:pStyle w:val="BodyText"/>
        <w:spacing w:before="102"/>
        <w:rPr>
          <w:rFonts w:asciiTheme="minorBidi" w:hAnsiTheme="minorBidi" w:cstheme="minorBidi"/>
          <w:sz w:val="28"/>
        </w:rPr>
      </w:pPr>
    </w:p>
    <w:p w14:paraId="590CE6B2" w14:textId="45470BD3" w:rsidR="00187FDA" w:rsidRPr="00F74864" w:rsidRDefault="009F7B3D" w:rsidP="00F74864">
      <w:pPr>
        <w:pStyle w:val="BodyText"/>
        <w:rPr>
          <w:rFonts w:asciiTheme="minorBidi" w:hAnsiTheme="minorBidi" w:cstheme="minorBidi"/>
          <w:sz w:val="28"/>
          <w:szCs w:val="28"/>
        </w:rPr>
      </w:pPr>
      <w:r w:rsidRPr="00F74864">
        <w:rPr>
          <w:rFonts w:asciiTheme="minorBidi" w:hAnsiTheme="minorBidi" w:cstheme="minorBidi"/>
          <w:sz w:val="28"/>
          <w:szCs w:val="28"/>
        </w:rPr>
        <w:t>Name:</w:t>
      </w:r>
      <w:r w:rsidR="00F74864" w:rsidRPr="00F74864">
        <w:rPr>
          <w:rFonts w:asciiTheme="minorBidi" w:hAnsiTheme="minorBidi" w:cstheme="minorBidi"/>
          <w:sz w:val="28"/>
          <w:szCs w:val="28"/>
        </w:rPr>
        <w:t xml:space="preserve">             SALMA SHAHZAD</w:t>
      </w:r>
    </w:p>
    <w:p w14:paraId="5EFB24E9" w14:textId="6F3E2D7A" w:rsidR="00187FDA" w:rsidRPr="00F74864" w:rsidRDefault="009F7B3D" w:rsidP="00F74864">
      <w:pPr>
        <w:pStyle w:val="BodyText"/>
        <w:rPr>
          <w:rFonts w:asciiTheme="minorBidi" w:hAnsiTheme="minorBidi" w:cstheme="minorBidi"/>
          <w:sz w:val="28"/>
          <w:szCs w:val="28"/>
        </w:rPr>
      </w:pPr>
      <w:r w:rsidRPr="00F74864">
        <w:rPr>
          <w:rFonts w:asciiTheme="minorBidi" w:hAnsiTheme="minorBidi" w:cstheme="minorBidi"/>
          <w:sz w:val="28"/>
          <w:szCs w:val="28"/>
        </w:rPr>
        <w:t>Student</w:t>
      </w:r>
      <w:r w:rsidRPr="00F74864">
        <w:rPr>
          <w:rFonts w:asciiTheme="minorBidi" w:hAnsiTheme="minorBidi" w:cstheme="minorBidi"/>
          <w:spacing w:val="-2"/>
          <w:sz w:val="28"/>
          <w:szCs w:val="28"/>
        </w:rPr>
        <w:t xml:space="preserve"> </w:t>
      </w:r>
      <w:r w:rsidRPr="00F74864">
        <w:rPr>
          <w:rFonts w:asciiTheme="minorBidi" w:hAnsiTheme="minorBidi" w:cstheme="minorBidi"/>
          <w:sz w:val="28"/>
          <w:szCs w:val="28"/>
        </w:rPr>
        <w:t>ID:</w:t>
      </w:r>
      <w:r w:rsidR="00F74864" w:rsidRPr="00F74864">
        <w:rPr>
          <w:rFonts w:asciiTheme="minorBidi" w:hAnsiTheme="minorBidi" w:cstheme="minorBidi"/>
          <w:sz w:val="28"/>
          <w:szCs w:val="28"/>
        </w:rPr>
        <w:t xml:space="preserve">      2332701</w:t>
      </w:r>
    </w:p>
    <w:p w14:paraId="63C3EE36" w14:textId="64140D25" w:rsidR="00187FDA" w:rsidRPr="00F74864" w:rsidRDefault="009F7B3D" w:rsidP="00F74864">
      <w:pPr>
        <w:pStyle w:val="BodyText"/>
        <w:rPr>
          <w:rFonts w:asciiTheme="minorBidi" w:hAnsiTheme="minorBidi" w:cstheme="minorBidi"/>
          <w:sz w:val="28"/>
          <w:szCs w:val="28"/>
        </w:rPr>
      </w:pPr>
      <w:r w:rsidRPr="00F74864">
        <w:rPr>
          <w:rFonts w:asciiTheme="minorBidi" w:hAnsiTheme="minorBidi" w:cstheme="minorBidi"/>
          <w:sz w:val="28"/>
          <w:szCs w:val="28"/>
        </w:rPr>
        <w:t>Module</w:t>
      </w:r>
      <w:r w:rsidRPr="00F74864">
        <w:rPr>
          <w:rFonts w:asciiTheme="minorBidi" w:hAnsiTheme="minorBidi" w:cstheme="minorBidi"/>
          <w:spacing w:val="-7"/>
          <w:sz w:val="28"/>
          <w:szCs w:val="28"/>
        </w:rPr>
        <w:t xml:space="preserve"> </w:t>
      </w:r>
      <w:r w:rsidRPr="00F74864">
        <w:rPr>
          <w:rFonts w:asciiTheme="minorBidi" w:hAnsiTheme="minorBidi" w:cstheme="minorBidi"/>
          <w:sz w:val="28"/>
          <w:szCs w:val="28"/>
        </w:rPr>
        <w:t>Code:</w:t>
      </w:r>
      <w:r w:rsidR="00F74864" w:rsidRPr="00F74864">
        <w:rPr>
          <w:rFonts w:asciiTheme="minorBidi" w:hAnsiTheme="minorBidi" w:cstheme="minorBidi"/>
          <w:sz w:val="28"/>
          <w:szCs w:val="28"/>
        </w:rPr>
        <w:t xml:space="preserve"> LCHS4001</w:t>
      </w:r>
    </w:p>
    <w:p w14:paraId="6E967936" w14:textId="7B962936" w:rsidR="00187FDA" w:rsidRPr="00F74864" w:rsidRDefault="009F7B3D" w:rsidP="00F74864">
      <w:pPr>
        <w:pStyle w:val="BodyText"/>
        <w:rPr>
          <w:rFonts w:asciiTheme="minorBidi" w:hAnsiTheme="minorBidi" w:cstheme="minorBidi"/>
          <w:sz w:val="28"/>
          <w:szCs w:val="28"/>
        </w:rPr>
      </w:pPr>
      <w:r w:rsidRPr="00F74864">
        <w:rPr>
          <w:rFonts w:asciiTheme="minorBidi" w:hAnsiTheme="minorBidi" w:cstheme="minorBidi"/>
          <w:spacing w:val="-2"/>
          <w:sz w:val="28"/>
          <w:szCs w:val="28"/>
        </w:rPr>
        <w:t>Module:</w:t>
      </w:r>
      <w:r w:rsidR="00F74864" w:rsidRPr="00F74864">
        <w:rPr>
          <w:rFonts w:asciiTheme="minorBidi" w:hAnsiTheme="minorBidi" w:cstheme="minorBidi"/>
          <w:spacing w:val="-2"/>
          <w:sz w:val="28"/>
          <w:szCs w:val="28"/>
        </w:rPr>
        <w:t xml:space="preserve">           ACADEMIC AND EMPLOYABILITY SKILLS</w:t>
      </w:r>
    </w:p>
    <w:p w14:paraId="2E4FCE36" w14:textId="372537AE" w:rsidR="00187FDA" w:rsidRPr="00F74864" w:rsidRDefault="009F7B3D" w:rsidP="00F74864">
      <w:pPr>
        <w:pStyle w:val="BodyText"/>
        <w:rPr>
          <w:rFonts w:asciiTheme="minorBidi" w:hAnsiTheme="minorBidi" w:cstheme="minorBidi"/>
          <w:sz w:val="28"/>
          <w:szCs w:val="28"/>
        </w:rPr>
      </w:pPr>
      <w:r w:rsidRPr="00F74864">
        <w:rPr>
          <w:rFonts w:asciiTheme="minorBidi" w:hAnsiTheme="minorBidi" w:cstheme="minorBidi"/>
          <w:spacing w:val="-2"/>
          <w:sz w:val="28"/>
          <w:szCs w:val="28"/>
        </w:rPr>
        <w:t>Lecturer:</w:t>
      </w:r>
      <w:r w:rsidR="00F74864" w:rsidRPr="00F74864">
        <w:rPr>
          <w:rFonts w:asciiTheme="minorBidi" w:hAnsiTheme="minorBidi" w:cstheme="minorBidi"/>
          <w:spacing w:val="-2"/>
          <w:sz w:val="28"/>
          <w:szCs w:val="28"/>
        </w:rPr>
        <w:t xml:space="preserve">          MARKUS KLINGELFUS</w:t>
      </w:r>
    </w:p>
    <w:p w14:paraId="0278FC25" w14:textId="5A85967B" w:rsidR="00187FDA" w:rsidRPr="00F74864" w:rsidRDefault="009F7B3D" w:rsidP="00F74864">
      <w:pPr>
        <w:pStyle w:val="BodyText"/>
        <w:rPr>
          <w:sz w:val="28"/>
          <w:szCs w:val="28"/>
        </w:rPr>
        <w:sectPr w:rsidR="00187FDA" w:rsidRPr="00F74864">
          <w:type w:val="continuous"/>
          <w:pgSz w:w="11910" w:h="16840"/>
          <w:pgMar w:top="1740" w:right="1417" w:bottom="280" w:left="1417" w:header="720" w:footer="720" w:gutter="0"/>
          <w:cols w:space="720"/>
        </w:sectPr>
      </w:pPr>
      <w:r w:rsidRPr="00F74864">
        <w:rPr>
          <w:rFonts w:asciiTheme="minorBidi" w:hAnsiTheme="minorBidi" w:cstheme="minorBidi"/>
          <w:sz w:val="28"/>
          <w:szCs w:val="28"/>
        </w:rPr>
        <w:t>Submitted</w:t>
      </w:r>
      <w:r w:rsidRPr="00F74864">
        <w:rPr>
          <w:rFonts w:asciiTheme="minorBidi" w:hAnsiTheme="minorBidi" w:cstheme="minorBidi"/>
          <w:spacing w:val="-4"/>
          <w:sz w:val="28"/>
          <w:szCs w:val="28"/>
        </w:rPr>
        <w:t xml:space="preserve"> </w:t>
      </w:r>
      <w:r w:rsidRPr="00F74864">
        <w:rPr>
          <w:rFonts w:asciiTheme="minorBidi" w:hAnsiTheme="minorBidi" w:cstheme="minorBidi"/>
          <w:spacing w:val="-5"/>
          <w:sz w:val="28"/>
          <w:szCs w:val="28"/>
        </w:rPr>
        <w:t>on:</w:t>
      </w:r>
      <w:r w:rsidR="00F74864" w:rsidRPr="00F74864">
        <w:rPr>
          <w:rFonts w:asciiTheme="minorBidi" w:hAnsiTheme="minorBidi" w:cstheme="minorBidi"/>
          <w:sz w:val="28"/>
          <w:szCs w:val="28"/>
        </w:rPr>
        <w:t xml:space="preserve"> 18.11.2025</w:t>
      </w:r>
    </w:p>
    <w:p w14:paraId="766DBD34" w14:textId="77777777" w:rsidR="00187FDA" w:rsidRDefault="009F7B3D">
      <w:pPr>
        <w:spacing w:before="83"/>
        <w:ind w:left="23"/>
        <w:rPr>
          <w:sz w:val="28"/>
        </w:rPr>
      </w:pPr>
      <w:r>
        <w:rPr>
          <w:color w:val="4471C4"/>
          <w:sz w:val="28"/>
        </w:rPr>
        <w:lastRenderedPageBreak/>
        <w:t>Table</w:t>
      </w:r>
      <w:r>
        <w:rPr>
          <w:color w:val="4471C4"/>
          <w:spacing w:val="-4"/>
          <w:sz w:val="28"/>
        </w:rPr>
        <w:t xml:space="preserve"> </w:t>
      </w:r>
      <w:r>
        <w:rPr>
          <w:color w:val="4471C4"/>
          <w:sz w:val="28"/>
        </w:rPr>
        <w:t>of</w:t>
      </w:r>
      <w:r>
        <w:rPr>
          <w:color w:val="4471C4"/>
          <w:spacing w:val="1"/>
          <w:sz w:val="28"/>
        </w:rPr>
        <w:t xml:space="preserve"> </w:t>
      </w:r>
      <w:r>
        <w:rPr>
          <w:color w:val="4471C4"/>
          <w:spacing w:val="-2"/>
          <w:sz w:val="28"/>
        </w:rPr>
        <w:t>Contents</w:t>
      </w:r>
    </w:p>
    <w:sdt>
      <w:sdtPr>
        <w:rPr>
          <w:b w:val="0"/>
          <w:bCs w:val="0"/>
          <w:i w:val="0"/>
          <w:iCs w:val="0"/>
          <w:sz w:val="22"/>
          <w:szCs w:val="22"/>
        </w:rPr>
        <w:id w:val="-2030326475"/>
        <w:docPartObj>
          <w:docPartGallery w:val="Table of Contents"/>
          <w:docPartUnique/>
        </w:docPartObj>
      </w:sdtPr>
      <w:sdtContent>
        <w:p w14:paraId="6B0062B6" w14:textId="77777777" w:rsidR="00187FDA" w:rsidRDefault="009F7B3D">
          <w:pPr>
            <w:pStyle w:val="TOC1"/>
            <w:tabs>
              <w:tab w:val="right" w:leader="dot" w:pos="9040"/>
            </w:tabs>
          </w:pPr>
          <w:r>
            <w:fldChar w:fldCharType="begin"/>
          </w:r>
          <w:r>
            <w:instrText xml:space="preserve">TOC \o "1-2" \h \z \u </w:instrText>
          </w:r>
          <w:r>
            <w:fldChar w:fldCharType="separate"/>
          </w:r>
          <w:hyperlink w:anchor="_bookmark0" w:history="1">
            <w:r w:rsidR="00187FDA">
              <w:t>1:</w:t>
            </w:r>
            <w:r w:rsidR="00187FDA">
              <w:rPr>
                <w:spacing w:val="-5"/>
              </w:rPr>
              <w:t xml:space="preserve"> </w:t>
            </w:r>
            <w:r w:rsidR="00187FDA">
              <w:t>Written</w:t>
            </w:r>
            <w:r w:rsidR="00187FDA">
              <w:rPr>
                <w:spacing w:val="-3"/>
              </w:rPr>
              <w:t xml:space="preserve"> </w:t>
            </w:r>
            <w:r w:rsidR="00187FDA">
              <w:rPr>
                <w:spacing w:val="-2"/>
              </w:rPr>
              <w:t>Report</w:t>
            </w:r>
            <w:r w:rsidR="00187FDA">
              <w:rPr>
                <w:rFonts w:ascii="Times New Roman"/>
                <w:b w:val="0"/>
                <w:i w:val="0"/>
              </w:rPr>
              <w:tab/>
            </w:r>
            <w:r w:rsidR="00187FDA">
              <w:rPr>
                <w:spacing w:val="-10"/>
              </w:rPr>
              <w:t>3</w:t>
            </w:r>
          </w:hyperlink>
        </w:p>
        <w:p w14:paraId="08D7C367" w14:textId="77777777" w:rsidR="00187FDA" w:rsidRDefault="00000000">
          <w:pPr>
            <w:pStyle w:val="TOC2"/>
            <w:numPr>
              <w:ilvl w:val="1"/>
              <w:numId w:val="5"/>
            </w:numPr>
            <w:tabs>
              <w:tab w:val="left" w:pos="581"/>
              <w:tab w:val="right" w:leader="dot" w:pos="9042"/>
            </w:tabs>
            <w:spacing w:before="144"/>
            <w:ind w:left="581" w:hanging="338"/>
          </w:pPr>
          <w:hyperlink w:anchor="_bookmark1" w:history="1">
            <w:r w:rsidR="00187FDA">
              <w:rPr>
                <w:spacing w:val="-2"/>
              </w:rPr>
              <w:t>Introduction</w:t>
            </w:r>
            <w:r w:rsidR="00187FDA">
              <w:rPr>
                <w:rFonts w:ascii="Times New Roman"/>
                <w:b w:val="0"/>
              </w:rPr>
              <w:tab/>
            </w:r>
            <w:r w:rsidR="00187FDA">
              <w:rPr>
                <w:spacing w:val="-10"/>
              </w:rPr>
              <w:t>3</w:t>
            </w:r>
          </w:hyperlink>
        </w:p>
        <w:p w14:paraId="586FED74" w14:textId="77777777" w:rsidR="00187FDA" w:rsidRDefault="00000000">
          <w:pPr>
            <w:pStyle w:val="TOC2"/>
            <w:numPr>
              <w:ilvl w:val="1"/>
              <w:numId w:val="5"/>
            </w:numPr>
            <w:tabs>
              <w:tab w:val="left" w:pos="581"/>
              <w:tab w:val="right" w:leader="dot" w:pos="9042"/>
            </w:tabs>
            <w:ind w:left="581" w:hanging="338"/>
          </w:pPr>
          <w:hyperlink w:anchor="_bookmark2" w:history="1">
            <w:r w:rsidR="00187FDA">
              <w:t>Description</w:t>
            </w:r>
            <w:r w:rsidR="00187FDA">
              <w:rPr>
                <w:spacing w:val="-10"/>
              </w:rPr>
              <w:t xml:space="preserve"> </w:t>
            </w:r>
            <w:r w:rsidR="00187FDA">
              <w:t>of,</w:t>
            </w:r>
            <w:r w:rsidR="00187FDA">
              <w:rPr>
                <w:spacing w:val="-9"/>
              </w:rPr>
              <w:t xml:space="preserve"> </w:t>
            </w:r>
            <w:r w:rsidR="00187FDA">
              <w:t>and</w:t>
            </w:r>
            <w:r w:rsidR="00187FDA">
              <w:rPr>
                <w:spacing w:val="-8"/>
              </w:rPr>
              <w:t xml:space="preserve"> </w:t>
            </w:r>
            <w:r w:rsidR="00187FDA">
              <w:t>background</w:t>
            </w:r>
            <w:r w:rsidR="00187FDA">
              <w:rPr>
                <w:spacing w:val="-8"/>
              </w:rPr>
              <w:t xml:space="preserve"> </w:t>
            </w:r>
            <w:r w:rsidR="00187FDA">
              <w:t>to,</w:t>
            </w:r>
            <w:r w:rsidR="00187FDA">
              <w:rPr>
                <w:spacing w:val="-9"/>
              </w:rPr>
              <w:t xml:space="preserve"> </w:t>
            </w:r>
            <w:r w:rsidR="00187FDA">
              <w:t>[Your</w:t>
            </w:r>
            <w:r w:rsidR="00187FDA">
              <w:rPr>
                <w:spacing w:val="-8"/>
              </w:rPr>
              <w:t xml:space="preserve"> </w:t>
            </w:r>
            <w:r w:rsidR="00187FDA">
              <w:t>Role]</w:t>
            </w:r>
            <w:r w:rsidR="00187FDA">
              <w:rPr>
                <w:spacing w:val="-8"/>
              </w:rPr>
              <w:t xml:space="preserve"> </w:t>
            </w:r>
            <w:r w:rsidR="00187FDA">
              <w:t>in</w:t>
            </w:r>
            <w:r w:rsidR="00187FDA">
              <w:rPr>
                <w:spacing w:val="-6"/>
              </w:rPr>
              <w:t xml:space="preserve"> </w:t>
            </w:r>
            <w:r w:rsidR="00187FDA">
              <w:rPr>
                <w:spacing w:val="-2"/>
              </w:rPr>
              <w:t>Healthcare</w:t>
            </w:r>
            <w:r w:rsidR="00187FDA">
              <w:rPr>
                <w:rFonts w:ascii="Times New Roman"/>
                <w:b w:val="0"/>
              </w:rPr>
              <w:tab/>
            </w:r>
            <w:r w:rsidR="00187FDA">
              <w:rPr>
                <w:spacing w:val="-10"/>
              </w:rPr>
              <w:t>3</w:t>
            </w:r>
          </w:hyperlink>
        </w:p>
        <w:p w14:paraId="58F56D55" w14:textId="77777777" w:rsidR="00187FDA" w:rsidRDefault="00000000">
          <w:pPr>
            <w:pStyle w:val="TOC2"/>
            <w:numPr>
              <w:ilvl w:val="1"/>
              <w:numId w:val="4"/>
            </w:numPr>
            <w:tabs>
              <w:tab w:val="left" w:pos="581"/>
              <w:tab w:val="right" w:leader="dot" w:pos="9042"/>
            </w:tabs>
            <w:ind w:left="581" w:hanging="338"/>
          </w:pPr>
          <w:hyperlink w:anchor="_bookmark3" w:history="1">
            <w:r w:rsidR="00187FDA">
              <w:t>Strategies</w:t>
            </w:r>
            <w:r w:rsidR="00187FDA">
              <w:rPr>
                <w:spacing w:val="-7"/>
              </w:rPr>
              <w:t xml:space="preserve"> </w:t>
            </w:r>
            <w:r w:rsidR="00187FDA">
              <w:t>to</w:t>
            </w:r>
            <w:r w:rsidR="00187FDA">
              <w:rPr>
                <w:spacing w:val="-10"/>
              </w:rPr>
              <w:t xml:space="preserve"> </w:t>
            </w:r>
            <w:r w:rsidR="00187FDA">
              <w:t>improve</w:t>
            </w:r>
            <w:r w:rsidR="00187FDA">
              <w:rPr>
                <w:spacing w:val="-7"/>
              </w:rPr>
              <w:t xml:space="preserve"> </w:t>
            </w:r>
            <w:r w:rsidR="00187FDA">
              <w:t>the</w:t>
            </w:r>
            <w:r w:rsidR="00187FDA">
              <w:rPr>
                <w:spacing w:val="-7"/>
              </w:rPr>
              <w:t xml:space="preserve"> </w:t>
            </w:r>
            <w:r w:rsidR="00187FDA">
              <w:t>skills</w:t>
            </w:r>
            <w:r w:rsidR="00187FDA">
              <w:rPr>
                <w:spacing w:val="-6"/>
              </w:rPr>
              <w:t xml:space="preserve"> </w:t>
            </w:r>
            <w:r w:rsidR="00187FDA">
              <w:t>for</w:t>
            </w:r>
            <w:r w:rsidR="00187FDA">
              <w:rPr>
                <w:spacing w:val="-8"/>
              </w:rPr>
              <w:t xml:space="preserve"> </w:t>
            </w:r>
            <w:r w:rsidR="00187FDA">
              <w:t>[Your</w:t>
            </w:r>
            <w:r w:rsidR="00187FDA">
              <w:rPr>
                <w:spacing w:val="-7"/>
              </w:rPr>
              <w:t xml:space="preserve"> </w:t>
            </w:r>
            <w:r w:rsidR="00187FDA">
              <w:rPr>
                <w:spacing w:val="-4"/>
              </w:rPr>
              <w:t>Role]</w:t>
            </w:r>
            <w:r w:rsidR="00187FDA">
              <w:rPr>
                <w:rFonts w:ascii="Times New Roman"/>
                <w:b w:val="0"/>
              </w:rPr>
              <w:tab/>
            </w:r>
            <w:r w:rsidR="00187FDA">
              <w:rPr>
                <w:spacing w:val="-10"/>
              </w:rPr>
              <w:t>3</w:t>
            </w:r>
          </w:hyperlink>
        </w:p>
        <w:p w14:paraId="5A7028D3" w14:textId="77777777" w:rsidR="00187FDA" w:rsidRDefault="00000000">
          <w:pPr>
            <w:pStyle w:val="TOC2"/>
            <w:numPr>
              <w:ilvl w:val="1"/>
              <w:numId w:val="3"/>
            </w:numPr>
            <w:tabs>
              <w:tab w:val="left" w:pos="581"/>
              <w:tab w:val="right" w:leader="dot" w:pos="9042"/>
            </w:tabs>
            <w:spacing w:before="144"/>
            <w:ind w:left="581" w:hanging="338"/>
          </w:pPr>
          <w:hyperlink w:anchor="_bookmark4" w:history="1">
            <w:r w:rsidR="00187FDA">
              <w:rPr>
                <w:spacing w:val="-2"/>
              </w:rPr>
              <w:t>Conclusion</w:t>
            </w:r>
            <w:r w:rsidR="00187FDA">
              <w:rPr>
                <w:rFonts w:ascii="Times New Roman"/>
                <w:b w:val="0"/>
              </w:rPr>
              <w:tab/>
            </w:r>
            <w:r w:rsidR="00187FDA">
              <w:rPr>
                <w:spacing w:val="-10"/>
              </w:rPr>
              <w:t>3</w:t>
            </w:r>
          </w:hyperlink>
        </w:p>
        <w:p w14:paraId="1BDB036B" w14:textId="77777777" w:rsidR="00187FDA" w:rsidRDefault="00000000">
          <w:pPr>
            <w:pStyle w:val="TOC2"/>
            <w:numPr>
              <w:ilvl w:val="1"/>
              <w:numId w:val="3"/>
            </w:numPr>
            <w:tabs>
              <w:tab w:val="left" w:pos="581"/>
              <w:tab w:val="right" w:leader="dot" w:pos="9042"/>
            </w:tabs>
            <w:spacing w:before="140"/>
            <w:ind w:left="581" w:hanging="338"/>
          </w:pPr>
          <w:hyperlink w:anchor="_bookmark5" w:history="1">
            <w:r w:rsidR="00187FDA">
              <w:t>Reference</w:t>
            </w:r>
            <w:r w:rsidR="00187FDA">
              <w:rPr>
                <w:spacing w:val="-7"/>
              </w:rPr>
              <w:t xml:space="preserve"> </w:t>
            </w:r>
            <w:r w:rsidR="00187FDA">
              <w:rPr>
                <w:spacing w:val="-4"/>
              </w:rPr>
              <w:t>List</w:t>
            </w:r>
            <w:r w:rsidR="00187FDA">
              <w:rPr>
                <w:rFonts w:ascii="Times New Roman"/>
                <w:b w:val="0"/>
              </w:rPr>
              <w:tab/>
            </w:r>
            <w:r w:rsidR="00187FDA">
              <w:rPr>
                <w:spacing w:val="-10"/>
              </w:rPr>
              <w:t>4</w:t>
            </w:r>
          </w:hyperlink>
        </w:p>
        <w:p w14:paraId="3C1ECE67" w14:textId="77777777" w:rsidR="00187FDA" w:rsidRDefault="009F7B3D">
          <w:r>
            <w:fldChar w:fldCharType="end"/>
          </w:r>
        </w:p>
      </w:sdtContent>
    </w:sdt>
    <w:p w14:paraId="04E1178B" w14:textId="77777777" w:rsidR="00187FDA" w:rsidRDefault="00187FDA">
      <w:pPr>
        <w:sectPr w:rsidR="00187FDA">
          <w:pgSz w:w="11910" w:h="16840"/>
          <w:pgMar w:top="1360" w:right="1417" w:bottom="280" w:left="1417" w:header="720" w:footer="720" w:gutter="0"/>
          <w:cols w:space="720"/>
        </w:sectPr>
      </w:pPr>
    </w:p>
    <w:p w14:paraId="1C9336F5" w14:textId="77777777" w:rsidR="00187FDA" w:rsidRDefault="009F7B3D">
      <w:pPr>
        <w:pStyle w:val="Heading1"/>
      </w:pPr>
      <w:bookmarkStart w:id="0" w:name="1:_Written_Report"/>
      <w:bookmarkStart w:id="1" w:name="_bookmark0"/>
      <w:bookmarkEnd w:id="0"/>
      <w:bookmarkEnd w:id="1"/>
      <w:r>
        <w:rPr>
          <w:color w:val="4471C4"/>
        </w:rPr>
        <w:lastRenderedPageBreak/>
        <w:t>1: Written</w:t>
      </w:r>
      <w:r>
        <w:rPr>
          <w:color w:val="4471C4"/>
          <w:spacing w:val="3"/>
        </w:rPr>
        <w:t xml:space="preserve"> </w:t>
      </w:r>
      <w:r>
        <w:rPr>
          <w:color w:val="4471C4"/>
          <w:spacing w:val="-2"/>
        </w:rPr>
        <w:t>Report</w:t>
      </w:r>
    </w:p>
    <w:p w14:paraId="3E3BBA93" w14:textId="77777777" w:rsidR="00187FDA" w:rsidRDefault="009F7B3D">
      <w:pPr>
        <w:pStyle w:val="Heading2"/>
        <w:numPr>
          <w:ilvl w:val="1"/>
          <w:numId w:val="2"/>
        </w:numPr>
        <w:tabs>
          <w:tab w:val="left" w:pos="457"/>
        </w:tabs>
        <w:spacing w:before="167"/>
        <w:ind w:left="457" w:hanging="434"/>
      </w:pPr>
      <w:bookmarkStart w:id="2" w:name="1.1_Introduction"/>
      <w:bookmarkStart w:id="3" w:name="_bookmark1"/>
      <w:bookmarkEnd w:id="2"/>
      <w:bookmarkEnd w:id="3"/>
      <w:r>
        <w:rPr>
          <w:color w:val="4471C4"/>
          <w:spacing w:val="-2"/>
        </w:rPr>
        <w:t>Introduction</w:t>
      </w:r>
    </w:p>
    <w:p w14:paraId="072CE272" w14:textId="4B126CF9" w:rsidR="00477447" w:rsidRDefault="00477447" w:rsidP="00856BE7">
      <w:r w:rsidRPr="00477447">
        <w:t xml:space="preserve">The selected role is a care assistant; the selection of a position is due to the former experience and a great desire to work with the </w:t>
      </w:r>
      <w:proofErr w:type="gramStart"/>
      <w:r w:rsidRPr="00477447">
        <w:t>individuals</w:t>
      </w:r>
      <w:proofErr w:type="gramEnd"/>
      <w:r w:rsidRPr="00477447">
        <w:t xml:space="preserve"> requiring assistance in the area of daily living. This position is valuable in health and social care since care assistants offer necessary personal assistance, emotional support, and close attention to ensure the people are safe against harm and respected. This report will outline the position of a care assistant, elaborate three major skills needed to be able to practice effectively, assess the importance of such skills, and inform about the practical mechanisms to enhance the three skills in a care environment.</w:t>
      </w:r>
    </w:p>
    <w:p w14:paraId="10BD311A" w14:textId="77777777" w:rsidR="00B11CC8" w:rsidRDefault="00B11CC8">
      <w:pPr>
        <w:pStyle w:val="BodyText"/>
        <w:spacing w:before="41"/>
        <w:rPr>
          <w:b/>
        </w:rPr>
      </w:pPr>
    </w:p>
    <w:p w14:paraId="1601E3BD" w14:textId="3D3B3939" w:rsidR="00187FDA" w:rsidRDefault="009F7B3D">
      <w:pPr>
        <w:pStyle w:val="Heading2"/>
        <w:numPr>
          <w:ilvl w:val="1"/>
          <w:numId w:val="2"/>
        </w:numPr>
        <w:tabs>
          <w:tab w:val="left" w:pos="457"/>
        </w:tabs>
        <w:ind w:left="457" w:hanging="434"/>
      </w:pPr>
      <w:bookmarkStart w:id="4" w:name="1.2_Description_of,_and_background_to,_["/>
      <w:bookmarkStart w:id="5" w:name="_bookmark2"/>
      <w:bookmarkEnd w:id="4"/>
      <w:bookmarkEnd w:id="5"/>
      <w:r>
        <w:rPr>
          <w:color w:val="4471C4"/>
        </w:rPr>
        <w:t>Description</w:t>
      </w:r>
      <w:r>
        <w:rPr>
          <w:color w:val="4471C4"/>
          <w:spacing w:val="-5"/>
        </w:rPr>
        <w:t xml:space="preserve"> </w:t>
      </w:r>
      <w:r>
        <w:rPr>
          <w:color w:val="4471C4"/>
        </w:rPr>
        <w:t>of,</w:t>
      </w:r>
      <w:r>
        <w:rPr>
          <w:color w:val="4471C4"/>
          <w:spacing w:val="-6"/>
        </w:rPr>
        <w:t xml:space="preserve"> </w:t>
      </w:r>
      <w:r>
        <w:rPr>
          <w:color w:val="4471C4"/>
        </w:rPr>
        <w:t>and</w:t>
      </w:r>
      <w:r>
        <w:rPr>
          <w:color w:val="4471C4"/>
          <w:spacing w:val="-6"/>
        </w:rPr>
        <w:t xml:space="preserve"> </w:t>
      </w:r>
      <w:r>
        <w:rPr>
          <w:color w:val="4471C4"/>
        </w:rPr>
        <w:t>background</w:t>
      </w:r>
      <w:r>
        <w:rPr>
          <w:color w:val="4471C4"/>
          <w:spacing w:val="-6"/>
        </w:rPr>
        <w:t xml:space="preserve"> </w:t>
      </w:r>
      <w:r>
        <w:rPr>
          <w:color w:val="4471C4"/>
        </w:rPr>
        <w:t>to,</w:t>
      </w:r>
      <w:r>
        <w:rPr>
          <w:color w:val="4471C4"/>
          <w:spacing w:val="-7"/>
        </w:rPr>
        <w:t xml:space="preserve"> </w:t>
      </w:r>
      <w:r>
        <w:rPr>
          <w:color w:val="4471C4"/>
        </w:rPr>
        <w:t>[Your</w:t>
      </w:r>
      <w:r>
        <w:rPr>
          <w:color w:val="4471C4"/>
          <w:spacing w:val="-7"/>
        </w:rPr>
        <w:t xml:space="preserve"> </w:t>
      </w:r>
      <w:r>
        <w:rPr>
          <w:color w:val="4471C4"/>
        </w:rPr>
        <w:t>Role]</w:t>
      </w:r>
      <w:r>
        <w:rPr>
          <w:color w:val="4471C4"/>
          <w:spacing w:val="-5"/>
        </w:rPr>
        <w:t xml:space="preserve"> </w:t>
      </w:r>
      <w:r>
        <w:rPr>
          <w:color w:val="4471C4"/>
        </w:rPr>
        <w:t>in</w:t>
      </w:r>
      <w:r>
        <w:rPr>
          <w:color w:val="4471C4"/>
          <w:spacing w:val="-4"/>
        </w:rPr>
        <w:t xml:space="preserve"> </w:t>
      </w:r>
      <w:r w:rsidR="00F74864">
        <w:rPr>
          <w:color w:val="4471C4"/>
          <w:spacing w:val="-2"/>
        </w:rPr>
        <w:t>healthcare</w:t>
      </w:r>
    </w:p>
    <w:p w14:paraId="3D755305" w14:textId="77777777" w:rsidR="00477447" w:rsidRPr="00477447" w:rsidRDefault="00477447" w:rsidP="00477447">
      <w:pPr>
        <w:pStyle w:val="BodyText"/>
        <w:spacing w:before="1"/>
        <w:rPr>
          <w:sz w:val="22"/>
          <w:szCs w:val="22"/>
        </w:rPr>
      </w:pPr>
      <w:r w:rsidRPr="00477447">
        <w:rPr>
          <w:sz w:val="22"/>
          <w:szCs w:val="22"/>
        </w:rPr>
        <w:t xml:space="preserve">A care assistant (synonymous with a healthcare assistant or support worker) is the one who offers support, help and direct personal care to individuals in a hospital, clinic, care home and in the community (Health Service Executive [HSE], 2018). The care assistants assist with activities of daily living including washing, dressing, toileting, moving safely, serving meals and assisting in eating. They also perform basic health examinations, such as checking temperature, pulse and blood pressure, and documenting or notifying the nurses or senior staff about any issues (NHS England, 2023). With the help of this </w:t>
      </w:r>
      <w:proofErr w:type="gramStart"/>
      <w:r w:rsidRPr="00477447">
        <w:rPr>
          <w:sz w:val="22"/>
          <w:szCs w:val="22"/>
        </w:rPr>
        <w:t>work</w:t>
      </w:r>
      <w:proofErr w:type="gramEnd"/>
      <w:r w:rsidRPr="00477447">
        <w:rPr>
          <w:sz w:val="22"/>
          <w:szCs w:val="22"/>
        </w:rPr>
        <w:t xml:space="preserve"> they assist patients to feel comfortable enough, dignified and as independent as possible.</w:t>
      </w:r>
    </w:p>
    <w:p w14:paraId="58FEBDBB" w14:textId="77777777" w:rsidR="00477447" w:rsidRPr="00477447" w:rsidRDefault="00477447" w:rsidP="00477447">
      <w:pPr>
        <w:pStyle w:val="BodyText"/>
        <w:spacing w:before="1"/>
        <w:rPr>
          <w:sz w:val="22"/>
          <w:szCs w:val="22"/>
        </w:rPr>
      </w:pPr>
    </w:p>
    <w:p w14:paraId="00FF7B58" w14:textId="3FC1A3BF" w:rsidR="00B11CC8" w:rsidRDefault="00477447" w:rsidP="00477447">
      <w:pPr>
        <w:pStyle w:val="BodyText"/>
        <w:spacing w:before="1"/>
      </w:pPr>
      <w:r w:rsidRPr="00477447">
        <w:rPr>
          <w:sz w:val="22"/>
          <w:szCs w:val="22"/>
        </w:rPr>
        <w:t>The greatest responsibility of a care assistant is to provide person-</w:t>
      </w:r>
      <w:proofErr w:type="spellStart"/>
      <w:r w:rsidRPr="00477447">
        <w:rPr>
          <w:sz w:val="22"/>
          <w:szCs w:val="22"/>
        </w:rPr>
        <w:t>centred</w:t>
      </w:r>
      <w:proofErr w:type="spellEnd"/>
      <w:r w:rsidRPr="00477447">
        <w:rPr>
          <w:sz w:val="22"/>
          <w:szCs w:val="22"/>
        </w:rPr>
        <w:t xml:space="preserve"> day care and observe alterations in the state of a person and his spirits to be able to detect the issues at an early stage. To do it effectively, the care assistants require effective communication skills to clarify care duties and explain them to the patients, empathy to comprehend how being ill or disabled makes someone feel, and observational skills to see the slightest change in </w:t>
      </w:r>
      <w:proofErr w:type="spellStart"/>
      <w:r w:rsidRPr="00477447">
        <w:rPr>
          <w:sz w:val="22"/>
          <w:szCs w:val="22"/>
        </w:rPr>
        <w:t>behaviour</w:t>
      </w:r>
      <w:proofErr w:type="spellEnd"/>
      <w:r w:rsidRPr="00477447">
        <w:rPr>
          <w:sz w:val="22"/>
          <w:szCs w:val="22"/>
        </w:rPr>
        <w:t xml:space="preserve"> or health, which can indicate worsening (HSE, 2018; Xpress Health NI, 2025). These skills combined can help care assistants to maintain the safety and emotional support of people in their daily care.</w:t>
      </w:r>
    </w:p>
    <w:p w14:paraId="7575DE68" w14:textId="77777777" w:rsidR="00B11CC8" w:rsidRDefault="00B11CC8">
      <w:pPr>
        <w:pStyle w:val="BodyText"/>
        <w:spacing w:before="1"/>
      </w:pPr>
    </w:p>
    <w:p w14:paraId="0F69AF3C" w14:textId="77777777" w:rsidR="00B11CC8" w:rsidRDefault="00B11CC8">
      <w:pPr>
        <w:pStyle w:val="BodyText"/>
        <w:spacing w:before="1"/>
      </w:pPr>
    </w:p>
    <w:p w14:paraId="54FDE2EA" w14:textId="12F386B2" w:rsidR="00187FDA" w:rsidRDefault="009F7B3D">
      <w:pPr>
        <w:pStyle w:val="ListParagraph"/>
        <w:numPr>
          <w:ilvl w:val="1"/>
          <w:numId w:val="2"/>
        </w:numPr>
        <w:tabs>
          <w:tab w:val="left" w:pos="458"/>
        </w:tabs>
        <w:ind w:left="458" w:hanging="435"/>
        <w:rPr>
          <w:sz w:val="28"/>
        </w:rPr>
      </w:pPr>
      <w:r>
        <w:rPr>
          <w:color w:val="4471C4"/>
          <w:sz w:val="28"/>
        </w:rPr>
        <w:t>Evaluation</w:t>
      </w:r>
      <w:r>
        <w:rPr>
          <w:color w:val="4471C4"/>
          <w:spacing w:val="-8"/>
          <w:sz w:val="28"/>
        </w:rPr>
        <w:t xml:space="preserve"> </w:t>
      </w:r>
      <w:r>
        <w:rPr>
          <w:color w:val="4471C4"/>
          <w:sz w:val="28"/>
        </w:rPr>
        <w:t>of</w:t>
      </w:r>
      <w:r>
        <w:rPr>
          <w:color w:val="4471C4"/>
          <w:spacing w:val="-4"/>
          <w:sz w:val="28"/>
        </w:rPr>
        <w:t xml:space="preserve"> </w:t>
      </w:r>
      <w:r>
        <w:rPr>
          <w:color w:val="4471C4"/>
          <w:sz w:val="28"/>
        </w:rPr>
        <w:t>the</w:t>
      </w:r>
      <w:r>
        <w:rPr>
          <w:color w:val="4471C4"/>
          <w:spacing w:val="-4"/>
          <w:sz w:val="28"/>
        </w:rPr>
        <w:t xml:space="preserve"> </w:t>
      </w:r>
      <w:r>
        <w:rPr>
          <w:color w:val="4471C4"/>
          <w:sz w:val="28"/>
        </w:rPr>
        <w:t>skills</w:t>
      </w:r>
      <w:r>
        <w:rPr>
          <w:color w:val="4471C4"/>
          <w:spacing w:val="-5"/>
          <w:sz w:val="28"/>
        </w:rPr>
        <w:t xml:space="preserve"> </w:t>
      </w:r>
      <w:r>
        <w:rPr>
          <w:color w:val="4471C4"/>
          <w:sz w:val="28"/>
        </w:rPr>
        <w:t>needed</w:t>
      </w:r>
      <w:r>
        <w:rPr>
          <w:color w:val="4471C4"/>
          <w:spacing w:val="-6"/>
          <w:sz w:val="28"/>
        </w:rPr>
        <w:t xml:space="preserve"> </w:t>
      </w:r>
      <w:r>
        <w:rPr>
          <w:color w:val="4471C4"/>
          <w:sz w:val="28"/>
        </w:rPr>
        <w:t>for</w:t>
      </w:r>
      <w:r>
        <w:rPr>
          <w:color w:val="4471C4"/>
          <w:spacing w:val="-9"/>
          <w:sz w:val="28"/>
        </w:rPr>
        <w:t xml:space="preserve"> </w:t>
      </w:r>
      <w:r w:rsidR="00856BE7">
        <w:rPr>
          <w:color w:val="4471C4"/>
          <w:sz w:val="28"/>
        </w:rPr>
        <w:t>Care Assistant</w:t>
      </w:r>
      <w:r>
        <w:rPr>
          <w:color w:val="4471C4"/>
          <w:spacing w:val="-5"/>
          <w:sz w:val="28"/>
        </w:rPr>
        <w:t xml:space="preserve"> </w:t>
      </w:r>
      <w:r>
        <w:rPr>
          <w:color w:val="4471C4"/>
          <w:sz w:val="28"/>
        </w:rPr>
        <w:t>in</w:t>
      </w:r>
      <w:r>
        <w:rPr>
          <w:color w:val="4471C4"/>
          <w:spacing w:val="-5"/>
          <w:sz w:val="28"/>
        </w:rPr>
        <w:t xml:space="preserve"> </w:t>
      </w:r>
      <w:r>
        <w:rPr>
          <w:color w:val="4471C4"/>
          <w:spacing w:val="-2"/>
          <w:sz w:val="28"/>
        </w:rPr>
        <w:t>Healthcare</w:t>
      </w:r>
    </w:p>
    <w:p w14:paraId="45A70BE2" w14:textId="77777777" w:rsidR="00477447" w:rsidRDefault="00477447" w:rsidP="00477447">
      <w:r>
        <w:t>Communication is also vital as it is the primary means through which a care assistant can learn what one requires and provide care in easy-to-understand language. In a speedy examination of elderly individuals, good verbal and non-verbal communication enhanced patient-</w:t>
      </w:r>
      <w:proofErr w:type="spellStart"/>
      <w:r>
        <w:t>centred</w:t>
      </w:r>
      <w:proofErr w:type="spellEnd"/>
      <w:r>
        <w:t xml:space="preserve"> results in the form of satisfaction, quality of care, and quality of life (</w:t>
      </w:r>
      <w:proofErr w:type="spellStart"/>
      <w:r>
        <w:t>Sharkiya</w:t>
      </w:r>
      <w:proofErr w:type="spellEnd"/>
      <w:r>
        <w:t>, 2023). In a care home or a hospital ward this involves talking in a slow and monotonous way, in simple words and confirming that you are being understood, particularly with individuals with dementia or hearing difficulties. Communication is also useful when making observations to the nurses like reporting the right information regarding pain, appetite or sleep. In case a care assistant is unable to express himself or herself, the crucial information will go wrong, resulting in medication errors, unmet needs and anxiety in patients and families.</w:t>
      </w:r>
    </w:p>
    <w:p w14:paraId="347FC135" w14:textId="77777777" w:rsidR="00477447" w:rsidRDefault="00477447" w:rsidP="00477447"/>
    <w:p w14:paraId="2423DB82" w14:textId="4B4C75E1" w:rsidR="00477447" w:rsidRDefault="00477447" w:rsidP="00477447">
      <w:r>
        <w:t xml:space="preserve">What is also very important is empathy since care assistants </w:t>
      </w:r>
      <w:proofErr w:type="gramStart"/>
      <w:r>
        <w:t>have to</w:t>
      </w:r>
      <w:proofErr w:type="gramEnd"/>
      <w:r>
        <w:t xml:space="preserve"> deal with individuals who are scared, lonely and frustrated. Empathy refers to seeing the emotions of another individual and treating them in a thoughtful manner. Empathy in health and social care professionals has been </w:t>
      </w:r>
      <w:r>
        <w:lastRenderedPageBreak/>
        <w:t>shown to result in higher levels of therapeutic relationships, higher levels of patient satisfaction and reduced levels of distress (</w:t>
      </w:r>
      <w:proofErr w:type="spellStart"/>
      <w:r>
        <w:t>Moudatsou</w:t>
      </w:r>
      <w:proofErr w:type="spellEnd"/>
      <w:r>
        <w:t xml:space="preserve"> et al., 2020). Empathy also assists staff in respecting personal preferences of individual preferences towards personal care, like how one likes being washed or what clothing he or she likes.</w:t>
      </w:r>
    </w:p>
    <w:p w14:paraId="0EA8C81F" w14:textId="77777777" w:rsidR="00477447" w:rsidRDefault="00477447" w:rsidP="00477447"/>
    <w:p w14:paraId="10D12386" w14:textId="75545FC4" w:rsidR="00477447" w:rsidRDefault="00477447" w:rsidP="00477447">
      <w:r>
        <w:t xml:space="preserve">The third necessary area is observation skills. According to the HSE review, health care assistants are especially involved in the process of monitoring the state of the patients and the possibility of any change in it (HSE, 2018). It is </w:t>
      </w:r>
      <w:proofErr w:type="spellStart"/>
      <w:r>
        <w:t>emphasised</w:t>
      </w:r>
      <w:proofErr w:type="spellEnd"/>
      <w:r>
        <w:t xml:space="preserve"> in clinical guidelines that continuous assessment and recording of vital signs and other observations are essential in the detection of clinical deterioration at early stages (Royal Children’s Hospital Melbourne [RCH], n.d.; Royal College of Physicians, 2020). In a care assistant this may involve noticing that a resident is more out of breath during walking, has become unusually quiet or has lost his/her appetite. The score system relating to early warning depends on a correct frontline observation to cause a prompt response (Royal College of Physicians, 2020). In case observation skills are not strong, one may overlook signs of infection, dehydration or confusion which are not overt. </w:t>
      </w:r>
    </w:p>
    <w:p w14:paraId="29239508" w14:textId="77777777" w:rsidR="00B11CC8" w:rsidRDefault="00B11CC8">
      <w:pPr>
        <w:pStyle w:val="BodyText"/>
        <w:spacing w:before="42"/>
      </w:pPr>
    </w:p>
    <w:p w14:paraId="3CB8A6B7" w14:textId="77777777" w:rsidR="00B11CC8" w:rsidRDefault="00B11CC8">
      <w:pPr>
        <w:pStyle w:val="BodyText"/>
        <w:spacing w:before="42"/>
      </w:pPr>
    </w:p>
    <w:p w14:paraId="042109AA" w14:textId="6CE9BA26" w:rsidR="00187FDA" w:rsidRDefault="009F7B3D">
      <w:pPr>
        <w:pStyle w:val="Heading2"/>
        <w:numPr>
          <w:ilvl w:val="1"/>
          <w:numId w:val="2"/>
        </w:numPr>
        <w:tabs>
          <w:tab w:val="left" w:pos="457"/>
        </w:tabs>
        <w:ind w:left="457" w:hanging="434"/>
      </w:pPr>
      <w:bookmarkStart w:id="6" w:name="1.4_Strategies_to_improve_the_skills_for"/>
      <w:bookmarkStart w:id="7" w:name="_bookmark3"/>
      <w:bookmarkEnd w:id="6"/>
      <w:bookmarkEnd w:id="7"/>
      <w:r>
        <w:rPr>
          <w:color w:val="4471C4"/>
        </w:rPr>
        <w:t>Strategies</w:t>
      </w:r>
      <w:r>
        <w:rPr>
          <w:color w:val="4471C4"/>
          <w:spacing w:val="-6"/>
        </w:rPr>
        <w:t xml:space="preserve"> </w:t>
      </w:r>
      <w:r>
        <w:rPr>
          <w:color w:val="4471C4"/>
        </w:rPr>
        <w:t>to</w:t>
      </w:r>
      <w:r>
        <w:rPr>
          <w:color w:val="4471C4"/>
          <w:spacing w:val="-7"/>
        </w:rPr>
        <w:t xml:space="preserve"> </w:t>
      </w:r>
      <w:r>
        <w:rPr>
          <w:color w:val="4471C4"/>
        </w:rPr>
        <w:t>improve</w:t>
      </w:r>
      <w:r>
        <w:rPr>
          <w:color w:val="4471C4"/>
          <w:spacing w:val="-5"/>
        </w:rPr>
        <w:t xml:space="preserve"> </w:t>
      </w:r>
      <w:r>
        <w:rPr>
          <w:color w:val="4471C4"/>
        </w:rPr>
        <w:t>the</w:t>
      </w:r>
      <w:r>
        <w:rPr>
          <w:color w:val="4471C4"/>
          <w:spacing w:val="-9"/>
        </w:rPr>
        <w:t xml:space="preserve"> </w:t>
      </w:r>
      <w:r>
        <w:rPr>
          <w:color w:val="4471C4"/>
        </w:rPr>
        <w:t>skills</w:t>
      </w:r>
      <w:r>
        <w:rPr>
          <w:color w:val="4471C4"/>
          <w:spacing w:val="-4"/>
        </w:rPr>
        <w:t xml:space="preserve"> </w:t>
      </w:r>
      <w:r>
        <w:rPr>
          <w:color w:val="4471C4"/>
        </w:rPr>
        <w:t>for</w:t>
      </w:r>
      <w:r>
        <w:rPr>
          <w:color w:val="4471C4"/>
          <w:spacing w:val="-11"/>
        </w:rPr>
        <w:t xml:space="preserve"> </w:t>
      </w:r>
      <w:r w:rsidR="00856BE7">
        <w:rPr>
          <w:color w:val="4471C4"/>
        </w:rPr>
        <w:t>Care Assistant</w:t>
      </w:r>
    </w:p>
    <w:p w14:paraId="1AF220CC" w14:textId="1A8E13F7" w:rsidR="00477447" w:rsidRDefault="00477447" w:rsidP="00477447">
      <w:r>
        <w:t xml:space="preserve">Among the strategies that can be employed to help build communication and empathy, one can mention attending </w:t>
      </w:r>
      <w:proofErr w:type="spellStart"/>
      <w:r>
        <w:t>organi</w:t>
      </w:r>
      <w:r w:rsidR="000F6E69">
        <w:t>s</w:t>
      </w:r>
      <w:r>
        <w:t>ed</w:t>
      </w:r>
      <w:proofErr w:type="spellEnd"/>
      <w:r>
        <w:t xml:space="preserve"> communication-skills training or simulation-based training workshops. It is demonstrated that the capacity of healthcare providers to communicate in a patient-</w:t>
      </w:r>
      <w:proofErr w:type="spellStart"/>
      <w:r>
        <w:t>centred</w:t>
      </w:r>
      <w:proofErr w:type="spellEnd"/>
      <w:r>
        <w:t xml:space="preserve"> and empathetic manner can be reinforced by training </w:t>
      </w:r>
      <w:proofErr w:type="spellStart"/>
      <w:r>
        <w:t>programmes</w:t>
      </w:r>
      <w:proofErr w:type="spellEnd"/>
      <w:r>
        <w:t xml:space="preserve"> (</w:t>
      </w:r>
      <w:proofErr w:type="spellStart"/>
      <w:r>
        <w:t>Peimani</w:t>
      </w:r>
      <w:proofErr w:type="spellEnd"/>
      <w:r>
        <w:t xml:space="preserve"> et al., 2025). A qualitative study, which was conducted recently, reported that the use of simulation-based training enhanced the confidence of nurses in communication of challenging news and the empathy they showed in providing care to older adults (Mohammed &amp; Shaban, 2025). Examples of role-play scenarios that could be used for care assistants are discussing personal care with an individual with dementia or providing support to a concerned family member. Having these conversations in a safe setting is crucial in teaching the staff to speak clearly, embrace proper body language and active listening. This may ultimately make day-to-day contact relaxing and respectful, lessening the miscommunication with patients and families.</w:t>
      </w:r>
    </w:p>
    <w:p w14:paraId="55E0FF49" w14:textId="77777777" w:rsidR="00477447" w:rsidRDefault="00477447" w:rsidP="00477447"/>
    <w:p w14:paraId="33AE70CE" w14:textId="4A673B22" w:rsidR="00477447" w:rsidRDefault="00477447" w:rsidP="00477447">
      <w:r>
        <w:t xml:space="preserve">The second option is reflective writing or brief diary following shifts </w:t>
      </w:r>
      <w:proofErr w:type="gramStart"/>
      <w:r>
        <w:t>in order to</w:t>
      </w:r>
      <w:proofErr w:type="gramEnd"/>
      <w:r>
        <w:t xml:space="preserve"> reflect on the major interactions. Reflective writing will help practitioners think about what occurred, how they felt, how the other individual may have felt and what they can do differently next time. Medical education research revealed that writing on reflection of patient care experiences can be useful in developing empathy, especially perspective-taking and compassion (Hashim et al., 2024). As a care assistant, it can be useful to write down a few sentences about a challenging or positive experience every day and identify the patterns, like when they needed to hurry in the communication or when empathy contributed to pacifying a distressed resident. </w:t>
      </w:r>
    </w:p>
    <w:p w14:paraId="462A6E25" w14:textId="77777777" w:rsidR="00477447" w:rsidRDefault="00477447" w:rsidP="00477447"/>
    <w:p w14:paraId="09791C4E" w14:textId="08268FCC" w:rsidR="00477447" w:rsidRDefault="00477447" w:rsidP="00477447">
      <w:r>
        <w:t xml:space="preserve">The third approach is to employ the tools and checklists of structured observation to facilitate close observation. The national guidelines including NEWS2 system indicate that the identification of clinical deterioration is enhanced </w:t>
      </w:r>
      <w:proofErr w:type="gramStart"/>
      <w:r>
        <w:t>by the use of</w:t>
      </w:r>
      <w:proofErr w:type="gramEnd"/>
      <w:r>
        <w:t xml:space="preserve"> </w:t>
      </w:r>
      <w:proofErr w:type="spellStart"/>
      <w:r>
        <w:t>standardised</w:t>
      </w:r>
      <w:proofErr w:type="spellEnd"/>
      <w:r>
        <w:t xml:space="preserve"> charts that are founded on the vital signs (Royal College of Physicians, 2020). Clinical guidance also underlines that frequent, reported observations are necessary to </w:t>
      </w:r>
      <w:proofErr w:type="spellStart"/>
      <w:r>
        <w:t>realise</w:t>
      </w:r>
      <w:proofErr w:type="spellEnd"/>
      <w:r>
        <w:t xml:space="preserve"> when the condition of a patient is evolving (RCH, n.d.). Practically, food and fluid intake, mobility, mood and any new symptoms per individual could be documented by a care assistant using a daily care checklist along with early warning score charts </w:t>
      </w:r>
      <w:r>
        <w:lastRenderedPageBreak/>
        <w:t xml:space="preserve">where applicable. According to NIHR evidence, the use of checklists has the potential to allow the staff to identify worsening patients, but it still requires combining them with clinical judgement and experience (National Institute for Health and Care Research [NIHR], 2017). In the case of care assistants, a basic checklist to complete at the beginning and the end of every shift can help to identify minor yet significant changes and speak with nurses on time and not to miss any important observation. </w:t>
      </w:r>
    </w:p>
    <w:p w14:paraId="65AF195D" w14:textId="77777777" w:rsidR="00B11CC8" w:rsidRDefault="00B11CC8" w:rsidP="00856BE7"/>
    <w:p w14:paraId="246187EC" w14:textId="77777777" w:rsidR="00187FDA" w:rsidRDefault="00187FDA">
      <w:pPr>
        <w:pStyle w:val="BodyText"/>
        <w:spacing w:before="56"/>
      </w:pPr>
    </w:p>
    <w:p w14:paraId="4CA83769" w14:textId="77777777" w:rsidR="00187FDA" w:rsidRPr="00B11CC8" w:rsidRDefault="009F7B3D">
      <w:pPr>
        <w:pStyle w:val="Heading2"/>
        <w:numPr>
          <w:ilvl w:val="1"/>
          <w:numId w:val="1"/>
        </w:numPr>
        <w:tabs>
          <w:tab w:val="left" w:pos="456"/>
        </w:tabs>
        <w:spacing w:before="1"/>
        <w:ind w:left="456" w:hanging="433"/>
      </w:pPr>
      <w:bookmarkStart w:id="8" w:name="1.4_Conclusion"/>
      <w:bookmarkStart w:id="9" w:name="_bookmark4"/>
      <w:bookmarkEnd w:id="8"/>
      <w:bookmarkEnd w:id="9"/>
      <w:r>
        <w:rPr>
          <w:color w:val="4471C4"/>
          <w:spacing w:val="-2"/>
        </w:rPr>
        <w:t>Conclusion</w:t>
      </w:r>
    </w:p>
    <w:p w14:paraId="556A9A09" w14:textId="57A0A805" w:rsidR="00477447" w:rsidRPr="00B11CC8" w:rsidRDefault="00477447" w:rsidP="00856BE7">
      <w:pPr>
        <w:sectPr w:rsidR="00477447" w:rsidRPr="00B11CC8" w:rsidSect="00B11CC8">
          <w:pgSz w:w="11910" w:h="16840"/>
          <w:pgMar w:top="1440" w:right="1080" w:bottom="1440" w:left="1080" w:header="720" w:footer="720" w:gutter="0"/>
          <w:cols w:space="720"/>
          <w:docGrid w:linePitch="299"/>
        </w:sectPr>
      </w:pPr>
      <w:r w:rsidRPr="00477447">
        <w:t>To draw conclusions, the care assistant job is crucial in the provision of patient-</w:t>
      </w:r>
      <w:proofErr w:type="spellStart"/>
      <w:r w:rsidRPr="00477447">
        <w:t>centred</w:t>
      </w:r>
      <w:proofErr w:type="spellEnd"/>
      <w:r w:rsidRPr="00477447">
        <w:t>, high-quality, and safe care. The skills that are essential in this case include communication, empathy and observation to enable the staff to know the needs of people, to gain trust and observe changes in health. These areas can continually be improved with the help of such strategies as training and reflection and structured observation tools. By enhancing these competencies, not only the confidence of the care assistant is increased, but also the well-being, dignity and safety of those they support is enhanced. Quality care requires effective, loving and listening frontline workers.</w:t>
      </w:r>
    </w:p>
    <w:p w14:paraId="75A421A9" w14:textId="77777777" w:rsidR="00187FDA" w:rsidRDefault="009F7B3D">
      <w:pPr>
        <w:pStyle w:val="Heading2"/>
        <w:numPr>
          <w:ilvl w:val="1"/>
          <w:numId w:val="1"/>
        </w:numPr>
        <w:tabs>
          <w:tab w:val="left" w:pos="456"/>
        </w:tabs>
        <w:spacing w:before="78"/>
        <w:ind w:left="456" w:hanging="433"/>
      </w:pPr>
      <w:r>
        <w:rPr>
          <w:color w:val="4471C4"/>
        </w:rPr>
        <w:lastRenderedPageBreak/>
        <w:t>Reference</w:t>
      </w:r>
      <w:r>
        <w:rPr>
          <w:color w:val="4471C4"/>
          <w:spacing w:val="-15"/>
        </w:rPr>
        <w:t xml:space="preserve"> </w:t>
      </w:r>
      <w:r>
        <w:rPr>
          <w:color w:val="4471C4"/>
          <w:spacing w:val="-4"/>
        </w:rPr>
        <w:t>List</w:t>
      </w:r>
    </w:p>
    <w:p w14:paraId="66DD87B7" w14:textId="77777777" w:rsidR="00856BE7" w:rsidRDefault="00856BE7" w:rsidP="000F6E69">
      <w:pPr>
        <w:pStyle w:val="NormalWeb"/>
      </w:pPr>
      <w:r>
        <w:t xml:space="preserve">Health Service Executive. (2018). </w:t>
      </w:r>
      <w:r>
        <w:rPr>
          <w:rStyle w:val="Emphasis"/>
        </w:rPr>
        <w:t>Review of the role and function of health care assistants</w:t>
      </w:r>
      <w:r>
        <w:t xml:space="preserve">. </w:t>
      </w:r>
      <w:hyperlink r:id="rId6" w:tgtFrame="_new" w:history="1">
        <w:r>
          <w:rPr>
            <w:rStyle w:val="Hyperlink"/>
          </w:rPr>
          <w:t>https://www.hse.ie/eng/staff/resources/hrstrategiesreports/health-care-assistant-review-final-report-2018.pdf</w:t>
        </w:r>
      </w:hyperlink>
    </w:p>
    <w:p w14:paraId="5BAC762F" w14:textId="77777777" w:rsidR="00856BE7" w:rsidRDefault="00856BE7" w:rsidP="000F6E69">
      <w:pPr>
        <w:pStyle w:val="NormalWeb"/>
      </w:pPr>
      <w:r>
        <w:t xml:space="preserve">Hashim, M. J., Khan, M. A., Kieu, A., Alkaabi, F. M. K., Al </w:t>
      </w:r>
      <w:proofErr w:type="spellStart"/>
      <w:r>
        <w:t>Rubaei</w:t>
      </w:r>
      <w:proofErr w:type="spellEnd"/>
      <w:r>
        <w:t xml:space="preserve">, F. K. A. A., </w:t>
      </w:r>
      <w:proofErr w:type="spellStart"/>
      <w:r>
        <w:t>Alfazari</w:t>
      </w:r>
      <w:proofErr w:type="spellEnd"/>
      <w:r>
        <w:t xml:space="preserve">, M. M. K., </w:t>
      </w:r>
      <w:proofErr w:type="spellStart"/>
      <w:r>
        <w:t>Alneyadi</w:t>
      </w:r>
      <w:proofErr w:type="spellEnd"/>
      <w:r>
        <w:t xml:space="preserve">, M. A. K., Alsaedi, R. H. S., &amp; Govender, R. (2024). Using reflective writing to enhance empathy among medical students. </w:t>
      </w:r>
      <w:r>
        <w:rPr>
          <w:rStyle w:val="Emphasis"/>
        </w:rPr>
        <w:t>Canadian Medical Education Journal, 15</w:t>
      </w:r>
      <w:r>
        <w:t>(2), 91–92. https://doi.org/10.36834/cmej.77172</w:t>
      </w:r>
    </w:p>
    <w:p w14:paraId="023EC8D6" w14:textId="77777777" w:rsidR="00856BE7" w:rsidRDefault="00856BE7" w:rsidP="000F6E69">
      <w:pPr>
        <w:pStyle w:val="NormalWeb"/>
      </w:pPr>
      <w:r>
        <w:t xml:space="preserve">Mohammed, S. A. A. K., &amp; Shaban, M. (2025). Enhancing communication and empathy skills in geriatric care: Nurses’ reflections on simulation-based training for patient interaction and education. </w:t>
      </w:r>
      <w:r>
        <w:rPr>
          <w:rStyle w:val="Emphasis"/>
        </w:rPr>
        <w:t>Journal of Clinical Nursing</w:t>
      </w:r>
      <w:r>
        <w:t>. Advance online publication. https://doi.org/10.1111/jocn.17662</w:t>
      </w:r>
    </w:p>
    <w:p w14:paraId="3DAB7277" w14:textId="77777777" w:rsidR="00856BE7" w:rsidRDefault="00856BE7" w:rsidP="000F6E69">
      <w:pPr>
        <w:pStyle w:val="NormalWeb"/>
      </w:pPr>
      <w:proofErr w:type="spellStart"/>
      <w:r>
        <w:t>Moudatsou</w:t>
      </w:r>
      <w:proofErr w:type="spellEnd"/>
      <w:r>
        <w:t xml:space="preserve">, M., Stavropoulou, A., </w:t>
      </w:r>
      <w:proofErr w:type="spellStart"/>
      <w:r>
        <w:t>Philalithis</w:t>
      </w:r>
      <w:proofErr w:type="spellEnd"/>
      <w:r>
        <w:t xml:space="preserve">, A., &amp; </w:t>
      </w:r>
      <w:proofErr w:type="spellStart"/>
      <w:r>
        <w:t>Koukouli</w:t>
      </w:r>
      <w:proofErr w:type="spellEnd"/>
      <w:r>
        <w:t xml:space="preserve">, S. (2020). The role of empathy in health and social care professionals. </w:t>
      </w:r>
      <w:r>
        <w:rPr>
          <w:rStyle w:val="Emphasis"/>
        </w:rPr>
        <w:t>Healthcare, 8</w:t>
      </w:r>
      <w:r>
        <w:t xml:space="preserve">(1), 26. </w:t>
      </w:r>
      <w:hyperlink r:id="rId7" w:tgtFrame="_new" w:history="1">
        <w:r>
          <w:rPr>
            <w:rStyle w:val="Hyperlink"/>
          </w:rPr>
          <w:t>https://doi.org/10.3390/healthcare8010026</w:t>
        </w:r>
      </w:hyperlink>
    </w:p>
    <w:p w14:paraId="755305F6" w14:textId="77777777" w:rsidR="00856BE7" w:rsidRDefault="00856BE7" w:rsidP="000F6E69">
      <w:pPr>
        <w:pStyle w:val="NormalWeb"/>
      </w:pPr>
      <w:r>
        <w:t xml:space="preserve">National Institute for Health and Care Research. (2017). </w:t>
      </w:r>
      <w:r>
        <w:rPr>
          <w:rStyle w:val="Emphasis"/>
        </w:rPr>
        <w:t>Checklists are no substitute for experience in spotting patients who are deteriorating</w:t>
      </w:r>
      <w:r>
        <w:t>. NIHR Evidence. https://doi.org/10.3310/signal-000503</w:t>
      </w:r>
    </w:p>
    <w:p w14:paraId="0D18B132" w14:textId="77777777" w:rsidR="00856BE7" w:rsidRDefault="00856BE7" w:rsidP="000F6E69">
      <w:pPr>
        <w:pStyle w:val="NormalWeb"/>
      </w:pPr>
      <w:r>
        <w:t xml:space="preserve">NHS England. (2023, June 12). </w:t>
      </w:r>
      <w:r>
        <w:rPr>
          <w:rStyle w:val="Emphasis"/>
        </w:rPr>
        <w:t>Your questions answered: A guide to becoming a healthcare support worker</w:t>
      </w:r>
      <w:r>
        <w:t xml:space="preserve">. </w:t>
      </w:r>
      <w:hyperlink r:id="rId8" w:tgtFrame="_new" w:history="1">
        <w:r>
          <w:rPr>
            <w:rStyle w:val="Hyperlink"/>
          </w:rPr>
          <w:t>https://www.england.nhs.uk/long-read/your-questions-answered-a-guide-to-becoming-a-healthcare-support-worker/</w:t>
        </w:r>
      </w:hyperlink>
    </w:p>
    <w:p w14:paraId="07528457" w14:textId="77777777" w:rsidR="00856BE7" w:rsidRDefault="00856BE7" w:rsidP="000F6E69">
      <w:pPr>
        <w:pStyle w:val="NormalWeb"/>
      </w:pPr>
      <w:r>
        <w:t xml:space="preserve">Royal Children’s Hospital Melbourne. (n.d.). </w:t>
      </w:r>
      <w:r>
        <w:rPr>
          <w:rStyle w:val="Emphasis"/>
        </w:rPr>
        <w:t>Observation and continuous monitoring</w:t>
      </w:r>
      <w:r>
        <w:t xml:space="preserve"> [Clinical guideline]. </w:t>
      </w:r>
      <w:hyperlink r:id="rId9" w:tgtFrame="_new" w:history="1">
        <w:r>
          <w:rPr>
            <w:rStyle w:val="Hyperlink"/>
          </w:rPr>
          <w:t>https://www.rch.org.au/rchcpg/hospital_clinical_guideline_index/observation_and_continuous_monitoring/</w:t>
        </w:r>
      </w:hyperlink>
    </w:p>
    <w:p w14:paraId="03ABA16D" w14:textId="77777777" w:rsidR="00856BE7" w:rsidRDefault="00856BE7" w:rsidP="000F6E69">
      <w:pPr>
        <w:pStyle w:val="NormalWeb"/>
      </w:pPr>
      <w:r>
        <w:t xml:space="preserve">Royal College of Physicians. (2020). </w:t>
      </w:r>
      <w:r>
        <w:rPr>
          <w:rStyle w:val="Emphasis"/>
        </w:rPr>
        <w:t xml:space="preserve">National Early Warning Score (NEWS2): </w:t>
      </w:r>
      <w:proofErr w:type="spellStart"/>
      <w:r>
        <w:rPr>
          <w:rStyle w:val="Emphasis"/>
        </w:rPr>
        <w:t>Standardising</w:t>
      </w:r>
      <w:proofErr w:type="spellEnd"/>
      <w:r>
        <w:rPr>
          <w:rStyle w:val="Emphasis"/>
        </w:rPr>
        <w:t xml:space="preserve"> the assessment of acute-illness severity in the NHS</w:t>
      </w:r>
      <w:r>
        <w:t xml:space="preserve"> (Updated report). </w:t>
      </w:r>
      <w:hyperlink r:id="rId10" w:tgtFrame="_new" w:history="1">
        <w:r>
          <w:rPr>
            <w:rStyle w:val="Hyperlink"/>
          </w:rPr>
          <w:t>https://rightdecisions.scot.nhs.uk/media/2564/news2-874.pdf</w:t>
        </w:r>
      </w:hyperlink>
    </w:p>
    <w:p w14:paraId="6A5C7F54" w14:textId="77777777" w:rsidR="00856BE7" w:rsidRDefault="00856BE7" w:rsidP="000F6E69">
      <w:pPr>
        <w:pStyle w:val="NormalWeb"/>
      </w:pPr>
      <w:proofErr w:type="spellStart"/>
      <w:r>
        <w:t>Sharkiya</w:t>
      </w:r>
      <w:proofErr w:type="spellEnd"/>
      <w:r>
        <w:t>, S. H. (2023). Quality communication can improve patient-</w:t>
      </w:r>
      <w:proofErr w:type="spellStart"/>
      <w:r>
        <w:t>centred</w:t>
      </w:r>
      <w:proofErr w:type="spellEnd"/>
      <w:r>
        <w:t xml:space="preserve"> health outcomes among older patients: A rapid review. </w:t>
      </w:r>
      <w:r>
        <w:rPr>
          <w:rStyle w:val="Emphasis"/>
        </w:rPr>
        <w:t>BMC Health Services Research, 23</w:t>
      </w:r>
      <w:r>
        <w:t xml:space="preserve">(1), 886. </w:t>
      </w:r>
      <w:hyperlink r:id="rId11" w:tgtFrame="_new" w:history="1">
        <w:r>
          <w:rPr>
            <w:rStyle w:val="Hyperlink"/>
          </w:rPr>
          <w:t>https://doi.org/10.1186/s12913-023-09869-8</w:t>
        </w:r>
      </w:hyperlink>
    </w:p>
    <w:p w14:paraId="798DA436" w14:textId="77777777" w:rsidR="00856BE7" w:rsidRDefault="00856BE7" w:rsidP="000F6E69">
      <w:pPr>
        <w:pStyle w:val="NormalWeb"/>
      </w:pPr>
      <w:r>
        <w:t xml:space="preserve">Xpress Health NI. (2025, March 11). </w:t>
      </w:r>
      <w:r>
        <w:rPr>
          <w:rStyle w:val="Emphasis"/>
        </w:rPr>
        <w:t>What is a healthcare assistant? Duties, skills &amp; tips to be the best in 2025</w:t>
      </w:r>
      <w:r>
        <w:t xml:space="preserve">. </w:t>
      </w:r>
      <w:hyperlink r:id="rId12" w:tgtFrame="_new" w:history="1">
        <w:r>
          <w:rPr>
            <w:rStyle w:val="Hyperlink"/>
          </w:rPr>
          <w:t>https://xpresshealthni.co.uk/what-is-a-healthcare-assistant-duties-skills-tips-to-be-the-best-in-2025</w:t>
        </w:r>
      </w:hyperlink>
    </w:p>
    <w:p w14:paraId="4E5854E3" w14:textId="7BAECDDA" w:rsidR="00187FDA" w:rsidRDefault="00187FDA">
      <w:pPr>
        <w:pStyle w:val="BodyText"/>
        <w:spacing w:before="2"/>
        <w:ind w:left="23" w:right="4687"/>
      </w:pPr>
    </w:p>
    <w:sectPr w:rsidR="00187FDA">
      <w:pgSz w:w="11910" w:h="16840"/>
      <w:pgMar w:top="1360" w:right="1417" w:bottom="280" w:left="141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altName w:val="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5365E1"/>
    <w:multiLevelType w:val="multilevel"/>
    <w:tmpl w:val="5C7EB806"/>
    <w:lvl w:ilvl="0">
      <w:start w:val="1"/>
      <w:numFmt w:val="decimal"/>
      <w:lvlText w:val="%1"/>
      <w:lvlJc w:val="left"/>
      <w:pPr>
        <w:ind w:left="458" w:hanging="435"/>
        <w:jc w:val="left"/>
      </w:pPr>
      <w:rPr>
        <w:rFonts w:hint="default"/>
        <w:lang w:val="en-US" w:eastAsia="en-US" w:bidi="ar-SA"/>
      </w:rPr>
    </w:lvl>
    <w:lvl w:ilvl="1">
      <w:start w:val="4"/>
      <w:numFmt w:val="decimal"/>
      <w:lvlText w:val="%1.%2"/>
      <w:lvlJc w:val="left"/>
      <w:pPr>
        <w:ind w:left="458" w:hanging="435"/>
        <w:jc w:val="left"/>
      </w:pPr>
      <w:rPr>
        <w:rFonts w:ascii="Segoe UI" w:eastAsia="Segoe UI" w:hAnsi="Segoe UI" w:cs="Segoe UI" w:hint="default"/>
        <w:b w:val="0"/>
        <w:bCs w:val="0"/>
        <w:i w:val="0"/>
        <w:iCs w:val="0"/>
        <w:color w:val="4471C4"/>
        <w:spacing w:val="-1"/>
        <w:w w:val="100"/>
        <w:sz w:val="28"/>
        <w:szCs w:val="28"/>
        <w:lang w:val="en-US" w:eastAsia="en-US" w:bidi="ar-SA"/>
      </w:rPr>
    </w:lvl>
    <w:lvl w:ilvl="2">
      <w:start w:val="1"/>
      <w:numFmt w:val="decimal"/>
      <w:lvlText w:val="%3."/>
      <w:lvlJc w:val="left"/>
      <w:pPr>
        <w:ind w:left="744" w:hanging="360"/>
        <w:jc w:val="left"/>
      </w:pPr>
      <w:rPr>
        <w:rFonts w:ascii="Segoe UI" w:eastAsia="Segoe UI" w:hAnsi="Segoe UI" w:cs="Segoe UI" w:hint="default"/>
        <w:b w:val="0"/>
        <w:bCs w:val="0"/>
        <w:i w:val="0"/>
        <w:iCs w:val="0"/>
        <w:spacing w:val="0"/>
        <w:w w:val="100"/>
        <w:sz w:val="21"/>
        <w:szCs w:val="21"/>
        <w:lang w:val="en-US" w:eastAsia="en-US" w:bidi="ar-SA"/>
      </w:rPr>
    </w:lvl>
    <w:lvl w:ilvl="3">
      <w:numFmt w:val="bullet"/>
      <w:lvlText w:val="•"/>
      <w:lvlJc w:val="left"/>
      <w:pPr>
        <w:ind w:left="2591" w:hanging="360"/>
      </w:pPr>
      <w:rPr>
        <w:rFonts w:hint="default"/>
        <w:lang w:val="en-US" w:eastAsia="en-US" w:bidi="ar-SA"/>
      </w:rPr>
    </w:lvl>
    <w:lvl w:ilvl="4">
      <w:numFmt w:val="bullet"/>
      <w:lvlText w:val="•"/>
      <w:lvlJc w:val="left"/>
      <w:pPr>
        <w:ind w:left="3517" w:hanging="360"/>
      </w:pPr>
      <w:rPr>
        <w:rFonts w:hint="default"/>
        <w:lang w:val="en-US" w:eastAsia="en-US" w:bidi="ar-SA"/>
      </w:rPr>
    </w:lvl>
    <w:lvl w:ilvl="5">
      <w:numFmt w:val="bullet"/>
      <w:lvlText w:val="•"/>
      <w:lvlJc w:val="left"/>
      <w:pPr>
        <w:ind w:left="4442" w:hanging="360"/>
      </w:pPr>
      <w:rPr>
        <w:rFonts w:hint="default"/>
        <w:lang w:val="en-US" w:eastAsia="en-US" w:bidi="ar-SA"/>
      </w:rPr>
    </w:lvl>
    <w:lvl w:ilvl="6">
      <w:numFmt w:val="bullet"/>
      <w:lvlText w:val="•"/>
      <w:lvlJc w:val="left"/>
      <w:pPr>
        <w:ind w:left="5368" w:hanging="360"/>
      </w:pPr>
      <w:rPr>
        <w:rFonts w:hint="default"/>
        <w:lang w:val="en-US" w:eastAsia="en-US" w:bidi="ar-SA"/>
      </w:rPr>
    </w:lvl>
    <w:lvl w:ilvl="7">
      <w:numFmt w:val="bullet"/>
      <w:lvlText w:val="•"/>
      <w:lvlJc w:val="left"/>
      <w:pPr>
        <w:ind w:left="6294" w:hanging="360"/>
      </w:pPr>
      <w:rPr>
        <w:rFonts w:hint="default"/>
        <w:lang w:val="en-US" w:eastAsia="en-US" w:bidi="ar-SA"/>
      </w:rPr>
    </w:lvl>
    <w:lvl w:ilvl="8">
      <w:numFmt w:val="bullet"/>
      <w:lvlText w:val="•"/>
      <w:lvlJc w:val="left"/>
      <w:pPr>
        <w:ind w:left="7219" w:hanging="360"/>
      </w:pPr>
      <w:rPr>
        <w:rFonts w:hint="default"/>
        <w:lang w:val="en-US" w:eastAsia="en-US" w:bidi="ar-SA"/>
      </w:rPr>
    </w:lvl>
  </w:abstractNum>
  <w:abstractNum w:abstractNumId="1" w15:restartNumberingAfterBreak="0">
    <w:nsid w:val="49C24D5A"/>
    <w:multiLevelType w:val="multilevel"/>
    <w:tmpl w:val="5BF88CEC"/>
    <w:lvl w:ilvl="0">
      <w:start w:val="1"/>
      <w:numFmt w:val="decimal"/>
      <w:lvlText w:val="%1"/>
      <w:lvlJc w:val="left"/>
      <w:pPr>
        <w:ind w:left="459" w:hanging="436"/>
        <w:jc w:val="left"/>
      </w:pPr>
      <w:rPr>
        <w:rFonts w:hint="default"/>
        <w:lang w:val="en-US" w:eastAsia="en-US" w:bidi="ar-SA"/>
      </w:rPr>
    </w:lvl>
    <w:lvl w:ilvl="1">
      <w:start w:val="1"/>
      <w:numFmt w:val="decimal"/>
      <w:lvlText w:val="%1.%2"/>
      <w:lvlJc w:val="left"/>
      <w:pPr>
        <w:ind w:left="459" w:hanging="436"/>
        <w:jc w:val="left"/>
      </w:pPr>
      <w:rPr>
        <w:rFonts w:ascii="Segoe UI" w:eastAsia="Segoe UI" w:hAnsi="Segoe UI" w:cs="Segoe UI" w:hint="default"/>
        <w:b w:val="0"/>
        <w:bCs w:val="0"/>
        <w:i w:val="0"/>
        <w:iCs w:val="0"/>
        <w:color w:val="4471C4"/>
        <w:spacing w:val="-1"/>
        <w:w w:val="100"/>
        <w:sz w:val="28"/>
        <w:szCs w:val="28"/>
        <w:lang w:val="en-US" w:eastAsia="en-US" w:bidi="ar-SA"/>
      </w:rPr>
    </w:lvl>
    <w:lvl w:ilvl="2">
      <w:start w:val="1"/>
      <w:numFmt w:val="decimal"/>
      <w:lvlText w:val="%3."/>
      <w:lvlJc w:val="left"/>
      <w:pPr>
        <w:ind w:left="744" w:hanging="360"/>
        <w:jc w:val="left"/>
      </w:pPr>
      <w:rPr>
        <w:rFonts w:ascii="Segoe UI" w:eastAsia="Segoe UI" w:hAnsi="Segoe UI" w:cs="Segoe UI" w:hint="default"/>
        <w:b w:val="0"/>
        <w:bCs w:val="0"/>
        <w:i w:val="0"/>
        <w:iCs w:val="0"/>
        <w:spacing w:val="0"/>
        <w:w w:val="100"/>
        <w:sz w:val="21"/>
        <w:szCs w:val="21"/>
        <w:lang w:val="en-US" w:eastAsia="en-US" w:bidi="ar-SA"/>
      </w:rPr>
    </w:lvl>
    <w:lvl w:ilvl="3">
      <w:numFmt w:val="bullet"/>
      <w:lvlText w:val="•"/>
      <w:lvlJc w:val="left"/>
      <w:pPr>
        <w:ind w:left="2591" w:hanging="360"/>
      </w:pPr>
      <w:rPr>
        <w:rFonts w:hint="default"/>
        <w:lang w:val="en-US" w:eastAsia="en-US" w:bidi="ar-SA"/>
      </w:rPr>
    </w:lvl>
    <w:lvl w:ilvl="4">
      <w:numFmt w:val="bullet"/>
      <w:lvlText w:val="•"/>
      <w:lvlJc w:val="left"/>
      <w:pPr>
        <w:ind w:left="3517" w:hanging="360"/>
      </w:pPr>
      <w:rPr>
        <w:rFonts w:hint="default"/>
        <w:lang w:val="en-US" w:eastAsia="en-US" w:bidi="ar-SA"/>
      </w:rPr>
    </w:lvl>
    <w:lvl w:ilvl="5">
      <w:numFmt w:val="bullet"/>
      <w:lvlText w:val="•"/>
      <w:lvlJc w:val="left"/>
      <w:pPr>
        <w:ind w:left="4442" w:hanging="360"/>
      </w:pPr>
      <w:rPr>
        <w:rFonts w:hint="default"/>
        <w:lang w:val="en-US" w:eastAsia="en-US" w:bidi="ar-SA"/>
      </w:rPr>
    </w:lvl>
    <w:lvl w:ilvl="6">
      <w:numFmt w:val="bullet"/>
      <w:lvlText w:val="•"/>
      <w:lvlJc w:val="left"/>
      <w:pPr>
        <w:ind w:left="5368" w:hanging="360"/>
      </w:pPr>
      <w:rPr>
        <w:rFonts w:hint="default"/>
        <w:lang w:val="en-US" w:eastAsia="en-US" w:bidi="ar-SA"/>
      </w:rPr>
    </w:lvl>
    <w:lvl w:ilvl="7">
      <w:numFmt w:val="bullet"/>
      <w:lvlText w:val="•"/>
      <w:lvlJc w:val="left"/>
      <w:pPr>
        <w:ind w:left="6294" w:hanging="360"/>
      </w:pPr>
      <w:rPr>
        <w:rFonts w:hint="default"/>
        <w:lang w:val="en-US" w:eastAsia="en-US" w:bidi="ar-SA"/>
      </w:rPr>
    </w:lvl>
    <w:lvl w:ilvl="8">
      <w:numFmt w:val="bullet"/>
      <w:lvlText w:val="•"/>
      <w:lvlJc w:val="left"/>
      <w:pPr>
        <w:ind w:left="7219" w:hanging="360"/>
      </w:pPr>
      <w:rPr>
        <w:rFonts w:hint="default"/>
        <w:lang w:val="en-US" w:eastAsia="en-US" w:bidi="ar-SA"/>
      </w:rPr>
    </w:lvl>
  </w:abstractNum>
  <w:abstractNum w:abstractNumId="2" w15:restartNumberingAfterBreak="0">
    <w:nsid w:val="54627B04"/>
    <w:multiLevelType w:val="multilevel"/>
    <w:tmpl w:val="42760B9C"/>
    <w:lvl w:ilvl="0">
      <w:start w:val="1"/>
      <w:numFmt w:val="decimal"/>
      <w:lvlText w:val="%1"/>
      <w:lvlJc w:val="left"/>
      <w:pPr>
        <w:ind w:left="583" w:hanging="341"/>
        <w:jc w:val="left"/>
      </w:pPr>
      <w:rPr>
        <w:rFonts w:hint="default"/>
        <w:lang w:val="en-US" w:eastAsia="en-US" w:bidi="ar-SA"/>
      </w:rPr>
    </w:lvl>
    <w:lvl w:ilvl="1">
      <w:start w:val="4"/>
      <w:numFmt w:val="decimal"/>
      <w:lvlText w:val="%1.%2"/>
      <w:lvlJc w:val="left"/>
      <w:pPr>
        <w:ind w:left="583" w:hanging="341"/>
        <w:jc w:val="left"/>
      </w:pPr>
      <w:rPr>
        <w:rFonts w:ascii="Segoe UI" w:eastAsia="Segoe UI" w:hAnsi="Segoe UI" w:cs="Segoe UI" w:hint="default"/>
        <w:b/>
        <w:bCs/>
        <w:i w:val="0"/>
        <w:iCs w:val="0"/>
        <w:spacing w:val="0"/>
        <w:w w:val="100"/>
        <w:sz w:val="20"/>
        <w:szCs w:val="20"/>
        <w:lang w:val="en-US" w:eastAsia="en-US" w:bidi="ar-SA"/>
      </w:rPr>
    </w:lvl>
    <w:lvl w:ilvl="2">
      <w:numFmt w:val="bullet"/>
      <w:lvlText w:val="•"/>
      <w:lvlJc w:val="left"/>
      <w:pPr>
        <w:ind w:left="2278" w:hanging="341"/>
      </w:pPr>
      <w:rPr>
        <w:rFonts w:hint="default"/>
        <w:lang w:val="en-US" w:eastAsia="en-US" w:bidi="ar-SA"/>
      </w:rPr>
    </w:lvl>
    <w:lvl w:ilvl="3">
      <w:numFmt w:val="bullet"/>
      <w:lvlText w:val="•"/>
      <w:lvlJc w:val="left"/>
      <w:pPr>
        <w:ind w:left="3127" w:hanging="341"/>
      </w:pPr>
      <w:rPr>
        <w:rFonts w:hint="default"/>
        <w:lang w:val="en-US" w:eastAsia="en-US" w:bidi="ar-SA"/>
      </w:rPr>
    </w:lvl>
    <w:lvl w:ilvl="4">
      <w:numFmt w:val="bullet"/>
      <w:lvlText w:val="•"/>
      <w:lvlJc w:val="left"/>
      <w:pPr>
        <w:ind w:left="3976" w:hanging="341"/>
      </w:pPr>
      <w:rPr>
        <w:rFonts w:hint="default"/>
        <w:lang w:val="en-US" w:eastAsia="en-US" w:bidi="ar-SA"/>
      </w:rPr>
    </w:lvl>
    <w:lvl w:ilvl="5">
      <w:numFmt w:val="bullet"/>
      <w:lvlText w:val="•"/>
      <w:lvlJc w:val="left"/>
      <w:pPr>
        <w:ind w:left="4825" w:hanging="341"/>
      </w:pPr>
      <w:rPr>
        <w:rFonts w:hint="default"/>
        <w:lang w:val="en-US" w:eastAsia="en-US" w:bidi="ar-SA"/>
      </w:rPr>
    </w:lvl>
    <w:lvl w:ilvl="6">
      <w:numFmt w:val="bullet"/>
      <w:lvlText w:val="•"/>
      <w:lvlJc w:val="left"/>
      <w:pPr>
        <w:ind w:left="5674" w:hanging="341"/>
      </w:pPr>
      <w:rPr>
        <w:rFonts w:hint="default"/>
        <w:lang w:val="en-US" w:eastAsia="en-US" w:bidi="ar-SA"/>
      </w:rPr>
    </w:lvl>
    <w:lvl w:ilvl="7">
      <w:numFmt w:val="bullet"/>
      <w:lvlText w:val="•"/>
      <w:lvlJc w:val="left"/>
      <w:pPr>
        <w:ind w:left="6523" w:hanging="341"/>
      </w:pPr>
      <w:rPr>
        <w:rFonts w:hint="default"/>
        <w:lang w:val="en-US" w:eastAsia="en-US" w:bidi="ar-SA"/>
      </w:rPr>
    </w:lvl>
    <w:lvl w:ilvl="8">
      <w:numFmt w:val="bullet"/>
      <w:lvlText w:val="•"/>
      <w:lvlJc w:val="left"/>
      <w:pPr>
        <w:ind w:left="7372" w:hanging="341"/>
      </w:pPr>
      <w:rPr>
        <w:rFonts w:hint="default"/>
        <w:lang w:val="en-US" w:eastAsia="en-US" w:bidi="ar-SA"/>
      </w:rPr>
    </w:lvl>
  </w:abstractNum>
  <w:abstractNum w:abstractNumId="3" w15:restartNumberingAfterBreak="0">
    <w:nsid w:val="5CD10B3D"/>
    <w:multiLevelType w:val="multilevel"/>
    <w:tmpl w:val="9C26C52E"/>
    <w:lvl w:ilvl="0">
      <w:start w:val="1"/>
      <w:numFmt w:val="decimal"/>
      <w:lvlText w:val="%1"/>
      <w:lvlJc w:val="left"/>
      <w:pPr>
        <w:ind w:left="583" w:hanging="341"/>
        <w:jc w:val="left"/>
      </w:pPr>
      <w:rPr>
        <w:rFonts w:hint="default"/>
        <w:lang w:val="en-US" w:eastAsia="en-US" w:bidi="ar-SA"/>
      </w:rPr>
    </w:lvl>
    <w:lvl w:ilvl="1">
      <w:start w:val="1"/>
      <w:numFmt w:val="decimal"/>
      <w:lvlText w:val="%1.%2"/>
      <w:lvlJc w:val="left"/>
      <w:pPr>
        <w:ind w:left="583" w:hanging="341"/>
        <w:jc w:val="left"/>
      </w:pPr>
      <w:rPr>
        <w:rFonts w:ascii="Segoe UI" w:eastAsia="Segoe UI" w:hAnsi="Segoe UI" w:cs="Segoe UI" w:hint="default"/>
        <w:b/>
        <w:bCs/>
        <w:i w:val="0"/>
        <w:iCs w:val="0"/>
        <w:spacing w:val="0"/>
        <w:w w:val="100"/>
        <w:sz w:val="20"/>
        <w:szCs w:val="20"/>
        <w:lang w:val="en-US" w:eastAsia="en-US" w:bidi="ar-SA"/>
      </w:rPr>
    </w:lvl>
    <w:lvl w:ilvl="2">
      <w:numFmt w:val="bullet"/>
      <w:lvlText w:val="•"/>
      <w:lvlJc w:val="left"/>
      <w:pPr>
        <w:ind w:left="2278" w:hanging="341"/>
      </w:pPr>
      <w:rPr>
        <w:rFonts w:hint="default"/>
        <w:lang w:val="en-US" w:eastAsia="en-US" w:bidi="ar-SA"/>
      </w:rPr>
    </w:lvl>
    <w:lvl w:ilvl="3">
      <w:numFmt w:val="bullet"/>
      <w:lvlText w:val="•"/>
      <w:lvlJc w:val="left"/>
      <w:pPr>
        <w:ind w:left="3127" w:hanging="341"/>
      </w:pPr>
      <w:rPr>
        <w:rFonts w:hint="default"/>
        <w:lang w:val="en-US" w:eastAsia="en-US" w:bidi="ar-SA"/>
      </w:rPr>
    </w:lvl>
    <w:lvl w:ilvl="4">
      <w:numFmt w:val="bullet"/>
      <w:lvlText w:val="•"/>
      <w:lvlJc w:val="left"/>
      <w:pPr>
        <w:ind w:left="3976" w:hanging="341"/>
      </w:pPr>
      <w:rPr>
        <w:rFonts w:hint="default"/>
        <w:lang w:val="en-US" w:eastAsia="en-US" w:bidi="ar-SA"/>
      </w:rPr>
    </w:lvl>
    <w:lvl w:ilvl="5">
      <w:numFmt w:val="bullet"/>
      <w:lvlText w:val="•"/>
      <w:lvlJc w:val="left"/>
      <w:pPr>
        <w:ind w:left="4825" w:hanging="341"/>
      </w:pPr>
      <w:rPr>
        <w:rFonts w:hint="default"/>
        <w:lang w:val="en-US" w:eastAsia="en-US" w:bidi="ar-SA"/>
      </w:rPr>
    </w:lvl>
    <w:lvl w:ilvl="6">
      <w:numFmt w:val="bullet"/>
      <w:lvlText w:val="•"/>
      <w:lvlJc w:val="left"/>
      <w:pPr>
        <w:ind w:left="5674" w:hanging="341"/>
      </w:pPr>
      <w:rPr>
        <w:rFonts w:hint="default"/>
        <w:lang w:val="en-US" w:eastAsia="en-US" w:bidi="ar-SA"/>
      </w:rPr>
    </w:lvl>
    <w:lvl w:ilvl="7">
      <w:numFmt w:val="bullet"/>
      <w:lvlText w:val="•"/>
      <w:lvlJc w:val="left"/>
      <w:pPr>
        <w:ind w:left="6523" w:hanging="341"/>
      </w:pPr>
      <w:rPr>
        <w:rFonts w:hint="default"/>
        <w:lang w:val="en-US" w:eastAsia="en-US" w:bidi="ar-SA"/>
      </w:rPr>
    </w:lvl>
    <w:lvl w:ilvl="8">
      <w:numFmt w:val="bullet"/>
      <w:lvlText w:val="•"/>
      <w:lvlJc w:val="left"/>
      <w:pPr>
        <w:ind w:left="7372" w:hanging="341"/>
      </w:pPr>
      <w:rPr>
        <w:rFonts w:hint="default"/>
        <w:lang w:val="en-US" w:eastAsia="en-US" w:bidi="ar-SA"/>
      </w:rPr>
    </w:lvl>
  </w:abstractNum>
  <w:abstractNum w:abstractNumId="4" w15:restartNumberingAfterBreak="0">
    <w:nsid w:val="66B92066"/>
    <w:multiLevelType w:val="multilevel"/>
    <w:tmpl w:val="2A5EE18E"/>
    <w:lvl w:ilvl="0">
      <w:start w:val="1"/>
      <w:numFmt w:val="decimal"/>
      <w:lvlText w:val="%1"/>
      <w:lvlJc w:val="left"/>
      <w:pPr>
        <w:ind w:left="583" w:hanging="341"/>
        <w:jc w:val="left"/>
      </w:pPr>
      <w:rPr>
        <w:rFonts w:hint="default"/>
        <w:lang w:val="en-US" w:eastAsia="en-US" w:bidi="ar-SA"/>
      </w:rPr>
    </w:lvl>
    <w:lvl w:ilvl="1">
      <w:start w:val="4"/>
      <w:numFmt w:val="decimal"/>
      <w:lvlText w:val="%1.%2"/>
      <w:lvlJc w:val="left"/>
      <w:pPr>
        <w:ind w:left="583" w:hanging="341"/>
        <w:jc w:val="left"/>
      </w:pPr>
      <w:rPr>
        <w:rFonts w:ascii="Segoe UI" w:eastAsia="Segoe UI" w:hAnsi="Segoe UI" w:cs="Segoe UI" w:hint="default"/>
        <w:b/>
        <w:bCs/>
        <w:i w:val="0"/>
        <w:iCs w:val="0"/>
        <w:spacing w:val="0"/>
        <w:w w:val="100"/>
        <w:sz w:val="20"/>
        <w:szCs w:val="20"/>
        <w:lang w:val="en-US" w:eastAsia="en-US" w:bidi="ar-SA"/>
      </w:rPr>
    </w:lvl>
    <w:lvl w:ilvl="2">
      <w:numFmt w:val="bullet"/>
      <w:lvlText w:val="•"/>
      <w:lvlJc w:val="left"/>
      <w:pPr>
        <w:ind w:left="2278" w:hanging="341"/>
      </w:pPr>
      <w:rPr>
        <w:rFonts w:hint="default"/>
        <w:lang w:val="en-US" w:eastAsia="en-US" w:bidi="ar-SA"/>
      </w:rPr>
    </w:lvl>
    <w:lvl w:ilvl="3">
      <w:numFmt w:val="bullet"/>
      <w:lvlText w:val="•"/>
      <w:lvlJc w:val="left"/>
      <w:pPr>
        <w:ind w:left="3127" w:hanging="341"/>
      </w:pPr>
      <w:rPr>
        <w:rFonts w:hint="default"/>
        <w:lang w:val="en-US" w:eastAsia="en-US" w:bidi="ar-SA"/>
      </w:rPr>
    </w:lvl>
    <w:lvl w:ilvl="4">
      <w:numFmt w:val="bullet"/>
      <w:lvlText w:val="•"/>
      <w:lvlJc w:val="left"/>
      <w:pPr>
        <w:ind w:left="3976" w:hanging="341"/>
      </w:pPr>
      <w:rPr>
        <w:rFonts w:hint="default"/>
        <w:lang w:val="en-US" w:eastAsia="en-US" w:bidi="ar-SA"/>
      </w:rPr>
    </w:lvl>
    <w:lvl w:ilvl="5">
      <w:numFmt w:val="bullet"/>
      <w:lvlText w:val="•"/>
      <w:lvlJc w:val="left"/>
      <w:pPr>
        <w:ind w:left="4825" w:hanging="341"/>
      </w:pPr>
      <w:rPr>
        <w:rFonts w:hint="default"/>
        <w:lang w:val="en-US" w:eastAsia="en-US" w:bidi="ar-SA"/>
      </w:rPr>
    </w:lvl>
    <w:lvl w:ilvl="6">
      <w:numFmt w:val="bullet"/>
      <w:lvlText w:val="•"/>
      <w:lvlJc w:val="left"/>
      <w:pPr>
        <w:ind w:left="5674" w:hanging="341"/>
      </w:pPr>
      <w:rPr>
        <w:rFonts w:hint="default"/>
        <w:lang w:val="en-US" w:eastAsia="en-US" w:bidi="ar-SA"/>
      </w:rPr>
    </w:lvl>
    <w:lvl w:ilvl="7">
      <w:numFmt w:val="bullet"/>
      <w:lvlText w:val="•"/>
      <w:lvlJc w:val="left"/>
      <w:pPr>
        <w:ind w:left="6523" w:hanging="341"/>
      </w:pPr>
      <w:rPr>
        <w:rFonts w:hint="default"/>
        <w:lang w:val="en-US" w:eastAsia="en-US" w:bidi="ar-SA"/>
      </w:rPr>
    </w:lvl>
    <w:lvl w:ilvl="8">
      <w:numFmt w:val="bullet"/>
      <w:lvlText w:val="•"/>
      <w:lvlJc w:val="left"/>
      <w:pPr>
        <w:ind w:left="7372" w:hanging="341"/>
      </w:pPr>
      <w:rPr>
        <w:rFonts w:hint="default"/>
        <w:lang w:val="en-US" w:eastAsia="en-US" w:bidi="ar-SA"/>
      </w:rPr>
    </w:lvl>
  </w:abstractNum>
  <w:num w:numId="1" w16cid:durableId="211235228">
    <w:abstractNumId w:val="0"/>
  </w:num>
  <w:num w:numId="2" w16cid:durableId="705254117">
    <w:abstractNumId w:val="1"/>
  </w:num>
  <w:num w:numId="3" w16cid:durableId="1126268483">
    <w:abstractNumId w:val="2"/>
  </w:num>
  <w:num w:numId="4" w16cid:durableId="92556766">
    <w:abstractNumId w:val="4"/>
  </w:num>
  <w:num w:numId="5" w16cid:durableId="6743793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187FDA"/>
    <w:rsid w:val="000F6E69"/>
    <w:rsid w:val="00187FDA"/>
    <w:rsid w:val="002A0BED"/>
    <w:rsid w:val="00477447"/>
    <w:rsid w:val="00856BE7"/>
    <w:rsid w:val="00905675"/>
    <w:rsid w:val="009F7B3D"/>
    <w:rsid w:val="00A36C5C"/>
    <w:rsid w:val="00B11CC8"/>
    <w:rsid w:val="00C36457"/>
    <w:rsid w:val="00C60B39"/>
    <w:rsid w:val="00F7486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07055"/>
  <w15:docId w15:val="{6621F353-B265-4E17-AE3D-48FD68CAC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Segoe UI" w:eastAsia="Segoe UI" w:hAnsi="Segoe UI" w:cs="Segoe UI"/>
    </w:rPr>
  </w:style>
  <w:style w:type="paragraph" w:styleId="Heading1">
    <w:name w:val="heading 1"/>
    <w:basedOn w:val="Normal"/>
    <w:uiPriority w:val="9"/>
    <w:qFormat/>
    <w:pPr>
      <w:spacing w:before="262"/>
      <w:ind w:left="23"/>
      <w:outlineLvl w:val="0"/>
    </w:pPr>
    <w:rPr>
      <w:b/>
      <w:bCs/>
      <w:sz w:val="32"/>
      <w:szCs w:val="32"/>
    </w:rPr>
  </w:style>
  <w:style w:type="paragraph" w:styleId="Heading2">
    <w:name w:val="heading 2"/>
    <w:basedOn w:val="Normal"/>
    <w:uiPriority w:val="9"/>
    <w:unhideWhenUsed/>
    <w:qFormat/>
    <w:pPr>
      <w:ind w:left="23"/>
      <w:outlineLvl w:val="1"/>
    </w:pPr>
    <w:rPr>
      <w:sz w:val="28"/>
      <w:szCs w:val="28"/>
    </w:rPr>
  </w:style>
  <w:style w:type="paragraph" w:styleId="Heading3">
    <w:name w:val="heading 3"/>
    <w:basedOn w:val="Normal"/>
    <w:uiPriority w:val="9"/>
    <w:unhideWhenUsed/>
    <w:qFormat/>
    <w:pPr>
      <w:spacing w:before="33"/>
      <w:ind w:left="23"/>
      <w:outlineLvl w:val="2"/>
    </w:pPr>
    <w:rPr>
      <w:b/>
      <w:bCs/>
      <w:sz w:val="21"/>
      <w:szCs w:val="21"/>
    </w:rPr>
  </w:style>
  <w:style w:type="paragraph" w:styleId="Heading4">
    <w:name w:val="heading 4"/>
    <w:basedOn w:val="Normal"/>
    <w:uiPriority w:val="9"/>
    <w:unhideWhenUsed/>
    <w:qFormat/>
    <w:pPr>
      <w:ind w:left="23"/>
      <w:outlineLvl w:val="3"/>
    </w:pPr>
    <w:rPr>
      <w:b/>
      <w:bCs/>
      <w:i/>
      <w:i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76"/>
      <w:ind w:left="23"/>
    </w:pPr>
    <w:rPr>
      <w:b/>
      <w:bCs/>
      <w:i/>
      <w:iCs/>
      <w:sz w:val="24"/>
      <w:szCs w:val="24"/>
    </w:rPr>
  </w:style>
  <w:style w:type="paragraph" w:styleId="TOC2">
    <w:name w:val="toc 2"/>
    <w:basedOn w:val="Normal"/>
    <w:uiPriority w:val="1"/>
    <w:qFormat/>
    <w:pPr>
      <w:spacing w:before="139"/>
      <w:ind w:left="581" w:hanging="338"/>
    </w:pPr>
    <w:rPr>
      <w:b/>
      <w:bCs/>
      <w:sz w:val="20"/>
      <w:szCs w:val="20"/>
    </w:rPr>
  </w:style>
  <w:style w:type="paragraph" w:styleId="BodyText">
    <w:name w:val="Body Text"/>
    <w:basedOn w:val="Normal"/>
    <w:uiPriority w:val="1"/>
    <w:qFormat/>
    <w:rPr>
      <w:sz w:val="21"/>
      <w:szCs w:val="21"/>
    </w:rPr>
  </w:style>
  <w:style w:type="paragraph" w:styleId="ListParagraph">
    <w:name w:val="List Paragraph"/>
    <w:basedOn w:val="Normal"/>
    <w:uiPriority w:val="1"/>
    <w:qFormat/>
    <w:pPr>
      <w:ind w:left="742" w:hanging="358"/>
    </w:pPr>
  </w:style>
  <w:style w:type="paragraph" w:customStyle="1" w:styleId="TableParagraph">
    <w:name w:val="Table Paragraph"/>
    <w:basedOn w:val="Normal"/>
    <w:uiPriority w:val="1"/>
    <w:qFormat/>
  </w:style>
  <w:style w:type="paragraph" w:styleId="NormalWeb">
    <w:name w:val="Normal (Web)"/>
    <w:basedOn w:val="Normal"/>
    <w:uiPriority w:val="99"/>
    <w:semiHidden/>
    <w:unhideWhenUsed/>
    <w:rsid w:val="00856BE7"/>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Emphasis">
    <w:name w:val="Emphasis"/>
    <w:basedOn w:val="DefaultParagraphFont"/>
    <w:uiPriority w:val="20"/>
    <w:qFormat/>
    <w:rsid w:val="00856BE7"/>
    <w:rPr>
      <w:i/>
      <w:iCs/>
    </w:rPr>
  </w:style>
  <w:style w:type="character" w:styleId="Hyperlink">
    <w:name w:val="Hyperlink"/>
    <w:basedOn w:val="DefaultParagraphFont"/>
    <w:uiPriority w:val="99"/>
    <w:semiHidden/>
    <w:unhideWhenUsed/>
    <w:rsid w:val="00856B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england.nhs.uk/long-read/your-questions-answered-a-guide-to-becoming-a-healthcare-support-worker/?utm_source=chatgp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3390/healthcare8010026" TargetMode="External"/><Relationship Id="rId12" Type="http://schemas.openxmlformats.org/officeDocument/2006/relationships/hyperlink" Target="https://xpresshealthni.co.uk/what-is-a-healthcare-assistant-duties-skills-tips-to-be-the-best-in-202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se.ie/eng/staff/resources/hrstrategiesreports/health-care-assistant-review-final-report-2018.pdf?utm_source=chatgpt.com" TargetMode="External"/><Relationship Id="rId11" Type="http://schemas.openxmlformats.org/officeDocument/2006/relationships/hyperlink" Target="https://doi.org/10.1186/s12913-023-09869-8" TargetMode="External"/><Relationship Id="rId5" Type="http://schemas.openxmlformats.org/officeDocument/2006/relationships/image" Target="media/image1.png"/><Relationship Id="rId10" Type="http://schemas.openxmlformats.org/officeDocument/2006/relationships/hyperlink" Target="https://rightdecisions.scot.nhs.uk/media/2564/news2-874.pdf?utm_source=chatgpt.com" TargetMode="External"/><Relationship Id="rId4" Type="http://schemas.openxmlformats.org/officeDocument/2006/relationships/webSettings" Target="webSettings.xml"/><Relationship Id="rId9" Type="http://schemas.openxmlformats.org/officeDocument/2006/relationships/hyperlink" Target="https://www.rch.org.au/rchcpg/hospital_clinical_guideline_index/observation_and_continuous_monitoring/?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1823</Words>
  <Characters>10393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Salma Shahzad (2332701)</cp:lastModifiedBy>
  <cp:revision>2</cp:revision>
  <dcterms:created xsi:type="dcterms:W3CDTF">2025-11-18T22:51:00Z</dcterms:created>
  <dcterms:modified xsi:type="dcterms:W3CDTF">2025-11-18T22:51:00Z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2025-11-04T00:00:00Z</vt:filetime>
  </property>
  <property fmtid="{D5CDD505-2E9C-101B-9397-08002B2CF9AE}" pid="3" name="Creator">
    <vt:lpwstr>Microsoft Word</vt:lpwstr>
  </property>
  <property fmtid="{D5CDD505-2E9C-101B-9397-08002B2CF9AE}" pid="4" name="LastSaved">
    <vt:filetime>2025-11-17T00:00:00Z</vt:filetime>
  </property>
  <property fmtid="{D5CDD505-2E9C-101B-9397-08002B2CF9AE}" pid="5" name="MSIP_Label_9762d7e7-4474-4a67-9ef6-3d4dc52b0ea7_ActionId">
    <vt:lpwstr>866e1233-1aed-4695-99ab-033c370b2909</vt:lpwstr>
  </property>
  <property fmtid="{D5CDD505-2E9C-101B-9397-08002B2CF9AE}" pid="6" name="MSIP_Label_9762d7e7-4474-4a67-9ef6-3d4dc52b0ea7_ContentBits">
    <vt:lpwstr>0</vt:lpwstr>
  </property>
  <property fmtid="{D5CDD505-2E9C-101B-9397-08002B2CF9AE}" pid="7" name="MSIP_Label_9762d7e7-4474-4a67-9ef6-3d4dc52b0ea7_Enabled">
    <vt:lpwstr>true</vt:lpwstr>
  </property>
  <property fmtid="{D5CDD505-2E9C-101B-9397-08002B2CF9AE}" pid="8" name="MSIP_Label_9762d7e7-4474-4a67-9ef6-3d4dc52b0ea7_Method">
    <vt:lpwstr>Privileged</vt:lpwstr>
  </property>
  <property fmtid="{D5CDD505-2E9C-101B-9397-08002B2CF9AE}" pid="9" name="MSIP_Label_9762d7e7-4474-4a67-9ef6-3d4dc52b0ea7_Name">
    <vt:lpwstr>Internal</vt:lpwstr>
  </property>
  <property fmtid="{D5CDD505-2E9C-101B-9397-08002B2CF9AE}" pid="10" name="MSIP_Label_9762d7e7-4474-4a67-9ef6-3d4dc52b0ea7_SetDate">
    <vt:lpwstr>2024-05-24T12:27:59Z</vt:lpwstr>
  </property>
  <property fmtid="{D5CDD505-2E9C-101B-9397-08002B2CF9AE}" pid="11" name="MSIP_Label_9762d7e7-4474-4a67-9ef6-3d4dc52b0ea7_SiteId">
    <vt:lpwstr>057daf85-b1d5-44cd-ab7b-0a4ce1b29eae</vt:lpwstr>
  </property>
</Properties>
</file>