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9CDE7" w14:textId="22F98665" w:rsidR="00B67E4D" w:rsidRPr="00AE01B0" w:rsidRDefault="00CF394B" w:rsidP="00CF394B">
      <w:pPr>
        <w:suppressAutoHyphens w:val="0"/>
        <w:autoSpaceDN/>
        <w:jc w:val="left"/>
        <w:rPr>
          <w:rFonts w:eastAsia="Times New Roman"/>
          <w:b/>
          <w:bCs/>
          <w:color w:val="222222"/>
          <w:sz w:val="32"/>
          <w:szCs w:val="32"/>
        </w:rPr>
      </w:pPr>
      <w:r w:rsidRPr="00AE01B0">
        <w:rPr>
          <w:rFonts w:eastAsia="Times New Roman"/>
          <w:b/>
          <w:bCs/>
          <w:color w:val="222222"/>
          <w:sz w:val="32"/>
          <w:szCs w:val="32"/>
          <w14:ligatures w14:val="standardContextual"/>
        </w:rPr>
        <w:drawing>
          <wp:inline distT="0" distB="0" distL="0" distR="0" wp14:anchorId="59A5A19D" wp14:editId="52CCC009">
            <wp:extent cx="1920240" cy="758805"/>
            <wp:effectExtent l="0" t="0" r="3810" b="3810"/>
            <wp:docPr id="386586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86786" name="Picture 386586786"/>
                    <pic:cNvPicPr/>
                  </pic:nvPicPr>
                  <pic:blipFill>
                    <a:blip r:embed="rId8">
                      <a:extLst>
                        <a:ext uri="{28A0092B-C50C-407E-A947-70E740481C1C}">
                          <a14:useLocalDpi xmlns:a14="http://schemas.microsoft.com/office/drawing/2010/main" val="0"/>
                        </a:ext>
                      </a:extLst>
                    </a:blip>
                    <a:stretch>
                      <a:fillRect/>
                    </a:stretch>
                  </pic:blipFill>
                  <pic:spPr>
                    <a:xfrm>
                      <a:off x="0" y="0"/>
                      <a:ext cx="1927559" cy="761697"/>
                    </a:xfrm>
                    <a:prstGeom prst="rect">
                      <a:avLst/>
                    </a:prstGeom>
                  </pic:spPr>
                </pic:pic>
              </a:graphicData>
            </a:graphic>
          </wp:inline>
        </w:drawing>
      </w:r>
    </w:p>
    <w:p w14:paraId="7AE040A2" w14:textId="77777777" w:rsidR="00B67E4D" w:rsidRPr="00AE01B0" w:rsidRDefault="00B67E4D" w:rsidP="00B67E4D">
      <w:pPr>
        <w:suppressAutoHyphens w:val="0"/>
        <w:autoSpaceDN/>
        <w:jc w:val="center"/>
        <w:rPr>
          <w:rFonts w:eastAsia="Times New Roman"/>
          <w:b/>
          <w:bCs/>
          <w:color w:val="222222"/>
          <w:sz w:val="32"/>
          <w:szCs w:val="32"/>
        </w:rPr>
      </w:pPr>
    </w:p>
    <w:p w14:paraId="762BF7E7" w14:textId="77777777" w:rsidR="00CF394B" w:rsidRPr="00AE01B0" w:rsidRDefault="00CF394B" w:rsidP="00B67E4D">
      <w:pPr>
        <w:suppressAutoHyphens w:val="0"/>
        <w:autoSpaceDN/>
        <w:jc w:val="center"/>
        <w:rPr>
          <w:rFonts w:eastAsia="Times New Roman"/>
          <w:b/>
          <w:bCs/>
          <w:color w:val="222222"/>
          <w:sz w:val="32"/>
          <w:szCs w:val="32"/>
        </w:rPr>
      </w:pPr>
    </w:p>
    <w:p w14:paraId="1F8DD4D2" w14:textId="0C4CD6FC" w:rsidR="00B67E4D" w:rsidRPr="00AE01B0" w:rsidRDefault="00B67E4D" w:rsidP="00B67E4D">
      <w:pPr>
        <w:suppressAutoHyphens w:val="0"/>
        <w:autoSpaceDN/>
        <w:jc w:val="center"/>
        <w:rPr>
          <w:rFonts w:eastAsia="Times New Roman"/>
          <w:b/>
          <w:bCs/>
          <w:color w:val="222222"/>
          <w:sz w:val="32"/>
          <w:szCs w:val="32"/>
        </w:rPr>
      </w:pPr>
      <w:r w:rsidRPr="00AE01B0">
        <w:rPr>
          <w:rFonts w:eastAsia="Times New Roman"/>
          <w:b/>
          <w:bCs/>
          <w:color w:val="222222"/>
          <w:sz w:val="32"/>
          <w:szCs w:val="32"/>
        </w:rPr>
        <w:t>Module: Evidence-based Approaches to Policing Decisions</w:t>
      </w:r>
    </w:p>
    <w:p w14:paraId="260BBD24" w14:textId="6C5C18B5" w:rsidR="00B67E4D" w:rsidRPr="00AE01B0" w:rsidRDefault="00B67E4D" w:rsidP="00B67E4D">
      <w:pPr>
        <w:suppressAutoHyphens w:val="0"/>
        <w:autoSpaceDN/>
        <w:jc w:val="center"/>
        <w:rPr>
          <w:rFonts w:eastAsia="Times New Roman"/>
          <w:b/>
          <w:bCs/>
          <w:color w:val="222222"/>
          <w:sz w:val="32"/>
          <w:szCs w:val="32"/>
        </w:rPr>
      </w:pPr>
      <w:r w:rsidRPr="00AE01B0">
        <w:rPr>
          <w:rFonts w:eastAsia="Times New Roman"/>
          <w:b/>
          <w:bCs/>
          <w:color w:val="222222"/>
          <w:sz w:val="32"/>
          <w:szCs w:val="32"/>
        </w:rPr>
        <w:t>Module code: BMPL4001</w:t>
      </w:r>
    </w:p>
    <w:p w14:paraId="3FCA0CC2" w14:textId="4C1DD2AE" w:rsidR="00B67E4D" w:rsidRPr="00AE01B0" w:rsidRDefault="00B67E4D" w:rsidP="00B67E4D">
      <w:pPr>
        <w:suppressAutoHyphens w:val="0"/>
        <w:autoSpaceDN/>
        <w:jc w:val="center"/>
        <w:rPr>
          <w:rFonts w:eastAsia="Times New Roman"/>
          <w:b/>
          <w:bCs/>
          <w:color w:val="222222"/>
          <w:sz w:val="32"/>
          <w:szCs w:val="32"/>
        </w:rPr>
      </w:pPr>
      <w:r w:rsidRPr="00AE01B0">
        <w:rPr>
          <w:rFonts w:eastAsia="Times New Roman"/>
          <w:b/>
          <w:bCs/>
          <w:color w:val="222222"/>
          <w:sz w:val="32"/>
          <w:szCs w:val="32"/>
        </w:rPr>
        <w:t>Assignment Title: Examine the impact of partnership working and information sharing when applied to policing practice. Consider the need for effective communication within the process.</w:t>
      </w:r>
    </w:p>
    <w:p w14:paraId="59B39946" w14:textId="24F7AE96" w:rsidR="00B67E4D" w:rsidRPr="00AE01B0" w:rsidRDefault="00B67E4D" w:rsidP="00B67E4D">
      <w:pPr>
        <w:suppressAutoHyphens w:val="0"/>
        <w:autoSpaceDN/>
        <w:jc w:val="center"/>
        <w:rPr>
          <w:b/>
          <w:bCs/>
          <w:sz w:val="32"/>
          <w:szCs w:val="28"/>
        </w:rPr>
      </w:pPr>
      <w:r w:rsidRPr="00AE01B0">
        <w:rPr>
          <w:rFonts w:eastAsia="Times New Roman"/>
          <w:b/>
          <w:bCs/>
          <w:color w:val="222222"/>
          <w:sz w:val="32"/>
          <w:szCs w:val="32"/>
        </w:rPr>
        <w:t xml:space="preserve">Student Name: </w:t>
      </w:r>
      <w:r w:rsidR="00FF653D" w:rsidRPr="00AE01B0">
        <w:rPr>
          <w:b/>
          <w:bCs/>
          <w:sz w:val="32"/>
          <w:szCs w:val="28"/>
        </w:rPr>
        <w:t xml:space="preserve">Roxana Andreea </w:t>
      </w:r>
      <w:proofErr w:type="spellStart"/>
      <w:r w:rsidR="00FF653D" w:rsidRPr="00AE01B0">
        <w:rPr>
          <w:b/>
          <w:bCs/>
          <w:sz w:val="32"/>
          <w:szCs w:val="28"/>
        </w:rPr>
        <w:t>Cimpan</w:t>
      </w:r>
      <w:proofErr w:type="spellEnd"/>
    </w:p>
    <w:p w14:paraId="13351C4F" w14:textId="268C8510" w:rsidR="00234602" w:rsidRPr="00AE01B0" w:rsidRDefault="00B67E4D" w:rsidP="00B67E4D">
      <w:pPr>
        <w:suppressAutoHyphens w:val="0"/>
        <w:autoSpaceDN/>
        <w:jc w:val="center"/>
        <w:rPr>
          <w:rFonts w:eastAsia="Times New Roman"/>
          <w:color w:val="222222"/>
          <w:szCs w:val="24"/>
        </w:rPr>
      </w:pPr>
      <w:r w:rsidRPr="00AE01B0">
        <w:rPr>
          <w:rFonts w:eastAsia="Times New Roman"/>
          <w:b/>
          <w:bCs/>
          <w:color w:val="222222"/>
          <w:sz w:val="32"/>
          <w:szCs w:val="32"/>
        </w:rPr>
        <w:t>Student ID:</w:t>
      </w:r>
      <w:r w:rsidR="00234602" w:rsidRPr="00AE01B0">
        <w:rPr>
          <w:rFonts w:eastAsia="Times New Roman"/>
          <w:color w:val="222222"/>
          <w:szCs w:val="24"/>
        </w:rPr>
        <w:br w:type="page"/>
      </w:r>
    </w:p>
    <w:p w14:paraId="72E37353" w14:textId="77777777" w:rsidR="00BF3C4A" w:rsidRPr="00AE01B0" w:rsidRDefault="00BF3C4A" w:rsidP="00BF3C4A">
      <w:pPr>
        <w:pStyle w:val="Heading1"/>
        <w:rPr>
          <w:highlight w:val="white"/>
        </w:rPr>
      </w:pPr>
      <w:r w:rsidRPr="00AE01B0">
        <w:rPr>
          <w:highlight w:val="white"/>
        </w:rPr>
        <w:lastRenderedPageBreak/>
        <w:t xml:space="preserve">Introduction </w:t>
      </w:r>
    </w:p>
    <w:p w14:paraId="1ACC3C01" w14:textId="0F1B1A23" w:rsidR="00BF3C4A" w:rsidRPr="00AE01B0" w:rsidRDefault="00BF3C4A" w:rsidP="00BF3C4A">
      <w:pPr>
        <w:suppressAutoHyphens w:val="0"/>
        <w:autoSpaceDN/>
        <w:spacing w:after="0"/>
        <w:rPr>
          <w:rFonts w:eastAsia="Times New Roman"/>
          <w:color w:val="222222"/>
          <w:szCs w:val="24"/>
          <w:highlight w:val="white"/>
          <w:lang w:eastAsia="en-IN"/>
        </w:rPr>
      </w:pPr>
      <w:r w:rsidRPr="00AE01B0">
        <w:rPr>
          <w:rFonts w:eastAsia="Times New Roman"/>
          <w:color w:val="222222"/>
          <w:szCs w:val="24"/>
          <w:highlight w:val="white"/>
          <w:lang w:eastAsia="en-IN"/>
        </w:rPr>
        <w:t xml:space="preserve">Evidence-based policing </w:t>
      </w:r>
      <w:r w:rsidR="009F396E" w:rsidRPr="00AE01B0">
        <w:rPr>
          <w:rFonts w:eastAsia="Times New Roman"/>
          <w:color w:val="222222"/>
          <w:szCs w:val="24"/>
          <w:highlight w:val="white"/>
          <w:lang w:eastAsia="en-IN"/>
        </w:rPr>
        <w:t xml:space="preserve">takes place </w:t>
      </w:r>
      <w:r w:rsidRPr="00AE01B0">
        <w:rPr>
          <w:rFonts w:eastAsia="Times New Roman"/>
          <w:color w:val="222222"/>
          <w:szCs w:val="24"/>
          <w:highlight w:val="white"/>
          <w:lang w:eastAsia="en-IN"/>
        </w:rPr>
        <w:t xml:space="preserve">when </w:t>
      </w:r>
      <w:r w:rsidR="009F396E" w:rsidRPr="00AE01B0">
        <w:rPr>
          <w:rFonts w:eastAsia="Times New Roman"/>
          <w:color w:val="222222"/>
          <w:szCs w:val="24"/>
          <w:highlight w:val="white"/>
          <w:lang w:eastAsia="en-IN"/>
        </w:rPr>
        <w:t>the</w:t>
      </w:r>
      <w:r w:rsidRPr="00AE01B0">
        <w:rPr>
          <w:rFonts w:eastAsia="Times New Roman"/>
          <w:color w:val="222222"/>
          <w:szCs w:val="24"/>
          <w:highlight w:val="white"/>
          <w:lang w:eastAsia="en-IN"/>
        </w:rPr>
        <w:t xml:space="preserve"> best available </w:t>
      </w:r>
      <w:r w:rsidR="009F396E" w:rsidRPr="00AE01B0">
        <w:rPr>
          <w:rFonts w:eastAsia="Times New Roman"/>
          <w:color w:val="222222"/>
          <w:szCs w:val="24"/>
          <w:highlight w:val="white"/>
          <w:lang w:eastAsia="en-IN"/>
        </w:rPr>
        <w:t>strategies get implemented for dealing with the challenges</w:t>
      </w:r>
      <w:r w:rsidRPr="00AE01B0">
        <w:rPr>
          <w:rFonts w:eastAsia="Times New Roman"/>
          <w:color w:val="222222"/>
          <w:szCs w:val="24"/>
          <w:highlight w:val="white"/>
          <w:lang w:eastAsia="en-IN"/>
        </w:rPr>
        <w:t xml:space="preserve"> </w:t>
      </w:r>
      <w:r w:rsidR="009F396E" w:rsidRPr="00AE01B0">
        <w:rPr>
          <w:rFonts w:eastAsia="Times New Roman"/>
          <w:color w:val="222222"/>
          <w:szCs w:val="24"/>
          <w:highlight w:val="white"/>
          <w:lang w:eastAsia="en-IN"/>
        </w:rPr>
        <w:t>as well as</w:t>
      </w:r>
      <w:r w:rsidRPr="00AE01B0">
        <w:rPr>
          <w:rFonts w:eastAsia="Times New Roman"/>
          <w:color w:val="222222"/>
          <w:szCs w:val="24"/>
          <w:highlight w:val="white"/>
          <w:lang w:eastAsia="en-IN"/>
        </w:rPr>
        <w:t xml:space="preserve"> inform policing practices, policies</w:t>
      </w:r>
      <w:r w:rsidR="009F396E" w:rsidRPr="00AE01B0">
        <w:rPr>
          <w:rFonts w:eastAsia="Times New Roman"/>
          <w:color w:val="222222"/>
          <w:szCs w:val="24"/>
          <w:highlight w:val="white"/>
          <w:lang w:eastAsia="en-IN"/>
        </w:rPr>
        <w:t xml:space="preserve"> </w:t>
      </w:r>
      <w:r w:rsidRPr="00AE01B0">
        <w:rPr>
          <w:rFonts w:eastAsia="Times New Roman"/>
          <w:color w:val="222222"/>
          <w:szCs w:val="24"/>
          <w:highlight w:val="white"/>
          <w:lang w:eastAsia="en-IN"/>
        </w:rPr>
        <w:t xml:space="preserve">and decisions. An EBP approach may be </w:t>
      </w:r>
      <w:r w:rsidR="009F396E" w:rsidRPr="00AE01B0">
        <w:rPr>
          <w:rFonts w:eastAsia="Times New Roman"/>
          <w:color w:val="222222"/>
          <w:szCs w:val="24"/>
          <w:highlight w:val="white"/>
          <w:lang w:eastAsia="en-IN"/>
        </w:rPr>
        <w:t>utilised</w:t>
      </w:r>
      <w:r w:rsidRPr="00AE01B0">
        <w:rPr>
          <w:rFonts w:eastAsia="Times New Roman"/>
          <w:color w:val="222222"/>
          <w:szCs w:val="24"/>
          <w:highlight w:val="white"/>
          <w:lang w:eastAsia="en-IN"/>
        </w:rPr>
        <w:t xml:space="preserve"> by every individual in policing and can be supported by collaborating with academics </w:t>
      </w:r>
      <w:r w:rsidR="009F396E" w:rsidRPr="00AE01B0">
        <w:rPr>
          <w:rFonts w:eastAsia="Times New Roman"/>
          <w:color w:val="222222"/>
          <w:szCs w:val="24"/>
          <w:highlight w:val="white"/>
          <w:lang w:eastAsia="en-IN"/>
        </w:rPr>
        <w:t>as well as</w:t>
      </w:r>
      <w:r w:rsidRPr="00AE01B0">
        <w:rPr>
          <w:rFonts w:eastAsia="Times New Roman"/>
          <w:color w:val="222222"/>
          <w:szCs w:val="24"/>
          <w:highlight w:val="white"/>
          <w:lang w:eastAsia="en-IN"/>
        </w:rPr>
        <w:t xml:space="preserve"> other partners. Police officers, volunteers, and staff are suggested to reflect on their practice, understand how available evidence is applied to their routine work</w:t>
      </w:r>
      <w:r w:rsidR="009F396E" w:rsidRPr="00AE01B0">
        <w:rPr>
          <w:rFonts w:eastAsia="Times New Roman"/>
          <w:color w:val="222222"/>
          <w:szCs w:val="24"/>
          <w:highlight w:val="white"/>
          <w:lang w:eastAsia="en-IN"/>
        </w:rPr>
        <w:t xml:space="preserve"> </w:t>
      </w:r>
      <w:r w:rsidRPr="00AE01B0">
        <w:rPr>
          <w:rFonts w:eastAsia="Times New Roman"/>
          <w:color w:val="222222"/>
          <w:szCs w:val="24"/>
          <w:highlight w:val="white"/>
          <w:lang w:eastAsia="en-IN"/>
        </w:rPr>
        <w:t>and learn from their failures</w:t>
      </w:r>
      <w:r w:rsidR="009F396E" w:rsidRPr="00AE01B0">
        <w:rPr>
          <w:rFonts w:eastAsia="Times New Roman"/>
          <w:color w:val="222222"/>
          <w:szCs w:val="24"/>
          <w:highlight w:val="white"/>
          <w:lang w:eastAsia="en-IN"/>
        </w:rPr>
        <w:t>. In relation to that discussion, t</w:t>
      </w:r>
      <w:r w:rsidRPr="00AE01B0">
        <w:rPr>
          <w:rFonts w:eastAsia="Times New Roman"/>
          <w:color w:val="222222"/>
          <w:szCs w:val="24"/>
          <w:highlight w:val="white"/>
          <w:lang w:eastAsia="en-IN"/>
        </w:rPr>
        <w:t xml:space="preserve">he following essay will first explain the concept of evidence-based policing and its application in the policing practice. </w:t>
      </w:r>
      <w:r w:rsidR="009F396E" w:rsidRPr="00AE01B0">
        <w:rPr>
          <w:rFonts w:eastAsia="Times New Roman"/>
          <w:color w:val="222222"/>
          <w:szCs w:val="24"/>
          <w:highlight w:val="white"/>
          <w:lang w:eastAsia="en-IN"/>
        </w:rPr>
        <w:t>Then, this report will</w:t>
      </w:r>
      <w:r w:rsidRPr="00AE01B0">
        <w:rPr>
          <w:rFonts w:eastAsia="Times New Roman"/>
          <w:color w:val="222222"/>
          <w:szCs w:val="24"/>
          <w:highlight w:val="white"/>
          <w:lang w:eastAsia="en-IN"/>
        </w:rPr>
        <w:t xml:space="preserve"> examine the i</w:t>
      </w:r>
      <w:r w:rsidR="009F396E" w:rsidRPr="00AE01B0">
        <w:rPr>
          <w:rFonts w:eastAsia="Times New Roman"/>
          <w:color w:val="222222"/>
          <w:szCs w:val="24"/>
          <w:highlight w:val="white"/>
          <w:lang w:eastAsia="en-IN"/>
        </w:rPr>
        <w:t xml:space="preserve">nfluence </w:t>
      </w:r>
      <w:r w:rsidRPr="00AE01B0">
        <w:rPr>
          <w:rFonts w:eastAsia="Times New Roman"/>
          <w:color w:val="222222"/>
          <w:szCs w:val="24"/>
          <w:highlight w:val="white"/>
          <w:lang w:eastAsia="en-IN"/>
        </w:rPr>
        <w:t xml:space="preserve">of partnership working </w:t>
      </w:r>
      <w:r w:rsidR="009F396E" w:rsidRPr="00AE01B0">
        <w:rPr>
          <w:rFonts w:eastAsia="Times New Roman"/>
          <w:color w:val="222222"/>
          <w:szCs w:val="24"/>
          <w:highlight w:val="white"/>
          <w:lang w:eastAsia="en-IN"/>
        </w:rPr>
        <w:t xml:space="preserve">as well as </w:t>
      </w:r>
      <w:r w:rsidRPr="00AE01B0">
        <w:rPr>
          <w:rFonts w:eastAsia="Times New Roman"/>
          <w:color w:val="222222"/>
          <w:szCs w:val="24"/>
          <w:highlight w:val="white"/>
          <w:lang w:eastAsia="en-IN"/>
        </w:rPr>
        <w:t xml:space="preserve">information sharing when </w:t>
      </w:r>
      <w:r w:rsidR="009F396E" w:rsidRPr="00AE01B0">
        <w:rPr>
          <w:rFonts w:eastAsia="Times New Roman"/>
          <w:color w:val="222222"/>
          <w:szCs w:val="24"/>
          <w:highlight w:val="white"/>
          <w:lang w:eastAsia="en-IN"/>
        </w:rPr>
        <w:t>used</w:t>
      </w:r>
      <w:r w:rsidRPr="00AE01B0">
        <w:rPr>
          <w:rFonts w:eastAsia="Times New Roman"/>
          <w:color w:val="222222"/>
          <w:szCs w:val="24"/>
          <w:highlight w:val="white"/>
          <w:lang w:eastAsia="en-IN"/>
        </w:rPr>
        <w:t xml:space="preserve"> to policing practice</w:t>
      </w:r>
      <w:r w:rsidR="009F396E" w:rsidRPr="00AE01B0">
        <w:rPr>
          <w:rFonts w:eastAsia="Times New Roman"/>
          <w:color w:val="222222"/>
          <w:szCs w:val="24"/>
          <w:highlight w:val="white"/>
          <w:lang w:eastAsia="en-IN"/>
        </w:rPr>
        <w:t xml:space="preserve"> by</w:t>
      </w:r>
      <w:r w:rsidRPr="00AE01B0">
        <w:rPr>
          <w:rFonts w:eastAsia="Times New Roman"/>
          <w:color w:val="222222"/>
          <w:szCs w:val="24"/>
          <w:highlight w:val="white"/>
          <w:lang w:eastAsia="en-IN"/>
        </w:rPr>
        <w:t xml:space="preserve"> </w:t>
      </w:r>
      <w:r w:rsidR="009F396E" w:rsidRPr="00AE01B0">
        <w:rPr>
          <w:rFonts w:eastAsia="Times New Roman"/>
          <w:color w:val="222222"/>
          <w:szCs w:val="24"/>
          <w:highlight w:val="white"/>
          <w:lang w:eastAsia="en-IN"/>
        </w:rPr>
        <w:t>considering</w:t>
      </w:r>
      <w:r w:rsidRPr="00AE01B0">
        <w:rPr>
          <w:rFonts w:eastAsia="Times New Roman"/>
          <w:color w:val="222222"/>
          <w:szCs w:val="24"/>
          <w:highlight w:val="white"/>
          <w:lang w:eastAsia="en-IN"/>
        </w:rPr>
        <w:t xml:space="preserve"> the need for </w:t>
      </w:r>
      <w:r w:rsidR="009F396E" w:rsidRPr="00AE01B0">
        <w:rPr>
          <w:rFonts w:eastAsia="Times New Roman"/>
          <w:color w:val="222222"/>
          <w:szCs w:val="24"/>
          <w:highlight w:val="white"/>
          <w:lang w:eastAsia="en-IN"/>
        </w:rPr>
        <w:t>strong</w:t>
      </w:r>
      <w:r w:rsidRPr="00AE01B0">
        <w:rPr>
          <w:rFonts w:eastAsia="Times New Roman"/>
          <w:color w:val="222222"/>
          <w:szCs w:val="24"/>
          <w:highlight w:val="white"/>
          <w:lang w:eastAsia="en-IN"/>
        </w:rPr>
        <w:t xml:space="preserve"> communication </w:t>
      </w:r>
      <w:r w:rsidR="009F396E" w:rsidRPr="00AE01B0">
        <w:rPr>
          <w:rFonts w:eastAsia="Times New Roman"/>
          <w:color w:val="222222"/>
          <w:szCs w:val="24"/>
          <w:highlight w:val="white"/>
          <w:lang w:eastAsia="en-IN"/>
        </w:rPr>
        <w:t>in this entire process</w:t>
      </w:r>
      <w:r w:rsidRPr="00AE01B0">
        <w:rPr>
          <w:rFonts w:eastAsia="Times New Roman"/>
          <w:color w:val="222222"/>
          <w:szCs w:val="24"/>
          <w:highlight w:val="white"/>
          <w:lang w:eastAsia="en-IN"/>
        </w:rPr>
        <w:t xml:space="preserve">. Lastly, the essay will also provide a </w:t>
      </w:r>
      <w:r w:rsidR="009F396E" w:rsidRPr="00AE01B0">
        <w:rPr>
          <w:rFonts w:eastAsia="Times New Roman"/>
          <w:color w:val="222222"/>
          <w:szCs w:val="24"/>
          <w:highlight w:val="white"/>
          <w:lang w:eastAsia="en-IN"/>
        </w:rPr>
        <w:t>reason that influences</w:t>
      </w:r>
      <w:r w:rsidRPr="00AE01B0">
        <w:rPr>
          <w:rFonts w:eastAsia="Times New Roman"/>
          <w:color w:val="222222"/>
          <w:szCs w:val="24"/>
          <w:highlight w:val="white"/>
          <w:lang w:eastAsia="en-IN"/>
        </w:rPr>
        <w:t xml:space="preserve"> the </w:t>
      </w:r>
      <w:r w:rsidR="009F396E" w:rsidRPr="00AE01B0">
        <w:rPr>
          <w:rFonts w:eastAsia="Times New Roman"/>
          <w:color w:val="222222"/>
          <w:szCs w:val="24"/>
          <w:highlight w:val="white"/>
          <w:lang w:eastAsia="en-IN"/>
        </w:rPr>
        <w:t>usage</w:t>
      </w:r>
      <w:r w:rsidRPr="00AE01B0">
        <w:rPr>
          <w:rFonts w:eastAsia="Times New Roman"/>
          <w:color w:val="222222"/>
          <w:szCs w:val="24"/>
          <w:highlight w:val="white"/>
          <w:lang w:eastAsia="en-IN"/>
        </w:rPr>
        <w:t xml:space="preserve"> of the national decision-making model and </w:t>
      </w:r>
      <w:r w:rsidR="009F396E" w:rsidRPr="00AE01B0">
        <w:rPr>
          <w:rFonts w:eastAsia="Times New Roman"/>
          <w:color w:val="222222"/>
          <w:szCs w:val="24"/>
          <w:highlight w:val="white"/>
          <w:lang w:eastAsia="en-IN"/>
        </w:rPr>
        <w:t>its application</w:t>
      </w:r>
      <w:r w:rsidRPr="00AE01B0">
        <w:rPr>
          <w:rFonts w:eastAsia="Times New Roman"/>
          <w:color w:val="222222"/>
          <w:szCs w:val="24"/>
          <w:highlight w:val="white"/>
          <w:lang w:eastAsia="en-IN"/>
        </w:rPr>
        <w:t xml:space="preserve"> </w:t>
      </w:r>
      <w:r w:rsidR="009F396E" w:rsidRPr="00AE01B0">
        <w:rPr>
          <w:rFonts w:eastAsia="Times New Roman"/>
          <w:color w:val="222222"/>
          <w:szCs w:val="24"/>
          <w:highlight w:val="white"/>
          <w:lang w:eastAsia="en-IN"/>
        </w:rPr>
        <w:t>in the</w:t>
      </w:r>
      <w:r w:rsidRPr="00AE01B0">
        <w:rPr>
          <w:rFonts w:eastAsia="Times New Roman"/>
          <w:color w:val="222222"/>
          <w:szCs w:val="24"/>
          <w:highlight w:val="white"/>
          <w:lang w:eastAsia="en-IN"/>
        </w:rPr>
        <w:t xml:space="preserve"> policing practice. </w:t>
      </w:r>
    </w:p>
    <w:p w14:paraId="75655EA1" w14:textId="77777777" w:rsidR="00BF3C4A" w:rsidRPr="00AE01B0" w:rsidRDefault="00BF3C4A">
      <w:pPr>
        <w:suppressAutoHyphens w:val="0"/>
        <w:autoSpaceDN/>
        <w:spacing w:line="259" w:lineRule="auto"/>
        <w:jc w:val="left"/>
        <w:rPr>
          <w:rFonts w:eastAsia="Arial" w:cs="Arial"/>
          <w:b/>
          <w:sz w:val="28"/>
          <w:szCs w:val="40"/>
          <w:lang w:eastAsia="en-GB"/>
        </w:rPr>
      </w:pPr>
      <w:r w:rsidRPr="00AE01B0">
        <w:br w:type="page"/>
      </w:r>
    </w:p>
    <w:p w14:paraId="46572854" w14:textId="07AF9149" w:rsidR="00234602" w:rsidRPr="00AE01B0" w:rsidRDefault="00234602" w:rsidP="00234602">
      <w:pPr>
        <w:pStyle w:val="Heading1"/>
      </w:pPr>
      <w:r w:rsidRPr="00AE01B0">
        <w:lastRenderedPageBreak/>
        <w:t>Discussion</w:t>
      </w:r>
    </w:p>
    <w:p w14:paraId="4F9F2B43" w14:textId="4252AC3B" w:rsidR="00234602" w:rsidRPr="00AE01B0" w:rsidRDefault="00234602" w:rsidP="00234602">
      <w:pPr>
        <w:shd w:val="clear" w:color="auto" w:fill="FFFFFF"/>
        <w:suppressAutoHyphens w:val="0"/>
        <w:autoSpaceDN/>
        <w:spacing w:before="240" w:after="0"/>
        <w:rPr>
          <w:rFonts w:eastAsia="Times New Roman"/>
          <w:color w:val="222222"/>
          <w:szCs w:val="24"/>
        </w:rPr>
      </w:pPr>
      <w:r w:rsidRPr="00AE01B0">
        <w:rPr>
          <w:rFonts w:eastAsia="Times New Roman"/>
          <w:color w:val="222222"/>
          <w:szCs w:val="24"/>
        </w:rPr>
        <w:t xml:space="preserve">The term evidence-based practice is associated with diverse approaches that help police officers and staff to review and use the available resources to inform the </w:t>
      </w:r>
      <w:r w:rsidR="005A620A" w:rsidRPr="00AE01B0">
        <w:rPr>
          <w:rFonts w:eastAsia="Times New Roman"/>
          <w:color w:val="222222"/>
          <w:szCs w:val="24"/>
        </w:rPr>
        <w:t xml:space="preserve">application </w:t>
      </w:r>
      <w:r w:rsidRPr="00AE01B0">
        <w:rPr>
          <w:rFonts w:eastAsia="Times New Roman"/>
          <w:color w:val="222222"/>
          <w:szCs w:val="24"/>
        </w:rPr>
        <w:t xml:space="preserve">and decisions. It was first </w:t>
      </w:r>
      <w:r w:rsidR="00951F76" w:rsidRPr="00AE01B0">
        <w:rPr>
          <w:rFonts w:eastAsia="Times New Roman"/>
          <w:color w:val="222222"/>
          <w:szCs w:val="24"/>
        </w:rPr>
        <w:t>framed</w:t>
      </w:r>
      <w:r w:rsidRPr="00AE01B0">
        <w:rPr>
          <w:rFonts w:eastAsia="Times New Roman"/>
          <w:color w:val="222222"/>
          <w:szCs w:val="24"/>
        </w:rPr>
        <w:t xml:space="preserve"> by the American criminologist Herman Goldstein during the development of problem-oriented policing</w:t>
      </w:r>
      <w:r w:rsidR="00A63882" w:rsidRPr="00AE01B0">
        <w:rPr>
          <w:rFonts w:eastAsia="Times New Roman"/>
          <w:color w:val="222222"/>
          <w:szCs w:val="24"/>
        </w:rPr>
        <w:t xml:space="preserve"> (</w:t>
      </w:r>
      <w:r w:rsidR="00A63882" w:rsidRPr="00AE01B0">
        <w:rPr>
          <w:color w:val="222222"/>
          <w:szCs w:val="24"/>
          <w:shd w:val="clear" w:color="auto" w:fill="FFFFFF"/>
        </w:rPr>
        <w:t>Rogers et al., 2022)</w:t>
      </w:r>
      <w:r w:rsidRPr="00AE01B0">
        <w:rPr>
          <w:rFonts w:eastAsia="Times New Roman"/>
          <w:color w:val="222222"/>
          <w:szCs w:val="24"/>
        </w:rPr>
        <w:t xml:space="preserve">. This is also a strategic approach for tackling crime and crime that involves the identification of the specific </w:t>
      </w:r>
      <w:r w:rsidR="00951F76" w:rsidRPr="00AE01B0">
        <w:rPr>
          <w:rFonts w:eastAsia="Times New Roman"/>
          <w:color w:val="222222"/>
          <w:szCs w:val="24"/>
        </w:rPr>
        <w:t>issue</w:t>
      </w:r>
      <w:r w:rsidRPr="00AE01B0">
        <w:rPr>
          <w:rFonts w:eastAsia="Times New Roman"/>
          <w:color w:val="222222"/>
          <w:szCs w:val="24"/>
        </w:rPr>
        <w:t>. There are several advantages associated with the above-mentioned framework. Various secondary articles have analysed that, it allows agencies to strategically allocate resources while emphasising on the importance of empirical evidence rather than belief. Many cases have shed light on the emerging bias in cases related to women and marginalised communities. Therefore, through effective implementation of this perspective, EBP can also increase trust between police officers and local communities</w:t>
      </w:r>
      <w:r w:rsidR="009324BA" w:rsidRPr="00AE01B0">
        <w:rPr>
          <w:rFonts w:eastAsia="Times New Roman"/>
          <w:color w:val="222222"/>
          <w:szCs w:val="24"/>
        </w:rPr>
        <w:t xml:space="preserve"> (</w:t>
      </w:r>
      <w:r w:rsidR="009324BA" w:rsidRPr="00AE01B0">
        <w:rPr>
          <w:color w:val="222222"/>
          <w:szCs w:val="24"/>
          <w:shd w:val="clear" w:color="auto" w:fill="FFFFFF"/>
        </w:rPr>
        <w:t>Boulton et al., 2021)</w:t>
      </w:r>
      <w:r w:rsidRPr="00AE01B0">
        <w:rPr>
          <w:rFonts w:eastAsia="Times New Roman"/>
          <w:color w:val="222222"/>
          <w:szCs w:val="24"/>
        </w:rPr>
        <w:t xml:space="preserve">. Irrespective of the positive elements, the negative aspects cannot be denied which can reduce the overall effectiveness of the investigation.  The case study of Sarah Everard has highlighted the getting of evidence through CCTV. Police have identified that the use of technological proof can prevent an overall average of 16 crimes for every 100 cases. The scenario revealed that after the analysis of a thousand hours, the overall evidence </w:t>
      </w:r>
      <w:r w:rsidR="00951F76" w:rsidRPr="00AE01B0">
        <w:rPr>
          <w:rFonts w:eastAsia="Times New Roman"/>
          <w:color w:val="222222"/>
          <w:szCs w:val="24"/>
        </w:rPr>
        <w:t>had come</w:t>
      </w:r>
      <w:r w:rsidRPr="00AE01B0">
        <w:rPr>
          <w:rFonts w:eastAsia="Times New Roman"/>
          <w:color w:val="222222"/>
          <w:szCs w:val="24"/>
        </w:rPr>
        <w:t xml:space="preserve"> together which helped to identify the murderer</w:t>
      </w:r>
      <w:r w:rsidR="00485B26" w:rsidRPr="00AE01B0">
        <w:rPr>
          <w:rFonts w:eastAsia="Times New Roman"/>
          <w:color w:val="222222"/>
          <w:szCs w:val="24"/>
        </w:rPr>
        <w:t xml:space="preserve"> </w:t>
      </w:r>
      <w:sdt>
        <w:sdtPr>
          <w:rPr>
            <w:rFonts w:eastAsia="Times New Roman"/>
            <w:color w:val="222222"/>
            <w:szCs w:val="24"/>
          </w:rPr>
          <w:id w:val="2060503551"/>
          <w:citation/>
        </w:sdtPr>
        <w:sdtContent>
          <w:r w:rsidR="00485B26" w:rsidRPr="00AE01B0">
            <w:rPr>
              <w:rFonts w:eastAsia="Times New Roman"/>
              <w:color w:val="222222"/>
              <w:szCs w:val="24"/>
            </w:rPr>
            <w:fldChar w:fldCharType="begin"/>
          </w:r>
          <w:r w:rsidR="00485B26" w:rsidRPr="00AE01B0">
            <w:rPr>
              <w:rFonts w:eastAsia="Times New Roman"/>
              <w:color w:val="222222"/>
              <w:szCs w:val="24"/>
            </w:rPr>
            <w:instrText xml:space="preserve"> CITATION Mar213 \l 1033 </w:instrText>
          </w:r>
          <w:r w:rsidR="00485B26" w:rsidRPr="00AE01B0">
            <w:rPr>
              <w:rFonts w:eastAsia="Times New Roman"/>
              <w:color w:val="222222"/>
              <w:szCs w:val="24"/>
            </w:rPr>
            <w:fldChar w:fldCharType="separate"/>
          </w:r>
          <w:r w:rsidR="00485B26" w:rsidRPr="00AE01B0">
            <w:rPr>
              <w:rFonts w:eastAsia="Times New Roman"/>
              <w:color w:val="222222"/>
              <w:szCs w:val="24"/>
            </w:rPr>
            <w:t>(Townsend, 2021)</w:t>
          </w:r>
          <w:r w:rsidR="00485B26" w:rsidRPr="00AE01B0">
            <w:rPr>
              <w:rFonts w:eastAsia="Times New Roman"/>
              <w:color w:val="222222"/>
              <w:szCs w:val="24"/>
            </w:rPr>
            <w:fldChar w:fldCharType="end"/>
          </w:r>
        </w:sdtContent>
      </w:sdt>
      <w:r w:rsidRPr="00AE01B0">
        <w:rPr>
          <w:rFonts w:eastAsia="Times New Roman"/>
          <w:color w:val="222222"/>
          <w:szCs w:val="24"/>
        </w:rPr>
        <w:t xml:space="preserve">. However, relying only on the traditional approach, it is highly important to take initiative on the problem-oriented strategies to identify the low-level offenders. This will increase the trust and the cooperation of the local communities in solving the cases. </w:t>
      </w:r>
    </w:p>
    <w:p w14:paraId="57091338" w14:textId="27ED636F" w:rsidR="00BF3C4A" w:rsidRPr="00AE01B0" w:rsidRDefault="00BF3C4A" w:rsidP="00BF3C4A">
      <w:pPr>
        <w:suppressAutoHyphens w:val="0"/>
        <w:autoSpaceDN/>
        <w:spacing w:line="523" w:lineRule="auto"/>
        <w:rPr>
          <w:rFonts w:eastAsia="Times New Roman"/>
          <w:szCs w:val="24"/>
          <w:highlight w:val="white"/>
          <w:lang w:eastAsia="en-IN"/>
        </w:rPr>
      </w:pPr>
      <w:r w:rsidRPr="00AE01B0">
        <w:rPr>
          <w:rFonts w:eastAsia="Times New Roman"/>
          <w:szCs w:val="24"/>
          <w:highlight w:val="white"/>
          <w:lang w:eastAsia="en-IN"/>
        </w:rPr>
        <w:t>Chief officers, along with police commissioners</w:t>
      </w:r>
      <w:r w:rsidR="00BB36B8" w:rsidRPr="00AE01B0">
        <w:rPr>
          <w:rFonts w:eastAsia="Times New Roman"/>
          <w:szCs w:val="24"/>
          <w:highlight w:val="white"/>
          <w:lang w:eastAsia="en-IN"/>
        </w:rPr>
        <w:t xml:space="preserve"> </w:t>
      </w:r>
      <w:r w:rsidRPr="00AE01B0">
        <w:rPr>
          <w:rFonts w:eastAsia="Times New Roman"/>
          <w:szCs w:val="24"/>
          <w:highlight w:val="white"/>
          <w:lang w:eastAsia="en-IN"/>
        </w:rPr>
        <w:t>may often u</w:t>
      </w:r>
      <w:r w:rsidR="00BB36B8" w:rsidRPr="00AE01B0">
        <w:rPr>
          <w:rFonts w:eastAsia="Times New Roman"/>
          <w:szCs w:val="24"/>
          <w:highlight w:val="white"/>
          <w:lang w:eastAsia="en-IN"/>
        </w:rPr>
        <w:t>tilise</w:t>
      </w:r>
      <w:r w:rsidRPr="00AE01B0">
        <w:rPr>
          <w:rFonts w:eastAsia="Times New Roman"/>
          <w:szCs w:val="24"/>
          <w:highlight w:val="white"/>
          <w:lang w:eastAsia="en-IN"/>
        </w:rPr>
        <w:t xml:space="preserve"> their power to establish partnership working</w:t>
      </w:r>
      <w:r w:rsidR="00BB36B8" w:rsidRPr="00AE01B0">
        <w:rPr>
          <w:rFonts w:eastAsia="Times New Roman"/>
          <w:szCs w:val="24"/>
          <w:highlight w:val="white"/>
          <w:lang w:eastAsia="en-IN"/>
        </w:rPr>
        <w:t xml:space="preserve"> in an effective manner</w:t>
      </w:r>
      <w:r w:rsidRPr="00AE01B0">
        <w:rPr>
          <w:rFonts w:eastAsia="Times New Roman"/>
          <w:szCs w:val="24"/>
          <w:highlight w:val="white"/>
          <w:lang w:eastAsia="en-IN"/>
        </w:rPr>
        <w:t xml:space="preserve">. This can be done especially with groups and individuals who hold a certain influence within communities. Partnership working provides </w:t>
      </w:r>
      <w:r w:rsidRPr="00AE01B0">
        <w:rPr>
          <w:rFonts w:eastAsia="Times New Roman"/>
          <w:szCs w:val="24"/>
          <w:highlight w:val="white"/>
          <w:lang w:eastAsia="en-IN"/>
        </w:rPr>
        <w:lastRenderedPageBreak/>
        <w:t xml:space="preserve">several advantages to police practices by facilitating intelligence and information sharing, which helps to geographically </w:t>
      </w:r>
      <w:r w:rsidR="00BB36B8" w:rsidRPr="00AE01B0">
        <w:rPr>
          <w:rFonts w:eastAsia="Times New Roman"/>
          <w:szCs w:val="24"/>
          <w:highlight w:val="white"/>
          <w:lang w:eastAsia="en-IN"/>
        </w:rPr>
        <w:t>measure</w:t>
      </w:r>
      <w:r w:rsidRPr="00AE01B0">
        <w:rPr>
          <w:rFonts w:eastAsia="Times New Roman"/>
          <w:szCs w:val="24"/>
          <w:highlight w:val="white"/>
          <w:lang w:eastAsia="en-IN"/>
        </w:rPr>
        <w:t xml:space="preserve"> hate crime within a particular section of a demographic. It can </w:t>
      </w:r>
      <w:r w:rsidR="00BB36B8" w:rsidRPr="00AE01B0">
        <w:rPr>
          <w:rFonts w:eastAsia="Times New Roman"/>
          <w:szCs w:val="24"/>
          <w:highlight w:val="white"/>
          <w:lang w:eastAsia="en-IN"/>
        </w:rPr>
        <w:t>lead</w:t>
      </w:r>
      <w:r w:rsidRPr="00AE01B0">
        <w:rPr>
          <w:rFonts w:eastAsia="Times New Roman"/>
          <w:szCs w:val="24"/>
          <w:highlight w:val="white"/>
          <w:lang w:eastAsia="en-IN"/>
        </w:rPr>
        <w:t xml:space="preserve"> agencies with safety responsibilities to form and provide safety </w:t>
      </w:r>
      <w:r w:rsidR="00BB36B8" w:rsidRPr="00AE01B0">
        <w:rPr>
          <w:rFonts w:eastAsia="Times New Roman"/>
          <w:szCs w:val="24"/>
          <w:highlight w:val="white"/>
          <w:lang w:eastAsia="en-IN"/>
        </w:rPr>
        <w:t xml:space="preserve">measures </w:t>
      </w:r>
      <w:r w:rsidRPr="00AE01B0">
        <w:rPr>
          <w:rFonts w:eastAsia="Times New Roman"/>
          <w:szCs w:val="24"/>
          <w:highlight w:val="white"/>
          <w:lang w:eastAsia="en-IN"/>
        </w:rPr>
        <w:t xml:space="preserve">for current and potential </w:t>
      </w:r>
      <w:r w:rsidR="00BB36B8" w:rsidRPr="00AE01B0">
        <w:rPr>
          <w:rFonts w:eastAsia="Times New Roman"/>
          <w:szCs w:val="24"/>
          <w:highlight w:val="white"/>
          <w:lang w:eastAsia="en-IN"/>
        </w:rPr>
        <w:t xml:space="preserve">victims of </w:t>
      </w:r>
      <w:r w:rsidRPr="00AE01B0">
        <w:rPr>
          <w:rFonts w:eastAsia="Times New Roman"/>
          <w:szCs w:val="24"/>
          <w:highlight w:val="white"/>
          <w:lang w:eastAsia="en-IN"/>
        </w:rPr>
        <w:t xml:space="preserve">hate crime. The practice of partnership working in police practice can also help to prevent service delivery duplication by separate agencies. Moreover, partnership working can also produce an integrated approach to acquiring additional resources. Public protection partnerships are established by police forces and partners to enable them to work together by sharing information and analyse risks </w:t>
      </w:r>
      <w:r w:rsidRPr="00AE01B0">
        <w:rPr>
          <w:rFonts w:eastAsia="Times New Roman"/>
          <w:color w:val="222222"/>
          <w:szCs w:val="24"/>
          <w:highlight w:val="white"/>
          <w:lang w:eastAsia="en-IN"/>
        </w:rPr>
        <w:t>(Mazerolle et al., 2020)</w:t>
      </w:r>
      <w:r w:rsidRPr="00AE01B0">
        <w:rPr>
          <w:rFonts w:eastAsia="Times New Roman"/>
          <w:szCs w:val="24"/>
          <w:highlight w:val="white"/>
          <w:lang w:eastAsia="en-IN"/>
        </w:rPr>
        <w:t xml:space="preserve">. It also includes them agreeing on actions to minimise the risks associated with repetitive or serious hate crimes. </w:t>
      </w:r>
      <w:r w:rsidR="00BB36B8" w:rsidRPr="00AE01B0">
        <w:rPr>
          <w:rFonts w:eastAsia="Times New Roman"/>
          <w:szCs w:val="24"/>
          <w:highlight w:val="white"/>
          <w:lang w:eastAsia="en-IN"/>
        </w:rPr>
        <w:t>H</w:t>
      </w:r>
      <w:r w:rsidRPr="00AE01B0">
        <w:rPr>
          <w:rFonts w:eastAsia="Times New Roman"/>
          <w:szCs w:val="24"/>
          <w:highlight w:val="white"/>
          <w:lang w:eastAsia="en-IN"/>
        </w:rPr>
        <w:t>ate crime</w:t>
      </w:r>
      <w:r w:rsidR="00BB36B8" w:rsidRPr="00AE01B0">
        <w:rPr>
          <w:rFonts w:eastAsia="Times New Roman"/>
          <w:szCs w:val="24"/>
          <w:highlight w:val="white"/>
          <w:lang w:eastAsia="en-IN"/>
        </w:rPr>
        <w:t>s</w:t>
      </w:r>
      <w:r w:rsidRPr="00AE01B0">
        <w:rPr>
          <w:rFonts w:eastAsia="Times New Roman"/>
          <w:szCs w:val="24"/>
          <w:highlight w:val="white"/>
          <w:lang w:eastAsia="en-IN"/>
        </w:rPr>
        <w:t xml:space="preserve">, </w:t>
      </w:r>
      <w:r w:rsidR="00BB36B8" w:rsidRPr="00AE01B0">
        <w:rPr>
          <w:rFonts w:eastAsia="Times New Roman"/>
          <w:szCs w:val="24"/>
          <w:highlight w:val="white"/>
          <w:lang w:eastAsia="en-IN"/>
        </w:rPr>
        <w:t>particular</w:t>
      </w:r>
      <w:r w:rsidRPr="00AE01B0">
        <w:rPr>
          <w:rFonts w:eastAsia="Times New Roman"/>
          <w:szCs w:val="24"/>
          <w:highlight w:val="white"/>
          <w:lang w:eastAsia="en-IN"/>
        </w:rPr>
        <w:t xml:space="preserve">ly in </w:t>
      </w:r>
      <w:r w:rsidR="00BB36B8" w:rsidRPr="00AE01B0">
        <w:rPr>
          <w:rFonts w:eastAsia="Times New Roman"/>
          <w:szCs w:val="24"/>
          <w:highlight w:val="white"/>
          <w:lang w:eastAsia="en-IN"/>
        </w:rPr>
        <w:t>more severe</w:t>
      </w:r>
      <w:r w:rsidRPr="00AE01B0">
        <w:rPr>
          <w:rFonts w:eastAsia="Times New Roman"/>
          <w:szCs w:val="24"/>
          <w:highlight w:val="white"/>
          <w:lang w:eastAsia="en-IN"/>
        </w:rPr>
        <w:t xml:space="preserve"> cases, need</w:t>
      </w:r>
      <w:r w:rsidR="00BB36B8" w:rsidRPr="00AE01B0">
        <w:rPr>
          <w:rFonts w:eastAsia="Times New Roman"/>
          <w:szCs w:val="24"/>
          <w:highlight w:val="white"/>
          <w:lang w:eastAsia="en-IN"/>
        </w:rPr>
        <w:t xml:space="preserve"> a</w:t>
      </w:r>
      <w:r w:rsidRPr="00AE01B0">
        <w:rPr>
          <w:rFonts w:eastAsia="Times New Roman"/>
          <w:szCs w:val="24"/>
          <w:highlight w:val="white"/>
          <w:lang w:eastAsia="en-IN"/>
        </w:rPr>
        <w:t xml:space="preserve"> more flexible and quicker </w:t>
      </w:r>
      <w:r w:rsidR="00BB36B8" w:rsidRPr="00AE01B0">
        <w:rPr>
          <w:rFonts w:eastAsia="Times New Roman"/>
          <w:szCs w:val="24"/>
          <w:highlight w:val="white"/>
          <w:lang w:eastAsia="en-IN"/>
        </w:rPr>
        <w:t>strategy</w:t>
      </w:r>
      <w:r w:rsidRPr="00AE01B0">
        <w:rPr>
          <w:rFonts w:eastAsia="Times New Roman"/>
          <w:szCs w:val="24"/>
          <w:highlight w:val="white"/>
          <w:lang w:eastAsia="en-IN"/>
        </w:rPr>
        <w:t xml:space="preserve"> for which formally scheduled meetings may sometimes be ineffective and unresponsive to risks. Here, partnership meetings are a better approach and more valuable even though they need a certain level of </w:t>
      </w:r>
      <w:r w:rsidR="00BB36B8" w:rsidRPr="00AE01B0">
        <w:rPr>
          <w:rFonts w:eastAsia="Times New Roman"/>
          <w:szCs w:val="24"/>
          <w:highlight w:val="white"/>
          <w:lang w:eastAsia="en-IN"/>
        </w:rPr>
        <w:t>adapta</w:t>
      </w:r>
      <w:r w:rsidRPr="00AE01B0">
        <w:rPr>
          <w:rFonts w:eastAsia="Times New Roman"/>
          <w:szCs w:val="24"/>
          <w:highlight w:val="white"/>
          <w:lang w:eastAsia="en-IN"/>
        </w:rPr>
        <w:t xml:space="preserve">bility to enable </w:t>
      </w:r>
      <w:r w:rsidR="00BB36B8" w:rsidRPr="00AE01B0">
        <w:rPr>
          <w:rFonts w:eastAsia="Times New Roman"/>
          <w:szCs w:val="24"/>
          <w:highlight w:val="white"/>
          <w:lang w:eastAsia="en-IN"/>
        </w:rPr>
        <w:t>quick</w:t>
      </w:r>
      <w:r w:rsidRPr="00AE01B0">
        <w:rPr>
          <w:rFonts w:eastAsia="Times New Roman"/>
          <w:szCs w:val="24"/>
          <w:highlight w:val="white"/>
          <w:lang w:eastAsia="en-IN"/>
        </w:rPr>
        <w:t xml:space="preserve"> intervention. Therefore, </w:t>
      </w:r>
      <w:r w:rsidR="00BB36B8" w:rsidRPr="00AE01B0">
        <w:rPr>
          <w:rFonts w:eastAsia="Times New Roman"/>
          <w:szCs w:val="24"/>
          <w:highlight w:val="white"/>
          <w:lang w:eastAsia="en-IN"/>
        </w:rPr>
        <w:t xml:space="preserve">the </w:t>
      </w:r>
      <w:r w:rsidRPr="00AE01B0">
        <w:rPr>
          <w:rFonts w:eastAsia="Times New Roman"/>
          <w:szCs w:val="24"/>
          <w:highlight w:val="white"/>
          <w:lang w:eastAsia="en-IN"/>
        </w:rPr>
        <w:t xml:space="preserve">police </w:t>
      </w:r>
      <w:r w:rsidR="00BB36B8" w:rsidRPr="00AE01B0">
        <w:rPr>
          <w:rFonts w:eastAsia="Times New Roman"/>
          <w:szCs w:val="24"/>
          <w:highlight w:val="white"/>
          <w:lang w:eastAsia="en-IN"/>
        </w:rPr>
        <w:t>can</w:t>
      </w:r>
      <w:r w:rsidRPr="00AE01B0">
        <w:rPr>
          <w:rFonts w:eastAsia="Times New Roman"/>
          <w:szCs w:val="24"/>
          <w:highlight w:val="white"/>
          <w:lang w:eastAsia="en-IN"/>
        </w:rPr>
        <w:t xml:space="preserve"> establish partnership</w:t>
      </w:r>
      <w:r w:rsidR="00BB36B8" w:rsidRPr="00AE01B0">
        <w:rPr>
          <w:rFonts w:eastAsia="Times New Roman"/>
          <w:szCs w:val="24"/>
          <w:highlight w:val="white"/>
          <w:lang w:eastAsia="en-IN"/>
        </w:rPr>
        <w:t>s</w:t>
      </w:r>
      <w:r w:rsidRPr="00AE01B0">
        <w:rPr>
          <w:rFonts w:eastAsia="Times New Roman"/>
          <w:szCs w:val="24"/>
          <w:highlight w:val="white"/>
          <w:lang w:eastAsia="en-IN"/>
        </w:rPr>
        <w:t xml:space="preserve"> with communities in their respective </w:t>
      </w:r>
      <w:r w:rsidR="00BB36B8" w:rsidRPr="00AE01B0">
        <w:rPr>
          <w:rFonts w:eastAsia="Times New Roman"/>
          <w:szCs w:val="24"/>
          <w:highlight w:val="white"/>
          <w:lang w:eastAsia="en-IN"/>
        </w:rPr>
        <w:t>regions</w:t>
      </w:r>
      <w:r w:rsidRPr="00AE01B0">
        <w:rPr>
          <w:rFonts w:eastAsia="Times New Roman"/>
          <w:szCs w:val="24"/>
          <w:highlight w:val="white"/>
          <w:lang w:eastAsia="en-IN"/>
        </w:rPr>
        <w:t>. The best way to do this is by including a variety of partners,</w:t>
      </w:r>
      <w:r w:rsidR="00BB36B8" w:rsidRPr="00AE01B0">
        <w:rPr>
          <w:rFonts w:eastAsia="Times New Roman"/>
          <w:szCs w:val="24"/>
          <w:highlight w:val="white"/>
          <w:lang w:eastAsia="en-IN"/>
        </w:rPr>
        <w:t xml:space="preserve"> which can</w:t>
      </w:r>
      <w:r w:rsidRPr="00AE01B0">
        <w:rPr>
          <w:rFonts w:eastAsia="Times New Roman"/>
          <w:szCs w:val="24"/>
          <w:highlight w:val="white"/>
          <w:lang w:eastAsia="en-IN"/>
        </w:rPr>
        <w:t xml:space="preserve"> includ</w:t>
      </w:r>
      <w:r w:rsidR="00BB36B8" w:rsidRPr="00AE01B0">
        <w:rPr>
          <w:rFonts w:eastAsia="Times New Roman"/>
          <w:szCs w:val="24"/>
          <w:highlight w:val="white"/>
          <w:lang w:eastAsia="en-IN"/>
        </w:rPr>
        <w:t>e</w:t>
      </w:r>
      <w:r w:rsidRPr="00AE01B0">
        <w:rPr>
          <w:rFonts w:eastAsia="Times New Roman"/>
          <w:szCs w:val="24"/>
          <w:highlight w:val="white"/>
          <w:lang w:eastAsia="en-IN"/>
        </w:rPr>
        <w:t xml:space="preserve"> individuals and groups who cannot be accessed by other agencies. This can have several positive impacts on policing practice as it can form sustainable relationships between the minority communities and the police</w:t>
      </w:r>
      <w:r w:rsidR="00CE6ADC">
        <w:rPr>
          <w:rFonts w:eastAsia="Times New Roman"/>
          <w:szCs w:val="24"/>
          <w:highlight w:val="white"/>
          <w:lang w:eastAsia="en-IN"/>
        </w:rPr>
        <w:t>. A positive relation</w:t>
      </w:r>
      <w:r w:rsidRPr="00AE01B0">
        <w:rPr>
          <w:rFonts w:eastAsia="Times New Roman"/>
          <w:szCs w:val="24"/>
          <w:highlight w:val="white"/>
          <w:lang w:eastAsia="en-IN"/>
        </w:rPr>
        <w:t xml:space="preserve"> </w:t>
      </w:r>
      <w:r w:rsidR="00CE6ADC">
        <w:rPr>
          <w:rFonts w:eastAsia="Times New Roman"/>
          <w:szCs w:val="24"/>
          <w:highlight w:val="white"/>
          <w:lang w:eastAsia="en-IN"/>
        </w:rPr>
        <w:t xml:space="preserve">among the police and the minority people </w:t>
      </w:r>
      <w:r w:rsidRPr="00AE01B0">
        <w:rPr>
          <w:rFonts w:eastAsia="Times New Roman"/>
          <w:szCs w:val="24"/>
          <w:highlight w:val="white"/>
          <w:lang w:eastAsia="en-IN"/>
        </w:rPr>
        <w:t xml:space="preserve">can </w:t>
      </w:r>
      <w:r w:rsidR="00CE6ADC">
        <w:rPr>
          <w:rFonts w:eastAsia="Times New Roman"/>
          <w:szCs w:val="24"/>
          <w:highlight w:val="white"/>
          <w:lang w:eastAsia="en-IN"/>
        </w:rPr>
        <w:t xml:space="preserve">also help them to </w:t>
      </w:r>
      <w:r w:rsidRPr="00AE01B0">
        <w:rPr>
          <w:rFonts w:eastAsia="Times New Roman"/>
          <w:szCs w:val="24"/>
          <w:highlight w:val="white"/>
          <w:lang w:eastAsia="en-IN"/>
        </w:rPr>
        <w:t>work together to solve local hate crime issues</w:t>
      </w:r>
      <w:r w:rsidR="00CE6ADC">
        <w:rPr>
          <w:rFonts w:eastAsia="Times New Roman"/>
          <w:szCs w:val="24"/>
          <w:highlight w:val="white"/>
          <w:lang w:eastAsia="en-IN"/>
        </w:rPr>
        <w:t xml:space="preserve"> in an effective way</w:t>
      </w:r>
      <w:r w:rsidRPr="00AE01B0">
        <w:rPr>
          <w:rFonts w:eastAsia="Times New Roman"/>
          <w:szCs w:val="24"/>
          <w:highlight w:val="white"/>
          <w:lang w:eastAsia="en-IN"/>
        </w:rPr>
        <w:t xml:space="preserve">. Partnership working and information sharing can also increase continuous dialogue and a flow of community intelligence. It can also help the police to understand the true impact of hate crime on a community and also lead to joint ownership of solutions and problems. Information </w:t>
      </w:r>
      <w:r w:rsidRPr="00AE01B0">
        <w:rPr>
          <w:rFonts w:eastAsia="Times New Roman"/>
          <w:szCs w:val="24"/>
          <w:highlight w:val="white"/>
          <w:lang w:eastAsia="en-IN"/>
        </w:rPr>
        <w:lastRenderedPageBreak/>
        <w:t xml:space="preserve">sharing renders law enforcement and police practices more productive and efficient as it facilitates the arrests of criminal suspects and helps during investigations </w:t>
      </w:r>
      <w:r w:rsidRPr="00AE01B0">
        <w:rPr>
          <w:rFonts w:eastAsia="Times New Roman"/>
          <w:color w:val="222222"/>
          <w:szCs w:val="24"/>
          <w:highlight w:val="white"/>
          <w:lang w:eastAsia="en-IN"/>
        </w:rPr>
        <w:t>(Bowers et al., 2023)</w:t>
      </w:r>
      <w:r w:rsidRPr="00AE01B0">
        <w:rPr>
          <w:rFonts w:eastAsia="Times New Roman"/>
          <w:szCs w:val="24"/>
          <w:highlight w:val="white"/>
          <w:lang w:eastAsia="en-IN"/>
        </w:rPr>
        <w:t>. The exchange of information between groups and agencies ensures that investigation overlaps are avoided and helps law enforcement work together toward a mutual investigative goal.</w:t>
      </w:r>
    </w:p>
    <w:p w14:paraId="284B8A39" w14:textId="53EF7367" w:rsidR="00234602" w:rsidRPr="00AE01B0" w:rsidRDefault="00234602" w:rsidP="00234602">
      <w:pPr>
        <w:shd w:val="clear" w:color="auto" w:fill="FFFFFF"/>
        <w:suppressAutoHyphens w:val="0"/>
        <w:autoSpaceDN/>
        <w:spacing w:after="0"/>
        <w:rPr>
          <w:rFonts w:eastAsia="Times New Roman"/>
          <w:szCs w:val="24"/>
        </w:rPr>
      </w:pPr>
      <w:r w:rsidRPr="00AE01B0">
        <w:rPr>
          <w:rFonts w:eastAsia="Times New Roman"/>
          <w:color w:val="222222"/>
          <w:szCs w:val="24"/>
        </w:rPr>
        <w:t>Effective communication plays a significant role in the partnership working of police as it is associated with maintaining working relationships with partners. Various secondary articles have analysed that through sharing efforts towards enhancing the diverse perspectives of the case study, it can build trust while fostering transparency. This requires it to be understood that teamwork plays a primary aspect in creating relationships as it leads the officers to</w:t>
      </w:r>
      <w:r w:rsidR="00951F76" w:rsidRPr="00AE01B0">
        <w:rPr>
          <w:rFonts w:eastAsia="Times New Roman"/>
          <w:color w:val="222222"/>
          <w:szCs w:val="24"/>
        </w:rPr>
        <w:t xml:space="preserve"> express</w:t>
      </w:r>
      <w:r w:rsidRPr="00AE01B0">
        <w:rPr>
          <w:rFonts w:eastAsia="Times New Roman"/>
          <w:color w:val="222222"/>
          <w:szCs w:val="24"/>
        </w:rPr>
        <w:t xml:space="preserve"> their own ideas. On the other hand, sharing elements regarding the department or any critical cases can help to minimise the conflict that can come up due to the variety of opinions</w:t>
      </w:r>
      <w:r w:rsidR="00245A31" w:rsidRPr="00AE01B0">
        <w:rPr>
          <w:rFonts w:eastAsia="Times New Roman"/>
          <w:color w:val="222222"/>
          <w:szCs w:val="24"/>
        </w:rPr>
        <w:t xml:space="preserve"> (</w:t>
      </w:r>
      <w:proofErr w:type="spellStart"/>
      <w:r w:rsidR="00245A31" w:rsidRPr="00AE01B0">
        <w:rPr>
          <w:color w:val="222222"/>
          <w:szCs w:val="24"/>
          <w:shd w:val="clear" w:color="auto" w:fill="FFFFFF"/>
        </w:rPr>
        <w:t>Güss</w:t>
      </w:r>
      <w:proofErr w:type="spellEnd"/>
      <w:r w:rsidR="00245A31" w:rsidRPr="00AE01B0">
        <w:rPr>
          <w:color w:val="222222"/>
          <w:szCs w:val="24"/>
          <w:shd w:val="clear" w:color="auto" w:fill="FFFFFF"/>
        </w:rPr>
        <w:t xml:space="preserve"> et al., 2020)</w:t>
      </w:r>
      <w:r w:rsidRPr="00AE01B0">
        <w:rPr>
          <w:rFonts w:eastAsia="Times New Roman"/>
          <w:color w:val="222222"/>
          <w:szCs w:val="24"/>
        </w:rPr>
        <w:t xml:space="preserve">. It has been seen that public corporation is also important for a law enforcement officers to work collectively. During the investigation community also participates to </w:t>
      </w:r>
      <w:r w:rsidR="00951F76" w:rsidRPr="00AE01B0">
        <w:rPr>
          <w:rFonts w:eastAsia="Times New Roman"/>
          <w:color w:val="222222"/>
          <w:szCs w:val="24"/>
        </w:rPr>
        <w:t>highlight</w:t>
      </w:r>
      <w:r w:rsidRPr="00AE01B0">
        <w:rPr>
          <w:rFonts w:eastAsia="Times New Roman"/>
          <w:color w:val="222222"/>
          <w:szCs w:val="24"/>
        </w:rPr>
        <w:t xml:space="preserve"> their ideas and sometimes they feel hesitant to communicate. The case study of Nicola Bulley has effectively described the importance of communication in the police forces. Irrespective of focusing on only one hypothesis, they did not trust the opinion of the public and allowed YouTubers and others during the investigation. Along with that, the protectors did not even look for the clues in the river which will be able to tell the overall incidents happened to her</w:t>
      </w:r>
      <w:r w:rsidR="00485B26" w:rsidRPr="00AE01B0">
        <w:rPr>
          <w:rFonts w:eastAsia="Times New Roman"/>
          <w:color w:val="222222"/>
          <w:szCs w:val="24"/>
        </w:rPr>
        <w:t xml:space="preserve"> </w:t>
      </w:r>
      <w:sdt>
        <w:sdtPr>
          <w:rPr>
            <w:rFonts w:eastAsia="Times New Roman"/>
            <w:color w:val="222222"/>
            <w:szCs w:val="24"/>
          </w:rPr>
          <w:id w:val="-1966423547"/>
          <w:citation/>
        </w:sdtPr>
        <w:sdtContent>
          <w:r w:rsidR="00485B26" w:rsidRPr="00AE01B0">
            <w:rPr>
              <w:rFonts w:eastAsia="Times New Roman"/>
              <w:color w:val="222222"/>
              <w:szCs w:val="24"/>
            </w:rPr>
            <w:fldChar w:fldCharType="begin"/>
          </w:r>
          <w:r w:rsidR="00485B26" w:rsidRPr="00AE01B0">
            <w:rPr>
              <w:rFonts w:eastAsia="Times New Roman"/>
              <w:color w:val="222222"/>
              <w:szCs w:val="24"/>
            </w:rPr>
            <w:instrText xml:space="preserve"> CITATION Rob235 \l 1033 </w:instrText>
          </w:r>
          <w:r w:rsidR="00485B26" w:rsidRPr="00AE01B0">
            <w:rPr>
              <w:rFonts w:eastAsia="Times New Roman"/>
              <w:color w:val="222222"/>
              <w:szCs w:val="24"/>
            </w:rPr>
            <w:fldChar w:fldCharType="separate"/>
          </w:r>
          <w:r w:rsidR="00485B26" w:rsidRPr="00AE01B0">
            <w:rPr>
              <w:rFonts w:eastAsia="Times New Roman"/>
              <w:color w:val="222222"/>
              <w:szCs w:val="24"/>
            </w:rPr>
            <w:t>(Vinter, 2023)</w:t>
          </w:r>
          <w:r w:rsidR="00485B26" w:rsidRPr="00AE01B0">
            <w:rPr>
              <w:rFonts w:eastAsia="Times New Roman"/>
              <w:color w:val="222222"/>
              <w:szCs w:val="24"/>
            </w:rPr>
            <w:fldChar w:fldCharType="end"/>
          </w:r>
        </w:sdtContent>
      </w:sdt>
      <w:r w:rsidRPr="00AE01B0">
        <w:rPr>
          <w:rFonts w:eastAsia="Times New Roman"/>
          <w:color w:val="222222"/>
          <w:szCs w:val="24"/>
        </w:rPr>
        <w:t xml:space="preserve">. This mainly states about the importance of having transparency and trust among the community followed by effective </w:t>
      </w:r>
      <w:r w:rsidR="00951F76" w:rsidRPr="00AE01B0">
        <w:rPr>
          <w:rFonts w:eastAsia="Times New Roman"/>
          <w:color w:val="222222"/>
          <w:szCs w:val="24"/>
        </w:rPr>
        <w:t>transmission of knowledge</w:t>
      </w:r>
      <w:r w:rsidRPr="00AE01B0">
        <w:rPr>
          <w:rFonts w:eastAsia="Times New Roman"/>
          <w:color w:val="222222"/>
          <w:szCs w:val="24"/>
        </w:rPr>
        <w:t xml:space="preserve"> in partnership working. </w:t>
      </w:r>
    </w:p>
    <w:p w14:paraId="75028139" w14:textId="3C1ABC63" w:rsidR="00234602" w:rsidRPr="00AE01B0" w:rsidRDefault="00234602" w:rsidP="00234602">
      <w:pPr>
        <w:shd w:val="clear" w:color="auto" w:fill="FFFFFF"/>
        <w:suppressAutoHyphens w:val="0"/>
        <w:autoSpaceDN/>
        <w:spacing w:after="0"/>
        <w:rPr>
          <w:rFonts w:eastAsia="Times New Roman"/>
          <w:szCs w:val="24"/>
        </w:rPr>
      </w:pPr>
      <w:r w:rsidRPr="00AE01B0">
        <w:rPr>
          <w:rFonts w:eastAsia="Times New Roman"/>
          <w:color w:val="222222"/>
          <w:szCs w:val="24"/>
        </w:rPr>
        <w:t xml:space="preserve">The National Decision Model is a policing framework that helps to standardise as well as simplify the overall conclusion. It can be applied to by all officers in both operational and non-operational </w:t>
      </w:r>
      <w:r w:rsidRPr="00AE01B0">
        <w:rPr>
          <w:rFonts w:eastAsia="Times New Roman"/>
          <w:color w:val="222222"/>
          <w:szCs w:val="24"/>
        </w:rPr>
        <w:lastRenderedPageBreak/>
        <w:t>processes to improve the overall aspects of the case. Along with that, this is mainly based upon the mission statement of the law protectors and code of ethics</w:t>
      </w:r>
      <w:r w:rsidR="00C20268" w:rsidRPr="00AE01B0">
        <w:rPr>
          <w:rFonts w:eastAsia="Times New Roman"/>
          <w:color w:val="222222"/>
          <w:szCs w:val="24"/>
        </w:rPr>
        <w:t xml:space="preserve"> (</w:t>
      </w:r>
      <w:r w:rsidR="00C20268" w:rsidRPr="00AE01B0">
        <w:rPr>
          <w:color w:val="222222"/>
          <w:szCs w:val="24"/>
          <w:shd w:val="clear" w:color="auto" w:fill="FFFFFF"/>
        </w:rPr>
        <w:t>Manning and Hawkins, 2023)</w:t>
      </w:r>
      <w:r w:rsidRPr="00AE01B0">
        <w:rPr>
          <w:rFonts w:eastAsia="Times New Roman"/>
          <w:color w:val="222222"/>
          <w:szCs w:val="24"/>
        </w:rPr>
        <w:t xml:space="preserve">. There are several advantages associated with </w:t>
      </w:r>
      <w:r w:rsidR="00951F76" w:rsidRPr="00AE01B0">
        <w:rPr>
          <w:rFonts w:eastAsia="Times New Roman"/>
          <w:color w:val="222222"/>
          <w:szCs w:val="24"/>
        </w:rPr>
        <w:t xml:space="preserve">on </w:t>
      </w:r>
      <w:r w:rsidRPr="00AE01B0">
        <w:rPr>
          <w:rFonts w:eastAsia="Times New Roman"/>
          <w:color w:val="222222"/>
          <w:szCs w:val="24"/>
        </w:rPr>
        <w:t>which its applicability depends. Various secondary articles have analysed that it prompts users to consider the multiple events of a decision-making process. Through shedding light on the planning as well as resource allocation, it helps to address the disparities in the policing education. This also enhances the capability of the community in reducing crime and illegal activities in the society. It has been seen that the NDM model also ensures consistency and uniformity throughout the policing practice, training and education. The establishment of proper guidelines ensures in meeting of the professional's standards of conduct as well as accountability</w:t>
      </w:r>
      <w:r w:rsidR="00C20268" w:rsidRPr="00AE01B0">
        <w:rPr>
          <w:rFonts w:eastAsia="Times New Roman"/>
          <w:color w:val="222222"/>
          <w:szCs w:val="24"/>
        </w:rPr>
        <w:t xml:space="preserve"> (</w:t>
      </w:r>
      <w:proofErr w:type="spellStart"/>
      <w:r w:rsidR="00C20268" w:rsidRPr="00AE01B0">
        <w:rPr>
          <w:color w:val="222222"/>
          <w:szCs w:val="24"/>
          <w:shd w:val="clear" w:color="auto" w:fill="FFFFFF"/>
        </w:rPr>
        <w:t>Babuta</w:t>
      </w:r>
      <w:proofErr w:type="spellEnd"/>
      <w:r w:rsidR="00C20268" w:rsidRPr="00AE01B0">
        <w:rPr>
          <w:color w:val="222222"/>
          <w:szCs w:val="24"/>
          <w:shd w:val="clear" w:color="auto" w:fill="FFFFFF"/>
        </w:rPr>
        <w:t xml:space="preserve"> and Oswald, 2020)</w:t>
      </w:r>
      <w:r w:rsidRPr="00AE01B0">
        <w:rPr>
          <w:rFonts w:eastAsia="Times New Roman"/>
          <w:color w:val="222222"/>
          <w:szCs w:val="24"/>
        </w:rPr>
        <w:t>. Irrespective of the fact, there are some disadvantages that require to be taken into the consideration. A source of conflict can arise between the centralised control and the autonomy. It is highly important to collaborate with the local officers to promote the effectiveness of the individuals to adapt the circumstances effectively. Moreover, the CIAPOAR which is the six elements of the NDM framework help to promote the decision-making process in every aspect. These are mainly associated with the Code of Ethics, information, assessment, powers and policies, options and others.  All of this is maintained to uphold the standards of the investigation followed by gathering information to clarify the matter</w:t>
      </w:r>
      <w:r w:rsidR="00BD5D2D" w:rsidRPr="00AE01B0">
        <w:rPr>
          <w:rFonts w:eastAsia="Times New Roman"/>
          <w:color w:val="222222"/>
          <w:szCs w:val="24"/>
        </w:rPr>
        <w:t xml:space="preserve"> (</w:t>
      </w:r>
      <w:r w:rsidR="00BD5D2D" w:rsidRPr="00AE01B0">
        <w:rPr>
          <w:color w:val="222222"/>
          <w:szCs w:val="24"/>
          <w:shd w:val="clear" w:color="auto" w:fill="FFFFFF"/>
        </w:rPr>
        <w:t>Challenge et al., 2023)</w:t>
      </w:r>
      <w:r w:rsidRPr="00AE01B0">
        <w:rPr>
          <w:rFonts w:eastAsia="Times New Roman"/>
          <w:color w:val="222222"/>
          <w:szCs w:val="24"/>
        </w:rPr>
        <w:t>. The analytical stage of the model helps to shed light on the risk of harm and the potential for the benefits. Based on that, the decision-maker must consider reducing discrimination while promoting equal opportunities. Understanding the current as well as existing legislation can also be important to apply in particular incidents. In many cases, it has been observed that identifying various options can give a positive edge in solving cases</w:t>
      </w:r>
      <w:r w:rsidR="00AF1C59" w:rsidRPr="00AE01B0">
        <w:rPr>
          <w:rFonts w:eastAsia="Times New Roman"/>
          <w:color w:val="222222"/>
          <w:szCs w:val="24"/>
        </w:rPr>
        <w:t xml:space="preserve"> (</w:t>
      </w:r>
      <w:r w:rsidR="00AF1C59" w:rsidRPr="00AE01B0">
        <w:rPr>
          <w:color w:val="222222"/>
          <w:szCs w:val="24"/>
          <w:shd w:val="clear" w:color="auto" w:fill="FFFFFF"/>
        </w:rPr>
        <w:t xml:space="preserve">Wood, </w:t>
      </w:r>
      <w:r w:rsidR="00AF1C59" w:rsidRPr="00AE01B0">
        <w:rPr>
          <w:color w:val="222222"/>
          <w:szCs w:val="24"/>
          <w:shd w:val="clear" w:color="auto" w:fill="FFFFFF"/>
        </w:rPr>
        <w:lastRenderedPageBreak/>
        <w:t>2020)</w:t>
      </w:r>
      <w:r w:rsidRPr="00AE01B0">
        <w:rPr>
          <w:rFonts w:eastAsia="Times New Roman"/>
          <w:color w:val="222222"/>
          <w:szCs w:val="24"/>
        </w:rPr>
        <w:t>. Based on these aspects, it is useful to incorporate the National Decision model in policing practice.  </w:t>
      </w:r>
    </w:p>
    <w:p w14:paraId="7C2463B6" w14:textId="77777777" w:rsidR="00234602" w:rsidRPr="00AE01B0" w:rsidRDefault="00234602" w:rsidP="00234602">
      <w:pPr>
        <w:shd w:val="clear" w:color="auto" w:fill="FFFFFF"/>
        <w:suppressAutoHyphens w:val="0"/>
        <w:autoSpaceDN/>
        <w:spacing w:after="0"/>
        <w:rPr>
          <w:rFonts w:eastAsia="Times New Roman"/>
          <w:szCs w:val="24"/>
        </w:rPr>
      </w:pPr>
      <w:r w:rsidRPr="00AE01B0">
        <w:rPr>
          <w:rFonts w:eastAsia="Times New Roman"/>
          <w:color w:val="222222"/>
          <w:szCs w:val="24"/>
        </w:rPr>
        <w:t> </w:t>
      </w:r>
    </w:p>
    <w:p w14:paraId="273A2B85" w14:textId="77777777" w:rsidR="00A1298A" w:rsidRDefault="00A1298A">
      <w:pPr>
        <w:suppressAutoHyphens w:val="0"/>
        <w:autoSpaceDN/>
        <w:spacing w:line="259" w:lineRule="auto"/>
        <w:jc w:val="left"/>
        <w:rPr>
          <w:rFonts w:eastAsia="Arial" w:cs="Arial"/>
          <w:b/>
          <w:sz w:val="28"/>
          <w:szCs w:val="40"/>
          <w:lang w:eastAsia="en-GB"/>
        </w:rPr>
      </w:pPr>
      <w:r>
        <w:br w:type="page"/>
      </w:r>
    </w:p>
    <w:p w14:paraId="1B122EA3" w14:textId="4F8472EF" w:rsidR="00234602" w:rsidRPr="00AE01B0" w:rsidRDefault="00234602" w:rsidP="00BF3C4A">
      <w:pPr>
        <w:pStyle w:val="Heading1"/>
        <w:rPr>
          <w:rFonts w:eastAsia="Times New Roman"/>
          <w:bCs/>
          <w:color w:val="222222"/>
          <w:szCs w:val="28"/>
        </w:rPr>
      </w:pPr>
      <w:r w:rsidRPr="00AE01B0">
        <w:lastRenderedPageBreak/>
        <w:t>Conclusion </w:t>
      </w:r>
    </w:p>
    <w:p w14:paraId="2393DDE3" w14:textId="5D15F428" w:rsidR="00234602" w:rsidRPr="00AE01B0" w:rsidRDefault="00234602" w:rsidP="00234602">
      <w:pPr>
        <w:shd w:val="clear" w:color="auto" w:fill="FFFFFF"/>
        <w:suppressAutoHyphens w:val="0"/>
        <w:autoSpaceDN/>
        <w:spacing w:after="0"/>
        <w:rPr>
          <w:rFonts w:eastAsia="Times New Roman"/>
          <w:szCs w:val="24"/>
        </w:rPr>
      </w:pPr>
      <w:r w:rsidRPr="00AE01B0">
        <w:rPr>
          <w:rFonts w:eastAsia="Times New Roman"/>
          <w:color w:val="222222"/>
          <w:szCs w:val="24"/>
        </w:rPr>
        <w:t xml:space="preserve">The aforementioned essay has shed light on the diverse perspectives associated with the evidence-based policing in solving cases. </w:t>
      </w:r>
      <w:r w:rsidR="00EE65B9">
        <w:rPr>
          <w:rFonts w:eastAsia="Times New Roman"/>
          <w:color w:val="222222"/>
          <w:szCs w:val="24"/>
        </w:rPr>
        <w:t>For the above analysis, it can be concluded that, i</w:t>
      </w:r>
      <w:r w:rsidRPr="00AE01B0">
        <w:rPr>
          <w:rFonts w:eastAsia="Times New Roman"/>
          <w:color w:val="222222"/>
          <w:szCs w:val="24"/>
        </w:rPr>
        <w:t>t is highly important to work in partnership to foster a sense of participation in solving the critical cases. Based on that, a few scenarios have been discussed here to shed light on the importance of EBP followed by communication in reducing the crime rate. On the other hand, the NDM framework is highly useful to emphasise standardisation as well as simplify the overall conclusion. Irrespective of that, there are a few disadvantages that require to be critically analysed to increase effectiveness. </w:t>
      </w:r>
    </w:p>
    <w:p w14:paraId="4F27CF80" w14:textId="192D8D4B" w:rsidR="00A63882" w:rsidRPr="00AE01B0" w:rsidRDefault="00A63882">
      <w:pPr>
        <w:suppressAutoHyphens w:val="0"/>
        <w:autoSpaceDN/>
        <w:spacing w:line="259" w:lineRule="auto"/>
        <w:jc w:val="left"/>
      </w:pPr>
      <w:r w:rsidRPr="00AE01B0">
        <w:br w:type="page"/>
      </w:r>
    </w:p>
    <w:p w14:paraId="14A3916C" w14:textId="56862C54" w:rsidR="0087494C" w:rsidRPr="00AE01B0" w:rsidRDefault="00A63882" w:rsidP="0087494C">
      <w:pPr>
        <w:pStyle w:val="Heading1"/>
      </w:pPr>
      <w:r w:rsidRPr="00AE01B0">
        <w:lastRenderedPageBreak/>
        <w:t>References</w:t>
      </w:r>
    </w:p>
    <w:p w14:paraId="61377851" w14:textId="77777777" w:rsidR="003336E4" w:rsidRPr="00AE01B0" w:rsidRDefault="003336E4" w:rsidP="00341739">
      <w:pPr>
        <w:suppressAutoHyphens w:val="0"/>
        <w:autoSpaceDN/>
        <w:spacing w:line="523" w:lineRule="auto"/>
        <w:rPr>
          <w:rFonts w:eastAsia="Times New Roman"/>
          <w:color w:val="222222"/>
          <w:szCs w:val="24"/>
          <w:highlight w:val="white"/>
          <w:lang w:eastAsia="en-IN"/>
        </w:rPr>
      </w:pPr>
      <w:proofErr w:type="spellStart"/>
      <w:r w:rsidRPr="00AE01B0">
        <w:rPr>
          <w:rFonts w:eastAsia="Arial" w:cs="Arial"/>
          <w:lang w:eastAsia="en-IN"/>
        </w:rPr>
        <w:t>americansebp</w:t>
      </w:r>
      <w:proofErr w:type="spellEnd"/>
      <w:r w:rsidRPr="00AE01B0">
        <w:rPr>
          <w:rFonts w:eastAsia="Arial" w:cs="Arial"/>
          <w:lang w:eastAsia="en-IN"/>
        </w:rPr>
        <w:t xml:space="preserve">, (2024). </w:t>
      </w:r>
      <w:r w:rsidRPr="00AE01B0">
        <w:rPr>
          <w:rFonts w:eastAsia="Arial" w:cs="Arial"/>
          <w:i/>
          <w:iCs/>
          <w:lang w:eastAsia="en-IN"/>
        </w:rPr>
        <w:t xml:space="preserve">What is </w:t>
      </w:r>
      <w:proofErr w:type="gramStart"/>
      <w:r w:rsidRPr="00AE01B0">
        <w:rPr>
          <w:rFonts w:eastAsia="Arial" w:cs="Arial"/>
          <w:i/>
          <w:iCs/>
          <w:lang w:eastAsia="en-IN"/>
        </w:rPr>
        <w:t>EBP?.</w:t>
      </w:r>
      <w:proofErr w:type="gramEnd"/>
      <w:r w:rsidRPr="00AE01B0">
        <w:rPr>
          <w:rFonts w:eastAsia="Arial" w:cs="Arial"/>
          <w:i/>
          <w:iCs/>
          <w:lang w:eastAsia="en-IN"/>
        </w:rPr>
        <w:t xml:space="preserve"> </w:t>
      </w:r>
      <w:r w:rsidRPr="00AE01B0">
        <w:rPr>
          <w:rFonts w:eastAsia="Arial" w:cs="Arial"/>
          <w:lang w:eastAsia="en-IN"/>
        </w:rPr>
        <w:t>[Online] Available at: https://www.americansebp.org/what_is_ebp.php [Accessed 26 April 2024].</w:t>
      </w:r>
    </w:p>
    <w:p w14:paraId="280F94E4" w14:textId="77777777" w:rsidR="003336E4" w:rsidRPr="00AE01B0" w:rsidRDefault="003336E4" w:rsidP="00341739">
      <w:pPr>
        <w:rPr>
          <w:color w:val="222222"/>
          <w:szCs w:val="24"/>
          <w:shd w:val="clear" w:color="auto" w:fill="FFFFFF"/>
        </w:rPr>
      </w:pPr>
      <w:proofErr w:type="spellStart"/>
      <w:r w:rsidRPr="00AE01B0">
        <w:rPr>
          <w:color w:val="222222"/>
          <w:szCs w:val="24"/>
          <w:shd w:val="clear" w:color="auto" w:fill="FFFFFF"/>
        </w:rPr>
        <w:t>Babuta</w:t>
      </w:r>
      <w:proofErr w:type="spellEnd"/>
      <w:r w:rsidRPr="00AE01B0">
        <w:rPr>
          <w:color w:val="222222"/>
          <w:szCs w:val="24"/>
          <w:shd w:val="clear" w:color="auto" w:fill="FFFFFF"/>
        </w:rPr>
        <w:t>, A. and Oswald, M., (2020). Data analytics and algorithms in policing in England and Wales: Towards a new policy framework.</w:t>
      </w:r>
    </w:p>
    <w:p w14:paraId="78CFC405" w14:textId="77777777" w:rsidR="003336E4" w:rsidRPr="00AE01B0" w:rsidRDefault="003336E4" w:rsidP="00341739">
      <w:pPr>
        <w:rPr>
          <w:color w:val="222222"/>
          <w:szCs w:val="24"/>
          <w:shd w:val="clear" w:color="auto" w:fill="FFFFFF"/>
        </w:rPr>
      </w:pPr>
      <w:r w:rsidRPr="00AE01B0">
        <w:rPr>
          <w:color w:val="222222"/>
          <w:szCs w:val="24"/>
          <w:shd w:val="clear" w:color="auto" w:fill="FFFFFF"/>
        </w:rPr>
        <w:t>Boulton, L., Phythian, R., Kirby, S. and Dawson, I., (2021). Taking an evidence-based approach to evidence-based policing research. </w:t>
      </w:r>
      <w:r w:rsidRPr="00AE01B0">
        <w:rPr>
          <w:i/>
          <w:iCs/>
          <w:color w:val="222222"/>
          <w:szCs w:val="24"/>
          <w:shd w:val="clear" w:color="auto" w:fill="FFFFFF"/>
        </w:rPr>
        <w:t>Policing: A Journal of Policy and Practice</w:t>
      </w:r>
      <w:r w:rsidRPr="00AE01B0">
        <w:rPr>
          <w:color w:val="222222"/>
          <w:szCs w:val="24"/>
          <w:shd w:val="clear" w:color="auto" w:fill="FFFFFF"/>
        </w:rPr>
        <w:t>, </w:t>
      </w:r>
      <w:r w:rsidRPr="00AE01B0">
        <w:rPr>
          <w:i/>
          <w:iCs/>
          <w:color w:val="222222"/>
          <w:szCs w:val="24"/>
          <w:shd w:val="clear" w:color="auto" w:fill="FFFFFF"/>
        </w:rPr>
        <w:t>15</w:t>
      </w:r>
      <w:r w:rsidRPr="00AE01B0">
        <w:rPr>
          <w:color w:val="222222"/>
          <w:szCs w:val="24"/>
          <w:shd w:val="clear" w:color="auto" w:fill="FFFFFF"/>
        </w:rPr>
        <w:t>(2), pp.1290-1305.</w:t>
      </w:r>
    </w:p>
    <w:p w14:paraId="559FE1CF" w14:textId="77777777" w:rsidR="003336E4" w:rsidRPr="00AE01B0" w:rsidRDefault="003336E4" w:rsidP="00341739">
      <w:pPr>
        <w:suppressAutoHyphens w:val="0"/>
        <w:autoSpaceDN/>
        <w:spacing w:line="523" w:lineRule="auto"/>
        <w:rPr>
          <w:rFonts w:eastAsia="Times New Roman"/>
          <w:color w:val="222222"/>
          <w:szCs w:val="24"/>
          <w:lang w:eastAsia="en-IN"/>
        </w:rPr>
      </w:pPr>
      <w:r w:rsidRPr="00AE01B0">
        <w:rPr>
          <w:rFonts w:eastAsia="Times New Roman"/>
          <w:color w:val="222222"/>
          <w:szCs w:val="24"/>
          <w:highlight w:val="white"/>
          <w:lang w:eastAsia="en-IN"/>
        </w:rPr>
        <w:t xml:space="preserve">Bowers, K., Tompson, L. and Johnson, S.D., (2023). Implementing information science in policing: mapping the evidence base. </w:t>
      </w:r>
      <w:r w:rsidRPr="00AE01B0">
        <w:rPr>
          <w:rFonts w:eastAsia="Times New Roman"/>
          <w:i/>
          <w:color w:val="222222"/>
          <w:szCs w:val="24"/>
          <w:highlight w:val="white"/>
          <w:lang w:eastAsia="en-IN"/>
        </w:rPr>
        <w:t>Policing: a journal of policy and practice</w:t>
      </w:r>
      <w:r w:rsidRPr="00AE01B0">
        <w:rPr>
          <w:rFonts w:eastAsia="Times New Roman"/>
          <w:color w:val="222222"/>
          <w:szCs w:val="24"/>
          <w:highlight w:val="white"/>
          <w:lang w:eastAsia="en-IN"/>
        </w:rPr>
        <w:t xml:space="preserve">, </w:t>
      </w:r>
      <w:r w:rsidRPr="00AE01B0">
        <w:rPr>
          <w:rFonts w:eastAsia="Times New Roman"/>
          <w:i/>
          <w:color w:val="222222"/>
          <w:szCs w:val="24"/>
          <w:highlight w:val="white"/>
          <w:lang w:eastAsia="en-IN"/>
        </w:rPr>
        <w:t>17</w:t>
      </w:r>
      <w:r w:rsidRPr="00AE01B0">
        <w:rPr>
          <w:rFonts w:eastAsia="Times New Roman"/>
          <w:color w:val="222222"/>
          <w:szCs w:val="24"/>
          <w:highlight w:val="white"/>
          <w:lang w:eastAsia="en-IN"/>
        </w:rPr>
        <w:t xml:space="preserve">, </w:t>
      </w:r>
      <w:proofErr w:type="gramStart"/>
      <w:r w:rsidRPr="00AE01B0">
        <w:rPr>
          <w:rFonts w:eastAsia="Times New Roman"/>
          <w:color w:val="222222"/>
          <w:szCs w:val="24"/>
          <w:highlight w:val="white"/>
          <w:lang w:eastAsia="en-IN"/>
        </w:rPr>
        <w:t>p.pau</w:t>
      </w:r>
      <w:proofErr w:type="gramEnd"/>
      <w:r w:rsidRPr="00AE01B0">
        <w:rPr>
          <w:rFonts w:eastAsia="Times New Roman"/>
          <w:color w:val="222222"/>
          <w:szCs w:val="24"/>
          <w:highlight w:val="white"/>
          <w:lang w:eastAsia="en-IN"/>
        </w:rPr>
        <w:t>058.</w:t>
      </w:r>
    </w:p>
    <w:p w14:paraId="71A6B4E9" w14:textId="77777777" w:rsidR="003336E4" w:rsidRPr="00AE01B0" w:rsidRDefault="003336E4" w:rsidP="00341739">
      <w:pPr>
        <w:rPr>
          <w:color w:val="222222"/>
          <w:szCs w:val="24"/>
          <w:shd w:val="clear" w:color="auto" w:fill="FFFFFF"/>
        </w:rPr>
      </w:pPr>
      <w:r w:rsidRPr="00AE01B0">
        <w:rPr>
          <w:color w:val="222222"/>
          <w:szCs w:val="24"/>
          <w:shd w:val="clear" w:color="auto" w:fill="FFFFFF"/>
        </w:rPr>
        <w:t>Challenge, A.U., Connolly, J. and Rowe, M., (2023). Internal Governance of Police Stops. </w:t>
      </w:r>
      <w:r w:rsidRPr="00AE01B0">
        <w:rPr>
          <w:i/>
          <w:iCs/>
          <w:color w:val="222222"/>
          <w:szCs w:val="24"/>
          <w:shd w:val="clear" w:color="auto" w:fill="FFFFFF"/>
        </w:rPr>
        <w:t>Governing Police Stops Across Europe</w:t>
      </w:r>
      <w:r w:rsidRPr="00AE01B0">
        <w:rPr>
          <w:color w:val="222222"/>
          <w:szCs w:val="24"/>
          <w:shd w:val="clear" w:color="auto" w:fill="FFFFFF"/>
        </w:rPr>
        <w:t>, p.53.</w:t>
      </w:r>
    </w:p>
    <w:p w14:paraId="2377525F" w14:textId="77777777" w:rsidR="003336E4" w:rsidRPr="00AE01B0" w:rsidRDefault="003336E4" w:rsidP="00341739">
      <w:pPr>
        <w:suppressAutoHyphens w:val="0"/>
        <w:autoSpaceDN/>
        <w:spacing w:after="0"/>
        <w:rPr>
          <w:rFonts w:eastAsia="Arial" w:cs="Arial"/>
          <w:lang w:eastAsia="en-IN"/>
        </w:rPr>
      </w:pPr>
      <w:r w:rsidRPr="00AE01B0">
        <w:rPr>
          <w:rFonts w:eastAsia="Arial" w:cs="Arial"/>
          <w:lang w:eastAsia="en-IN"/>
        </w:rPr>
        <w:t xml:space="preserve">Dwyer, T. P., (2023. </w:t>
      </w:r>
      <w:r w:rsidRPr="00AE01B0">
        <w:rPr>
          <w:rFonts w:eastAsia="Arial" w:cs="Arial"/>
          <w:i/>
          <w:iCs/>
          <w:lang w:eastAsia="en-IN"/>
        </w:rPr>
        <w:t xml:space="preserve">Q&amp;A: Exploring the evolution, importance and challenges of information sharing in law enforcement. </w:t>
      </w:r>
      <w:r w:rsidRPr="00AE01B0">
        <w:rPr>
          <w:rFonts w:eastAsia="Arial" w:cs="Arial"/>
          <w:lang w:eastAsia="en-IN"/>
        </w:rPr>
        <w:t>[Online] Available at: https://www.police1.com/data-sharing-law-enforcement/articles/qa-exploring-the-evolution-importance-and-challenges-of-information-sharing-in-law-enforcement-JHn72LVrMIgI8D1h/ [Accessed 26 April 2024].</w:t>
      </w:r>
    </w:p>
    <w:p w14:paraId="339FC694" w14:textId="77777777" w:rsidR="003336E4" w:rsidRPr="00AE01B0" w:rsidRDefault="003336E4" w:rsidP="00341739">
      <w:pPr>
        <w:rPr>
          <w:color w:val="222222"/>
          <w:szCs w:val="24"/>
          <w:shd w:val="clear" w:color="auto" w:fill="FFFFFF"/>
        </w:rPr>
      </w:pPr>
      <w:proofErr w:type="spellStart"/>
      <w:r w:rsidRPr="00AE01B0">
        <w:rPr>
          <w:color w:val="222222"/>
          <w:szCs w:val="24"/>
          <w:shd w:val="clear" w:color="auto" w:fill="FFFFFF"/>
        </w:rPr>
        <w:t>Güss</w:t>
      </w:r>
      <w:proofErr w:type="spellEnd"/>
      <w:r w:rsidRPr="00AE01B0">
        <w:rPr>
          <w:color w:val="222222"/>
          <w:szCs w:val="24"/>
          <w:shd w:val="clear" w:color="auto" w:fill="FFFFFF"/>
        </w:rPr>
        <w:t>, C.D., Tuason, M.T. and Devine, A., (2020). Problems with police reports as data sources: a researchers' perspective. </w:t>
      </w:r>
      <w:r w:rsidRPr="00AE01B0">
        <w:rPr>
          <w:i/>
          <w:iCs/>
          <w:color w:val="222222"/>
          <w:szCs w:val="24"/>
          <w:shd w:val="clear" w:color="auto" w:fill="FFFFFF"/>
        </w:rPr>
        <w:t>Frontiers in psychology</w:t>
      </w:r>
      <w:r w:rsidRPr="00AE01B0">
        <w:rPr>
          <w:color w:val="222222"/>
          <w:szCs w:val="24"/>
          <w:shd w:val="clear" w:color="auto" w:fill="FFFFFF"/>
        </w:rPr>
        <w:t>, </w:t>
      </w:r>
      <w:r w:rsidRPr="00AE01B0">
        <w:rPr>
          <w:i/>
          <w:iCs/>
          <w:color w:val="222222"/>
          <w:szCs w:val="24"/>
          <w:shd w:val="clear" w:color="auto" w:fill="FFFFFF"/>
        </w:rPr>
        <w:t>11</w:t>
      </w:r>
      <w:r w:rsidRPr="00AE01B0">
        <w:rPr>
          <w:color w:val="222222"/>
          <w:szCs w:val="24"/>
          <w:shd w:val="clear" w:color="auto" w:fill="FFFFFF"/>
        </w:rPr>
        <w:t>, p.582428.</w:t>
      </w:r>
    </w:p>
    <w:p w14:paraId="1391DADC" w14:textId="77777777" w:rsidR="003336E4" w:rsidRPr="00AE01B0" w:rsidRDefault="003336E4" w:rsidP="00341739">
      <w:pPr>
        <w:rPr>
          <w:color w:val="222222"/>
          <w:szCs w:val="24"/>
          <w:shd w:val="clear" w:color="auto" w:fill="FFFFFF"/>
        </w:rPr>
      </w:pPr>
      <w:r w:rsidRPr="00AE01B0">
        <w:rPr>
          <w:color w:val="222222"/>
          <w:szCs w:val="24"/>
          <w:shd w:val="clear" w:color="auto" w:fill="FFFFFF"/>
        </w:rPr>
        <w:t>Manning, P.K. and Hawkins, K., (2023). Police decision-making. In </w:t>
      </w:r>
      <w:r w:rsidRPr="00AE01B0">
        <w:rPr>
          <w:i/>
          <w:iCs/>
          <w:color w:val="222222"/>
          <w:szCs w:val="24"/>
          <w:shd w:val="clear" w:color="auto" w:fill="FFFFFF"/>
        </w:rPr>
        <w:t>Police Research</w:t>
      </w:r>
      <w:r w:rsidRPr="00AE01B0">
        <w:rPr>
          <w:color w:val="222222"/>
          <w:szCs w:val="24"/>
          <w:shd w:val="clear" w:color="auto" w:fill="FFFFFF"/>
        </w:rPr>
        <w:t> (pp. 139-156). Routledge.</w:t>
      </w:r>
    </w:p>
    <w:p w14:paraId="5D85DB26" w14:textId="77777777" w:rsidR="003336E4" w:rsidRPr="00AE01B0" w:rsidRDefault="003336E4" w:rsidP="00341739">
      <w:pPr>
        <w:suppressAutoHyphens w:val="0"/>
        <w:autoSpaceDN/>
        <w:spacing w:line="523" w:lineRule="auto"/>
        <w:rPr>
          <w:rFonts w:eastAsia="Times New Roman"/>
          <w:color w:val="222222"/>
          <w:szCs w:val="24"/>
          <w:highlight w:val="white"/>
          <w:lang w:eastAsia="en-IN"/>
        </w:rPr>
      </w:pPr>
      <w:r w:rsidRPr="00AE01B0">
        <w:rPr>
          <w:rFonts w:eastAsia="Times New Roman"/>
          <w:color w:val="222222"/>
          <w:szCs w:val="24"/>
          <w:highlight w:val="white"/>
          <w:lang w:eastAsia="en-IN"/>
        </w:rPr>
        <w:lastRenderedPageBreak/>
        <w:t xml:space="preserve">Mazerolle, L., Eggins, E., Cherney, A., Hine, L., Higginson, A. and Belton, E., (2020). Police programmes that seek to increase community connectedness for reducing violent extremism behaviour, attitudes and beliefs. </w:t>
      </w:r>
      <w:r w:rsidRPr="00AE01B0">
        <w:rPr>
          <w:rFonts w:eastAsia="Times New Roman"/>
          <w:i/>
          <w:color w:val="222222"/>
          <w:szCs w:val="24"/>
          <w:highlight w:val="white"/>
          <w:lang w:eastAsia="en-IN"/>
        </w:rPr>
        <w:t>Campbell systematic reviews</w:t>
      </w:r>
      <w:r w:rsidRPr="00AE01B0">
        <w:rPr>
          <w:rFonts w:eastAsia="Times New Roman"/>
          <w:color w:val="222222"/>
          <w:szCs w:val="24"/>
          <w:highlight w:val="white"/>
          <w:lang w:eastAsia="en-IN"/>
        </w:rPr>
        <w:t xml:space="preserve">, </w:t>
      </w:r>
      <w:r w:rsidRPr="00AE01B0">
        <w:rPr>
          <w:rFonts w:eastAsia="Times New Roman"/>
          <w:i/>
          <w:color w:val="222222"/>
          <w:szCs w:val="24"/>
          <w:highlight w:val="white"/>
          <w:lang w:eastAsia="en-IN"/>
        </w:rPr>
        <w:t>16</w:t>
      </w:r>
      <w:r w:rsidRPr="00AE01B0">
        <w:rPr>
          <w:rFonts w:eastAsia="Times New Roman"/>
          <w:color w:val="222222"/>
          <w:szCs w:val="24"/>
          <w:highlight w:val="white"/>
          <w:lang w:eastAsia="en-IN"/>
        </w:rPr>
        <w:t>(3), p.e1111.</w:t>
      </w:r>
    </w:p>
    <w:p w14:paraId="7335279A" w14:textId="77777777" w:rsidR="003336E4" w:rsidRPr="00AE01B0" w:rsidRDefault="003336E4" w:rsidP="00341739">
      <w:pPr>
        <w:rPr>
          <w:shd w:val="clear" w:color="auto" w:fill="FFFFFF"/>
        </w:rPr>
      </w:pPr>
      <w:r w:rsidRPr="00AE01B0">
        <w:rPr>
          <w:shd w:val="clear" w:color="auto" w:fill="FFFFFF"/>
        </w:rPr>
        <w:t>Rogers, C., Pepper, I. and Skilling, L., (2022). Evidence-based policing for crime prevention in England and Wales: perception and use by new police recruits. </w:t>
      </w:r>
      <w:r w:rsidRPr="00AE01B0">
        <w:rPr>
          <w:i/>
          <w:iCs/>
          <w:shd w:val="clear" w:color="auto" w:fill="FFFFFF"/>
        </w:rPr>
        <w:t>Crime Prevention and Community Safety</w:t>
      </w:r>
      <w:r w:rsidRPr="00AE01B0">
        <w:rPr>
          <w:shd w:val="clear" w:color="auto" w:fill="FFFFFF"/>
        </w:rPr>
        <w:t>, </w:t>
      </w:r>
      <w:r w:rsidRPr="00AE01B0">
        <w:rPr>
          <w:i/>
          <w:iCs/>
          <w:shd w:val="clear" w:color="auto" w:fill="FFFFFF"/>
        </w:rPr>
        <w:t>24</w:t>
      </w:r>
      <w:r w:rsidRPr="00AE01B0">
        <w:rPr>
          <w:shd w:val="clear" w:color="auto" w:fill="FFFFFF"/>
        </w:rPr>
        <w:t>(4), pp.328-341.</w:t>
      </w:r>
    </w:p>
    <w:p w14:paraId="593D473D" w14:textId="77777777" w:rsidR="003336E4" w:rsidRPr="00AE01B0" w:rsidRDefault="003336E4" w:rsidP="00341739">
      <w:r w:rsidRPr="00AE01B0">
        <w:t xml:space="preserve">Townsend, M., (2021). </w:t>
      </w:r>
      <w:r w:rsidRPr="00AE01B0">
        <w:rPr>
          <w:i/>
          <w:iCs/>
        </w:rPr>
        <w:t>How CCTV played a vital role in tracking Sarah Everard – and her killer.</w:t>
      </w:r>
      <w:r w:rsidRPr="00AE01B0">
        <w:t xml:space="preserve"> [Online] Available at: https://www.theguardian.com/uk-news/2021/oct/02/how-cctv-played-a-vital-role-in-tracking-sarah-everard-and-her-killer [Accessed 28 April 2024].</w:t>
      </w:r>
    </w:p>
    <w:p w14:paraId="1EE2D896" w14:textId="77777777" w:rsidR="003336E4" w:rsidRPr="00AE01B0" w:rsidRDefault="003336E4" w:rsidP="00341739">
      <w:r w:rsidRPr="00AE01B0">
        <w:t xml:space="preserve">Vinter, R., (2023). </w:t>
      </w:r>
      <w:r w:rsidRPr="00AE01B0">
        <w:rPr>
          <w:i/>
          <w:iCs/>
        </w:rPr>
        <w:t>Police’s poor communication on Nicola Bulley case is a lesson for other forces.</w:t>
      </w:r>
      <w:r w:rsidRPr="00AE01B0">
        <w:t xml:space="preserve"> [Online] Available at: https://www.theguardian.com/uk-news/2023/feb/19/polices-poor-communications-on-nicola-bulley-case-are-a-lesson-for-other-forces [Accessed 29 April 2024].</w:t>
      </w:r>
    </w:p>
    <w:p w14:paraId="7F9BBBC5" w14:textId="77777777" w:rsidR="003336E4" w:rsidRPr="00AE01B0" w:rsidRDefault="003336E4" w:rsidP="00341739">
      <w:pPr>
        <w:rPr>
          <w:color w:val="222222"/>
          <w:szCs w:val="24"/>
          <w:shd w:val="clear" w:color="auto" w:fill="FFFFFF"/>
        </w:rPr>
      </w:pPr>
      <w:r w:rsidRPr="00AE01B0">
        <w:rPr>
          <w:color w:val="222222"/>
          <w:szCs w:val="24"/>
          <w:shd w:val="clear" w:color="auto" w:fill="FFFFFF"/>
        </w:rPr>
        <w:t>Wood, D., (2020). </w:t>
      </w:r>
      <w:r w:rsidRPr="00AE01B0">
        <w:rPr>
          <w:i/>
          <w:iCs/>
          <w:color w:val="222222"/>
          <w:szCs w:val="24"/>
          <w:shd w:val="clear" w:color="auto" w:fill="FFFFFF"/>
        </w:rPr>
        <w:t>Towards ethical policing</w:t>
      </w:r>
      <w:r w:rsidRPr="00AE01B0">
        <w:rPr>
          <w:color w:val="222222"/>
          <w:szCs w:val="24"/>
          <w:shd w:val="clear" w:color="auto" w:fill="FFFFFF"/>
        </w:rPr>
        <w:t>. Policy Press.</w:t>
      </w:r>
    </w:p>
    <w:p w14:paraId="79E7201C" w14:textId="77777777" w:rsidR="00BF3C4A" w:rsidRPr="00AE01B0" w:rsidRDefault="00BF3C4A" w:rsidP="00BF3C4A">
      <w:pPr>
        <w:suppressAutoHyphens w:val="0"/>
        <w:autoSpaceDN/>
        <w:spacing w:after="0"/>
        <w:rPr>
          <w:rFonts w:eastAsia="Arial" w:cs="Arial"/>
          <w:lang w:eastAsia="en-IN"/>
        </w:rPr>
      </w:pPr>
    </w:p>
    <w:p w14:paraId="32C7BF32" w14:textId="77777777" w:rsidR="00BF3C4A" w:rsidRPr="00AE01B0" w:rsidRDefault="00BF3C4A" w:rsidP="00BF3C4A">
      <w:pPr>
        <w:suppressAutoHyphens w:val="0"/>
        <w:autoSpaceDN/>
        <w:spacing w:line="523" w:lineRule="auto"/>
        <w:rPr>
          <w:rFonts w:eastAsia="Times New Roman"/>
          <w:color w:val="222222"/>
          <w:szCs w:val="24"/>
          <w:highlight w:val="white"/>
          <w:lang w:eastAsia="en-IN"/>
        </w:rPr>
      </w:pPr>
    </w:p>
    <w:p w14:paraId="33FE9FBB" w14:textId="77777777" w:rsidR="00BF3C4A" w:rsidRPr="00AE01B0" w:rsidRDefault="00BF3C4A" w:rsidP="00BF3C4A">
      <w:pPr>
        <w:suppressAutoHyphens w:val="0"/>
        <w:autoSpaceDN/>
        <w:spacing w:line="523" w:lineRule="auto"/>
        <w:rPr>
          <w:rFonts w:eastAsia="Times New Roman"/>
          <w:color w:val="222222"/>
          <w:szCs w:val="24"/>
          <w:highlight w:val="white"/>
          <w:lang w:eastAsia="en-IN"/>
        </w:rPr>
      </w:pPr>
    </w:p>
    <w:p w14:paraId="4A42961C" w14:textId="77777777" w:rsidR="00BF3C4A" w:rsidRPr="00AE01B0" w:rsidRDefault="00BF3C4A" w:rsidP="00BF3C4A">
      <w:pPr>
        <w:suppressAutoHyphens w:val="0"/>
        <w:autoSpaceDN/>
        <w:spacing w:after="0"/>
        <w:rPr>
          <w:rFonts w:eastAsia="Times New Roman"/>
          <w:b/>
          <w:color w:val="222222"/>
          <w:szCs w:val="24"/>
          <w:highlight w:val="white"/>
          <w:lang w:eastAsia="en-IN"/>
        </w:rPr>
      </w:pPr>
    </w:p>
    <w:p w14:paraId="5873A647" w14:textId="77777777" w:rsidR="00BF3C4A" w:rsidRPr="00AE01B0" w:rsidRDefault="00BF3C4A" w:rsidP="0087494C">
      <w:pPr>
        <w:rPr>
          <w:color w:val="222222"/>
          <w:szCs w:val="24"/>
          <w:shd w:val="clear" w:color="auto" w:fill="FFFFFF"/>
        </w:rPr>
      </w:pPr>
    </w:p>
    <w:p w14:paraId="2B516364" w14:textId="242189D2" w:rsidR="00A63882" w:rsidRPr="00BF3C4A" w:rsidRDefault="00A63882" w:rsidP="00BF3C4A">
      <w:pPr>
        <w:pStyle w:val="Heading1"/>
        <w:rPr>
          <w:rFonts w:cs="Times New Roman"/>
          <w:b w:val="0"/>
          <w:bCs/>
          <w:sz w:val="36"/>
          <w:szCs w:val="48"/>
        </w:rPr>
      </w:pPr>
    </w:p>
    <w:sectPr w:rsidR="00A63882" w:rsidRPr="00BF3C4A" w:rsidSect="00C97A80">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B2EFA" w14:textId="77777777" w:rsidR="00C97A80" w:rsidRPr="00AE01B0" w:rsidRDefault="00C97A80" w:rsidP="00661C0C">
      <w:pPr>
        <w:spacing w:after="0" w:line="240" w:lineRule="auto"/>
      </w:pPr>
      <w:r w:rsidRPr="00AE01B0">
        <w:separator/>
      </w:r>
    </w:p>
  </w:endnote>
  <w:endnote w:type="continuationSeparator" w:id="0">
    <w:p w14:paraId="52BA742C" w14:textId="77777777" w:rsidR="00C97A80" w:rsidRPr="00AE01B0" w:rsidRDefault="00C97A80" w:rsidP="00661C0C">
      <w:pPr>
        <w:spacing w:after="0" w:line="240" w:lineRule="auto"/>
      </w:pPr>
      <w:r w:rsidRPr="00AE01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640806"/>
      <w:docPartObj>
        <w:docPartGallery w:val="Page Numbers (Bottom of Page)"/>
        <w:docPartUnique/>
      </w:docPartObj>
    </w:sdtPr>
    <w:sdtContent>
      <w:sdt>
        <w:sdtPr>
          <w:id w:val="-1769616900"/>
          <w:docPartObj>
            <w:docPartGallery w:val="Page Numbers (Top of Page)"/>
            <w:docPartUnique/>
          </w:docPartObj>
        </w:sdtPr>
        <w:sdtContent>
          <w:p w14:paraId="34615F7B" w14:textId="3780D5D4" w:rsidR="00B67E4D" w:rsidRPr="00AE01B0" w:rsidRDefault="00B67E4D">
            <w:pPr>
              <w:pStyle w:val="Footer"/>
              <w:jc w:val="right"/>
            </w:pPr>
            <w:r w:rsidRPr="00AE01B0">
              <w:t xml:space="preserve">Page </w:t>
            </w:r>
            <w:r w:rsidRPr="00AE01B0">
              <w:rPr>
                <w:b/>
                <w:bCs/>
                <w:szCs w:val="24"/>
              </w:rPr>
              <w:fldChar w:fldCharType="begin"/>
            </w:r>
            <w:r w:rsidRPr="00AE01B0">
              <w:rPr>
                <w:b/>
                <w:bCs/>
              </w:rPr>
              <w:instrText xml:space="preserve"> PAGE </w:instrText>
            </w:r>
            <w:r w:rsidRPr="00AE01B0">
              <w:rPr>
                <w:b/>
                <w:bCs/>
                <w:szCs w:val="24"/>
              </w:rPr>
              <w:fldChar w:fldCharType="separate"/>
            </w:r>
            <w:r w:rsidRPr="00AE01B0">
              <w:rPr>
                <w:b/>
                <w:bCs/>
              </w:rPr>
              <w:t>2</w:t>
            </w:r>
            <w:r w:rsidRPr="00AE01B0">
              <w:rPr>
                <w:b/>
                <w:bCs/>
                <w:szCs w:val="24"/>
              </w:rPr>
              <w:fldChar w:fldCharType="end"/>
            </w:r>
            <w:r w:rsidRPr="00AE01B0">
              <w:t xml:space="preserve"> of </w:t>
            </w:r>
            <w:r w:rsidRPr="00AE01B0">
              <w:rPr>
                <w:b/>
                <w:bCs/>
                <w:szCs w:val="24"/>
              </w:rPr>
              <w:fldChar w:fldCharType="begin"/>
            </w:r>
            <w:r w:rsidRPr="00AE01B0">
              <w:rPr>
                <w:b/>
                <w:bCs/>
              </w:rPr>
              <w:instrText xml:space="preserve"> NUMPAGES  </w:instrText>
            </w:r>
            <w:r w:rsidRPr="00AE01B0">
              <w:rPr>
                <w:b/>
                <w:bCs/>
                <w:szCs w:val="24"/>
              </w:rPr>
              <w:fldChar w:fldCharType="separate"/>
            </w:r>
            <w:r w:rsidRPr="00AE01B0">
              <w:rPr>
                <w:b/>
                <w:bCs/>
              </w:rPr>
              <w:t>2</w:t>
            </w:r>
            <w:r w:rsidRPr="00AE01B0">
              <w:rPr>
                <w:b/>
                <w:bCs/>
                <w:szCs w:val="24"/>
              </w:rPr>
              <w:fldChar w:fldCharType="end"/>
            </w:r>
          </w:p>
        </w:sdtContent>
      </w:sdt>
    </w:sdtContent>
  </w:sdt>
  <w:p w14:paraId="110B298A" w14:textId="77777777" w:rsidR="00B67E4D" w:rsidRPr="00AE01B0" w:rsidRDefault="00B67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86ED4" w14:textId="77777777" w:rsidR="00C97A80" w:rsidRPr="00AE01B0" w:rsidRDefault="00C97A80" w:rsidP="00661C0C">
      <w:pPr>
        <w:spacing w:after="0" w:line="240" w:lineRule="auto"/>
      </w:pPr>
      <w:r w:rsidRPr="00AE01B0">
        <w:separator/>
      </w:r>
    </w:p>
  </w:footnote>
  <w:footnote w:type="continuationSeparator" w:id="0">
    <w:p w14:paraId="3F2FC6A4" w14:textId="77777777" w:rsidR="00C97A80" w:rsidRPr="00AE01B0" w:rsidRDefault="00C97A80" w:rsidP="00661C0C">
      <w:pPr>
        <w:spacing w:after="0" w:line="240" w:lineRule="auto"/>
      </w:pPr>
      <w:r w:rsidRPr="00AE01B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CCCA7" w14:textId="77777777" w:rsidR="00B67E4D" w:rsidRPr="00AE01B0" w:rsidRDefault="00B67E4D" w:rsidP="00B67E4D">
    <w:pPr>
      <w:jc w:val="right"/>
      <w:rPr>
        <w:b/>
        <w:bCs/>
      </w:rPr>
    </w:pPr>
    <w:r w:rsidRPr="00AE01B0">
      <w:rPr>
        <w:b/>
        <w:bCs/>
      </w:rPr>
      <w:t>Evidence-based Approaches to Policing Decisions</w:t>
    </w:r>
  </w:p>
  <w:p w14:paraId="2EF1860C" w14:textId="77777777" w:rsidR="00B67E4D" w:rsidRPr="00AE01B0" w:rsidRDefault="00B67E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213587"/>
    <w:multiLevelType w:val="hybridMultilevel"/>
    <w:tmpl w:val="81CE36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E7D5396"/>
    <w:multiLevelType w:val="hybridMultilevel"/>
    <w:tmpl w:val="BC7C62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7413439">
    <w:abstractNumId w:val="0"/>
  </w:num>
  <w:num w:numId="2" w16cid:durableId="1138955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B65"/>
    <w:rsid w:val="00035095"/>
    <w:rsid w:val="000C5BD0"/>
    <w:rsid w:val="00105C9B"/>
    <w:rsid w:val="001404BB"/>
    <w:rsid w:val="001970E6"/>
    <w:rsid w:val="001F6FB7"/>
    <w:rsid w:val="00234602"/>
    <w:rsid w:val="00245A31"/>
    <w:rsid w:val="00250E71"/>
    <w:rsid w:val="0025404F"/>
    <w:rsid w:val="003336E4"/>
    <w:rsid w:val="00341739"/>
    <w:rsid w:val="003417FD"/>
    <w:rsid w:val="00353219"/>
    <w:rsid w:val="0036733B"/>
    <w:rsid w:val="003B724C"/>
    <w:rsid w:val="00402BE0"/>
    <w:rsid w:val="00434372"/>
    <w:rsid w:val="00485B26"/>
    <w:rsid w:val="004D4F59"/>
    <w:rsid w:val="00566E5B"/>
    <w:rsid w:val="005A620A"/>
    <w:rsid w:val="005F1C36"/>
    <w:rsid w:val="00640622"/>
    <w:rsid w:val="00661C0C"/>
    <w:rsid w:val="0066691B"/>
    <w:rsid w:val="0067204B"/>
    <w:rsid w:val="00690A45"/>
    <w:rsid w:val="007265E4"/>
    <w:rsid w:val="007607E3"/>
    <w:rsid w:val="007772E6"/>
    <w:rsid w:val="008177CC"/>
    <w:rsid w:val="0087494C"/>
    <w:rsid w:val="008C7A94"/>
    <w:rsid w:val="008C7F79"/>
    <w:rsid w:val="008D42F9"/>
    <w:rsid w:val="008F1B65"/>
    <w:rsid w:val="009324BA"/>
    <w:rsid w:val="00951F76"/>
    <w:rsid w:val="00974C62"/>
    <w:rsid w:val="00982607"/>
    <w:rsid w:val="00982FE5"/>
    <w:rsid w:val="0098550A"/>
    <w:rsid w:val="009F396E"/>
    <w:rsid w:val="009F7E36"/>
    <w:rsid w:val="00A1298A"/>
    <w:rsid w:val="00A63882"/>
    <w:rsid w:val="00A64C9C"/>
    <w:rsid w:val="00AC6FC5"/>
    <w:rsid w:val="00AD2BD1"/>
    <w:rsid w:val="00AE01B0"/>
    <w:rsid w:val="00AF1C59"/>
    <w:rsid w:val="00B67E4D"/>
    <w:rsid w:val="00B93170"/>
    <w:rsid w:val="00BB36B8"/>
    <w:rsid w:val="00BD5D2D"/>
    <w:rsid w:val="00BF3C4A"/>
    <w:rsid w:val="00C20268"/>
    <w:rsid w:val="00C4089A"/>
    <w:rsid w:val="00C826A8"/>
    <w:rsid w:val="00C97A80"/>
    <w:rsid w:val="00CB5B6C"/>
    <w:rsid w:val="00CB77E5"/>
    <w:rsid w:val="00CD71FF"/>
    <w:rsid w:val="00CE6ADC"/>
    <w:rsid w:val="00CF394B"/>
    <w:rsid w:val="00D81FBA"/>
    <w:rsid w:val="00DE3F8A"/>
    <w:rsid w:val="00EE65B9"/>
    <w:rsid w:val="00F00E3F"/>
    <w:rsid w:val="00F849EE"/>
    <w:rsid w:val="00FD08FC"/>
    <w:rsid w:val="00FF08A2"/>
    <w:rsid w:val="00FF6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6386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095"/>
    <w:pPr>
      <w:suppressAutoHyphens/>
      <w:autoSpaceDN w:val="0"/>
      <w:spacing w:line="48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AD2BD1"/>
    <w:pPr>
      <w:keepNext/>
      <w:keepLines/>
      <w:spacing w:before="400" w:after="120" w:line="360" w:lineRule="auto"/>
      <w:textAlignment w:val="baseline"/>
      <w:outlineLvl w:val="0"/>
    </w:pPr>
    <w:rPr>
      <w:rFonts w:eastAsia="Arial" w:cs="Arial"/>
      <w:b/>
      <w:sz w:val="28"/>
      <w:szCs w:val="40"/>
      <w:lang w:eastAsia="en-GB"/>
    </w:rPr>
  </w:style>
  <w:style w:type="paragraph" w:styleId="Heading2">
    <w:name w:val="heading 2"/>
    <w:basedOn w:val="Normal"/>
    <w:next w:val="Normal"/>
    <w:link w:val="Heading2Char"/>
    <w:autoRedefine/>
    <w:uiPriority w:val="9"/>
    <w:unhideWhenUsed/>
    <w:qFormat/>
    <w:rsid w:val="00035095"/>
    <w:pPr>
      <w:keepNext/>
      <w:keepLines/>
      <w:spacing w:before="40" w:after="0"/>
      <w:outlineLvl w:val="1"/>
    </w:pPr>
    <w:rPr>
      <w:rFonts w:eastAsia="Times New Roman" w:cstheme="majorBidi"/>
      <w:b/>
      <w:kern w:val="2"/>
      <w:sz w:val="26"/>
      <w:szCs w:val="24"/>
      <w:lang w:val="en-US"/>
      <w14:ligatures w14:val="standardContextual"/>
    </w:rPr>
  </w:style>
  <w:style w:type="paragraph" w:styleId="Heading3">
    <w:name w:val="heading 3"/>
    <w:basedOn w:val="Normal"/>
    <w:next w:val="Normal"/>
    <w:link w:val="Heading3Char"/>
    <w:autoRedefine/>
    <w:uiPriority w:val="9"/>
    <w:unhideWhenUsed/>
    <w:qFormat/>
    <w:rsid w:val="00F849EE"/>
    <w:pPr>
      <w:keepNext/>
      <w:keepLines/>
      <w:suppressAutoHyphens w:val="0"/>
      <w:autoSpaceDN/>
      <w:spacing w:before="40" w:after="0"/>
      <w:outlineLvl w:val="2"/>
    </w:pPr>
    <w:rPr>
      <w:rFonts w:eastAsiaTheme="majorEastAsia" w:cstheme="majorBidi"/>
      <w:i/>
      <w:kern w:val="2"/>
      <w:szCs w:val="30"/>
      <w:u w:val="single"/>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BD1"/>
    <w:rPr>
      <w:rFonts w:ascii="Times New Roman" w:eastAsia="Arial" w:hAnsi="Times New Roman" w:cs="Arial"/>
      <w:b/>
      <w:kern w:val="0"/>
      <w:sz w:val="28"/>
      <w:szCs w:val="40"/>
      <w:lang w:val="en-GB" w:eastAsia="en-GB"/>
      <w14:ligatures w14:val="none"/>
    </w:rPr>
  </w:style>
  <w:style w:type="character" w:customStyle="1" w:styleId="Heading2Char">
    <w:name w:val="Heading 2 Char"/>
    <w:basedOn w:val="DefaultParagraphFont"/>
    <w:link w:val="Heading2"/>
    <w:uiPriority w:val="9"/>
    <w:rsid w:val="00035095"/>
    <w:rPr>
      <w:rFonts w:ascii="Times New Roman" w:eastAsia="Times New Roman" w:hAnsi="Times New Roman" w:cstheme="majorBidi"/>
      <w:b/>
      <w:sz w:val="26"/>
      <w:szCs w:val="24"/>
    </w:rPr>
  </w:style>
  <w:style w:type="character" w:customStyle="1" w:styleId="Heading3Char">
    <w:name w:val="Heading 3 Char"/>
    <w:basedOn w:val="DefaultParagraphFont"/>
    <w:link w:val="Heading3"/>
    <w:uiPriority w:val="9"/>
    <w:rsid w:val="00F849EE"/>
    <w:rPr>
      <w:rFonts w:ascii="Calisto MT" w:eastAsiaTheme="majorEastAsia" w:hAnsi="Calisto MT" w:cstheme="majorBidi"/>
      <w:i/>
      <w:sz w:val="24"/>
      <w:szCs w:val="30"/>
      <w:u w:val="single"/>
    </w:rPr>
  </w:style>
  <w:style w:type="paragraph" w:customStyle="1" w:styleId="Style1">
    <w:name w:val="Style1"/>
    <w:basedOn w:val="NormalWeb"/>
    <w:link w:val="Style1Char"/>
    <w:autoRedefine/>
    <w:qFormat/>
    <w:rsid w:val="007265E4"/>
    <w:pPr>
      <w:spacing w:before="240" w:after="240" w:line="360" w:lineRule="auto"/>
    </w:pPr>
    <w:rPr>
      <w:rFonts w:ascii="Arial" w:eastAsia="Times New Roman" w:hAnsi="Arial" w:cs="Arial"/>
      <w:i/>
      <w:sz w:val="22"/>
      <w:szCs w:val="22"/>
      <w:u w:val="single"/>
      <w:lang w:eastAsia="en-GB"/>
    </w:rPr>
  </w:style>
  <w:style w:type="character" w:customStyle="1" w:styleId="Style1Char">
    <w:name w:val="Style1 Char"/>
    <w:basedOn w:val="DefaultParagraphFont"/>
    <w:link w:val="Style1"/>
    <w:rsid w:val="007265E4"/>
    <w:rPr>
      <w:rFonts w:ascii="Arial" w:eastAsia="Times New Roman" w:hAnsi="Arial" w:cs="Arial"/>
      <w:i/>
      <w:u w:val="single"/>
      <w:lang w:eastAsia="en-GB"/>
    </w:rPr>
  </w:style>
  <w:style w:type="paragraph" w:styleId="NormalWeb">
    <w:name w:val="Normal (Web)"/>
    <w:basedOn w:val="Normal"/>
    <w:uiPriority w:val="99"/>
    <w:semiHidden/>
    <w:unhideWhenUsed/>
    <w:rsid w:val="007265E4"/>
    <w:rPr>
      <w:szCs w:val="24"/>
    </w:rPr>
  </w:style>
  <w:style w:type="paragraph" w:styleId="Header">
    <w:name w:val="header"/>
    <w:basedOn w:val="Normal"/>
    <w:link w:val="HeaderChar"/>
    <w:uiPriority w:val="99"/>
    <w:unhideWhenUsed/>
    <w:rsid w:val="00661C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1C0C"/>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661C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1C0C"/>
    <w:rPr>
      <w:rFonts w:ascii="Times New Roman" w:hAnsi="Times New Roman" w:cs="Times New Roman"/>
      <w:kern w:val="0"/>
      <w:sz w:val="24"/>
      <w:lang w:val="en-GB"/>
      <w14:ligatures w14:val="none"/>
    </w:rPr>
  </w:style>
  <w:style w:type="paragraph" w:styleId="Bibliography">
    <w:name w:val="Bibliography"/>
    <w:basedOn w:val="Normal"/>
    <w:next w:val="Normal"/>
    <w:uiPriority w:val="37"/>
    <w:unhideWhenUsed/>
    <w:rsid w:val="0087494C"/>
  </w:style>
  <w:style w:type="character" w:styleId="Hyperlink">
    <w:name w:val="Hyperlink"/>
    <w:basedOn w:val="DefaultParagraphFont"/>
    <w:uiPriority w:val="99"/>
    <w:unhideWhenUsed/>
    <w:rsid w:val="0087494C"/>
    <w:rPr>
      <w:color w:val="0563C1" w:themeColor="hyperlink"/>
      <w:u w:val="single"/>
    </w:rPr>
  </w:style>
  <w:style w:type="character" w:styleId="UnresolvedMention">
    <w:name w:val="Unresolved Mention"/>
    <w:basedOn w:val="DefaultParagraphFont"/>
    <w:uiPriority w:val="99"/>
    <w:semiHidden/>
    <w:unhideWhenUsed/>
    <w:rsid w:val="0087494C"/>
    <w:rPr>
      <w:color w:val="605E5C"/>
      <w:shd w:val="clear" w:color="auto" w:fill="E1DFDD"/>
    </w:rPr>
  </w:style>
  <w:style w:type="paragraph" w:styleId="ListParagraph">
    <w:name w:val="List Paragraph"/>
    <w:basedOn w:val="Normal"/>
    <w:uiPriority w:val="34"/>
    <w:qFormat/>
    <w:rsid w:val="008749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604988">
      <w:bodyDiv w:val="1"/>
      <w:marLeft w:val="0"/>
      <w:marRight w:val="0"/>
      <w:marTop w:val="0"/>
      <w:marBottom w:val="0"/>
      <w:divBdr>
        <w:top w:val="none" w:sz="0" w:space="0" w:color="auto"/>
        <w:left w:val="none" w:sz="0" w:space="0" w:color="auto"/>
        <w:bottom w:val="none" w:sz="0" w:space="0" w:color="auto"/>
        <w:right w:val="none" w:sz="0" w:space="0" w:color="auto"/>
      </w:divBdr>
    </w:div>
    <w:div w:id="284043040">
      <w:bodyDiv w:val="1"/>
      <w:marLeft w:val="0"/>
      <w:marRight w:val="0"/>
      <w:marTop w:val="0"/>
      <w:marBottom w:val="0"/>
      <w:divBdr>
        <w:top w:val="none" w:sz="0" w:space="0" w:color="auto"/>
        <w:left w:val="none" w:sz="0" w:space="0" w:color="auto"/>
        <w:bottom w:val="none" w:sz="0" w:space="0" w:color="auto"/>
        <w:right w:val="none" w:sz="0" w:space="0" w:color="auto"/>
      </w:divBdr>
    </w:div>
    <w:div w:id="583951755">
      <w:bodyDiv w:val="1"/>
      <w:marLeft w:val="0"/>
      <w:marRight w:val="0"/>
      <w:marTop w:val="0"/>
      <w:marBottom w:val="0"/>
      <w:divBdr>
        <w:top w:val="none" w:sz="0" w:space="0" w:color="auto"/>
        <w:left w:val="none" w:sz="0" w:space="0" w:color="auto"/>
        <w:bottom w:val="none" w:sz="0" w:space="0" w:color="auto"/>
        <w:right w:val="none" w:sz="0" w:space="0" w:color="auto"/>
      </w:divBdr>
    </w:div>
    <w:div w:id="1075854572">
      <w:bodyDiv w:val="1"/>
      <w:marLeft w:val="0"/>
      <w:marRight w:val="0"/>
      <w:marTop w:val="0"/>
      <w:marBottom w:val="0"/>
      <w:divBdr>
        <w:top w:val="none" w:sz="0" w:space="0" w:color="auto"/>
        <w:left w:val="none" w:sz="0" w:space="0" w:color="auto"/>
        <w:bottom w:val="none" w:sz="0" w:space="0" w:color="auto"/>
        <w:right w:val="none" w:sz="0" w:space="0" w:color="auto"/>
      </w:divBdr>
    </w:div>
    <w:div w:id="134751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Mar213</b:Tag>
    <b:SourceType>InternetSite</b:SourceType>
    <b:Guid>{0F599514-500A-430A-9963-07D68256DDBA}</b:Guid>
    <b:Author>
      <b:Author>
        <b:NameList>
          <b:Person>
            <b:Last>Townsend</b:Last>
            <b:First>Mark</b:First>
          </b:Person>
        </b:NameList>
      </b:Author>
    </b:Author>
    <b:Title>How CCTV played a vital role in tracking Sarah Everard – and her killer</b:Title>
    <b:Year>2021</b:Year>
    <b:YearAccessed>2024</b:YearAccessed>
    <b:MonthAccessed>April </b:MonthAccessed>
    <b:DayAccessed>28</b:DayAccessed>
    <b:URL>https://www.theguardian.com/uk-news/2021/oct/02/how-cctv-played-a-vital-role-in-tracking-sarah-everard-and-her-killer</b:URL>
    <b:RefOrder>1</b:RefOrder>
  </b:Source>
  <b:Source>
    <b:Tag>Rob235</b:Tag>
    <b:SourceType>InternetSite</b:SourceType>
    <b:Guid>{6B09522B-64F8-4E48-9FAA-F8D0C32A1D3E}</b:Guid>
    <b:Author>
      <b:Author>
        <b:NameList>
          <b:Person>
            <b:Last>Vinter</b:Last>
            <b:First>Robyn</b:First>
          </b:Person>
        </b:NameList>
      </b:Author>
    </b:Author>
    <b:Title>Police’s poor communication on Nicola Bulley case is a lesson for other forces</b:Title>
    <b:Year>2023</b:Year>
    <b:YearAccessed>2024</b:YearAccessed>
    <b:MonthAccessed>April </b:MonthAccessed>
    <b:DayAccessed>29</b:DayAccessed>
    <b:URL>https://www.theguardian.com/uk-news/2023/feb/19/polices-poor-communications-on-nicola-bulley-case-are-a-lesson-for-other-forces</b:URL>
    <b:RefOrder>2</b:RefOrder>
  </b:Source>
</b:Sources>
</file>

<file path=customXml/itemProps1.xml><?xml version="1.0" encoding="utf-8"?>
<ds:datastoreItem xmlns:ds="http://schemas.openxmlformats.org/officeDocument/2006/customXml" ds:itemID="{EF3A77C5-9C3E-400D-A831-6E6F4DFFA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1930</Words>
  <Characters>11003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2024-04-29T10:52:00Z</dcterms:created>
  <dcterms:modified xsi:type="dcterms:W3CDTF">2024-04-29T11:19:00Z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bf0ad2924a0cbfdddb1c07d260a9c114a7a89d9bc2e7983145a3625df22e8172</vt:lpwstr>
  </property>
</Properties>
</file>