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98C3789" w14:textId="588EF998" w:rsidR="0094045F" w:rsidRDefault="0094045F" w:rsidP="00623B49">
      <w:pPr>
        <w:jc w:val="center"/>
        <w:rPr>
          <w:b/>
          <w:sz w:val="32"/>
          <w:szCs w:val="32"/>
          <w:u w:val="single"/>
        </w:rPr>
      </w:pPr>
      <w:r>
        <w:rPr>
          <w:b/>
          <w:sz w:val="32"/>
          <w:szCs w:val="32"/>
          <w:u w:val="single"/>
        </w:rPr>
        <w:t xml:space="preserve">How does the presentation of </w:t>
      </w:r>
      <w:r w:rsidR="00A212AE">
        <w:rPr>
          <w:b/>
          <w:sz w:val="32"/>
          <w:szCs w:val="32"/>
          <w:u w:val="single"/>
        </w:rPr>
        <w:t>Persian women support Herodotus’s overall presentation of Persia?</w:t>
      </w:r>
    </w:p>
    <w:p w14:paraId="000A27E5" w14:textId="77777777" w:rsidR="00A212AE" w:rsidRDefault="00A212AE" w:rsidP="00623B49">
      <w:pPr>
        <w:jc w:val="center"/>
        <w:rPr>
          <w:b/>
          <w:sz w:val="32"/>
          <w:szCs w:val="32"/>
          <w:u w:val="single"/>
        </w:rPr>
      </w:pPr>
    </w:p>
    <w:p w14:paraId="20A93058" w14:textId="77777777" w:rsidR="00A212AE" w:rsidRDefault="00A212AE" w:rsidP="00A212AE"/>
    <w:p w14:paraId="15B063A2" w14:textId="380C7F90" w:rsidR="00A212AE" w:rsidRDefault="00A212AE" w:rsidP="00A212AE">
      <w:r>
        <w:tab/>
      </w:r>
      <w:r w:rsidR="001164FD">
        <w:t>For the most part, it would seem as though Herodotus made genuine attempt</w:t>
      </w:r>
      <w:r w:rsidR="00B55990">
        <w:t>s</w:t>
      </w:r>
      <w:r w:rsidR="001164FD">
        <w:t xml:space="preserve"> to portray Persia as accurately as possible and he displays quite a bit of admiration in doing so. </w:t>
      </w:r>
      <w:r w:rsidR="00C04152">
        <w:t>Stephanie Larson makes the argument that the purposeful omission of</w:t>
      </w:r>
      <w:r w:rsidR="00A05EE9">
        <w:t xml:space="preserve"> women’s names in Herodotus </w:t>
      </w:r>
      <w:r w:rsidR="006553C5">
        <w:t>is a sign of respect</w:t>
      </w:r>
      <w:r w:rsidR="00BE5EA6">
        <w:rPr>
          <w:rStyle w:val="FootnoteReference"/>
        </w:rPr>
        <w:footnoteReference w:id="1"/>
      </w:r>
      <w:r w:rsidR="006F478B">
        <w:t xml:space="preserve">, </w:t>
      </w:r>
      <w:r w:rsidR="006E0B4A">
        <w:t xml:space="preserve">in </w:t>
      </w:r>
      <w:r w:rsidR="00084FB6">
        <w:t>which follows the similar Athenian tradition</w:t>
      </w:r>
      <w:r w:rsidR="006F478B">
        <w:t xml:space="preserve">. The overall positive depiction of Persian culture in Herodotus’ writing </w:t>
      </w:r>
      <w:r w:rsidR="00BE5EA6">
        <w:t xml:space="preserve">is evident, and his portrayal of Persian women often shows them with some level of independence. </w:t>
      </w:r>
      <w:r w:rsidR="00084FB6">
        <w:t xml:space="preserve">His respect of women is indicative of his respect of the Persians, whom he presents thoroughly and in great detail. </w:t>
      </w:r>
    </w:p>
    <w:p w14:paraId="6DC4A6E9" w14:textId="77777777" w:rsidR="00015793" w:rsidRDefault="009743EB" w:rsidP="00A212AE">
      <w:r>
        <w:tab/>
      </w:r>
      <w:r w:rsidR="00290E82">
        <w:t xml:space="preserve">Herodotus’s </w:t>
      </w:r>
      <w:r w:rsidR="00AA28F3">
        <w:t xml:space="preserve">omission of detail is something he does consciously, and something that he makes a point of bringing to the reader’s attention. We see this practice quite often and it is not exclusive to any event or civilization. </w:t>
      </w:r>
      <w:r w:rsidR="003F1FBD">
        <w:t>Particularly in his writing of the events at Thermopylae</w:t>
      </w:r>
      <w:r w:rsidR="00D61A42">
        <w:t xml:space="preserve">, he is sure to explain that </w:t>
      </w:r>
      <w:r w:rsidR="00820339">
        <w:t>he acquired the names of each and every brave Spartan soldier who stood with Leonidas.</w:t>
      </w:r>
      <w:r w:rsidR="00820339">
        <w:rPr>
          <w:rStyle w:val="FootnoteReference"/>
        </w:rPr>
        <w:footnoteReference w:id="2"/>
      </w:r>
      <w:r w:rsidR="00AB0CBE">
        <w:t xml:space="preserve"> While it is not entirely known why he chose to omit their names from his work, I imagine the tedious nature of writing out 300 names has something to do with it. </w:t>
      </w:r>
      <w:r w:rsidR="005F255E">
        <w:t>The common thought</w:t>
      </w:r>
      <w:r w:rsidR="005026E6">
        <w:rPr>
          <w:rStyle w:val="FootnoteReference"/>
        </w:rPr>
        <w:footnoteReference w:id="3"/>
      </w:r>
      <w:r w:rsidR="005F255E">
        <w:t xml:space="preserve">, however, is that </w:t>
      </w:r>
      <w:r w:rsidR="00157626">
        <w:t>Herodotus choose to leave these names off the record as a sign of respect</w:t>
      </w:r>
      <w:r w:rsidR="00E471FC">
        <w:t xml:space="preserve"> and as an acknowledgment that the deeds of the men as a group outweigh</w:t>
      </w:r>
      <w:r w:rsidR="008A6D1D">
        <w:t>ed</w:t>
      </w:r>
      <w:r w:rsidR="00E471FC">
        <w:t xml:space="preserve"> the need to dwell on individual identity. </w:t>
      </w:r>
      <w:r w:rsidR="002C49A0">
        <w:t>While I don’t necessarily agree with the method of which Herodotus chose to portray his respect, the notion that this was probably his genuine intention is evident.</w:t>
      </w:r>
    </w:p>
    <w:p w14:paraId="33D35E98" w14:textId="42AE52BF" w:rsidR="002F25DC" w:rsidRDefault="003B1D45" w:rsidP="00A212AE">
      <w:r>
        <w:tab/>
        <w:t>The tradition of omitting names of respected</w:t>
      </w:r>
      <w:r w:rsidR="00C9045D">
        <w:t xml:space="preserve"> individuals in his work remained</w:t>
      </w:r>
      <w:r>
        <w:t xml:space="preserve"> </w:t>
      </w:r>
      <w:r w:rsidR="00481B9B">
        <w:t xml:space="preserve">true </w:t>
      </w:r>
      <w:r w:rsidR="008E387E">
        <w:t>as Herodotus referred</w:t>
      </w:r>
      <w:r>
        <w:t xml:space="preserve"> to certain women merely as “wives”</w:t>
      </w:r>
      <w:r w:rsidR="008E387E">
        <w:t xml:space="preserve"> but kept</w:t>
      </w:r>
      <w:r>
        <w:t xml:space="preserve"> their deeds and actions intact and written about in great detail. </w:t>
      </w:r>
      <w:r w:rsidR="00FF550B">
        <w:t xml:space="preserve">This is especially true in the cases of Kandaules’ and Masistes’ wives. </w:t>
      </w:r>
      <w:r w:rsidR="007D0453">
        <w:t xml:space="preserve">A sense of judgement on Herodotus’ part can be determined in the act of naming women with questionable </w:t>
      </w:r>
      <w:r w:rsidR="00975F90">
        <w:t>actions or morals. In similar respect,</w:t>
      </w:r>
      <w:r w:rsidR="00584FEB">
        <w:t xml:space="preserve"> it must then be im</w:t>
      </w:r>
      <w:r w:rsidR="003B64E1">
        <w:t>plied that</w:t>
      </w:r>
      <w:r w:rsidR="007D0453">
        <w:t xml:space="preserve"> the omission of a woman’s name can carry the same weight as the omission of the identity of a brave soldier who died during the Battle of Thermopylae as previously mentioned. </w:t>
      </w:r>
      <w:r w:rsidR="002F25DC">
        <w:t xml:space="preserve">That being said, the certain qualifications that Herodotus may have had for determining a respectable woman may bring to question what he believed to be </w:t>
      </w:r>
      <w:r w:rsidR="002967F0">
        <w:t>commendable. The most notable tale of Masistes’</w:t>
      </w:r>
      <w:r w:rsidR="00420B81">
        <w:t>s wife was that of her mutilation</w:t>
      </w:r>
      <w:r w:rsidR="00311891">
        <w:rPr>
          <w:rStyle w:val="FootnoteReference"/>
        </w:rPr>
        <w:footnoteReference w:id="4"/>
      </w:r>
      <w:r w:rsidR="002967F0">
        <w:t xml:space="preserve"> by Amastris, the clearly named wife of Xerxes. </w:t>
      </w:r>
      <w:r w:rsidR="00421C50">
        <w:t xml:space="preserve">This event again raises the question of what qualifies someone for respectful omission in the writing of Herodotus. I struggle to believe that Masistes’s wife was able to earn the same level of respect as the 300 Spartan soldiers who fought alongside Leonidas, and yet they are placed in the same category of respect in Herodotus’s writing. </w:t>
      </w:r>
      <w:r w:rsidR="00C52EC1">
        <w:t>Is it merely because she was a beloved innocent who was faced with abject</w:t>
      </w:r>
      <w:r w:rsidR="007527DA">
        <w:t xml:space="preserve"> cruelty? </w:t>
      </w:r>
      <w:r w:rsidR="00E176C2">
        <w:t>Or was this indicative of a kind of Persian respect and sympathy that Herodotus felt as a whole?</w:t>
      </w:r>
    </w:p>
    <w:p w14:paraId="613954B0" w14:textId="148E8139" w:rsidR="00C968EF" w:rsidRDefault="00BF22B0" w:rsidP="00A212AE">
      <w:r>
        <w:lastRenderedPageBreak/>
        <w:tab/>
        <w:t>According to Herodotus, Persians maintain the same sort of idea</w:t>
      </w:r>
      <w:r w:rsidR="004B2468">
        <w:t xml:space="preserve"> as the Greeks</w:t>
      </w:r>
      <w:r w:rsidR="00812B3C">
        <w:t xml:space="preserve"> that who</w:t>
      </w:r>
      <w:r>
        <w:t>ever is closest to them geographically is to be the most respected</w:t>
      </w:r>
      <w:r w:rsidR="00F42B62">
        <w:t xml:space="preserve"> and honoured.</w:t>
      </w:r>
      <w:r w:rsidR="004B2468">
        <w:rPr>
          <w:rStyle w:val="FootnoteReference"/>
        </w:rPr>
        <w:footnoteReference w:id="5"/>
      </w:r>
      <w:r w:rsidR="00812B3C">
        <w:t xml:space="preserve"> </w:t>
      </w:r>
      <w:r w:rsidR="00004BDD">
        <w:t xml:space="preserve">The closeness that Herodotus must have been able to achieve to the culture in order to gain a grasp on their genuine values speaks volumes of his efforts. </w:t>
      </w:r>
      <w:r w:rsidR="001A2B63">
        <w:t>Laurence</w:t>
      </w:r>
      <w:r w:rsidR="00070256">
        <w:t xml:space="preserve"> </w:t>
      </w:r>
      <w:r w:rsidR="00CE3686">
        <w:t xml:space="preserve">Lockhart speaks extensively about Herodotus’s </w:t>
      </w:r>
      <w:r w:rsidR="004A6783">
        <w:t>praise for Persian culture.</w:t>
      </w:r>
      <w:r w:rsidR="00ED5FF0">
        <w:t xml:space="preserve"> According to him, Herodotus “faithfully made mention of the many g</w:t>
      </w:r>
      <w:r w:rsidR="0049592B">
        <w:t xml:space="preserve">ood qualities of the Persians, </w:t>
      </w:r>
      <w:r w:rsidR="00ED5FF0">
        <w:t>while by no means glossing over their defects.”</w:t>
      </w:r>
      <w:r w:rsidR="00ED5FF0">
        <w:rPr>
          <w:rStyle w:val="FootnoteReference"/>
        </w:rPr>
        <w:footnoteReference w:id="6"/>
      </w:r>
      <w:r w:rsidR="00C968EF">
        <w:t xml:space="preserve"> He is quick to note Herodotus’s</w:t>
      </w:r>
      <w:r w:rsidR="00E479F1">
        <w:t xml:space="preserve"> complete and detail oriented account of Persian culture, an account that does not appear to be biased against the Persians</w:t>
      </w:r>
      <w:r w:rsidR="00157933">
        <w:t>, and in fact appears to admire them in some respects</w:t>
      </w:r>
      <w:r w:rsidR="00E479F1">
        <w:t>.</w:t>
      </w:r>
      <w:r w:rsidR="00157933">
        <w:t xml:space="preserve"> </w:t>
      </w:r>
      <w:r w:rsidR="00C77F10">
        <w:t>Herodotus’s account of Persia portrays them as being remarkably accepting of foreign customs, as they borrow from cultures such as Media and Egypt.</w:t>
      </w:r>
      <w:r w:rsidR="00C77F10">
        <w:rPr>
          <w:rStyle w:val="FootnoteReference"/>
        </w:rPr>
        <w:footnoteReference w:id="7"/>
      </w:r>
      <w:r w:rsidR="004F0086">
        <w:t xml:space="preserve"> He admits that while the Persians were defeated in instances such as Marathon and Salamis, it was due to poor training and weapons, rather than simply being outsmarted.</w:t>
      </w:r>
      <w:r w:rsidR="00D005C9">
        <w:rPr>
          <w:rStyle w:val="FootnoteReference"/>
        </w:rPr>
        <w:footnoteReference w:id="8"/>
      </w:r>
      <w:r w:rsidR="00F925CE">
        <w:t xml:space="preserve"> It is easy to believe that if a writer was truly biased, notes such as </w:t>
      </w:r>
      <w:r w:rsidR="00015621">
        <w:t xml:space="preserve">these would not have been made, or at least not readily admitted to. </w:t>
      </w:r>
    </w:p>
    <w:p w14:paraId="60D2694C" w14:textId="34AD9EDC" w:rsidR="00DB608B" w:rsidRDefault="009A5034" w:rsidP="00A212AE">
      <w:r>
        <w:tab/>
      </w:r>
      <w:r w:rsidR="00AD1AB0">
        <w:t xml:space="preserve">By Carolyn Dewald’s count, </w:t>
      </w:r>
      <w:r w:rsidR="00F4299B">
        <w:t xml:space="preserve">there are 375 passages in the </w:t>
      </w:r>
      <w:r w:rsidR="00F4299B">
        <w:rPr>
          <w:i/>
        </w:rPr>
        <w:t xml:space="preserve">Histories </w:t>
      </w:r>
      <w:r w:rsidR="00F4299B">
        <w:t>that involve women of all classes and calibers.</w:t>
      </w:r>
      <w:r w:rsidR="00F4299B">
        <w:rPr>
          <w:rStyle w:val="FootnoteReference"/>
        </w:rPr>
        <w:footnoteReference w:id="9"/>
      </w:r>
      <w:r w:rsidR="00B86774">
        <w:t xml:space="preserve"> </w:t>
      </w:r>
      <w:r w:rsidR="005F07E7">
        <w:t xml:space="preserve">She makes a similar interesting point questioning the kind of behaviour that Herodotus allows and his overall views on women, and also notes that they are dependent on another figure as a relative or wife. </w:t>
      </w:r>
      <w:r w:rsidR="00A229CD">
        <w:t xml:space="preserve">She relates this less to his respect of women, and more so accuses him of taking away their unique identity. </w:t>
      </w:r>
      <w:r w:rsidR="00945D0F">
        <w:t>In fact, Dewald notes that there are only three instances in which a woman acts against her husband’s interests.</w:t>
      </w:r>
      <w:r w:rsidR="002E597E">
        <w:rPr>
          <w:rStyle w:val="FootnoteReference"/>
        </w:rPr>
        <w:footnoteReference w:id="10"/>
      </w:r>
      <w:r w:rsidR="007F4A1B">
        <w:t xml:space="preserve"> I consider this to be extremely significant.</w:t>
      </w:r>
      <w:r w:rsidR="00945D0F">
        <w:t xml:space="preserve"> </w:t>
      </w:r>
      <w:r w:rsidR="00C30FE5">
        <w:t>Personally, I prefer Dewald’s stance on the matter</w:t>
      </w:r>
      <w:r w:rsidR="002416DE">
        <w:t xml:space="preserve"> over Larson’s</w:t>
      </w:r>
      <w:r w:rsidR="00C30FE5">
        <w:t xml:space="preserve"> as I struggle to accept that omitting one’s name is a sign of respect of both their identity, and</w:t>
      </w:r>
      <w:r w:rsidR="00047CC9">
        <w:t xml:space="preserve"> of</w:t>
      </w:r>
      <w:r w:rsidR="00C30FE5">
        <w:t xml:space="preserve"> their actions as an individual rather than acting on someone else’s behalf. </w:t>
      </w:r>
    </w:p>
    <w:p w14:paraId="23E96CB6" w14:textId="06A43A79" w:rsidR="009A5034" w:rsidRDefault="00DB608B" w:rsidP="00A212AE">
      <w:r>
        <w:tab/>
      </w:r>
      <w:r w:rsidR="00D61FB9">
        <w:t>The two most notably omitted</w:t>
      </w:r>
      <w:r w:rsidR="003C3CF0">
        <w:t xml:space="preserve"> Persian</w:t>
      </w:r>
      <w:r w:rsidR="00D61FB9">
        <w:t xml:space="preserve"> women in his </w:t>
      </w:r>
      <w:r w:rsidR="00D61FB9">
        <w:rPr>
          <w:i/>
        </w:rPr>
        <w:t xml:space="preserve">Histories </w:t>
      </w:r>
      <w:r w:rsidR="00D61FB9">
        <w:t xml:space="preserve">are the wives of Kandaules and Masistes. </w:t>
      </w:r>
      <w:r>
        <w:t xml:space="preserve">What is interesting is that these women act incredibly differently yet they are both awarded the same nameless honour in Herodotus’s writing. </w:t>
      </w:r>
      <w:r w:rsidR="00AD5CB4">
        <w:t>Kandaules’</w:t>
      </w:r>
      <w:r w:rsidR="00762375">
        <w:t xml:space="preserve"> wife feels incredibly violate</w:t>
      </w:r>
      <w:r w:rsidR="00D81438">
        <w:t xml:space="preserve">d by her husband’s exhibitionist behaviour </w:t>
      </w:r>
      <w:r w:rsidR="001E16D5">
        <w:t>and believes that it is di</w:t>
      </w:r>
      <w:r w:rsidR="00CC3905">
        <w:t>shonourable to be seen naked by an</w:t>
      </w:r>
      <w:r w:rsidR="00A72756">
        <w:t>y</w:t>
      </w:r>
      <w:r w:rsidR="00CC3905">
        <w:t xml:space="preserve"> </w:t>
      </w:r>
      <w:r w:rsidR="005B600E">
        <w:t xml:space="preserve">man </w:t>
      </w:r>
      <w:r w:rsidR="00CC3905">
        <w:t xml:space="preserve">other than her husband. </w:t>
      </w:r>
      <w:r w:rsidR="009F0714">
        <w:t xml:space="preserve">In order to seek revenge for this behaviour, Kandaules’ wife orders for her observer to kill her husband, </w:t>
      </w:r>
      <w:r w:rsidR="00520CDF">
        <w:t xml:space="preserve">or he will be killed himself. </w:t>
      </w:r>
      <w:r w:rsidR="00873F2E">
        <w:t>In this instance, Kandaules’ wife acts in her ow</w:t>
      </w:r>
      <w:r w:rsidR="00AE56F7">
        <w:t>n interest against her husband.</w:t>
      </w:r>
      <w:r w:rsidR="00AE56F7">
        <w:rPr>
          <w:rStyle w:val="FootnoteReference"/>
        </w:rPr>
        <w:footnoteReference w:id="11"/>
      </w:r>
      <w:r w:rsidR="00B516AE">
        <w:t xml:space="preserve"> On the other hand, Masistes’ wife is an innoc</w:t>
      </w:r>
      <w:r w:rsidR="008F40FB">
        <w:t>ent party who is acted against.</w:t>
      </w:r>
      <w:r w:rsidR="001D3869">
        <w:rPr>
          <w:rStyle w:val="FootnoteReference"/>
        </w:rPr>
        <w:footnoteReference w:id="12"/>
      </w:r>
      <w:r w:rsidR="006A28A8">
        <w:t xml:space="preserve"> The overall respect of Herodotus for Persian culture must have consequently effected his view of </w:t>
      </w:r>
      <w:r w:rsidR="00CE1E98">
        <w:t xml:space="preserve">average behaviour, as it is easy to believe that more high-class matters would have been brought more to his attention. </w:t>
      </w:r>
    </w:p>
    <w:p w14:paraId="62064731" w14:textId="43A5C6E2" w:rsidR="006E0CD4" w:rsidRDefault="00846839" w:rsidP="00A212AE">
      <w:r>
        <w:tab/>
        <w:t xml:space="preserve">The equality in levels of respect evident </w:t>
      </w:r>
      <w:r w:rsidR="006E0CD4">
        <w:t>in Herodotus’s writing</w:t>
      </w:r>
      <w:r w:rsidR="001F633E">
        <w:t xml:space="preserve"> is depicted by who he chooses to name. By omitting the names of Persian women along the same lines as he omits the names of Spartan men, he implies that he views them with the same respect. While I find it difficult to believe that he could respect Persian women without respecting Persian culture, his presentations of each reflect the other. He writes about Persia with great detail and reasonable respect, and this idea is supported by his views of Persian women. If he did not respect Persian culture at all, </w:t>
      </w:r>
      <w:r w:rsidR="00390CF4">
        <w:t>its women would have been placed</w:t>
      </w:r>
      <w:r w:rsidR="001F633E">
        <w:t xml:space="preserve"> on the back burner of his topics, which they were not. I believe that his portrayal of women and their importance in Persia stands as its own evidence that Herodotus at least in some ways was aiming to present Persia in a positive light.</w:t>
      </w:r>
    </w:p>
    <w:p w14:paraId="16CFCA96" w14:textId="77777777" w:rsidR="00A00C90" w:rsidRDefault="00A00C90" w:rsidP="00A212AE"/>
    <w:p w14:paraId="3C9B94B0" w14:textId="77777777" w:rsidR="00A00C90" w:rsidRDefault="00A00C90" w:rsidP="00A212AE"/>
    <w:p w14:paraId="2A9EBDB5" w14:textId="77777777" w:rsidR="00A00C90" w:rsidRDefault="00A00C90" w:rsidP="00A00C90">
      <w:pPr>
        <w:jc w:val="center"/>
        <w:rPr>
          <w:b/>
          <w:sz w:val="32"/>
          <w:szCs w:val="32"/>
          <w:u w:val="single"/>
        </w:rPr>
      </w:pPr>
      <w:r>
        <w:rPr>
          <w:b/>
          <w:sz w:val="32"/>
          <w:szCs w:val="32"/>
          <w:u w:val="single"/>
        </w:rPr>
        <w:t>Bibliography</w:t>
      </w:r>
    </w:p>
    <w:p w14:paraId="26E08838" w14:textId="77777777" w:rsidR="00A00C90" w:rsidRDefault="00A00C90" w:rsidP="00A00C90">
      <w:pPr>
        <w:jc w:val="center"/>
        <w:rPr>
          <w:b/>
          <w:sz w:val="32"/>
          <w:szCs w:val="32"/>
          <w:u w:val="single"/>
        </w:rPr>
      </w:pPr>
    </w:p>
    <w:p w14:paraId="0ED6A06B" w14:textId="77777777" w:rsidR="00A00C90" w:rsidRDefault="00A00C90" w:rsidP="00A00C90">
      <w:pPr>
        <w:jc w:val="center"/>
        <w:rPr>
          <w:b/>
          <w:sz w:val="32"/>
          <w:szCs w:val="32"/>
          <w:u w:val="single"/>
        </w:rPr>
      </w:pPr>
    </w:p>
    <w:p w14:paraId="5AD4D4B4" w14:textId="77777777" w:rsidR="00A00C90" w:rsidRDefault="00A00C90" w:rsidP="00A00C90">
      <w:pPr>
        <w:jc w:val="center"/>
        <w:rPr>
          <w:b/>
          <w:sz w:val="32"/>
          <w:szCs w:val="32"/>
          <w:u w:val="single"/>
        </w:rPr>
      </w:pPr>
    </w:p>
    <w:p w14:paraId="31F0E132" w14:textId="77777777" w:rsidR="00A00C90" w:rsidRDefault="00A00C90" w:rsidP="00A00C90">
      <w:r>
        <w:t>Ancient:</w:t>
      </w:r>
    </w:p>
    <w:p w14:paraId="00FC12E9" w14:textId="77777777" w:rsidR="00A00C90" w:rsidRDefault="00A00C90" w:rsidP="00A00C90"/>
    <w:p w14:paraId="616E1CA8" w14:textId="77777777" w:rsidR="00A00C90" w:rsidRDefault="00A00C90" w:rsidP="00A00C90">
      <w:r w:rsidRPr="003B2707">
        <w:t xml:space="preserve">Herodotus, </w:t>
      </w:r>
      <w:r w:rsidRPr="003B2707">
        <w:rPr>
          <w:i/>
        </w:rPr>
        <w:t xml:space="preserve">The Histories. </w:t>
      </w:r>
      <w:r w:rsidRPr="003B2707">
        <w:t>Godley (trans.). 1920. Cambridge: Harvard University</w:t>
      </w:r>
      <w:r>
        <w:t xml:space="preserve"> Press</w:t>
      </w:r>
    </w:p>
    <w:p w14:paraId="584E32B8" w14:textId="77777777" w:rsidR="00A00C90" w:rsidRDefault="00A00C90" w:rsidP="00A00C90"/>
    <w:p w14:paraId="4AFCB268" w14:textId="77777777" w:rsidR="00A00C90" w:rsidRPr="008C46C1" w:rsidRDefault="00A00C90" w:rsidP="00A00C90">
      <w:r w:rsidRPr="008C46C1">
        <w:rPr>
          <w:rFonts w:hint="eastAsia"/>
        </w:rPr>
        <w:t>Herodotus, Strassler,</w:t>
      </w:r>
      <w:r>
        <w:t xml:space="preserve"> R. B.,</w:t>
      </w:r>
      <w:r w:rsidRPr="008C46C1">
        <w:rPr>
          <w:rFonts w:hint="eastAsia"/>
        </w:rPr>
        <w:t xml:space="preserve"> and Purvis</w:t>
      </w:r>
      <w:r>
        <w:t>, A. L</w:t>
      </w:r>
      <w:r w:rsidRPr="008C46C1">
        <w:rPr>
          <w:rFonts w:hint="eastAsia"/>
        </w:rPr>
        <w:t>. 2007. </w:t>
      </w:r>
      <w:r w:rsidRPr="008C46C1">
        <w:rPr>
          <w:rFonts w:hint="eastAsia"/>
          <w:i/>
          <w:iCs/>
        </w:rPr>
        <w:t>The Landmark Herodotus: the histories</w:t>
      </w:r>
      <w:r w:rsidRPr="008C46C1">
        <w:rPr>
          <w:rFonts w:hint="eastAsia"/>
        </w:rPr>
        <w:t>. New York: Pantheon Books</w:t>
      </w:r>
    </w:p>
    <w:p w14:paraId="5B551965" w14:textId="77777777" w:rsidR="00A00C90" w:rsidRDefault="00A00C90" w:rsidP="00A00C90"/>
    <w:p w14:paraId="6ABC1AD2" w14:textId="77777777" w:rsidR="00A00C90" w:rsidRDefault="00A00C90" w:rsidP="00A00C90">
      <w:r>
        <w:t>Modern:</w:t>
      </w:r>
    </w:p>
    <w:p w14:paraId="4D5DD00B" w14:textId="77777777" w:rsidR="00A00C90" w:rsidRDefault="00A00C90" w:rsidP="00A00C90"/>
    <w:p w14:paraId="23030319" w14:textId="77777777" w:rsidR="00A00C90" w:rsidRDefault="00A00C90" w:rsidP="00A00C90">
      <w:r w:rsidRPr="00B46CB9">
        <w:t>Bigwood, J. M. </w:t>
      </w:r>
      <w:r w:rsidRPr="00B46CB9">
        <w:rPr>
          <w:i/>
          <w:iCs/>
        </w:rPr>
        <w:t>Phoenix</w:t>
      </w:r>
      <w:r w:rsidRPr="00B46CB9">
        <w:t>, vol. 45, no. 1, 1991, pp. 68–71</w:t>
      </w:r>
    </w:p>
    <w:p w14:paraId="459AAC66" w14:textId="77777777" w:rsidR="00A00C90" w:rsidRDefault="00A00C90" w:rsidP="00A00C90"/>
    <w:p w14:paraId="59D4A87C" w14:textId="77777777" w:rsidR="00A00C90" w:rsidRPr="00034DBE" w:rsidRDefault="00A00C90" w:rsidP="00A00C90">
      <w:r>
        <w:t>Dewald, C</w:t>
      </w:r>
      <w:r w:rsidRPr="00034DBE">
        <w:t>. “Biology and Politics: Women in Herodotus' ‘Histories.’” </w:t>
      </w:r>
      <w:r w:rsidRPr="00034DBE">
        <w:rPr>
          <w:i/>
          <w:iCs/>
        </w:rPr>
        <w:t>Pacific Coast Philology</w:t>
      </w:r>
      <w:r w:rsidRPr="00034DBE">
        <w:t>, vol. 15, 1980, pp. 11–18</w:t>
      </w:r>
    </w:p>
    <w:p w14:paraId="4E50784F" w14:textId="77777777" w:rsidR="00A00C90" w:rsidRDefault="00A00C90" w:rsidP="00A00C90"/>
    <w:p w14:paraId="002451AF" w14:textId="77777777" w:rsidR="00A00C90" w:rsidRDefault="00A00C90" w:rsidP="00A00C90">
      <w:r>
        <w:t>Flower, M. 2006</w:t>
      </w:r>
      <w:r w:rsidRPr="00B820E6">
        <w:t>. Herodotus and Persia. In C. Dewald &amp; J. Marincola (Eds.), </w:t>
      </w:r>
      <w:r w:rsidRPr="00B820E6">
        <w:rPr>
          <w:i/>
          <w:iCs/>
        </w:rPr>
        <w:t>The Cambridge Companion to Herodotus</w:t>
      </w:r>
      <w:r w:rsidRPr="00B820E6">
        <w:t> (Cambridge Companions to Literature, pp. 274-289). Cambridge: Cambridge University Press</w:t>
      </w:r>
    </w:p>
    <w:p w14:paraId="0C5E5808" w14:textId="77777777" w:rsidR="00A00C90" w:rsidRDefault="00A00C90" w:rsidP="00A00C90"/>
    <w:p w14:paraId="1A63D9E4" w14:textId="77777777" w:rsidR="00A00C90" w:rsidRDefault="00A00C90" w:rsidP="00A00C90">
      <w:r>
        <w:t>Fornara, C.</w:t>
      </w:r>
      <w:r w:rsidRPr="00B77BCB">
        <w:t>W. “Herodotus' Knowledge of the Archidamian War.” </w:t>
      </w:r>
      <w:r w:rsidRPr="00B77BCB">
        <w:rPr>
          <w:i/>
          <w:iCs/>
        </w:rPr>
        <w:t>Hermes</w:t>
      </w:r>
      <w:r w:rsidRPr="00B77BCB">
        <w:t>, vol. 109, no. 2, 1981, pp. 149–156</w:t>
      </w:r>
    </w:p>
    <w:p w14:paraId="03AABD6A" w14:textId="77777777" w:rsidR="00A00C90" w:rsidRDefault="00A00C90" w:rsidP="00A00C90"/>
    <w:p w14:paraId="48313B93" w14:textId="77777777" w:rsidR="00A00C90" w:rsidRDefault="00A00C90" w:rsidP="00A00C90">
      <w:r>
        <w:t>Grethlein, J</w:t>
      </w:r>
      <w:r w:rsidRPr="00B77BCB">
        <w:t>. “How Not to Do History: Xerxes in Herodotus' ‘Histories.’” </w:t>
      </w:r>
      <w:r w:rsidRPr="00B77BCB">
        <w:rPr>
          <w:i/>
          <w:iCs/>
        </w:rPr>
        <w:t>The American Journal of Philology</w:t>
      </w:r>
      <w:r w:rsidRPr="00B77BCB">
        <w:t>, vol. 130, no. 2, 2009, pp. 195–218</w:t>
      </w:r>
    </w:p>
    <w:p w14:paraId="23C7511B" w14:textId="77777777" w:rsidR="00A00C90" w:rsidRDefault="00A00C90" w:rsidP="00A00C90"/>
    <w:p w14:paraId="307F3ABF" w14:textId="77777777" w:rsidR="00A00C90" w:rsidRDefault="00A00C90" w:rsidP="00A00C90">
      <w:r>
        <w:t>Larson, S</w:t>
      </w:r>
      <w:r w:rsidRPr="00166AFC">
        <w:t>. “Kandaules' Wife, Masistes' Wife: Herodotus' Narrative Strategy in Suppressing Names of Women: (Hdt. 1.8-12 and 9.108-13).” </w:t>
      </w:r>
      <w:r w:rsidRPr="00166AFC">
        <w:rPr>
          <w:i/>
          <w:iCs/>
        </w:rPr>
        <w:t>The Classical Journal</w:t>
      </w:r>
      <w:r w:rsidRPr="00166AFC">
        <w:t>, vol. 101, no. 3, 2006, pp. 225–244</w:t>
      </w:r>
    </w:p>
    <w:p w14:paraId="1BFD853C" w14:textId="77777777" w:rsidR="00A00C90" w:rsidRDefault="00A00C90" w:rsidP="00A00C90"/>
    <w:p w14:paraId="67ED0C16" w14:textId="77777777" w:rsidR="00A00C90" w:rsidRPr="00596758" w:rsidRDefault="00A00C90" w:rsidP="00A00C90">
      <w:r>
        <w:t>Lateiner, D.</w:t>
      </w:r>
      <w:r w:rsidRPr="00596758">
        <w:t xml:space="preserve"> 1989. </w:t>
      </w:r>
      <w:r>
        <w:rPr>
          <w:i/>
          <w:iCs/>
        </w:rPr>
        <w:t>The Historical M</w:t>
      </w:r>
      <w:r w:rsidRPr="00596758">
        <w:rPr>
          <w:i/>
          <w:iCs/>
        </w:rPr>
        <w:t>ethod of Herodotus</w:t>
      </w:r>
      <w:r>
        <w:t>. Toronto:</w:t>
      </w:r>
      <w:r w:rsidRPr="00596758">
        <w:t xml:space="preserve"> University of Toronto Press</w:t>
      </w:r>
    </w:p>
    <w:p w14:paraId="0BF5982A" w14:textId="77777777" w:rsidR="00A00C90" w:rsidRDefault="00A00C90" w:rsidP="00A00C90"/>
    <w:p w14:paraId="67DB3382" w14:textId="77777777" w:rsidR="00A00C90" w:rsidRDefault="00A00C90" w:rsidP="00A00C90"/>
    <w:p w14:paraId="5F540187" w14:textId="77777777" w:rsidR="00A00C90" w:rsidRDefault="00A00C90" w:rsidP="00A00C90">
      <w:r>
        <w:t xml:space="preserve">Lockhart, L. 1953. Persia as Seen by the West. In Arberry, A.J (ed.) </w:t>
      </w:r>
      <w:r w:rsidRPr="00953AAF">
        <w:rPr>
          <w:i/>
          <w:iCs/>
        </w:rPr>
        <w:t>The legacy of Persia</w:t>
      </w:r>
      <w:r w:rsidRPr="00953AAF">
        <w:t>, Oxford: Clarendon Press</w:t>
      </w:r>
    </w:p>
    <w:p w14:paraId="34CB8930" w14:textId="77777777" w:rsidR="00A00C90" w:rsidRDefault="00A00C90" w:rsidP="00A00C90"/>
    <w:p w14:paraId="7F5AB48D" w14:textId="77777777" w:rsidR="00A00C90" w:rsidRDefault="00A00C90" w:rsidP="00A00C90">
      <w:r>
        <w:t>Munson</w:t>
      </w:r>
      <w:r w:rsidRPr="00B77BCB">
        <w:t xml:space="preserve">, </w:t>
      </w:r>
      <w:r>
        <w:t>R.V</w:t>
      </w:r>
      <w:r w:rsidRPr="00B77BCB">
        <w:t>. “Who Are Herodotus' Persians?” </w:t>
      </w:r>
      <w:r w:rsidRPr="00B77BCB">
        <w:rPr>
          <w:i/>
          <w:iCs/>
        </w:rPr>
        <w:t>The Classical World</w:t>
      </w:r>
      <w:r w:rsidRPr="00B77BCB">
        <w:t>, vol. 102, no. 4, 2009, pp. 457–470</w:t>
      </w:r>
    </w:p>
    <w:p w14:paraId="37A4069E" w14:textId="77777777" w:rsidR="00A00C90" w:rsidRPr="00D61FB9" w:rsidRDefault="00A00C90" w:rsidP="00A212AE">
      <w:bookmarkStart w:id="0" w:name="_GoBack"/>
      <w:bookmarkEnd w:id="0"/>
    </w:p>
    <w:p w14:paraId="763BE19D" w14:textId="724B3B3E" w:rsidR="00176F7E" w:rsidRDefault="00176F7E" w:rsidP="00A212AE">
      <w:r>
        <w:tab/>
      </w:r>
    </w:p>
    <w:p w14:paraId="0C9973D6" w14:textId="75FD89BE" w:rsidR="004D2F30" w:rsidRDefault="004D2F30" w:rsidP="00A212AE">
      <w:r>
        <w:tab/>
      </w:r>
    </w:p>
    <w:p w14:paraId="43F1D789" w14:textId="2FE685D3" w:rsidR="00F05F9D" w:rsidRDefault="00F05F9D" w:rsidP="00A212AE">
      <w:r>
        <w:tab/>
      </w:r>
    </w:p>
    <w:p w14:paraId="7BBBC468" w14:textId="6D6ACA6E" w:rsidR="0001540F" w:rsidRPr="00A212AE" w:rsidRDefault="0001540F" w:rsidP="00A212AE">
      <w:r>
        <w:tab/>
      </w:r>
    </w:p>
    <w:p w14:paraId="3AD375E1" w14:textId="77777777" w:rsidR="00623B49" w:rsidRDefault="00623B49" w:rsidP="00623B49">
      <w:pPr>
        <w:jc w:val="center"/>
        <w:rPr>
          <w:b/>
          <w:sz w:val="32"/>
          <w:szCs w:val="32"/>
          <w:u w:val="single"/>
        </w:rPr>
      </w:pPr>
    </w:p>
    <w:p w14:paraId="5D5E1B58" w14:textId="77777777" w:rsidR="00623B49" w:rsidRDefault="00623B49" w:rsidP="00623B49"/>
    <w:p w14:paraId="7E4BDA4E" w14:textId="77777777" w:rsidR="00623B49" w:rsidRDefault="00623B49" w:rsidP="00623B49"/>
    <w:p w14:paraId="3F02CC49" w14:textId="77777777" w:rsidR="00623B49" w:rsidRPr="00623B49" w:rsidRDefault="00623B49" w:rsidP="00623B49"/>
    <w:sectPr w:rsidR="00623B49" w:rsidRPr="00623B49" w:rsidSect="00705F8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6455B52" w14:textId="77777777" w:rsidR="00D749D2" w:rsidRDefault="00D749D2" w:rsidP="00BE5EA6">
      <w:r>
        <w:separator/>
      </w:r>
    </w:p>
  </w:endnote>
  <w:endnote w:type="continuationSeparator" w:id="0">
    <w:p w14:paraId="084C4BED" w14:textId="77777777" w:rsidR="00D749D2" w:rsidRDefault="00D749D2" w:rsidP="00BE5EA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Calibri">
    <w:panose1 w:val="020F0502020204030204"/>
    <w:charset w:val="00"/>
    <w:family w:val="auto"/>
    <w:pitch w:val="variable"/>
    <w:sig w:usb0="E00002FF" w:usb1="4000ACFF" w:usb2="00000001" w:usb3="00000000" w:csb0="0000019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6C7A893" w14:textId="77777777" w:rsidR="00D749D2" w:rsidRDefault="00D749D2" w:rsidP="00BE5EA6">
      <w:r>
        <w:separator/>
      </w:r>
    </w:p>
  </w:footnote>
  <w:footnote w:type="continuationSeparator" w:id="0">
    <w:p w14:paraId="73607ECF" w14:textId="77777777" w:rsidR="00D749D2" w:rsidRDefault="00D749D2" w:rsidP="00BE5EA6">
      <w:r>
        <w:continuationSeparator/>
      </w:r>
    </w:p>
  </w:footnote>
  <w:footnote w:id="1">
    <w:p w14:paraId="634B4230" w14:textId="756FCA31" w:rsidR="00BE5EA6" w:rsidRDefault="00BE5EA6">
      <w:pPr>
        <w:pStyle w:val="FootnoteText"/>
      </w:pPr>
      <w:r>
        <w:rPr>
          <w:rStyle w:val="FootnoteReference"/>
        </w:rPr>
        <w:footnoteRef/>
      </w:r>
      <w:r>
        <w:t xml:space="preserve"> Larson 2006: 226</w:t>
      </w:r>
    </w:p>
  </w:footnote>
  <w:footnote w:id="2">
    <w:p w14:paraId="4B5EE2A1" w14:textId="398DA5AA" w:rsidR="00820339" w:rsidRDefault="00820339">
      <w:pPr>
        <w:pStyle w:val="FootnoteText"/>
      </w:pPr>
      <w:r>
        <w:rPr>
          <w:rStyle w:val="FootnoteReference"/>
        </w:rPr>
        <w:footnoteRef/>
      </w:r>
      <w:r>
        <w:t xml:space="preserve"> Hdt. 7.224.1.</w:t>
      </w:r>
    </w:p>
  </w:footnote>
  <w:footnote w:id="3">
    <w:p w14:paraId="3E9C4359" w14:textId="765BC9A3" w:rsidR="005026E6" w:rsidRDefault="005026E6">
      <w:pPr>
        <w:pStyle w:val="FootnoteText"/>
      </w:pPr>
      <w:r>
        <w:rPr>
          <w:rStyle w:val="FootnoteReference"/>
        </w:rPr>
        <w:footnoteRef/>
      </w:r>
      <w:r>
        <w:t xml:space="preserve"> Lateiner 1989: </w:t>
      </w:r>
      <w:r w:rsidR="00BC0557">
        <w:t xml:space="preserve">68; Larson 2006: 228; </w:t>
      </w:r>
      <w:r w:rsidR="00CF2E4D">
        <w:t>somewhat in Bigwood 1991:</w:t>
      </w:r>
      <w:r w:rsidR="00ED5E01">
        <w:t xml:space="preserve"> 70 who quite negatively reviewed</w:t>
      </w:r>
      <w:r w:rsidR="00CF2E4D">
        <w:t xml:space="preserve"> Lateiner’s work.</w:t>
      </w:r>
    </w:p>
  </w:footnote>
  <w:footnote w:id="4">
    <w:p w14:paraId="67AA955D" w14:textId="21E52CF0" w:rsidR="00311891" w:rsidRDefault="00311891">
      <w:pPr>
        <w:pStyle w:val="FootnoteText"/>
      </w:pPr>
      <w:r>
        <w:rPr>
          <w:rStyle w:val="FootnoteReference"/>
        </w:rPr>
        <w:footnoteRef/>
      </w:r>
      <w:r w:rsidR="005C0B56">
        <w:t xml:space="preserve"> Hdt. 9.112</w:t>
      </w:r>
      <w:r w:rsidR="00C32925">
        <w:t>.</w:t>
      </w:r>
    </w:p>
  </w:footnote>
  <w:footnote w:id="5">
    <w:p w14:paraId="7CD3EF17" w14:textId="233BAD4E" w:rsidR="004B2468" w:rsidRDefault="004B2468">
      <w:pPr>
        <w:pStyle w:val="FootnoteText"/>
      </w:pPr>
      <w:r>
        <w:rPr>
          <w:rStyle w:val="FootnoteReference"/>
        </w:rPr>
        <w:footnoteRef/>
      </w:r>
      <w:r>
        <w:t xml:space="preserve"> Hdt. 1.134.2.</w:t>
      </w:r>
    </w:p>
  </w:footnote>
  <w:footnote w:id="6">
    <w:p w14:paraId="55F02B80" w14:textId="488BC037" w:rsidR="00ED5FF0" w:rsidRDefault="00ED5FF0">
      <w:pPr>
        <w:pStyle w:val="FootnoteText"/>
      </w:pPr>
      <w:r>
        <w:rPr>
          <w:rStyle w:val="FootnoteReference"/>
        </w:rPr>
        <w:footnoteRef/>
      </w:r>
      <w:r>
        <w:t xml:space="preserve"> Lockhart 1953: 321</w:t>
      </w:r>
    </w:p>
  </w:footnote>
  <w:footnote w:id="7">
    <w:p w14:paraId="02397AC5" w14:textId="173FBA20" w:rsidR="00C77F10" w:rsidRDefault="00C77F10">
      <w:pPr>
        <w:pStyle w:val="FootnoteText"/>
      </w:pPr>
      <w:r>
        <w:rPr>
          <w:rStyle w:val="FootnoteReference"/>
        </w:rPr>
        <w:footnoteRef/>
      </w:r>
      <w:r w:rsidR="00D722B4">
        <w:t xml:space="preserve"> Lockhart 1953: 322</w:t>
      </w:r>
    </w:p>
  </w:footnote>
  <w:footnote w:id="8">
    <w:p w14:paraId="1EB1742F" w14:textId="15C6B3F9" w:rsidR="00D005C9" w:rsidRDefault="00D005C9">
      <w:pPr>
        <w:pStyle w:val="FootnoteText"/>
      </w:pPr>
      <w:r>
        <w:rPr>
          <w:rStyle w:val="FootnoteReference"/>
        </w:rPr>
        <w:footnoteRef/>
      </w:r>
      <w:r>
        <w:t xml:space="preserve"> Lockhart 1953: 322</w:t>
      </w:r>
    </w:p>
  </w:footnote>
  <w:footnote w:id="9">
    <w:p w14:paraId="24D2F02F" w14:textId="79444C22" w:rsidR="00F4299B" w:rsidRDefault="00F4299B">
      <w:pPr>
        <w:pStyle w:val="FootnoteText"/>
      </w:pPr>
      <w:r>
        <w:rPr>
          <w:rStyle w:val="FootnoteReference"/>
        </w:rPr>
        <w:footnoteRef/>
      </w:r>
      <w:r>
        <w:t xml:space="preserve"> Dewald 1980: 12</w:t>
      </w:r>
    </w:p>
  </w:footnote>
  <w:footnote w:id="10">
    <w:p w14:paraId="06E86700" w14:textId="68F706D5" w:rsidR="002E597E" w:rsidRDefault="002E597E">
      <w:pPr>
        <w:pStyle w:val="FootnoteText"/>
      </w:pPr>
      <w:r>
        <w:rPr>
          <w:rStyle w:val="FootnoteReference"/>
        </w:rPr>
        <w:footnoteRef/>
      </w:r>
      <w:r>
        <w:t xml:space="preserve"> Dewald 1980: 14</w:t>
      </w:r>
    </w:p>
  </w:footnote>
  <w:footnote w:id="11">
    <w:p w14:paraId="5E3CECE3" w14:textId="6E496E31" w:rsidR="00AE56F7" w:rsidRDefault="00AE56F7">
      <w:pPr>
        <w:pStyle w:val="FootnoteText"/>
      </w:pPr>
      <w:r>
        <w:rPr>
          <w:rStyle w:val="FootnoteReference"/>
        </w:rPr>
        <w:footnoteRef/>
      </w:r>
      <w:r>
        <w:t xml:space="preserve"> Hdt. 1.11.</w:t>
      </w:r>
    </w:p>
  </w:footnote>
  <w:footnote w:id="12">
    <w:p w14:paraId="08073849" w14:textId="182D04E9" w:rsidR="001D3869" w:rsidRDefault="001D3869">
      <w:pPr>
        <w:pStyle w:val="FootnoteText"/>
      </w:pPr>
      <w:r>
        <w:rPr>
          <w:rStyle w:val="FootnoteReference"/>
        </w:rPr>
        <w:footnoteRef/>
      </w:r>
      <w:r>
        <w:t xml:space="preserve"> Hdt. 9.112</w:t>
      </w:r>
      <w:r w:rsidR="00296A09">
        <w:t>.</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activeWritingStyle w:appName="MSWord" w:lang="en-US" w:vendorID="64" w:dllVersion="131078" w:nlCheck="1" w:checkStyle="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23B49"/>
    <w:rsid w:val="00004BDD"/>
    <w:rsid w:val="0001540F"/>
    <w:rsid w:val="00015621"/>
    <w:rsid w:val="00015793"/>
    <w:rsid w:val="00037FCF"/>
    <w:rsid w:val="00047CC9"/>
    <w:rsid w:val="00061BDA"/>
    <w:rsid w:val="00062951"/>
    <w:rsid w:val="00070256"/>
    <w:rsid w:val="00084FB6"/>
    <w:rsid w:val="0009075C"/>
    <w:rsid w:val="000B67A7"/>
    <w:rsid w:val="001164FD"/>
    <w:rsid w:val="00152DFF"/>
    <w:rsid w:val="00157626"/>
    <w:rsid w:val="00157933"/>
    <w:rsid w:val="00176F7E"/>
    <w:rsid w:val="001A2B63"/>
    <w:rsid w:val="001B5CBB"/>
    <w:rsid w:val="001D3869"/>
    <w:rsid w:val="001D7774"/>
    <w:rsid w:val="001E16D5"/>
    <w:rsid w:val="001F515B"/>
    <w:rsid w:val="001F633E"/>
    <w:rsid w:val="00233075"/>
    <w:rsid w:val="002416DE"/>
    <w:rsid w:val="00290E82"/>
    <w:rsid w:val="002967F0"/>
    <w:rsid w:val="00296A09"/>
    <w:rsid w:val="002C49A0"/>
    <w:rsid w:val="002E597E"/>
    <w:rsid w:val="002F25DC"/>
    <w:rsid w:val="00311891"/>
    <w:rsid w:val="00390094"/>
    <w:rsid w:val="00390CF4"/>
    <w:rsid w:val="003B1D45"/>
    <w:rsid w:val="003B62FD"/>
    <w:rsid w:val="003B64E1"/>
    <w:rsid w:val="003C3CF0"/>
    <w:rsid w:val="003F1FBD"/>
    <w:rsid w:val="00420B81"/>
    <w:rsid w:val="00421C50"/>
    <w:rsid w:val="00455A96"/>
    <w:rsid w:val="00481B9B"/>
    <w:rsid w:val="0049592B"/>
    <w:rsid w:val="004A6783"/>
    <w:rsid w:val="004A770A"/>
    <w:rsid w:val="004B2468"/>
    <w:rsid w:val="004D2F30"/>
    <w:rsid w:val="004D5B82"/>
    <w:rsid w:val="004F0086"/>
    <w:rsid w:val="005026E6"/>
    <w:rsid w:val="00520CDF"/>
    <w:rsid w:val="00584FEB"/>
    <w:rsid w:val="00593A51"/>
    <w:rsid w:val="005B600E"/>
    <w:rsid w:val="005C0B56"/>
    <w:rsid w:val="005F07E7"/>
    <w:rsid w:val="005F255E"/>
    <w:rsid w:val="00623B49"/>
    <w:rsid w:val="006553C5"/>
    <w:rsid w:val="006A28A8"/>
    <w:rsid w:val="006E0B4A"/>
    <w:rsid w:val="006E0CD4"/>
    <w:rsid w:val="006F478B"/>
    <w:rsid w:val="00705F83"/>
    <w:rsid w:val="007527DA"/>
    <w:rsid w:val="00762375"/>
    <w:rsid w:val="007C68CD"/>
    <w:rsid w:val="007D0453"/>
    <w:rsid w:val="007D3FB1"/>
    <w:rsid w:val="007F4A1B"/>
    <w:rsid w:val="00812B3C"/>
    <w:rsid w:val="00820339"/>
    <w:rsid w:val="00821A90"/>
    <w:rsid w:val="008329DE"/>
    <w:rsid w:val="00846839"/>
    <w:rsid w:val="00873F2E"/>
    <w:rsid w:val="008A6D1D"/>
    <w:rsid w:val="008E387E"/>
    <w:rsid w:val="008F40FB"/>
    <w:rsid w:val="009065CC"/>
    <w:rsid w:val="00925B43"/>
    <w:rsid w:val="0094045F"/>
    <w:rsid w:val="00945D0F"/>
    <w:rsid w:val="009743EB"/>
    <w:rsid w:val="00975F90"/>
    <w:rsid w:val="009A5034"/>
    <w:rsid w:val="009F0714"/>
    <w:rsid w:val="00A00C90"/>
    <w:rsid w:val="00A03959"/>
    <w:rsid w:val="00A05EE9"/>
    <w:rsid w:val="00A212AE"/>
    <w:rsid w:val="00A229CD"/>
    <w:rsid w:val="00A32502"/>
    <w:rsid w:val="00A72756"/>
    <w:rsid w:val="00AA28F3"/>
    <w:rsid w:val="00AB0CBE"/>
    <w:rsid w:val="00AD1A73"/>
    <w:rsid w:val="00AD1AB0"/>
    <w:rsid w:val="00AD5CB4"/>
    <w:rsid w:val="00AE56F7"/>
    <w:rsid w:val="00B516AE"/>
    <w:rsid w:val="00B55990"/>
    <w:rsid w:val="00B74808"/>
    <w:rsid w:val="00B86774"/>
    <w:rsid w:val="00B9452E"/>
    <w:rsid w:val="00BA4616"/>
    <w:rsid w:val="00BC0557"/>
    <w:rsid w:val="00BE5EA6"/>
    <w:rsid w:val="00BF22B0"/>
    <w:rsid w:val="00C04152"/>
    <w:rsid w:val="00C15FB7"/>
    <w:rsid w:val="00C30FE5"/>
    <w:rsid w:val="00C32925"/>
    <w:rsid w:val="00C52EC1"/>
    <w:rsid w:val="00C77F10"/>
    <w:rsid w:val="00C9045D"/>
    <w:rsid w:val="00C968EF"/>
    <w:rsid w:val="00CC3905"/>
    <w:rsid w:val="00CE1E98"/>
    <w:rsid w:val="00CE3686"/>
    <w:rsid w:val="00CF2E4D"/>
    <w:rsid w:val="00D005C9"/>
    <w:rsid w:val="00D13D63"/>
    <w:rsid w:val="00D20B34"/>
    <w:rsid w:val="00D61A42"/>
    <w:rsid w:val="00D61FB9"/>
    <w:rsid w:val="00D722B4"/>
    <w:rsid w:val="00D749D2"/>
    <w:rsid w:val="00D76BE9"/>
    <w:rsid w:val="00D81438"/>
    <w:rsid w:val="00DA0B68"/>
    <w:rsid w:val="00DA0FC0"/>
    <w:rsid w:val="00DB608B"/>
    <w:rsid w:val="00DE74BB"/>
    <w:rsid w:val="00DF4BDD"/>
    <w:rsid w:val="00E176C2"/>
    <w:rsid w:val="00E471FC"/>
    <w:rsid w:val="00E479F1"/>
    <w:rsid w:val="00E84B11"/>
    <w:rsid w:val="00ED5E01"/>
    <w:rsid w:val="00ED5FF0"/>
    <w:rsid w:val="00F05F9D"/>
    <w:rsid w:val="00F4299B"/>
    <w:rsid w:val="00F42B62"/>
    <w:rsid w:val="00F4596E"/>
    <w:rsid w:val="00F87F07"/>
    <w:rsid w:val="00F925CE"/>
    <w:rsid w:val="00FF550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2A2E140A"/>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heme="minorHAnsi" w:hAnsi="Times New Roman" w:cs="Times New Roman"/>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BE5EA6"/>
  </w:style>
  <w:style w:type="character" w:customStyle="1" w:styleId="FootnoteTextChar">
    <w:name w:val="Footnote Text Char"/>
    <w:basedOn w:val="DefaultParagraphFont"/>
    <w:link w:val="FootnoteText"/>
    <w:uiPriority w:val="99"/>
    <w:rsid w:val="00BE5EA6"/>
  </w:style>
  <w:style w:type="character" w:styleId="FootnoteReference">
    <w:name w:val="footnote reference"/>
    <w:basedOn w:val="DefaultParagraphFont"/>
    <w:uiPriority w:val="99"/>
    <w:unhideWhenUsed/>
    <w:rsid w:val="00BE5EA6"/>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footnotes" Target="footnotes.xml"/><Relationship Id="rId5" Type="http://schemas.openxmlformats.org/officeDocument/2006/relationships/endnotes" Target="endnotes.xml"/><Relationship Id="rId6" Type="http://schemas.openxmlformats.org/officeDocument/2006/relationships/fontTable" Target="fontTable.xml"/><Relationship Id="rId7"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178</TotalTime>
  <Pages>4</Pages>
  <Words>1422</Words>
  <Characters>6916</Characters>
  <Application>Microsoft Macintosh Word</Application>
  <DocSecurity>0</DocSecurity>
  <Lines>119</Lines>
  <Paragraphs>14</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8324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Jordan Kinnicutt</dc:creator>
  <cp:keywords/>
  <dc:description/>
  <cp:lastModifiedBy>Jordan Kinnicutt</cp:lastModifiedBy>
  <cp:revision>368</cp:revision>
  <dcterms:created xsi:type="dcterms:W3CDTF">2019-03-07T21:28:00Z</dcterms:created>
  <dcterms:modified xsi:type="dcterms:W3CDTF">2019-03-08T14:39:00Z</dcterms:modified>
</cp:coreProperties>
</file>