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4DAB1B29" w14:textId="77777777" w:rsidR="005A0DF2" w:rsidRPr="005A0DF2" w:rsidRDefault="005A0DF2" w:rsidP="005A0DF2">
      <w:pPr>
        <w:rPr>
          <w:rFonts w:ascii="Arial"/>
          <w:b/>
          <w:sz w:val="48"/>
          <w:szCs w:val="48"/>
        </w:rPr>
      </w:pPr>
      <w:r w:rsidRPr="005A0DF2">
        <w:rPr>
          <w:rFonts w:ascii="Arial"/>
          <w:b/>
          <w:sz w:val="48"/>
          <w:szCs w:val="48"/>
        </w:rPr>
        <w:t>MODULE CODE:  ECDE7002</w:t>
      </w:r>
    </w:p>
    <w:p w14:paraId="383DCEA2" w14:textId="77777777" w:rsidR="005A0DF2" w:rsidRPr="005A0DF2" w:rsidRDefault="005A0DF2" w:rsidP="005A0DF2">
      <w:pPr>
        <w:rPr>
          <w:rFonts w:ascii="Arial"/>
          <w:b/>
          <w:sz w:val="48"/>
          <w:szCs w:val="48"/>
        </w:rPr>
      </w:pPr>
    </w:p>
    <w:p w14:paraId="362CF56B" w14:textId="69D9E43F" w:rsidR="005A0DF2" w:rsidRPr="005A0DF2" w:rsidRDefault="005A0DF2" w:rsidP="005A0DF2">
      <w:pPr>
        <w:rPr>
          <w:rFonts w:ascii="Arial"/>
          <w:b/>
          <w:sz w:val="48"/>
          <w:szCs w:val="48"/>
        </w:rPr>
      </w:pPr>
      <w:r w:rsidRPr="005A0DF2">
        <w:rPr>
          <w:rFonts w:ascii="Arial"/>
          <w:b/>
          <w:sz w:val="48"/>
          <w:szCs w:val="48"/>
        </w:rPr>
        <w:t xml:space="preserve">ASSESSMENT COMPONENT: Part </w:t>
      </w:r>
      <w:r>
        <w:rPr>
          <w:rFonts w:ascii="Arial"/>
          <w:b/>
          <w:sz w:val="48"/>
          <w:szCs w:val="48"/>
        </w:rPr>
        <w:t>2</w:t>
      </w:r>
      <w:r w:rsidRPr="005A0DF2">
        <w:rPr>
          <w:rFonts w:ascii="Arial"/>
          <w:b/>
          <w:sz w:val="48"/>
          <w:szCs w:val="48"/>
        </w:rPr>
        <w:t xml:space="preserve"> </w:t>
      </w:r>
    </w:p>
    <w:p w14:paraId="75CFD82B" w14:textId="77777777" w:rsidR="005A0DF2" w:rsidRPr="005A0DF2" w:rsidRDefault="005A0DF2" w:rsidP="005A0DF2">
      <w:pPr>
        <w:rPr>
          <w:rFonts w:ascii="Arial"/>
          <w:b/>
          <w:sz w:val="48"/>
          <w:szCs w:val="48"/>
        </w:rPr>
      </w:pPr>
    </w:p>
    <w:p w14:paraId="41A4E2B5" w14:textId="77777777" w:rsidR="005A0DF2" w:rsidRPr="005A0DF2" w:rsidRDefault="005A0DF2" w:rsidP="005A0DF2">
      <w:pPr>
        <w:rPr>
          <w:rFonts w:ascii="Arial"/>
          <w:b/>
          <w:sz w:val="48"/>
          <w:szCs w:val="48"/>
        </w:rPr>
      </w:pPr>
      <w:r w:rsidRPr="005A0DF2">
        <w:rPr>
          <w:rFonts w:ascii="Arial"/>
          <w:b/>
          <w:sz w:val="48"/>
          <w:szCs w:val="48"/>
        </w:rPr>
        <w:t>STUDENT NAME:  Yali Cheng</w:t>
      </w:r>
    </w:p>
    <w:p w14:paraId="6D9A019C" w14:textId="77777777" w:rsidR="005A0DF2" w:rsidRPr="005A0DF2" w:rsidRDefault="005A0DF2" w:rsidP="005A0DF2">
      <w:pPr>
        <w:rPr>
          <w:rFonts w:ascii="Arial"/>
          <w:b/>
          <w:sz w:val="48"/>
          <w:szCs w:val="48"/>
        </w:rPr>
      </w:pPr>
    </w:p>
    <w:p w14:paraId="483C9EEE" w14:textId="77777777" w:rsidR="005A0DF2" w:rsidRPr="005A0DF2" w:rsidRDefault="005A0DF2" w:rsidP="005A0DF2">
      <w:pPr>
        <w:rPr>
          <w:rFonts w:ascii="Arial"/>
          <w:b/>
          <w:sz w:val="48"/>
          <w:szCs w:val="48"/>
        </w:rPr>
      </w:pPr>
      <w:r w:rsidRPr="005A0DF2">
        <w:rPr>
          <w:rFonts w:ascii="Arial"/>
          <w:b/>
          <w:sz w:val="48"/>
          <w:szCs w:val="48"/>
        </w:rPr>
        <w:t>STUDENT NUMBER: 1303249</w:t>
      </w:r>
    </w:p>
    <w:p w14:paraId="58A9E19B" w14:textId="77777777" w:rsidR="005A0DF2" w:rsidRPr="005A0DF2" w:rsidRDefault="005A0DF2" w:rsidP="005A0DF2">
      <w:pPr>
        <w:rPr>
          <w:rFonts w:ascii="Arial"/>
          <w:b/>
          <w:sz w:val="48"/>
          <w:szCs w:val="48"/>
        </w:rPr>
      </w:pPr>
    </w:p>
    <w:p w14:paraId="274DD003" w14:textId="77777777" w:rsidR="00DD5969" w:rsidRDefault="00DD5969" w:rsidP="005A0DF2">
      <w:pPr>
        <w:rPr>
          <w:rFonts w:ascii="Arial"/>
          <w:b/>
          <w:sz w:val="47"/>
        </w:rPr>
      </w:pPr>
    </w:p>
    <w:p w14:paraId="467BE871" w14:textId="77777777" w:rsidR="00347EA1" w:rsidRDefault="00347EA1" w:rsidP="00DD5969">
      <w:pPr>
        <w:ind w:left="100"/>
        <w:rPr>
          <w:rFonts w:ascii="Arial"/>
          <w:b/>
          <w:sz w:val="47"/>
        </w:rPr>
      </w:pPr>
    </w:p>
    <w:p w14:paraId="5C489652" w14:textId="77777777" w:rsidR="005A0DF2" w:rsidRDefault="005A0DF2" w:rsidP="00DD5969">
      <w:pPr>
        <w:ind w:left="100"/>
        <w:rPr>
          <w:rFonts w:ascii="Arial"/>
          <w:b/>
          <w:sz w:val="47"/>
        </w:rPr>
      </w:pPr>
    </w:p>
    <w:p w14:paraId="472E640F" w14:textId="67BBA406" w:rsidR="00DD5969" w:rsidRPr="00192D3C" w:rsidRDefault="00DD5969" w:rsidP="00DD5969">
      <w:pPr>
        <w:ind w:left="100"/>
        <w:rPr>
          <w:rFonts w:ascii="Arial"/>
          <w:b/>
          <w:sz w:val="47"/>
        </w:rPr>
      </w:pPr>
      <w:r w:rsidRPr="00192D3C">
        <w:rPr>
          <w:rFonts w:ascii="Arial"/>
          <w:b/>
          <w:sz w:val="47"/>
        </w:rPr>
        <w:t>Doctorate in Education (EdD)</w:t>
      </w:r>
    </w:p>
    <w:p w14:paraId="4C9C9B74" w14:textId="32AE2462" w:rsidR="00B103B9" w:rsidRPr="004F4AF3" w:rsidRDefault="00B103B9" w:rsidP="00DD5969">
      <w:pPr>
        <w:rPr>
          <w:rFonts w:ascii="Arial" w:hAnsi="Arial" w:cs="Arial"/>
          <w:b/>
          <w:bCs/>
          <w:u w:val="single"/>
        </w:rPr>
      </w:pPr>
      <w:r w:rsidRPr="004F4AF3">
        <w:rPr>
          <w:rFonts w:ascii="Arial" w:hAnsi="Arial" w:cs="Arial"/>
          <w:b/>
          <w:bCs/>
          <w:u w:val="single"/>
        </w:rPr>
        <w:lastRenderedPageBreak/>
        <w:t>AI Acknowledgement</w:t>
      </w:r>
    </w:p>
    <w:p w14:paraId="35F8404C" w14:textId="77777777" w:rsidR="00E243A8" w:rsidRPr="004F4AF3" w:rsidRDefault="00E243A8" w:rsidP="00DD5969">
      <w:pPr>
        <w:rPr>
          <w:rFonts w:ascii="Arial" w:hAnsi="Arial" w:cs="Arial"/>
        </w:rPr>
      </w:pPr>
    </w:p>
    <w:p w14:paraId="667F1D5D" w14:textId="77777777" w:rsidR="004F4AF3" w:rsidRPr="004F4AF3" w:rsidRDefault="004F4AF3" w:rsidP="004F4AF3">
      <w:pPr>
        <w:rPr>
          <w:rFonts w:ascii="Arial" w:hAnsi="Arial" w:cs="Arial"/>
        </w:rPr>
      </w:pPr>
      <w:r w:rsidRPr="004F4AF3">
        <w:rPr>
          <w:rFonts w:ascii="Arial" w:hAnsi="Arial" w:cs="Arial"/>
        </w:rPr>
        <w:t xml:space="preserve">I acknowledge the use of NotebookLM on 20/04/2026 to support my research for discovery prompts for scientific enquiry in early years. I used the prompt(s): </w:t>
      </w:r>
    </w:p>
    <w:p w14:paraId="3596679B" w14:textId="77777777" w:rsidR="004F4AF3" w:rsidRPr="004F4AF3" w:rsidRDefault="004F4AF3" w:rsidP="004F4AF3">
      <w:pPr>
        <w:rPr>
          <w:rFonts w:ascii="Arial" w:hAnsi="Arial" w:cs="Arial"/>
        </w:rPr>
      </w:pPr>
      <w:r w:rsidRPr="004F4AF3">
        <w:rPr>
          <w:rFonts w:ascii="Arial" w:hAnsi="Arial" w:cs="Arial"/>
        </w:rPr>
        <w:t>1. questioning strategies</w:t>
      </w:r>
    </w:p>
    <w:p w14:paraId="66117195" w14:textId="77777777" w:rsidR="004F4AF3" w:rsidRPr="004F4AF3" w:rsidRDefault="004F4AF3" w:rsidP="004F4AF3">
      <w:pPr>
        <w:rPr>
          <w:rFonts w:ascii="Arial" w:hAnsi="Arial" w:cs="Arial"/>
        </w:rPr>
      </w:pPr>
      <w:r w:rsidRPr="004F4AF3">
        <w:rPr>
          <w:rFonts w:ascii="Arial" w:hAnsi="Arial" w:cs="Arial"/>
        </w:rPr>
        <w:t>2. discovery prompts</w:t>
      </w:r>
    </w:p>
    <w:p w14:paraId="463F5DE2" w14:textId="77777777" w:rsidR="004F4AF3" w:rsidRPr="004F4AF3" w:rsidRDefault="004F4AF3" w:rsidP="004F4AF3">
      <w:pPr>
        <w:rPr>
          <w:rFonts w:ascii="Arial" w:hAnsi="Arial" w:cs="Arial"/>
        </w:rPr>
      </w:pPr>
      <w:r w:rsidRPr="004F4AF3">
        <w:rPr>
          <w:rFonts w:ascii="Arial" w:hAnsi="Arial" w:cs="Arial"/>
        </w:rPr>
        <w:t>3. research gaps</w:t>
      </w:r>
    </w:p>
    <w:p w14:paraId="08019181" w14:textId="4D324CF7" w:rsidR="004F4AF3" w:rsidRPr="004F4AF3" w:rsidRDefault="004F4AF3" w:rsidP="004F4AF3">
      <w:pPr>
        <w:rPr>
          <w:rFonts w:ascii="Arial" w:hAnsi="Arial" w:cs="Arial"/>
        </w:rPr>
      </w:pPr>
      <w:r w:rsidRPr="004F4AF3">
        <w:rPr>
          <w:rFonts w:ascii="Arial" w:hAnsi="Arial" w:cs="Arial"/>
        </w:rPr>
        <w:t xml:space="preserve">I confirm that I have not presented any </w:t>
      </w:r>
      <w:r w:rsidR="00573F8C">
        <w:rPr>
          <w:rFonts w:ascii="Arial" w:hAnsi="Arial" w:cs="Arial"/>
        </w:rPr>
        <w:t>AI-generated</w:t>
      </w:r>
      <w:r w:rsidRPr="004F4AF3">
        <w:rPr>
          <w:rFonts w:ascii="Arial" w:hAnsi="Arial" w:cs="Arial"/>
        </w:rPr>
        <w:t xml:space="preserve"> text as my own work. </w:t>
      </w:r>
    </w:p>
    <w:p w14:paraId="3F37B2A4" w14:textId="77777777" w:rsidR="004F4AF3" w:rsidRPr="004F4AF3" w:rsidRDefault="004F4AF3" w:rsidP="004F4AF3">
      <w:pPr>
        <w:rPr>
          <w:rFonts w:ascii="Arial" w:hAnsi="Arial" w:cs="Arial"/>
        </w:rPr>
      </w:pPr>
      <w:r w:rsidRPr="004F4AF3">
        <w:rPr>
          <w:rFonts w:ascii="Arial" w:hAnsi="Arial" w:cs="Arial"/>
        </w:rPr>
        <w:t xml:space="preserve">I confirm that I have copies of my drafts, notes, and other resources I used before and after the use of AI tools, which I may be asked to provide in evidence. </w:t>
      </w:r>
    </w:p>
    <w:p w14:paraId="1D352CC7" w14:textId="77777777" w:rsidR="003F3DEE" w:rsidRDefault="003F3DEE" w:rsidP="00DD5969"/>
    <w:p w14:paraId="094DEB2E" w14:textId="77777777" w:rsidR="004F4AF3" w:rsidRDefault="004F4AF3" w:rsidP="00DD5969"/>
    <w:p w14:paraId="02100DE4" w14:textId="77777777" w:rsidR="004F4AF3" w:rsidRDefault="004F4AF3" w:rsidP="00DD5969"/>
    <w:p w14:paraId="1BD056CE" w14:textId="77777777" w:rsidR="004F4AF3" w:rsidRDefault="004F4AF3" w:rsidP="00DD5969"/>
    <w:p w14:paraId="4425A227" w14:textId="77777777" w:rsidR="004F4AF3" w:rsidRDefault="004F4AF3" w:rsidP="00DD5969"/>
    <w:p w14:paraId="60D709F9" w14:textId="77777777" w:rsidR="004F4AF3" w:rsidRDefault="004F4AF3" w:rsidP="00DD5969"/>
    <w:p w14:paraId="72083142" w14:textId="77777777" w:rsidR="004F4AF3" w:rsidRDefault="004F4AF3" w:rsidP="00DD5969"/>
    <w:p w14:paraId="7B148C40" w14:textId="77777777" w:rsidR="004F4AF3" w:rsidRDefault="004F4AF3" w:rsidP="00DD5969"/>
    <w:p w14:paraId="0C35BDC1" w14:textId="77777777" w:rsidR="004F4AF3" w:rsidRDefault="004F4AF3" w:rsidP="00DD5969"/>
    <w:p w14:paraId="6E03AA1A" w14:textId="77777777" w:rsidR="004F4AF3" w:rsidRDefault="004F4AF3" w:rsidP="00DD5969"/>
    <w:p w14:paraId="59E6684D" w14:textId="77777777" w:rsidR="004F4AF3" w:rsidRDefault="004F4AF3" w:rsidP="00DD5969"/>
    <w:p w14:paraId="5A443DEA" w14:textId="77777777" w:rsidR="004F4AF3" w:rsidRDefault="004F4AF3" w:rsidP="00DD5969"/>
    <w:p w14:paraId="5E2763E5" w14:textId="77777777" w:rsidR="004F4AF3" w:rsidRDefault="004F4AF3" w:rsidP="00DD5969"/>
    <w:p w14:paraId="5DB82EFC" w14:textId="77777777" w:rsidR="004F4AF3" w:rsidRDefault="004F4AF3" w:rsidP="00DD5969"/>
    <w:p w14:paraId="63FF705F" w14:textId="77777777" w:rsidR="004F4AF3" w:rsidRDefault="004F4AF3" w:rsidP="00DD5969"/>
    <w:p w14:paraId="275983FC" w14:textId="77777777" w:rsidR="004F4AF3" w:rsidRDefault="004F4AF3" w:rsidP="00DD5969"/>
    <w:p w14:paraId="32EC03C4" w14:textId="77777777" w:rsidR="004F4AF3" w:rsidRDefault="004F4AF3" w:rsidP="00DD5969"/>
    <w:p w14:paraId="36E6BB43" w14:textId="77777777" w:rsidR="004F4AF3" w:rsidRDefault="004F4AF3" w:rsidP="00DD5969"/>
    <w:p w14:paraId="38DB944C" w14:textId="77777777" w:rsidR="004F4AF3" w:rsidRDefault="004F4AF3" w:rsidP="003F3DEE">
      <w:pPr>
        <w:spacing w:line="360" w:lineRule="auto"/>
        <w:jc w:val="both"/>
        <w:rPr>
          <w:rFonts w:ascii="Arial" w:eastAsia="PMingLiU" w:hAnsi="Arial" w:cs="Arial"/>
          <w:b/>
          <w:bCs/>
          <w:lang w:eastAsia="zh-TW"/>
        </w:rPr>
      </w:pPr>
    </w:p>
    <w:p w14:paraId="43C342E3" w14:textId="3CD4555D"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lastRenderedPageBreak/>
        <w:t>Introduction</w:t>
      </w:r>
    </w:p>
    <w:p w14:paraId="34E9D130"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This study explores how discovery prompts used across formal, informal and non-formal outdoor learning contexts support Progression Step 1 learners in recognising patterns and asking scientific questions, within the Science and Technology Area of Learning and Experience of the Curriculum for Wales (Welsh Government, 2022). From the earliest years, children bring a powerful drive to notice, question, and figure out how things work. The outdoor environment feeds this drive in ways that classroom walls simply cannot — every puddle, frost-covered leaf, and patch of soil presents a genuine invitation to think scientifically (Waite, 2011, pp. 180-182).</w:t>
      </w:r>
    </w:p>
    <w:p w14:paraId="090AE64C"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The research question asks: how does the use of discovery prompts across formal, informal and non-formal outdoor learning contexts support Progression Step 1 learners in recognising patterns and asking scientific questions? This question matters because outdoor learning takes many different shapes — a teacher-led nature walk, a child freely exploring the school garden, and a woodland visit are not the same experience and carry different possibilities for scientific thinking. Context is often neglected in these studies (Waite, 2020), yet Rickinson et al. (2004, pp. 5-6) state that 'contexts make a difference to how children interact and the learning outcomes that result'. It is in light of this that the study presented in this thesis was designed to generate practice-based evidence through a Reception context, resulting in evidence-based findings that early years teachers in the Curriculum for Wales can use directly.</w:t>
      </w:r>
    </w:p>
    <w:p w14:paraId="0231AC82" w14:textId="77777777"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t>Method</w:t>
      </w:r>
    </w:p>
    <w:p w14:paraId="46B3A1DC"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A mixed methods design is best because one approach alone could not answer the research question. Each of the three contexts for outdoor learning, formal, informal and non-formal, would require different types of data; different kinds of analysis; and different interactions with children and their environment. Creswell and Creswell (2018, p.92) claim that mixed methods are suitable for research problems that cannot be adequately researched with either a quantitative or qualitative approach alone, and Mertens (2015, pp.332) suggests that a mixed methods approach is necessary when there are multiple contexts because each context needs different types of data to answer a question. If there were just a quantitative approach, it would generate comparable data for all the contexts, but would miss the conditions, relationships and choices that contributed to the data. If there were just a qualitative approach, it would </w:t>
      </w:r>
      <w:r w:rsidRPr="003F3DEE">
        <w:rPr>
          <w:rFonts w:ascii="Arial" w:eastAsia="PMingLiU" w:hAnsi="Arial" w:cs="Arial"/>
          <w:lang w:eastAsia="zh-TW"/>
        </w:rPr>
        <w:lastRenderedPageBreak/>
        <w:t>generate a lot of depth and richness, but would it be possible to know whether the differences were genuine between the contexts? Or were they anecdotal and coincidental? With a mixed methods design, it is possible to move between breadth and depth; as Greene (2007, pp. 117-118) argues, the research design moves back and forth between qualitative and quantitative, responding to each context appropriately.</w:t>
      </w:r>
    </w:p>
    <w:p w14:paraId="74555C53" w14:textId="5B77936F"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Triangulation provides strength for this design. Denscombe (2021, pp. 198-199) talked about how triangulation is an important aspect of strengthening findings in practitioner-based research, so that data from one strand is triangulated with data from another strand. For example, if the quantitative data showed that children ask more science-related questions during informal, child-initiated outdoor exploratory learning than during the formal, structured, adult-led outdoor lessons, the qualitative data could be used to look at why this was occurring. Was the type of prompt using a factor? Was the interaction between the teacher and the child? Was it the conditions of the environment? It could be that quantitative </w:t>
      </w:r>
      <w:r w:rsidR="00573F8C" w:rsidRPr="003F3DEE">
        <w:rPr>
          <w:rFonts w:ascii="Arial" w:eastAsia="PMingLiU" w:hAnsi="Arial" w:cs="Arial"/>
          <w:lang w:eastAsia="zh-TW"/>
        </w:rPr>
        <w:t>data</w:t>
      </w:r>
      <w:r w:rsidRPr="003F3DEE">
        <w:rPr>
          <w:rFonts w:ascii="Arial" w:eastAsia="PMingLiU" w:hAnsi="Arial" w:cs="Arial"/>
          <w:lang w:eastAsia="zh-TW"/>
        </w:rPr>
        <w:t xml:space="preserve"> and qualitative data are in productive tension, and that this is what strengthens the findings rather than complicates them (Gorard and Taylor, 2004, p.10). For this study, the differences between the three outdoor contexts mean that this is particularly relevant.</w:t>
      </w:r>
    </w:p>
    <w:p w14:paraId="09C3C01C"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It must be acknowledged that there are some drawbacks to the mixed methods approach as well as strengths. Combining quantitative and qualitative approaches requires considerable time, a lot of planning, and expertise to analyse the data correctly. Combining this with full-time teaching is an onerous process, particularly as part of a one-person doctoral research project. For example, Bergman (2008, p.191) states that with mixed methods research, the researcher needs to have expertise in both strands and that there is always a danger that the qualitative strand might be viewed as 'less rigorous and scientific' than the quantitative strand. This must be avoided in the design and execution of the mixed methods approach. Jeff Mann </w:t>
      </w:r>
      <w:r w:rsidRPr="003F3DEE">
        <w:rPr>
          <w:rFonts w:ascii="Arial" w:eastAsia="PMingLiU" w:hAnsi="Arial" w:cs="Arial"/>
          <w:i/>
          <w:iCs/>
          <w:lang w:eastAsia="zh-TW"/>
        </w:rPr>
        <w:t>et al.</w:t>
      </w:r>
      <w:r w:rsidRPr="003F3DEE">
        <w:rPr>
          <w:rFonts w:ascii="Arial" w:eastAsia="PMingLiU" w:hAnsi="Arial" w:cs="Arial"/>
          <w:lang w:eastAsia="zh-TW"/>
        </w:rPr>
        <w:t xml:space="preserve"> (2022)  also note a drawback with researching young children in an outdoor environment. They say that there could be many confounding factors that could lead to different responses by children to any particular type of scientific discovery prompt, and therefore, it is important to note any possible confounding factors in the data collection stage. Factors that could contribute towards the responses of children at an outdoor discovery point are their mood at the time of the enquiry, environmental factors </w:t>
      </w:r>
      <w:r w:rsidRPr="003F3DEE">
        <w:rPr>
          <w:rFonts w:ascii="Arial" w:eastAsia="PMingLiU" w:hAnsi="Arial" w:cs="Arial"/>
          <w:lang w:eastAsia="zh-TW"/>
        </w:rPr>
        <w:lastRenderedPageBreak/>
        <w:t>such as the weather, and how other children are engaging with the outdoor setting. These confounding factors will be carefully collected and noted as part of the quantitative data strand and the qualitative data strand, and these factors will be considered in the analysis and discussion of the findings for all three outdoor contexts. Despite these drawbacks, the mixed methods approach remains best suited for this study, because it will lead to the generation of evidence which is measurable and meaningful for this study, in the context of the Curriculum for Wales (Welsh Government, 2022).</w:t>
      </w:r>
    </w:p>
    <w:p w14:paraId="35ADB1A3" w14:textId="77777777"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t>Sampling</w:t>
      </w:r>
    </w:p>
    <w:p w14:paraId="63848E48"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The decision of how to sample a study has real implications on the quality, validity, and transferability of the research. Two sampling methods have been selected as part of this study into how discovery prompts from formal, informal and non-formal outdoor learning contexts support Progression Step 1 learners identifying patterns and asking questions: purposive sampling and convenience sampling. These different methods are being used for different reasons.</w:t>
      </w:r>
    </w:p>
    <w:p w14:paraId="6F5358B7"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Purposive sampling constitutes the principal research method and involves the intentional selection of individuals according to their specific characteristics that make them the most appropriate to address the questions of interest  (Campbell et al., 2020). Participants have been deliberately chosen for this research in the form of reception children aged four to five years and their early years teacher. It was felt they were most appropriate for this study, as they are situated within Curriculum for Wales Progression Step 1 and are to be observed in outdoor, formal, informal and non-formal learning contexts.</w:t>
      </w:r>
    </w:p>
    <w:p w14:paraId="6B7F4848"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Research does not seek generalisability of findings, as purposive sampling is concerned with not representing the whole population of people, but rather with selecting those who are likely to illuminate the research best (Andrade, 2020). The aim is instead to achieve an understanding of a few participants and phenomena (Palinkas et al., 2015). Purposive sampling is, therefore, an appropriate option for this research as participants are chosen for the value of what they may reveal about the context (Andrade, 2020), rather than their representativeness of a population.</w:t>
      </w:r>
    </w:p>
    <w:p w14:paraId="0D04F044"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A purposive sampling frame of a case study was chosen. Here, the Reception class was the case, a sample of the same teacher and Reception class from one school, </w:t>
      </w:r>
      <w:r w:rsidRPr="003F3DEE">
        <w:rPr>
          <w:rFonts w:ascii="Arial" w:eastAsia="PMingLiU" w:hAnsi="Arial" w:cs="Arial"/>
          <w:lang w:eastAsia="zh-TW"/>
        </w:rPr>
        <w:lastRenderedPageBreak/>
        <w:t>within three different outdoor learning contexts. Yazan (2015) suggests that case study sampling is particularly useful for educational research as it enables the researcher to concentrate on ‘learning as it happens within its own specific context, with careful regard to the contexts, circumstances or conditions’ that constitute and influence learning. According to Stake (2010, pp. 277), an in-depth study of a case or a small number of cases can yield more detailed, valuable insight and thus produce a richer understanding than research that draws from a large sample.</w:t>
      </w:r>
    </w:p>
    <w:p w14:paraId="118208CB"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Convenience sampling was adopted as a secondary form of sampling in this study. My workplace, the school, formed part of the sampling frame. This choice was justified as I was already based in the institution. It was deemed an easy and convenient choice in terms of sampling, as I work at a mainstream school and was able to access participants easily. Furthermore, this choice was appropriate in terms of the time I was required to spend teaching and conducting research, as my school fits these requirements. Etikan, Musa and Alkassim (2016) noted that convenience sampling is particularly appropriate for smaller-scale research that is focused on answering a specific research question. Newby (2014, pp. 23) further observed that when conducting research in one's own setting, convenience and purposive sampling can naturally overlap, and that this should not be regarded as undermining the quality or accuracy of the data collected, since the researcher already possesses familiarity with the environment and is well placed to build trust and rapport with participants.</w:t>
      </w:r>
    </w:p>
    <w:p w14:paraId="44980E0A"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The sample is small. The whole Reception class, which has approximately twenty-five children, was included for the observational method. A smaller group of six to eight children were more thoroughly observed in all three outdoor learning contexts, which were selected through a purposive sampling frame. "The sample size should be large enough, but it is not the primary goal of the study; the goal is to collect information-rich data that will best describe the participants of the study (Palinkas et al., 2015). This is a good use of two different types of sampling for this small-scale mixed methods research study. Creswell and Plano Clark (2018, pp. 175-177) suggest that it is perfectly acceptable to utilise multiple sampling procedures in a mixed methods study, as long as there is logic and coherence among these procedures relative to the pragmatic approach of the researcher to the study.</w:t>
      </w:r>
    </w:p>
    <w:p w14:paraId="185F7B9D" w14:textId="77777777"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t>Ethics</w:t>
      </w:r>
    </w:p>
    <w:p w14:paraId="2215F1AE"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lastRenderedPageBreak/>
        <w:t>From the early planning stages to the final publication of results, ethical issues need to be considered at every stage. There is a heightened ethical awareness required in research involving young children, due to the inherent vulnerability of the children in relation to adults in a position of authority within institutional settings. This awareness should not only be a one-off tick box on a consent form but an ongoing concern requiring constant reflection and response to issues during the course of research (Bell, Waters and Johnson, 2024, pp. 80-82 ). In early years research, this issue is compounded by children being small and young, the researcher having authority, and a blurred boundary between teaching and research.</w:t>
      </w:r>
    </w:p>
    <w:p w14:paraId="3EE56A2A"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It is a requirement that informed consent be gained from parents/carers. Gray (2022, pp. 84-86) notes that, while informed consent may seem merely a procedural formality, it needs to be understood by parents/carers and that they need to be informed about what they are agreeing to. Parents/carers need to be fully informed on how data will be collected, stored and what rights they have. Consent will be sought in writing from all parents/carers prior to data collection. An information sheet in a clear, plain English style, describing the nature and purpose of the research, the outdoor contexts, and the ways that confidentiality and anonymity will be maintained, will accompany the consent letter. Gray (2022, pp. 83) also states that all researchers should aim for the principles of informed consent, such as voluntary participation, full information, comprehension, capacity, right to withdraw, confidentiality, and anonymity, and make it possible for everyone to understand the nature of consent.</w:t>
      </w:r>
    </w:p>
    <w:p w14:paraId="0226B1D1"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As the dual role of teacher and researcher will need careful management, children's assent must also be gained and respected. Assent is different from consent, as while parents/carers give consent legally, assent is about what the child wants to be involved in. Oulton et al. (2016) conducted a scoping review of the issue of assent in research with children and noted that assent needs to consider the following:</w:t>
      </w:r>
    </w:p>
    <w:p w14:paraId="21804943" w14:textId="77777777" w:rsidR="003F3DEE" w:rsidRPr="003F3DEE" w:rsidRDefault="003F3DEE" w:rsidP="003F3DEE">
      <w:pPr>
        <w:numPr>
          <w:ilvl w:val="0"/>
          <w:numId w:val="1"/>
        </w:numPr>
        <w:spacing w:line="360" w:lineRule="auto"/>
        <w:jc w:val="both"/>
        <w:rPr>
          <w:rFonts w:ascii="Arial" w:eastAsia="PMingLiU" w:hAnsi="Arial" w:cs="Arial"/>
          <w:lang w:eastAsia="zh-TW"/>
        </w:rPr>
      </w:pPr>
      <w:r w:rsidRPr="003F3DEE">
        <w:rPr>
          <w:rFonts w:ascii="Arial" w:eastAsia="PMingLiU" w:hAnsi="Arial" w:cs="Arial"/>
          <w:lang w:eastAsia="zh-TW"/>
        </w:rPr>
        <w:t>child-related factors</w:t>
      </w:r>
    </w:p>
    <w:p w14:paraId="51875ADF" w14:textId="77777777" w:rsidR="003F3DEE" w:rsidRPr="003F3DEE" w:rsidRDefault="003F3DEE" w:rsidP="003F3DEE">
      <w:pPr>
        <w:numPr>
          <w:ilvl w:val="0"/>
          <w:numId w:val="1"/>
        </w:numPr>
        <w:spacing w:line="360" w:lineRule="auto"/>
        <w:jc w:val="both"/>
        <w:rPr>
          <w:rFonts w:ascii="Arial" w:eastAsia="PMingLiU" w:hAnsi="Arial" w:cs="Arial"/>
          <w:lang w:eastAsia="zh-TW"/>
        </w:rPr>
      </w:pPr>
      <w:r w:rsidRPr="003F3DEE">
        <w:rPr>
          <w:rFonts w:ascii="Arial" w:eastAsia="PMingLiU" w:hAnsi="Arial" w:cs="Arial"/>
          <w:lang w:eastAsia="zh-TW"/>
        </w:rPr>
        <w:t>factors relating to the family</w:t>
      </w:r>
    </w:p>
    <w:p w14:paraId="50B5EB16" w14:textId="77777777" w:rsidR="003F3DEE" w:rsidRPr="003F3DEE" w:rsidRDefault="003F3DEE" w:rsidP="003F3DEE">
      <w:pPr>
        <w:numPr>
          <w:ilvl w:val="0"/>
          <w:numId w:val="1"/>
        </w:numPr>
        <w:spacing w:line="360" w:lineRule="auto"/>
        <w:jc w:val="both"/>
        <w:rPr>
          <w:rFonts w:ascii="Arial" w:eastAsia="PMingLiU" w:hAnsi="Arial" w:cs="Arial"/>
          <w:lang w:eastAsia="zh-TW"/>
        </w:rPr>
      </w:pPr>
      <w:r w:rsidRPr="003F3DEE">
        <w:rPr>
          <w:rFonts w:ascii="Arial" w:eastAsia="PMingLiU" w:hAnsi="Arial" w:cs="Arial"/>
          <w:lang w:eastAsia="zh-TW"/>
        </w:rPr>
        <w:t>the study design and complexity of the research</w:t>
      </w:r>
    </w:p>
    <w:p w14:paraId="6E088F2B" w14:textId="77777777" w:rsidR="003F3DEE" w:rsidRPr="003F3DEE" w:rsidRDefault="003F3DEE" w:rsidP="003F3DEE">
      <w:pPr>
        <w:numPr>
          <w:ilvl w:val="0"/>
          <w:numId w:val="1"/>
        </w:numPr>
        <w:spacing w:line="360" w:lineRule="auto"/>
        <w:jc w:val="both"/>
        <w:rPr>
          <w:rFonts w:ascii="Arial" w:eastAsia="PMingLiU" w:hAnsi="Arial" w:cs="Arial"/>
          <w:lang w:eastAsia="zh-TW"/>
        </w:rPr>
      </w:pPr>
      <w:r w:rsidRPr="003F3DEE">
        <w:rPr>
          <w:rFonts w:ascii="Arial" w:eastAsia="PMingLiU" w:hAnsi="Arial" w:cs="Arial"/>
          <w:lang w:eastAsia="zh-TW"/>
        </w:rPr>
        <w:t>factors regarding the researchers and the research organisation</w:t>
      </w:r>
    </w:p>
    <w:p w14:paraId="59695F34"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lastRenderedPageBreak/>
        <w:t xml:space="preserve">They note that assent must not be tokenistic and must instead focus on how it can be done and in conjunction with children. Assent will be sought by verbal explanation with the aid of visual prompts if required. It will be regularly reinforced with reminders that there is no consequence to their involvement or otherwise with their teacher. </w:t>
      </w:r>
    </w:p>
    <w:p w14:paraId="3A762E06"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Participants may feel unable to opt out if they believe they are being told that is what to do because the teacher said so, so this aspect will be carefully considered. The right to withdraw will be discussed continuously throughout the course of the research, rather than on the information sheet only. In the course of the research, the verbal comments and facial expressions of the children will be monitored while they engage in the sessions outside in the park. Any signs of hesitation or unwillingness to continue with the study will result in their data being excluded from the final analysis (Gray, 2022, pp. 93). </w:t>
      </w:r>
    </w:p>
    <w:p w14:paraId="62D077BE"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In order to keep data confidential and anonymous, children must not be easily identified by others. To ensure anonymity, all written work, transcriptions, and published material will refer to participants using pseudonyms. However, Johnson, Bell and Waters (2024, pp. 84-85) warn that if the setting is small and the detail provided is specific, anonymity may not provide enough cover. All data collected will be stored in a password-protected space on a secure computer, which will only be accessible by the researcher. Once the research project has concluded, data will be deleted. Johnson, Grey (2022, pp. 85) points out that ethical considerations go beyond data protection. They point out that it is not ethical to report only data that aligns with expected outcomes, and that results should be reported in an honest and transparent way.</w:t>
      </w:r>
    </w:p>
    <w:p w14:paraId="728E8C83" w14:textId="77777777"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t xml:space="preserve">Research tools </w:t>
      </w:r>
    </w:p>
    <w:p w14:paraId="61B16B48"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Choosing the right data collection instruments is essential, as the tools used affect the validity and reliability of the evidence collected. The four selected for this study, which seek to examine the efficacy of discovery prompts for supporting learners at Progression Step 1 to notice patterns and to ask questions scientifically across formal, informal and non-formal outdoor contexts, are: assessment against the What Matters statements of the Science and Technology AoLE at Progression Step 1, systematic observation schedules, narrative observation records and work scrutiny. Quantitatively, </w:t>
      </w:r>
      <w:r w:rsidRPr="003F3DEE">
        <w:rPr>
          <w:rFonts w:ascii="Arial" w:eastAsia="PMingLiU" w:hAnsi="Arial" w:cs="Arial"/>
          <w:lang w:eastAsia="zh-TW"/>
        </w:rPr>
        <w:lastRenderedPageBreak/>
        <w:t>the first two tools have their advantages and disadvantages. Qualitatively, the last two tools also have advantages and disadvantages.</w:t>
      </w:r>
    </w:p>
    <w:p w14:paraId="6E6DA65C" w14:textId="77777777" w:rsidR="003F3DEE" w:rsidRPr="003F3DEE" w:rsidRDefault="003F3DEE" w:rsidP="003F3DEE">
      <w:pPr>
        <w:spacing w:line="360" w:lineRule="auto"/>
        <w:jc w:val="both"/>
        <w:rPr>
          <w:rFonts w:ascii="Arial" w:eastAsia="PMingLiU" w:hAnsi="Arial" w:cs="Arial"/>
          <w:u w:val="single"/>
          <w:lang w:eastAsia="zh-TW"/>
        </w:rPr>
      </w:pPr>
      <w:r w:rsidRPr="003F3DEE">
        <w:rPr>
          <w:rFonts w:ascii="Arial" w:eastAsia="PMingLiU" w:hAnsi="Arial" w:cs="Arial"/>
          <w:u w:val="single"/>
          <w:lang w:eastAsia="zh-TW"/>
        </w:rPr>
        <w:t>Assessment against What Matters Statements</w:t>
      </w:r>
    </w:p>
    <w:p w14:paraId="7F940543"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The first quantitative tool for this study is an assessment against the What Matters statements of the Science and Technology AoLE at Progression Step 1 from the Curriculum for Wales (Welsh Government, 2022). These What Matters statements spell out the main aims for science learning at this stage and include, amongst others, observing, identifying patterns and asking questions scientifically. Using these as an assessment frame provides relevant evidence linked to the curriculum as to whether engagement with discovery prompts enables observable progress to occur for all three outdoor contexts. The strength of this is that it is aligned directly to the Welsh curriculum and therefore provides meaningful, educational evidence of progress. The systematic review by Lao (2021) on formative assessment posits that assessment is educationally worthwhile only if it is aligned very closely with clear learning intentions, and that it is difficult to put into operation in practice assessment criteria that are expressed vaguely or in general terms. Doyle, A. </w:t>
      </w:r>
      <w:r w:rsidRPr="003F3DEE">
        <w:rPr>
          <w:rFonts w:ascii="Arial" w:eastAsia="PMingLiU" w:hAnsi="Arial" w:cs="Arial"/>
          <w:i/>
          <w:iCs/>
          <w:lang w:eastAsia="zh-TW"/>
        </w:rPr>
        <w:t>et al.</w:t>
      </w:r>
      <w:r w:rsidRPr="003F3DEE">
        <w:rPr>
          <w:rFonts w:ascii="Arial" w:eastAsia="PMingLiU" w:hAnsi="Arial" w:cs="Arial"/>
          <w:lang w:eastAsia="zh-TW"/>
        </w:rPr>
        <w:t xml:space="preserve"> (2023), cited in Skarberg (2024), note that teachers are susceptible to confirmation bias in their assessment judgements, particularly when grading students based on prior behaviour or impressions formed in previous years rather than their current academic performance. This is directly relevant to your point about teachers carrying preconceived ideas about individual children. In their systematic literature review of direct observation systems used in early childhood education research, Al-Hendawi et al. (2025) state that a key advantage of using standardised observation systems is that they can provide a reliable measure to assess the behaviour of a child objectively and systematically, since the same coding scheme is used across many studies. Nevertheless, as Mwita (2022) states, systematic observation, being a type of quantitative data collection, has this shortcoming: it only measures the occurrence of something, without providing the reasons why an activity or an interaction happens or the causes of it. Hence, its reductionist nature necessitates that, as a data collection method in this study, systematic observation will not suffice, but will be used with other methods.</w:t>
      </w:r>
    </w:p>
    <w:p w14:paraId="6C9AE6A1" w14:textId="77777777" w:rsidR="003F3DEE" w:rsidRPr="003F3DEE" w:rsidRDefault="003F3DEE" w:rsidP="003F3DEE">
      <w:pPr>
        <w:spacing w:line="360" w:lineRule="auto"/>
        <w:jc w:val="both"/>
        <w:rPr>
          <w:rFonts w:ascii="Arial" w:eastAsia="PMingLiU" w:hAnsi="Arial" w:cs="Arial"/>
          <w:u w:val="single"/>
          <w:lang w:eastAsia="zh-TW"/>
        </w:rPr>
      </w:pPr>
      <w:r w:rsidRPr="003F3DEE">
        <w:rPr>
          <w:rFonts w:ascii="Arial" w:eastAsia="PMingLiU" w:hAnsi="Arial" w:cs="Arial"/>
          <w:u w:val="single"/>
          <w:lang w:eastAsia="zh-TW"/>
        </w:rPr>
        <w:t>Narrative observation records/field notes</w:t>
      </w:r>
    </w:p>
    <w:p w14:paraId="0D8EA21B"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lastRenderedPageBreak/>
        <w:t>The first qualitative tool employed for data collection is narrative observation, which involves detailed written accounts of how children engage with discovery prompts. Such accounts will record the actual language of the children as well as interactions with teachers, the conditions outside and an account of what goes on minute by minute. Creswell and Poth (2023, p. 205 and 311) describe this kind of qualitative observation as particularly useful in that they can be observed in the natural settings where the behaviour is expected to occur, thereby providing context for analysis. In the outdoor settings for this study, the presence of unexpected living beings, sudden rain and a change of wind or spontaneous observations can all alter the session as a whole, for example. Flick (2023, p.287-289) believes that qualitative observation is an approach to data collection that yields a thick description that is fully contextualised and that is used to explain why things happened, why things developed as they did and why others did not. This is vital in that it provides a means to understand the quantitative data that are collected in this study. The limitation of narrative observation is that it can only record a small proportion of events in the session. As Gray (2022, p.443-446) argues, observation notes or records are not objective, they are the result of observation. Therefore, reflexivity is important when reading the accounts.</w:t>
      </w:r>
    </w:p>
    <w:p w14:paraId="33EDA3C6" w14:textId="77777777" w:rsidR="003F3DEE" w:rsidRPr="003F3DEE" w:rsidRDefault="003F3DEE" w:rsidP="003F3DEE">
      <w:pPr>
        <w:spacing w:line="360" w:lineRule="auto"/>
        <w:jc w:val="both"/>
        <w:rPr>
          <w:rFonts w:ascii="Arial" w:eastAsia="PMingLiU" w:hAnsi="Arial" w:cs="Arial"/>
          <w:u w:val="single"/>
          <w:lang w:eastAsia="zh-TW"/>
        </w:rPr>
      </w:pPr>
      <w:r w:rsidRPr="003F3DEE">
        <w:rPr>
          <w:rFonts w:ascii="Arial" w:eastAsia="PMingLiU" w:hAnsi="Arial" w:cs="Arial"/>
          <w:u w:val="single"/>
          <w:lang w:eastAsia="zh-TW"/>
        </w:rPr>
        <w:t>Work Scrutiny</w:t>
      </w:r>
    </w:p>
    <w:p w14:paraId="3EB0C516"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The final, qualitative, tool for data collection for this study will be work scrutiny in the form of analysing children's drawings, mark-making and photographs that have been produced during or following the outdoor sessions. According to Podobnik, Jerman and Selan (2024), children strive to give meaning to the world around them. They construct and communicate that meaning by drawing on their existing knowledge and experiences in dialogue with people and objects around them; indeed, they maintain that drawing constitutes as much a process of thinking as a process of expressing thought. For them, then, children’s artwork provides a richly suggestive and direct manifestation of their understanding.</w:t>
      </w:r>
    </w:p>
    <w:p w14:paraId="1E85B4E3"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Document and work analysis can be seen by researchers as a strong and useful qualitative research method because “a researcher can analyse documents without the researcher’s need to come into direct contact with a participant or source of the document material. This can help avoid or reduce problems related to ethical principles </w:t>
      </w:r>
      <w:r w:rsidRPr="003F3DEE">
        <w:rPr>
          <w:rFonts w:ascii="Arial" w:eastAsia="PMingLiU" w:hAnsi="Arial" w:cs="Arial"/>
          <w:lang w:eastAsia="zh-TW"/>
        </w:rPr>
        <w:lastRenderedPageBreak/>
        <w:t xml:space="preserve">and avoid the effects that a researcher’s presence can have on the documents being produced” (Morgan, 2022). </w:t>
      </w:r>
    </w:p>
    <w:p w14:paraId="0A791E6B"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However,  Søndergaard and Reventlow (2019) also point out that when using drawings as a research tool, it is important to allow children to comment on their own drawings, because the resulting data is much richer, less likely to be distorted by adult projections, and more representative of children’s own views on what the drawings represent.</w:t>
      </w:r>
    </w:p>
    <w:p w14:paraId="639099F4"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Collectively, these four tools provide a coherent and mutually reinforcing evidence base and are therefore considered to be both meaningful and measurable. The findings will apply to all three outdoor contexts as this study seeks to understand children's engagement in all three types of outdoor learning.</w:t>
      </w:r>
    </w:p>
    <w:p w14:paraId="3D6F107D" w14:textId="77777777"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t>Data analysis method</w:t>
      </w:r>
    </w:p>
    <w:p w14:paraId="68D865FF"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As part of the data analysis process of the research, there are two different types of data to deal with: firstly, numerical data collected through the systematic observation schedules and curriculum-based assessments, and secondly, non-numerical data collected through the narrative observation sheets and work scrutiny. Two methods of data analysis are to be employed: statistical analysis of numerical data and thematic analysis of non-numerical data. Both will be combined at the interpretation stage to ensure a well-rounded result.</w:t>
      </w:r>
    </w:p>
    <w:p w14:paraId="50CDD8A1"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For the quantitative evidence, a descriptive statistical analysis will be applied in relation to the number or proportion of children's pattern recognition and question formulation scientific inquiry skills in formal, informal and non-formal outdoor learning contexts. Kanaki and Kalogiannakis (2023) note that the choice of statistical analysis depends on the level and type of study and suggest descriptive statistics is suitable for the present quantitative study; they also state that the use of inferential statistics is inappropriate for practitioner research as this requires a larger sample and a wider, representative sample of the population, and better controls of variable, both of which would be difficult to meet in a school environment.</w:t>
      </w:r>
    </w:p>
    <w:p w14:paraId="03FC6F09"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However, purely descriptive statistics are limited in their ability to offer context and explain why children might exhibit certain types of behaviour. Without the added depth of qualitative analysis to provide meaning to the quantitative information, it becomes </w:t>
      </w:r>
      <w:r w:rsidRPr="003F3DEE">
        <w:rPr>
          <w:rFonts w:ascii="Arial" w:eastAsia="PMingLiU" w:hAnsi="Arial" w:cs="Arial"/>
          <w:lang w:eastAsia="zh-TW"/>
        </w:rPr>
        <w:lastRenderedPageBreak/>
        <w:t>possible to obtain data that is factual but lacks explanation, with insufficient insight into what has led to the observed child behaviour being revealed (Pregoner, 2024).</w:t>
      </w:r>
    </w:p>
    <w:p w14:paraId="063C57E2"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Therefore, this research project will also make use of qualitative analysis. Qualitative analysis will complement quantitative analysis to ensure that results are pertinent and adequately relevant to the research objectives. Sefotho (2025), in a review of a systematic literature on the thematic analysis in education (2014 to 2024), posits that thematic analysis is an appropriate qualitative analysis technique in education due to its flexibility and capacity to identify themes and patterns. Flick (2023, pp. 440-441) similarly identifies thematic analysis as effective when utilising qualitative evidence generated through multiple sources, for example, the narrative observation records and work scrutiny. Gray (2022, pp. 449), however, cautions that thematic analysis is prone to criticism as being overly subjective and unsystematic. He adds that the quality of the data and analysis generated by this method of analysis is often a direct reflection of the skills and rigour of the researcher. Sun, Hsieh and Gao (2025) acknowledge the potential for those conducting thematic analysis to report their findings selectively and suggest that detailed accounts of the analytic process and reflexive practices are key methods for bolstering rigour and transparency.</w:t>
      </w:r>
    </w:p>
    <w:p w14:paraId="540421A3"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This integration of both strands will follow what Creswell (2022, pp. 58) refers to as a convergent mixed methods design, which entails quantitative and qualitative data being analysed separately and brought together during interpretation. Where they converge, this will add credibility. Divergences, however, will be taken as significant in their own right and prompt further questioning of the differing nature of the discovery prompt in different outdoor environments.</w:t>
      </w:r>
    </w:p>
    <w:p w14:paraId="3D8B4E52" w14:textId="77777777" w:rsidR="003F3DEE" w:rsidRPr="003F3DEE" w:rsidRDefault="003F3DEE" w:rsidP="003F3DEE">
      <w:pPr>
        <w:spacing w:line="360" w:lineRule="auto"/>
        <w:jc w:val="both"/>
        <w:rPr>
          <w:rFonts w:ascii="Arial" w:eastAsia="PMingLiU" w:hAnsi="Arial" w:cs="Arial"/>
          <w:b/>
          <w:bCs/>
          <w:lang w:eastAsia="zh-TW"/>
        </w:rPr>
      </w:pPr>
      <w:r w:rsidRPr="003F3DEE">
        <w:rPr>
          <w:rFonts w:ascii="Arial" w:eastAsia="PMingLiU" w:hAnsi="Arial" w:cs="Arial"/>
          <w:b/>
          <w:bCs/>
          <w:lang w:eastAsia="zh-TW"/>
        </w:rPr>
        <w:t>Conclusion</w:t>
      </w:r>
    </w:p>
    <w:p w14:paraId="24486D0B"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The purpose of this study is to explore the extent to which open-ended discovery prompts in outdoor learning environments, both formal and informal, promote Progression Step 1 learners’ ability to identify patterns and ask scientific questions within the Science and Technology AoLE of the Curriculum for Wales.</w:t>
      </w:r>
    </w:p>
    <w:p w14:paraId="098BFCE4" w14:textId="77777777" w:rsidR="003F3DEE" w:rsidRPr="003F3DEE" w:rsidRDefault="003F3DEE" w:rsidP="003F3DEE">
      <w:pPr>
        <w:spacing w:line="360" w:lineRule="auto"/>
        <w:jc w:val="both"/>
        <w:rPr>
          <w:rFonts w:ascii="Arial" w:eastAsia="PMingLiU" w:hAnsi="Arial" w:cs="Arial"/>
          <w:lang w:eastAsia="zh-TW"/>
        </w:rPr>
      </w:pPr>
      <w:r w:rsidRPr="003F3DEE">
        <w:rPr>
          <w:rFonts w:ascii="Arial" w:eastAsia="PMingLiU" w:hAnsi="Arial" w:cs="Arial"/>
          <w:lang w:eastAsia="zh-TW"/>
        </w:rPr>
        <w:t xml:space="preserve">A pragmatic, mixed methods research approach is adopted with a mixed methods research design incorporating quantitative tools, which are curriculum-based assessment and systematic observation, and qualitative tools, which are narrative observation and work scrutiny, to allow for the layered accumulation of evidence, </w:t>
      </w:r>
      <w:r w:rsidRPr="003F3DEE">
        <w:rPr>
          <w:rFonts w:ascii="Arial" w:eastAsia="PMingLiU" w:hAnsi="Arial" w:cs="Arial"/>
          <w:lang w:eastAsia="zh-TW"/>
        </w:rPr>
        <w:lastRenderedPageBreak/>
        <w:t>which is credible in nature. A purposive sampling approach with convenience sampling will determine the participants and context of the study, which is situated in one reception classroom. This study aims to develop evidence-based findings that will have direct implications for how EY teachers are planning and facilitating outdoor science learning at Progression Step 1.</w:t>
      </w:r>
    </w:p>
    <w:p w14:paraId="5A716BA7" w14:textId="77777777" w:rsidR="003F3DEE" w:rsidRPr="003F3DEE" w:rsidRDefault="003F3DEE" w:rsidP="003F3DEE">
      <w:pPr>
        <w:spacing w:line="360" w:lineRule="auto"/>
        <w:jc w:val="both"/>
        <w:rPr>
          <w:rFonts w:ascii="Arial" w:eastAsia="PMingLiU" w:hAnsi="Arial" w:cs="Arial"/>
          <w:lang w:eastAsia="zh-TW"/>
        </w:rPr>
      </w:pPr>
    </w:p>
    <w:p w14:paraId="4C3BC1AE" w14:textId="77777777" w:rsidR="003F3DEE" w:rsidRPr="003F3DEE" w:rsidRDefault="003F3DEE" w:rsidP="003F3DEE">
      <w:pPr>
        <w:spacing w:line="360" w:lineRule="auto"/>
        <w:jc w:val="both"/>
        <w:rPr>
          <w:rFonts w:ascii="Arial" w:eastAsia="PMingLiU" w:hAnsi="Arial" w:cs="Arial"/>
          <w:lang w:eastAsia="zh-TW"/>
        </w:rPr>
      </w:pPr>
    </w:p>
    <w:p w14:paraId="2B820C26" w14:textId="77777777" w:rsidR="003F3DEE" w:rsidRPr="003F3DEE" w:rsidRDefault="003F3DEE" w:rsidP="003F3DEE">
      <w:pPr>
        <w:spacing w:line="360" w:lineRule="auto"/>
        <w:jc w:val="both"/>
        <w:rPr>
          <w:rFonts w:ascii="Arial" w:eastAsia="PMingLiU" w:hAnsi="Arial" w:cs="Arial"/>
          <w:lang w:eastAsia="zh-TW"/>
        </w:rPr>
      </w:pPr>
    </w:p>
    <w:p w14:paraId="3718E2C6" w14:textId="77777777" w:rsidR="003F3DEE" w:rsidRPr="003F3DEE" w:rsidRDefault="003F3DEE" w:rsidP="003F3DEE">
      <w:pPr>
        <w:spacing w:line="360" w:lineRule="auto"/>
        <w:jc w:val="both"/>
        <w:rPr>
          <w:rFonts w:ascii="Arial" w:eastAsia="PMingLiU" w:hAnsi="Arial" w:cs="Arial"/>
          <w:lang w:eastAsia="zh-TW"/>
        </w:rPr>
      </w:pPr>
    </w:p>
    <w:p w14:paraId="50C09F05" w14:textId="77777777" w:rsidR="003F3DEE" w:rsidRPr="003F3DEE" w:rsidRDefault="003F3DEE" w:rsidP="003F3DEE">
      <w:pPr>
        <w:spacing w:line="360" w:lineRule="auto"/>
        <w:jc w:val="both"/>
        <w:rPr>
          <w:rFonts w:ascii="Arial" w:eastAsia="PMingLiU" w:hAnsi="Arial" w:cs="Arial"/>
          <w:lang w:eastAsia="zh-TW"/>
        </w:rPr>
      </w:pPr>
    </w:p>
    <w:p w14:paraId="08A15B89" w14:textId="77777777" w:rsidR="003F3DEE" w:rsidRPr="003F3DEE" w:rsidRDefault="003F3DEE" w:rsidP="003F3DEE">
      <w:pPr>
        <w:spacing w:line="360" w:lineRule="auto"/>
        <w:jc w:val="both"/>
        <w:rPr>
          <w:rFonts w:ascii="Arial" w:eastAsia="PMingLiU" w:hAnsi="Arial" w:cs="Arial"/>
          <w:lang w:eastAsia="zh-TW"/>
        </w:rPr>
      </w:pPr>
    </w:p>
    <w:p w14:paraId="31414CA5" w14:textId="77777777" w:rsidR="003F3DEE" w:rsidRPr="003F3DEE" w:rsidRDefault="003F3DEE" w:rsidP="003F3DEE">
      <w:pPr>
        <w:spacing w:line="360" w:lineRule="auto"/>
        <w:jc w:val="both"/>
        <w:rPr>
          <w:rFonts w:ascii="Arial" w:eastAsia="PMingLiU" w:hAnsi="Arial" w:cs="Arial"/>
          <w:lang w:eastAsia="zh-TW"/>
        </w:rPr>
      </w:pPr>
    </w:p>
    <w:p w14:paraId="3126206C" w14:textId="77777777" w:rsidR="003F3DEE" w:rsidRPr="003F3DEE" w:rsidRDefault="003F3DEE" w:rsidP="003F3DEE">
      <w:pPr>
        <w:spacing w:line="360" w:lineRule="auto"/>
        <w:jc w:val="both"/>
        <w:rPr>
          <w:rFonts w:ascii="Arial" w:eastAsia="PMingLiU" w:hAnsi="Arial" w:cs="Arial"/>
          <w:lang w:eastAsia="zh-TW"/>
        </w:rPr>
      </w:pPr>
    </w:p>
    <w:p w14:paraId="1EB697D8" w14:textId="77777777" w:rsidR="003F3DEE" w:rsidRPr="003F3DEE" w:rsidRDefault="003F3DEE" w:rsidP="003F3DEE">
      <w:pPr>
        <w:spacing w:line="360" w:lineRule="auto"/>
        <w:jc w:val="both"/>
        <w:rPr>
          <w:rFonts w:ascii="Arial" w:eastAsia="PMingLiU" w:hAnsi="Arial" w:cs="Arial"/>
          <w:lang w:eastAsia="zh-TW"/>
        </w:rPr>
      </w:pPr>
    </w:p>
    <w:p w14:paraId="2AE1CF9A" w14:textId="77777777" w:rsidR="000C541C" w:rsidRDefault="000C541C" w:rsidP="00DD5969">
      <w:pPr>
        <w:rPr>
          <w:sz w:val="16"/>
          <w:szCs w:val="16"/>
        </w:rPr>
      </w:pPr>
    </w:p>
    <w:p w14:paraId="5283322E" w14:textId="77777777" w:rsidR="003F3DEE" w:rsidRDefault="003F3DEE" w:rsidP="00DD5969">
      <w:pPr>
        <w:rPr>
          <w:sz w:val="16"/>
          <w:szCs w:val="16"/>
        </w:rPr>
      </w:pPr>
    </w:p>
    <w:p w14:paraId="51BEE2C8" w14:textId="77777777" w:rsidR="003F3DEE" w:rsidRDefault="003F3DEE" w:rsidP="00DD5969">
      <w:pPr>
        <w:rPr>
          <w:sz w:val="16"/>
          <w:szCs w:val="16"/>
        </w:rPr>
      </w:pPr>
    </w:p>
    <w:p w14:paraId="11AFD1FD" w14:textId="77777777" w:rsidR="003F3DEE" w:rsidRDefault="003F3DEE" w:rsidP="00DD5969">
      <w:pPr>
        <w:rPr>
          <w:sz w:val="16"/>
          <w:szCs w:val="16"/>
        </w:rPr>
      </w:pPr>
    </w:p>
    <w:p w14:paraId="207ADA40" w14:textId="77777777" w:rsidR="003F3DEE" w:rsidRDefault="003F3DEE" w:rsidP="00DD5969">
      <w:pPr>
        <w:rPr>
          <w:sz w:val="16"/>
          <w:szCs w:val="16"/>
        </w:rPr>
      </w:pPr>
    </w:p>
    <w:p w14:paraId="1BD28FAA" w14:textId="77777777" w:rsidR="003F3DEE" w:rsidRDefault="003F3DEE" w:rsidP="00DD5969">
      <w:pPr>
        <w:rPr>
          <w:sz w:val="16"/>
          <w:szCs w:val="16"/>
        </w:rPr>
      </w:pPr>
    </w:p>
    <w:p w14:paraId="239AE087" w14:textId="77777777" w:rsidR="003F3DEE" w:rsidRDefault="003F3DEE" w:rsidP="00DD5969">
      <w:pPr>
        <w:rPr>
          <w:sz w:val="16"/>
          <w:szCs w:val="16"/>
        </w:rPr>
      </w:pPr>
    </w:p>
    <w:p w14:paraId="455F563F" w14:textId="77777777" w:rsidR="003F3DEE" w:rsidRDefault="003F3DEE" w:rsidP="00DD5969">
      <w:pPr>
        <w:rPr>
          <w:sz w:val="16"/>
          <w:szCs w:val="16"/>
        </w:rPr>
      </w:pPr>
    </w:p>
    <w:p w14:paraId="46C10BCB" w14:textId="77777777" w:rsidR="003F3DEE" w:rsidRDefault="003F3DEE" w:rsidP="00DD5969">
      <w:pPr>
        <w:rPr>
          <w:sz w:val="16"/>
          <w:szCs w:val="16"/>
        </w:rPr>
      </w:pPr>
    </w:p>
    <w:p w14:paraId="2CC18C10" w14:textId="77777777" w:rsidR="003F3DEE" w:rsidRDefault="003F3DEE" w:rsidP="00DD5969">
      <w:pPr>
        <w:rPr>
          <w:sz w:val="16"/>
          <w:szCs w:val="16"/>
        </w:rPr>
      </w:pPr>
    </w:p>
    <w:p w14:paraId="2EA4AF9E" w14:textId="77777777" w:rsidR="003F3DEE" w:rsidRDefault="003F3DEE" w:rsidP="00DD5969">
      <w:pPr>
        <w:rPr>
          <w:sz w:val="16"/>
          <w:szCs w:val="16"/>
        </w:rPr>
      </w:pPr>
    </w:p>
    <w:p w14:paraId="281C30E3" w14:textId="77777777" w:rsidR="003F3DEE" w:rsidRDefault="003F3DEE" w:rsidP="00DD5969">
      <w:pPr>
        <w:rPr>
          <w:sz w:val="16"/>
          <w:szCs w:val="16"/>
        </w:rPr>
      </w:pPr>
    </w:p>
    <w:p w14:paraId="0AD0789A" w14:textId="77777777" w:rsidR="003F3DEE" w:rsidRDefault="003F3DEE" w:rsidP="00DD5969">
      <w:pPr>
        <w:rPr>
          <w:sz w:val="16"/>
          <w:szCs w:val="16"/>
        </w:rPr>
      </w:pPr>
    </w:p>
    <w:p w14:paraId="3542C007" w14:textId="77777777" w:rsidR="003F3DEE" w:rsidRDefault="003F3DEE" w:rsidP="00DD5969">
      <w:pPr>
        <w:rPr>
          <w:sz w:val="16"/>
          <w:szCs w:val="16"/>
        </w:rPr>
      </w:pPr>
    </w:p>
    <w:p w14:paraId="571BDECB" w14:textId="77777777" w:rsidR="003F3DEE" w:rsidRDefault="003F3DEE" w:rsidP="00DD5969">
      <w:pPr>
        <w:rPr>
          <w:sz w:val="16"/>
          <w:szCs w:val="16"/>
        </w:rPr>
      </w:pPr>
    </w:p>
    <w:p w14:paraId="7F2E732E" w14:textId="77777777" w:rsidR="003F3DEE" w:rsidRDefault="003F3DEE" w:rsidP="00DD5969">
      <w:pPr>
        <w:rPr>
          <w:sz w:val="16"/>
          <w:szCs w:val="16"/>
        </w:rPr>
      </w:pPr>
    </w:p>
    <w:p w14:paraId="569B9908" w14:textId="77777777" w:rsidR="003F3DEE" w:rsidRDefault="003F3DEE" w:rsidP="00DD5969">
      <w:pPr>
        <w:rPr>
          <w:sz w:val="16"/>
          <w:szCs w:val="16"/>
        </w:rPr>
      </w:pPr>
    </w:p>
    <w:p w14:paraId="60EBAC61" w14:textId="77777777" w:rsidR="003F3DEE" w:rsidRPr="003F3DEE" w:rsidRDefault="003F3DEE" w:rsidP="003F3DEE">
      <w:pPr>
        <w:jc w:val="both"/>
        <w:rPr>
          <w:rFonts w:ascii="Arial" w:eastAsia="PMingLiU" w:hAnsi="Arial" w:cs="Arial"/>
          <w:b/>
          <w:bCs/>
          <w:lang w:eastAsia="zh-TW"/>
        </w:rPr>
      </w:pPr>
      <w:r w:rsidRPr="003F3DEE">
        <w:rPr>
          <w:rFonts w:ascii="Arial" w:eastAsia="PMingLiU" w:hAnsi="Arial" w:cs="Arial"/>
          <w:b/>
          <w:bCs/>
          <w:lang w:eastAsia="zh-TW"/>
        </w:rPr>
        <w:lastRenderedPageBreak/>
        <w:t xml:space="preserve">Reference </w:t>
      </w:r>
    </w:p>
    <w:p w14:paraId="4C40ED03"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Al-Hendawi, M., Al-Maadadi, F., Al-Khater, H. </w:t>
      </w:r>
      <w:r w:rsidRPr="003F3DEE">
        <w:rPr>
          <w:rFonts w:ascii="Arial" w:eastAsia="PMingLiU" w:hAnsi="Arial" w:cs="Arial"/>
          <w:i/>
          <w:iCs/>
          <w:lang w:eastAsia="zh-TW"/>
        </w:rPr>
        <w:t>et al.</w:t>
      </w:r>
      <w:r w:rsidRPr="003F3DEE">
        <w:rPr>
          <w:rFonts w:ascii="Arial" w:eastAsia="PMingLiU" w:hAnsi="Arial" w:cs="Arial"/>
          <w:lang w:eastAsia="zh-TW"/>
        </w:rPr>
        <w:t xml:space="preserve"> (2025) 'Direct observation systems for child behaviour assessment in early childhood education: a systematic literature review', </w:t>
      </w:r>
      <w:r w:rsidRPr="003F3DEE">
        <w:rPr>
          <w:rFonts w:ascii="Arial" w:eastAsia="PMingLiU" w:hAnsi="Arial" w:cs="Arial"/>
          <w:i/>
          <w:iCs/>
          <w:lang w:eastAsia="zh-TW"/>
        </w:rPr>
        <w:t>Discover Mental Health</w:t>
      </w:r>
      <w:r w:rsidRPr="003F3DEE">
        <w:rPr>
          <w:rFonts w:ascii="Arial" w:eastAsia="PMingLiU" w:hAnsi="Arial" w:cs="Arial"/>
          <w:lang w:eastAsia="zh-TW"/>
        </w:rPr>
        <w:t xml:space="preserve">, 5(1). Available at: </w:t>
      </w:r>
      <w:hyperlink r:id="rId8" w:history="1">
        <w:r w:rsidRPr="003F3DEE">
          <w:rPr>
            <w:rFonts w:ascii="Arial" w:eastAsia="PMingLiU" w:hAnsi="Arial" w:cs="Arial"/>
            <w:color w:val="467886"/>
            <w:u w:val="single"/>
            <w:lang w:eastAsia="zh-TW"/>
          </w:rPr>
          <w:t>https://doi.org/10.1007/s44192-025-00139-z</w:t>
        </w:r>
      </w:hyperlink>
      <w:r w:rsidRPr="003F3DEE">
        <w:rPr>
          <w:rFonts w:ascii="Arial" w:eastAsia="PMingLiU" w:hAnsi="Arial" w:cs="Arial"/>
          <w:lang w:eastAsia="zh-TW"/>
        </w:rPr>
        <w:t xml:space="preserve"> (Accessed: 24 April 2026).</w:t>
      </w:r>
    </w:p>
    <w:p w14:paraId="71D17BE1"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Andrade, C. (2020) 'The inconvenient truth about convenience and purposive samples', </w:t>
      </w:r>
      <w:r w:rsidRPr="003F3DEE">
        <w:rPr>
          <w:rFonts w:ascii="Arial" w:eastAsia="PMingLiU" w:hAnsi="Arial" w:cs="Arial"/>
          <w:i/>
          <w:iCs/>
          <w:lang w:eastAsia="zh-TW"/>
        </w:rPr>
        <w:t>Indian Journal of Psychological Medicine</w:t>
      </w:r>
      <w:r w:rsidRPr="003F3DEE">
        <w:rPr>
          <w:rFonts w:ascii="Arial" w:eastAsia="PMingLiU" w:hAnsi="Arial" w:cs="Arial"/>
          <w:lang w:eastAsia="zh-TW"/>
        </w:rPr>
        <w:t xml:space="preserve">, 43(1), pp. 86–88. Available at: </w:t>
      </w:r>
      <w:hyperlink r:id="rId9" w:history="1">
        <w:r w:rsidRPr="003F3DEE">
          <w:rPr>
            <w:rFonts w:ascii="Arial" w:eastAsia="PMingLiU" w:hAnsi="Arial" w:cs="Arial"/>
            <w:color w:val="467886"/>
            <w:u w:val="single"/>
            <w:lang w:eastAsia="zh-TW"/>
          </w:rPr>
          <w:t>https://doi.org/10.1177/0253717620977000</w:t>
        </w:r>
      </w:hyperlink>
      <w:r w:rsidRPr="003F3DEE">
        <w:rPr>
          <w:rFonts w:ascii="Arial" w:eastAsia="PMingLiU" w:hAnsi="Arial" w:cs="Arial"/>
          <w:lang w:eastAsia="zh-TW"/>
        </w:rPr>
        <w:t xml:space="preserve"> (Accessed: 20 April 2026).</w:t>
      </w:r>
    </w:p>
    <w:p w14:paraId="0C8A673E"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Bell, J., Waters, S. and Johnson, H. (2024) </w:t>
      </w:r>
      <w:r w:rsidRPr="003F3DEE">
        <w:rPr>
          <w:rFonts w:ascii="Arial" w:eastAsia="PMingLiU" w:hAnsi="Arial" w:cs="Arial"/>
          <w:i/>
          <w:iCs/>
          <w:lang w:eastAsia="zh-TW"/>
        </w:rPr>
        <w:t>Doing your research project : a guide for first-time researchers</w:t>
      </w:r>
      <w:r w:rsidRPr="003F3DEE">
        <w:rPr>
          <w:rFonts w:ascii="Arial" w:eastAsia="PMingLiU" w:hAnsi="Arial" w:cs="Arial"/>
          <w:lang w:eastAsia="zh-TW"/>
        </w:rPr>
        <w:t>. Eighth edition. Buckingham: Open University Press.</w:t>
      </w:r>
    </w:p>
    <w:p w14:paraId="34A77CC8"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Bergman, M.M. (ed.) (2008) </w:t>
      </w:r>
      <w:r w:rsidRPr="003F3DEE">
        <w:rPr>
          <w:rFonts w:ascii="Arial" w:eastAsia="PMingLiU" w:hAnsi="Arial" w:cs="Arial"/>
          <w:i/>
          <w:iCs/>
          <w:lang w:eastAsia="zh-TW"/>
        </w:rPr>
        <w:t>Advances in Mixed Methods Research: Theories and Applications</w:t>
      </w:r>
      <w:r w:rsidRPr="003F3DEE">
        <w:rPr>
          <w:rFonts w:ascii="Arial" w:eastAsia="PMingLiU" w:hAnsi="Arial" w:cs="Arial"/>
          <w:lang w:eastAsia="zh-TW"/>
        </w:rPr>
        <w:t>. London: SAGE Publications.</w:t>
      </w:r>
    </w:p>
    <w:p w14:paraId="186AD488"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Campbell, S., Greenwood, M., Prior, S., Shearer, T., Walkem, K., Young, S., Bywaters, D. and Walker, K. (2020) 'Purposive sampling: complex or simple? Research case examples', </w:t>
      </w:r>
      <w:r w:rsidRPr="003F3DEE">
        <w:rPr>
          <w:rFonts w:ascii="Arial" w:eastAsia="PMingLiU" w:hAnsi="Arial" w:cs="Arial"/>
          <w:i/>
          <w:iCs/>
          <w:lang w:eastAsia="zh-TW"/>
        </w:rPr>
        <w:t>Journal of Research in Nursing</w:t>
      </w:r>
      <w:r w:rsidRPr="003F3DEE">
        <w:rPr>
          <w:rFonts w:ascii="Arial" w:eastAsia="PMingLiU" w:hAnsi="Arial" w:cs="Arial"/>
          <w:lang w:eastAsia="zh-TW"/>
        </w:rPr>
        <w:t xml:space="preserve">, 25(8), pp. 652–661. Available at: </w:t>
      </w:r>
      <w:hyperlink r:id="rId10" w:history="1">
        <w:r w:rsidRPr="003F3DEE">
          <w:rPr>
            <w:rFonts w:ascii="Arial" w:eastAsia="PMingLiU" w:hAnsi="Arial" w:cs="Arial"/>
            <w:color w:val="467886"/>
            <w:u w:val="single"/>
            <w:lang w:eastAsia="zh-TW"/>
          </w:rPr>
          <w:t>https://doi.org/10.1177/1744987120927206</w:t>
        </w:r>
      </w:hyperlink>
      <w:r w:rsidRPr="003F3DEE">
        <w:rPr>
          <w:rFonts w:ascii="Arial" w:eastAsia="PMingLiU" w:hAnsi="Arial" w:cs="Arial"/>
          <w:lang w:eastAsia="zh-TW"/>
        </w:rPr>
        <w:t xml:space="preserve"> (Accessed: 20 April 2026).</w:t>
      </w:r>
    </w:p>
    <w:p w14:paraId="55683102"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Carr, M. and Lee, W. (2012) </w:t>
      </w:r>
      <w:r w:rsidRPr="003F3DEE">
        <w:rPr>
          <w:rFonts w:ascii="Arial" w:eastAsia="PMingLiU" w:hAnsi="Arial" w:cs="Arial"/>
          <w:i/>
          <w:iCs/>
          <w:lang w:eastAsia="zh-TW"/>
        </w:rPr>
        <w:t>Learning Stories: Constructing Learner Identities in Early Education</w:t>
      </w:r>
      <w:r w:rsidRPr="003F3DEE">
        <w:rPr>
          <w:rFonts w:ascii="Arial" w:eastAsia="PMingLiU" w:hAnsi="Arial" w:cs="Arial"/>
          <w:lang w:eastAsia="zh-TW"/>
        </w:rPr>
        <w:t>. London: SAGE.</w:t>
      </w:r>
    </w:p>
    <w:p w14:paraId="192CFE22"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Cohen, L., Manion, L. and Morrison, K. (2018) </w:t>
      </w:r>
      <w:r w:rsidRPr="003F3DEE">
        <w:rPr>
          <w:rFonts w:ascii="Arial" w:eastAsia="PMingLiU" w:hAnsi="Arial" w:cs="Arial"/>
          <w:i/>
          <w:iCs/>
          <w:lang w:eastAsia="zh-TW"/>
        </w:rPr>
        <w:t>Research Methods in Education</w:t>
      </w:r>
      <w:r w:rsidRPr="003F3DEE">
        <w:rPr>
          <w:rFonts w:ascii="Arial" w:eastAsia="PMingLiU" w:hAnsi="Arial" w:cs="Arial"/>
          <w:lang w:eastAsia="zh-TW"/>
        </w:rPr>
        <w:t>. 8th edn. London: Routledge.</w:t>
      </w:r>
    </w:p>
    <w:p w14:paraId="6E1E211C"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Creswell, J.W. and Plano Clark, V.L. (2018) </w:t>
      </w:r>
      <w:r w:rsidRPr="003F3DEE">
        <w:rPr>
          <w:rFonts w:ascii="Arial" w:eastAsia="PMingLiU" w:hAnsi="Arial" w:cs="Arial"/>
          <w:i/>
          <w:iCs/>
          <w:lang w:eastAsia="zh-TW"/>
        </w:rPr>
        <w:t>Designing and Conducting Mixed Methods Research</w:t>
      </w:r>
      <w:r w:rsidRPr="003F3DEE">
        <w:rPr>
          <w:rFonts w:ascii="Arial" w:eastAsia="PMingLiU" w:hAnsi="Arial" w:cs="Arial"/>
          <w:lang w:eastAsia="zh-TW"/>
        </w:rPr>
        <w:t>. 3rd edn. Thousand Oaks, CA: SAGE Publications.</w:t>
      </w:r>
    </w:p>
    <w:p w14:paraId="14E9294F"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Creswell, J.W. and Creswell, J.D. (2018) </w:t>
      </w:r>
      <w:r w:rsidRPr="003F3DEE">
        <w:rPr>
          <w:rFonts w:ascii="Arial" w:eastAsia="PMingLiU" w:hAnsi="Arial" w:cs="Arial"/>
          <w:i/>
          <w:iCs/>
          <w:lang w:eastAsia="zh-TW"/>
        </w:rPr>
        <w:t>Research Design: Qualitative, Quantitative, and Mixed Methods Approaches</w:t>
      </w:r>
      <w:r w:rsidRPr="003F3DEE">
        <w:rPr>
          <w:rFonts w:ascii="Arial" w:eastAsia="PMingLiU" w:hAnsi="Arial" w:cs="Arial"/>
          <w:lang w:eastAsia="zh-TW"/>
        </w:rPr>
        <w:t>. 5th edn. Los Angeles: SAGE Publications.</w:t>
      </w:r>
    </w:p>
    <w:p w14:paraId="4FE2722C"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Creswell, J.W. and Poth, C.N. (2023) </w:t>
      </w:r>
      <w:r w:rsidRPr="003F3DEE">
        <w:rPr>
          <w:rFonts w:ascii="Arial" w:eastAsia="PMingLiU" w:hAnsi="Arial" w:cs="Arial"/>
          <w:i/>
          <w:iCs/>
          <w:lang w:eastAsia="zh-TW"/>
        </w:rPr>
        <w:t>Qualitative Inquiry and Research Design: Choosing Among Five Approaches</w:t>
      </w:r>
      <w:r w:rsidRPr="003F3DEE">
        <w:rPr>
          <w:rFonts w:ascii="Arial" w:eastAsia="PMingLiU" w:hAnsi="Arial" w:cs="Arial"/>
          <w:lang w:eastAsia="zh-TW"/>
        </w:rPr>
        <w:t>. 5th edn. London: SAGE.</w:t>
      </w:r>
    </w:p>
    <w:p w14:paraId="3D42DDD9"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Denscombe, M. (2021) </w:t>
      </w:r>
      <w:r w:rsidRPr="003F3DEE">
        <w:rPr>
          <w:rFonts w:ascii="Arial" w:eastAsia="PMingLiU" w:hAnsi="Arial" w:cs="Arial"/>
          <w:i/>
          <w:iCs/>
          <w:lang w:eastAsia="zh-TW"/>
        </w:rPr>
        <w:t>The good research guide : research methods for small-scale social research projects</w:t>
      </w:r>
      <w:r w:rsidRPr="003F3DEE">
        <w:rPr>
          <w:rFonts w:ascii="Arial" w:eastAsia="PMingLiU" w:hAnsi="Arial" w:cs="Arial"/>
          <w:lang w:eastAsia="zh-TW"/>
        </w:rPr>
        <w:t>. Seventh edition. London: Open University Press.</w:t>
      </w:r>
    </w:p>
    <w:p w14:paraId="49459BD5"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Etikan, I., Musa, S.A. and Alkassim, R.S. (2016) 'Comparison of convenience sampling and purposive sampling', </w:t>
      </w:r>
      <w:r w:rsidRPr="003F3DEE">
        <w:rPr>
          <w:rFonts w:ascii="Arial" w:eastAsia="PMingLiU" w:hAnsi="Arial" w:cs="Arial"/>
          <w:i/>
          <w:iCs/>
          <w:lang w:eastAsia="zh-TW"/>
        </w:rPr>
        <w:t>American Journal of Theoretical and Applied Statistics</w:t>
      </w:r>
      <w:r w:rsidRPr="003F3DEE">
        <w:rPr>
          <w:rFonts w:ascii="Arial" w:eastAsia="PMingLiU" w:hAnsi="Arial" w:cs="Arial"/>
          <w:lang w:eastAsia="zh-TW"/>
        </w:rPr>
        <w:t xml:space="preserve">, 5(1), pp. 1–4. Available at: </w:t>
      </w:r>
      <w:hyperlink r:id="rId11" w:history="1">
        <w:r w:rsidRPr="003F3DEE">
          <w:rPr>
            <w:rFonts w:ascii="Arial" w:eastAsia="PMingLiU" w:hAnsi="Arial" w:cs="Arial"/>
            <w:color w:val="467886"/>
            <w:u w:val="single"/>
            <w:lang w:eastAsia="zh-TW"/>
          </w:rPr>
          <w:t>https://doi.org/10.11648/j.ajtas.20160501.11</w:t>
        </w:r>
      </w:hyperlink>
      <w:r w:rsidRPr="003F3DEE">
        <w:rPr>
          <w:rFonts w:ascii="Arial" w:eastAsia="PMingLiU" w:hAnsi="Arial" w:cs="Arial"/>
          <w:lang w:eastAsia="zh-TW"/>
        </w:rPr>
        <w:t xml:space="preserve"> (Accessed: 20 April 2026).</w:t>
      </w:r>
    </w:p>
    <w:p w14:paraId="0E781798"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Gorard, S. and Taylor, C. (2004) </w:t>
      </w:r>
      <w:r w:rsidRPr="003F3DEE">
        <w:rPr>
          <w:rFonts w:ascii="Arial" w:eastAsia="PMingLiU" w:hAnsi="Arial" w:cs="Arial"/>
          <w:i/>
          <w:iCs/>
          <w:lang w:eastAsia="zh-TW"/>
        </w:rPr>
        <w:t>Combining Methods in Educational and Social Research</w:t>
      </w:r>
      <w:r w:rsidRPr="003F3DEE">
        <w:rPr>
          <w:rFonts w:ascii="Arial" w:eastAsia="PMingLiU" w:hAnsi="Arial" w:cs="Arial"/>
          <w:lang w:eastAsia="zh-TW"/>
        </w:rPr>
        <w:t>. London: Open University Press.</w:t>
      </w:r>
    </w:p>
    <w:p w14:paraId="302DD432"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Gray, D.E. (2022) </w:t>
      </w:r>
      <w:r w:rsidRPr="003F3DEE">
        <w:rPr>
          <w:rFonts w:ascii="Arial" w:eastAsia="PMingLiU" w:hAnsi="Arial" w:cs="Arial"/>
          <w:i/>
          <w:iCs/>
          <w:lang w:eastAsia="zh-TW"/>
        </w:rPr>
        <w:t>Doing Research in the Real World</w:t>
      </w:r>
      <w:r w:rsidRPr="003F3DEE">
        <w:rPr>
          <w:rFonts w:ascii="Arial" w:eastAsia="PMingLiU" w:hAnsi="Arial" w:cs="Arial"/>
          <w:lang w:eastAsia="zh-TW"/>
        </w:rPr>
        <w:t>. 5th edn. London: SAGE.</w:t>
      </w:r>
    </w:p>
    <w:p w14:paraId="693261EC"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lastRenderedPageBreak/>
        <w:t>Jeff Mann </w:t>
      </w:r>
      <w:r w:rsidRPr="003F3DEE">
        <w:rPr>
          <w:rFonts w:ascii="Arial" w:eastAsia="PMingLiU" w:hAnsi="Arial" w:cs="Arial"/>
          <w:i/>
          <w:iCs/>
          <w:lang w:eastAsia="zh-TW"/>
        </w:rPr>
        <w:t>et al.</w:t>
      </w:r>
      <w:r w:rsidRPr="003F3DEE">
        <w:rPr>
          <w:rFonts w:ascii="Arial" w:eastAsia="PMingLiU" w:hAnsi="Arial" w:cs="Arial"/>
          <w:lang w:eastAsia="zh-TW"/>
        </w:rPr>
        <w:t> (2022) “Getting Out of the Classroom and Into Nature: A Systematic Review of Nature-Specific Outdoor Learning on School Children’s Learning and Development,” </w:t>
      </w:r>
      <w:r w:rsidRPr="003F3DEE">
        <w:rPr>
          <w:rFonts w:ascii="Arial" w:eastAsia="PMingLiU" w:hAnsi="Arial" w:cs="Arial"/>
          <w:i/>
          <w:iCs/>
          <w:lang w:eastAsia="zh-TW"/>
        </w:rPr>
        <w:t>Frontiers in public health</w:t>
      </w:r>
      <w:r w:rsidRPr="003F3DEE">
        <w:rPr>
          <w:rFonts w:ascii="Arial" w:eastAsia="PMingLiU" w:hAnsi="Arial" w:cs="Arial"/>
          <w:lang w:eastAsia="zh-TW"/>
        </w:rPr>
        <w:t xml:space="preserve">, 10. Available at: </w:t>
      </w:r>
      <w:hyperlink r:id="rId12" w:history="1">
        <w:r w:rsidRPr="003F3DEE">
          <w:rPr>
            <w:rFonts w:ascii="Arial" w:eastAsia="PMingLiU" w:hAnsi="Arial" w:cs="Arial"/>
            <w:color w:val="467886"/>
            <w:u w:val="single"/>
            <w:lang w:eastAsia="zh-TW"/>
          </w:rPr>
          <w:t>https://doi.org/10.3389/fpubh.2022.877058</w:t>
        </w:r>
      </w:hyperlink>
      <w:r w:rsidRPr="003F3DEE">
        <w:rPr>
          <w:rFonts w:ascii="Arial" w:eastAsia="PMingLiU" w:hAnsi="Arial" w:cs="Arial"/>
          <w:lang w:eastAsia="zh-TW"/>
        </w:rPr>
        <w:t>.</w:t>
      </w:r>
    </w:p>
    <w:p w14:paraId="4CE379D1"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Kanaki, K. and Kalogiannakis, M. (2023) 'Sample design challenges: an educational research paradigm', </w:t>
      </w:r>
      <w:r w:rsidRPr="003F3DEE">
        <w:rPr>
          <w:rFonts w:ascii="Arial" w:eastAsia="PMingLiU" w:hAnsi="Arial" w:cs="Arial"/>
          <w:i/>
          <w:iCs/>
          <w:lang w:eastAsia="zh-TW"/>
        </w:rPr>
        <w:t>International Journal of Technology Enhanced Learning</w:t>
      </w:r>
      <w:r w:rsidRPr="003F3DEE">
        <w:rPr>
          <w:rFonts w:ascii="Arial" w:eastAsia="PMingLiU" w:hAnsi="Arial" w:cs="Arial"/>
          <w:lang w:eastAsia="zh-TW"/>
        </w:rPr>
        <w:t xml:space="preserve">, 15(3), pp. 266–285. Available at: </w:t>
      </w:r>
      <w:hyperlink r:id="rId13" w:history="1">
        <w:r w:rsidRPr="003F3DEE">
          <w:rPr>
            <w:rFonts w:ascii="Arial" w:eastAsia="PMingLiU" w:hAnsi="Arial" w:cs="Arial"/>
            <w:color w:val="467886"/>
            <w:u w:val="single"/>
            <w:lang w:eastAsia="zh-TW"/>
          </w:rPr>
          <w:t>https://doi.org/10.1504/IJTEL.2023.131865</w:t>
        </w:r>
      </w:hyperlink>
      <w:r w:rsidRPr="003F3DEE">
        <w:rPr>
          <w:rFonts w:ascii="Arial" w:eastAsia="PMingLiU" w:hAnsi="Arial" w:cs="Arial"/>
          <w:lang w:eastAsia="zh-TW"/>
        </w:rPr>
        <w:t xml:space="preserve"> (Accessed: 24 April 2026).</w:t>
      </w:r>
    </w:p>
    <w:p w14:paraId="4DC53405"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Lao, H. (2021) 'A systematic review on factors influencing teachers' intentions and implementations regarding formative assessment', </w:t>
      </w:r>
      <w:r w:rsidRPr="003F3DEE">
        <w:rPr>
          <w:rFonts w:ascii="Arial" w:eastAsia="PMingLiU" w:hAnsi="Arial" w:cs="Arial"/>
          <w:i/>
          <w:iCs/>
          <w:lang w:eastAsia="zh-TW"/>
        </w:rPr>
        <w:t>Assessment in Education: Principles, Policy and Practice</w:t>
      </w:r>
      <w:r w:rsidRPr="003F3DEE">
        <w:rPr>
          <w:rFonts w:ascii="Arial" w:eastAsia="PMingLiU" w:hAnsi="Arial" w:cs="Arial"/>
          <w:lang w:eastAsia="zh-TW"/>
        </w:rPr>
        <w:t xml:space="preserve">, 28(2), pp. 228–260. Available at: </w:t>
      </w:r>
      <w:hyperlink r:id="rId14" w:history="1">
        <w:r w:rsidRPr="003F3DEE">
          <w:rPr>
            <w:rFonts w:ascii="Arial" w:eastAsia="PMingLiU" w:hAnsi="Arial" w:cs="Arial"/>
            <w:color w:val="467886"/>
            <w:u w:val="single"/>
            <w:lang w:eastAsia="zh-TW"/>
          </w:rPr>
          <w:t>https://doi.org/10.1080/0969594X.2021.1884042</w:t>
        </w:r>
      </w:hyperlink>
      <w:r w:rsidRPr="003F3DEE">
        <w:rPr>
          <w:rFonts w:ascii="Arial" w:eastAsia="PMingLiU" w:hAnsi="Arial" w:cs="Arial"/>
          <w:lang w:eastAsia="zh-TW"/>
        </w:rPr>
        <w:t xml:space="preserve"> (Accessed: 24 April 2026).</w:t>
      </w:r>
    </w:p>
    <w:p w14:paraId="21698FA4"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Mertens, D.M. (2015) </w:t>
      </w:r>
      <w:r w:rsidRPr="003F3DEE">
        <w:rPr>
          <w:rFonts w:ascii="Arial" w:eastAsia="PMingLiU" w:hAnsi="Arial" w:cs="Arial"/>
          <w:i/>
          <w:iCs/>
          <w:lang w:eastAsia="zh-TW"/>
        </w:rPr>
        <w:t>Research and Evaluation in Education and Psychology: Integrating Diversity with Quantitative, Qualitative, and Mixed Methods</w:t>
      </w:r>
      <w:r w:rsidRPr="003F3DEE">
        <w:rPr>
          <w:rFonts w:ascii="Arial" w:eastAsia="PMingLiU" w:hAnsi="Arial" w:cs="Arial"/>
          <w:lang w:eastAsia="zh-TW"/>
        </w:rPr>
        <w:t>. 4th edn. T</w:t>
      </w:r>
      <w:r w:rsidRPr="003F3DEE">
        <w:rPr>
          <w:rFonts w:ascii="Aptos" w:eastAsia="PMingLiU" w:hAnsi="Aptos" w:cs="Arial"/>
          <w:lang w:eastAsia="zh-TW"/>
        </w:rPr>
        <w:t xml:space="preserve"> </w:t>
      </w:r>
      <w:r w:rsidRPr="003F3DEE">
        <w:rPr>
          <w:rFonts w:ascii="Arial" w:eastAsia="PMingLiU" w:hAnsi="Arial" w:cs="Arial"/>
          <w:lang w:eastAsia="zh-TW"/>
        </w:rPr>
        <w:t xml:space="preserve">Morgan, H. (2022) 'Conducting a qualitative document analysis', </w:t>
      </w:r>
      <w:r w:rsidRPr="003F3DEE">
        <w:rPr>
          <w:rFonts w:ascii="Arial" w:eastAsia="PMingLiU" w:hAnsi="Arial" w:cs="Arial"/>
          <w:i/>
          <w:iCs/>
          <w:lang w:eastAsia="zh-TW"/>
        </w:rPr>
        <w:t>The Qualitative Report</w:t>
      </w:r>
      <w:r w:rsidRPr="003F3DEE">
        <w:rPr>
          <w:rFonts w:ascii="Arial" w:eastAsia="PMingLiU" w:hAnsi="Arial" w:cs="Arial"/>
          <w:lang w:eastAsia="zh-TW"/>
        </w:rPr>
        <w:t xml:space="preserve">, 27(1), pp. 64–77. Available at: </w:t>
      </w:r>
      <w:hyperlink r:id="rId15" w:history="1">
        <w:r w:rsidRPr="003F3DEE">
          <w:rPr>
            <w:rFonts w:ascii="Arial" w:eastAsia="PMingLiU" w:hAnsi="Arial" w:cs="Arial"/>
            <w:color w:val="467886"/>
            <w:u w:val="single"/>
            <w:lang w:eastAsia="zh-TW"/>
          </w:rPr>
          <w:t>https://nsuworks.nova.edu/tqr/vol27/iss1/4</w:t>
        </w:r>
      </w:hyperlink>
      <w:r w:rsidRPr="003F3DEE">
        <w:rPr>
          <w:rFonts w:ascii="Arial" w:eastAsia="PMingLiU" w:hAnsi="Arial" w:cs="Arial"/>
          <w:lang w:eastAsia="zh-TW"/>
        </w:rPr>
        <w:t xml:space="preserve"> (Accessed: 7 April 2026).housand Oaks, CA: SAGE Publications.</w:t>
      </w:r>
    </w:p>
    <w:p w14:paraId="69B848AA"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Mwita, K.M. (2022) 'Strengths and weaknesses of qualitative research in social science studies', </w:t>
      </w:r>
      <w:r w:rsidRPr="003F3DEE">
        <w:rPr>
          <w:rFonts w:ascii="Arial" w:eastAsia="PMingLiU" w:hAnsi="Arial" w:cs="Arial"/>
          <w:i/>
          <w:iCs/>
          <w:lang w:eastAsia="zh-TW"/>
        </w:rPr>
        <w:t>International Journal of Research in Business and Social Science</w:t>
      </w:r>
      <w:r w:rsidRPr="003F3DEE">
        <w:rPr>
          <w:rFonts w:ascii="Arial" w:eastAsia="PMingLiU" w:hAnsi="Arial" w:cs="Arial"/>
          <w:lang w:eastAsia="zh-TW"/>
        </w:rPr>
        <w:t xml:space="preserve">, 11(6), pp. 618–625. Available at: </w:t>
      </w:r>
      <w:hyperlink r:id="rId16" w:history="1">
        <w:r w:rsidRPr="003F3DEE">
          <w:rPr>
            <w:rFonts w:ascii="Arial" w:eastAsia="PMingLiU" w:hAnsi="Arial" w:cs="Arial"/>
            <w:color w:val="467886"/>
            <w:u w:val="single"/>
            <w:lang w:eastAsia="zh-TW"/>
          </w:rPr>
          <w:t>https://doi.org/10.20525/ijrbs.v11i6.1920</w:t>
        </w:r>
      </w:hyperlink>
      <w:r w:rsidRPr="003F3DEE">
        <w:rPr>
          <w:rFonts w:ascii="Arial" w:eastAsia="PMingLiU" w:hAnsi="Arial" w:cs="Arial"/>
          <w:lang w:eastAsia="zh-TW"/>
        </w:rPr>
        <w:t xml:space="preserve"> (Accessed: 24 April 2026).</w:t>
      </w:r>
    </w:p>
    <w:p w14:paraId="5DC8838A"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Newby, P. (2014) </w:t>
      </w:r>
      <w:r w:rsidRPr="003F3DEE">
        <w:rPr>
          <w:rFonts w:ascii="Arial" w:eastAsia="PMingLiU" w:hAnsi="Arial" w:cs="Arial"/>
          <w:i/>
          <w:iCs/>
          <w:lang w:eastAsia="zh-TW"/>
        </w:rPr>
        <w:t>Research Methods for Education</w:t>
      </w:r>
      <w:r w:rsidRPr="003F3DEE">
        <w:rPr>
          <w:rFonts w:ascii="Arial" w:eastAsia="PMingLiU" w:hAnsi="Arial" w:cs="Arial"/>
          <w:lang w:eastAsia="zh-TW"/>
        </w:rPr>
        <w:t>. 2nd edn. Abingdon: Routledge.</w:t>
      </w:r>
    </w:p>
    <w:p w14:paraId="706B208B"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Oulton, K., Gibson, F., Sell, D., Williams, A., Pratt, L. and Wray, J. (2016) 'Assent for children's participation in research: why it matters and making it meaningful', </w:t>
      </w:r>
      <w:r w:rsidRPr="003F3DEE">
        <w:rPr>
          <w:rFonts w:ascii="Arial" w:eastAsia="PMingLiU" w:hAnsi="Arial" w:cs="Arial"/>
          <w:i/>
          <w:iCs/>
          <w:lang w:eastAsia="zh-TW"/>
        </w:rPr>
        <w:t>Child: Care, Health and Development</w:t>
      </w:r>
      <w:r w:rsidRPr="003F3DEE">
        <w:rPr>
          <w:rFonts w:ascii="Arial" w:eastAsia="PMingLiU" w:hAnsi="Arial" w:cs="Arial"/>
          <w:lang w:eastAsia="zh-TW"/>
        </w:rPr>
        <w:t xml:space="preserve">, 42(4), pp. 588–597. Available at: </w:t>
      </w:r>
      <w:hyperlink r:id="rId17" w:history="1">
        <w:r w:rsidRPr="003F3DEE">
          <w:rPr>
            <w:rFonts w:ascii="Arial" w:eastAsia="PMingLiU" w:hAnsi="Arial" w:cs="Arial"/>
            <w:color w:val="467886"/>
            <w:u w:val="single"/>
            <w:lang w:eastAsia="zh-TW"/>
          </w:rPr>
          <w:t>https://doi.org/10.1111/cch.12344</w:t>
        </w:r>
      </w:hyperlink>
      <w:r w:rsidRPr="003F3DEE">
        <w:rPr>
          <w:rFonts w:ascii="Arial" w:eastAsia="PMingLiU" w:hAnsi="Arial" w:cs="Arial"/>
          <w:lang w:eastAsia="zh-TW"/>
        </w:rPr>
        <w:t xml:space="preserve"> (Accessed: 22 April 2026).</w:t>
      </w:r>
    </w:p>
    <w:p w14:paraId="58CC6569"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Palinkas, L.A., Horwitz, S.M., Green, C.A., Wisdom, J.P., Duan, N. and Hoagwood, K. (2015) 'Purposeful sampling for qualitative data collection and analysis in mixed method implementation research', </w:t>
      </w:r>
      <w:r w:rsidRPr="003F3DEE">
        <w:rPr>
          <w:rFonts w:ascii="Arial" w:eastAsia="PMingLiU" w:hAnsi="Arial" w:cs="Arial"/>
          <w:i/>
          <w:iCs/>
          <w:lang w:eastAsia="zh-TW"/>
        </w:rPr>
        <w:t>Administration and Policy in Mental Health and Mental Health Services Research</w:t>
      </w:r>
      <w:r w:rsidRPr="003F3DEE">
        <w:rPr>
          <w:rFonts w:ascii="Arial" w:eastAsia="PMingLiU" w:hAnsi="Arial" w:cs="Arial"/>
          <w:lang w:eastAsia="zh-TW"/>
        </w:rPr>
        <w:t xml:space="preserve">, 42(5), pp. 533–544. Available at: </w:t>
      </w:r>
      <w:hyperlink r:id="rId18" w:history="1">
        <w:r w:rsidRPr="003F3DEE">
          <w:rPr>
            <w:rFonts w:ascii="Arial" w:eastAsia="PMingLiU" w:hAnsi="Arial" w:cs="Arial"/>
            <w:color w:val="467886"/>
            <w:u w:val="single"/>
            <w:lang w:eastAsia="zh-TW"/>
          </w:rPr>
          <w:t>https://pmc.ncbi.nlm.nih.gov/articles/PMC4012002/</w:t>
        </w:r>
      </w:hyperlink>
      <w:r w:rsidRPr="003F3DEE">
        <w:rPr>
          <w:rFonts w:ascii="Arial" w:eastAsia="PMingLiU" w:hAnsi="Arial" w:cs="Arial"/>
          <w:lang w:eastAsia="zh-TW"/>
        </w:rPr>
        <w:t xml:space="preserve"> (Accessed: 21 April 2026).</w:t>
      </w:r>
    </w:p>
    <w:p w14:paraId="345B6328"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Podobnik, U., Jerman, J. and Selan, J. (2024) 'Understanding analytical drawings of preschool children: the importance of a dialogue with a child', </w:t>
      </w:r>
      <w:r w:rsidRPr="003F3DEE">
        <w:rPr>
          <w:rFonts w:ascii="Arial" w:eastAsia="PMingLiU" w:hAnsi="Arial" w:cs="Arial"/>
          <w:i/>
          <w:iCs/>
          <w:lang w:eastAsia="zh-TW"/>
        </w:rPr>
        <w:t>International Journal of Early Years Education</w:t>
      </w:r>
      <w:r w:rsidRPr="003F3DEE">
        <w:rPr>
          <w:rFonts w:ascii="Arial" w:eastAsia="PMingLiU" w:hAnsi="Arial" w:cs="Arial"/>
          <w:lang w:eastAsia="zh-TW"/>
        </w:rPr>
        <w:t xml:space="preserve">, 32(1), pp. 189–203. Available at: </w:t>
      </w:r>
      <w:hyperlink r:id="rId19" w:history="1">
        <w:r w:rsidRPr="003F3DEE">
          <w:rPr>
            <w:rFonts w:ascii="Arial" w:eastAsia="PMingLiU" w:hAnsi="Arial" w:cs="Arial"/>
            <w:color w:val="467886"/>
            <w:u w:val="single"/>
            <w:lang w:eastAsia="zh-TW"/>
          </w:rPr>
          <w:t>https://doi.org/10.1080/09669760.2021.1960802</w:t>
        </w:r>
      </w:hyperlink>
      <w:r w:rsidRPr="003F3DEE">
        <w:rPr>
          <w:rFonts w:ascii="Arial" w:eastAsia="PMingLiU" w:hAnsi="Arial" w:cs="Arial"/>
          <w:lang w:eastAsia="zh-TW"/>
        </w:rPr>
        <w:t xml:space="preserve"> (Accessed: 7 April 2026).</w:t>
      </w:r>
    </w:p>
    <w:p w14:paraId="30F7D298"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Pregoner, J.D. (2024) 'A comparison of quantitative, qualitative and mixed methods in educational research', </w:t>
      </w:r>
      <w:r w:rsidRPr="003F3DEE">
        <w:rPr>
          <w:rFonts w:ascii="Arial" w:eastAsia="PMingLiU" w:hAnsi="Arial" w:cs="Arial"/>
          <w:i/>
          <w:iCs/>
          <w:lang w:eastAsia="zh-TW"/>
        </w:rPr>
        <w:t>World Journal of Advanced Research and Reviews</w:t>
      </w:r>
      <w:r w:rsidRPr="003F3DEE">
        <w:rPr>
          <w:rFonts w:ascii="Arial" w:eastAsia="PMingLiU" w:hAnsi="Arial" w:cs="Arial"/>
          <w:lang w:eastAsia="zh-TW"/>
        </w:rPr>
        <w:t xml:space="preserve">, 22(3), pp. 1–10. Available at: </w:t>
      </w:r>
      <w:hyperlink r:id="rId20" w:history="1">
        <w:r w:rsidRPr="003F3DEE">
          <w:rPr>
            <w:rFonts w:ascii="Arial" w:eastAsia="PMingLiU" w:hAnsi="Arial" w:cs="Arial"/>
            <w:color w:val="467886"/>
            <w:u w:val="single"/>
            <w:lang w:eastAsia="zh-TW"/>
          </w:rPr>
          <w:t>https://journalwjarr.com/sites/default/files/fulltext_pdf/WJARR-2025-0947.pdf</w:t>
        </w:r>
      </w:hyperlink>
      <w:r w:rsidRPr="003F3DEE">
        <w:rPr>
          <w:rFonts w:ascii="Arial" w:eastAsia="PMingLiU" w:hAnsi="Arial" w:cs="Arial"/>
          <w:lang w:eastAsia="zh-TW"/>
        </w:rPr>
        <w:t xml:space="preserve"> (Accessed: 22 April 2026).</w:t>
      </w:r>
    </w:p>
    <w:p w14:paraId="2E56DBA0" w14:textId="77777777" w:rsidR="003F3DEE" w:rsidRPr="003F3DEE" w:rsidRDefault="003F3DEE" w:rsidP="003F3DEE">
      <w:pPr>
        <w:rPr>
          <w:rFonts w:ascii="Arial" w:eastAsia="PMingLiU" w:hAnsi="Arial" w:cs="Arial"/>
          <w:lang w:eastAsia="zh-TW"/>
        </w:rPr>
      </w:pPr>
      <w:r w:rsidRPr="003F3DEE">
        <w:rPr>
          <w:rFonts w:ascii="Arial" w:eastAsia="PMingLiU" w:hAnsi="Arial" w:cs="Arial"/>
          <w:lang w:eastAsia="zh-TW"/>
        </w:rPr>
        <w:lastRenderedPageBreak/>
        <w:t xml:space="preserve">Rickinson, M., Dillon, J., Teamey, K., Morris, M., Choi, M.Y., Sanders, D. and Benefield, P. (2004) </w:t>
      </w:r>
      <w:r w:rsidRPr="003F3DEE">
        <w:rPr>
          <w:rFonts w:ascii="Arial" w:eastAsia="PMingLiU" w:hAnsi="Arial" w:cs="Arial"/>
          <w:i/>
          <w:iCs/>
          <w:lang w:eastAsia="zh-TW"/>
        </w:rPr>
        <w:t>A Review of Research on Outdoor Learning</w:t>
      </w:r>
      <w:r w:rsidRPr="003F3DEE">
        <w:rPr>
          <w:rFonts w:ascii="Arial" w:eastAsia="PMingLiU" w:hAnsi="Arial" w:cs="Arial"/>
          <w:lang w:eastAsia="zh-TW"/>
        </w:rPr>
        <w:t xml:space="preserve">. Shrewsbury: Field Studies Council. Available at: </w:t>
      </w:r>
      <w:hyperlink r:id="rId21" w:history="1">
        <w:r w:rsidRPr="003F3DEE">
          <w:rPr>
            <w:rFonts w:ascii="Arial" w:eastAsia="PMingLiU" w:hAnsi="Arial" w:cs="Arial"/>
            <w:color w:val="467886"/>
            <w:u w:val="single"/>
            <w:lang w:eastAsia="zh-TW"/>
          </w:rPr>
          <w:t>https://informalscience.org/research/review-research-outdoor-learning/</w:t>
        </w:r>
      </w:hyperlink>
      <w:r w:rsidRPr="003F3DEE">
        <w:rPr>
          <w:rFonts w:ascii="Arial" w:eastAsia="PMingLiU" w:hAnsi="Arial" w:cs="Arial"/>
          <w:lang w:eastAsia="zh-TW"/>
        </w:rPr>
        <w:t xml:space="preserve"> (Accessed: 14 April 2026).</w:t>
      </w:r>
    </w:p>
    <w:p w14:paraId="55344AC3" w14:textId="77777777" w:rsidR="003F3DEE" w:rsidRPr="003F3DEE" w:rsidRDefault="003F3DEE" w:rsidP="003F3DEE">
      <w:pPr>
        <w:rPr>
          <w:rFonts w:ascii="Arial" w:eastAsia="PMingLiU" w:hAnsi="Arial" w:cs="Arial"/>
          <w:lang w:eastAsia="zh-TW"/>
        </w:rPr>
      </w:pPr>
      <w:r w:rsidRPr="003F3DEE">
        <w:rPr>
          <w:rFonts w:ascii="Arial" w:eastAsia="PMingLiU" w:hAnsi="Arial" w:cs="Arial"/>
          <w:lang w:eastAsia="zh-TW"/>
        </w:rPr>
        <w:t xml:space="preserve">Sefotho, M.M. (2025) 'Thematic analysis in the area of education: a practical guide', </w:t>
      </w:r>
      <w:r w:rsidRPr="003F3DEE">
        <w:rPr>
          <w:rFonts w:ascii="Arial" w:eastAsia="PMingLiU" w:hAnsi="Arial" w:cs="Arial"/>
          <w:i/>
          <w:iCs/>
          <w:lang w:eastAsia="zh-TW"/>
        </w:rPr>
        <w:t>Cogent Education</w:t>
      </w:r>
      <w:r w:rsidRPr="003F3DEE">
        <w:rPr>
          <w:rFonts w:ascii="Arial" w:eastAsia="PMingLiU" w:hAnsi="Arial" w:cs="Arial"/>
          <w:lang w:eastAsia="zh-TW"/>
        </w:rPr>
        <w:t xml:space="preserve">, 12(1). Available at: </w:t>
      </w:r>
      <w:hyperlink r:id="rId22" w:history="1">
        <w:r w:rsidRPr="003F3DEE">
          <w:rPr>
            <w:rFonts w:ascii="Arial" w:eastAsia="PMingLiU" w:hAnsi="Arial" w:cs="Arial"/>
            <w:color w:val="467886"/>
            <w:u w:val="single"/>
            <w:lang w:eastAsia="zh-TW"/>
          </w:rPr>
          <w:t>https://doi.org/10.1080/2331186X.2025.2471645</w:t>
        </w:r>
      </w:hyperlink>
      <w:r w:rsidRPr="003F3DEE">
        <w:rPr>
          <w:rFonts w:ascii="Arial" w:eastAsia="PMingLiU" w:hAnsi="Arial" w:cs="Arial"/>
          <w:lang w:eastAsia="zh-TW"/>
        </w:rPr>
        <w:t xml:space="preserve"> (Accessed: 7 April 2026).</w:t>
      </w:r>
    </w:p>
    <w:p w14:paraId="5224F92C" w14:textId="77777777" w:rsidR="003F3DEE" w:rsidRPr="003F3DEE" w:rsidRDefault="003F3DEE" w:rsidP="003F3DEE">
      <w:pPr>
        <w:rPr>
          <w:rFonts w:ascii="Arial" w:eastAsia="PMingLiU" w:hAnsi="Arial" w:cs="Arial"/>
          <w:lang w:eastAsia="zh-TW"/>
        </w:rPr>
      </w:pPr>
      <w:r w:rsidRPr="003F3DEE">
        <w:rPr>
          <w:rFonts w:ascii="Arial" w:eastAsia="PMingLiU" w:hAnsi="Arial" w:cs="Arial"/>
          <w:lang w:eastAsia="zh-TW"/>
        </w:rPr>
        <w:t xml:space="preserve">Skarberg, A.K. (2024) 'What is "teacher awareness" and can teachers use it to overcome their expectation bias? A thematic analysis of research', </w:t>
      </w:r>
      <w:r w:rsidRPr="003F3DEE">
        <w:rPr>
          <w:rFonts w:ascii="Arial" w:eastAsia="PMingLiU" w:hAnsi="Arial" w:cs="Arial"/>
          <w:i/>
          <w:iCs/>
          <w:lang w:eastAsia="zh-TW"/>
        </w:rPr>
        <w:t>Social Psychology of Education</w:t>
      </w:r>
      <w:r w:rsidRPr="003F3DEE">
        <w:rPr>
          <w:rFonts w:ascii="Arial" w:eastAsia="PMingLiU" w:hAnsi="Arial" w:cs="Arial"/>
          <w:lang w:eastAsia="zh-TW"/>
        </w:rPr>
        <w:t xml:space="preserve">, 27, pp. 1–24. Available at: </w:t>
      </w:r>
      <w:hyperlink r:id="rId23" w:history="1">
        <w:r w:rsidRPr="003F3DEE">
          <w:rPr>
            <w:rFonts w:ascii="Arial" w:eastAsia="PMingLiU" w:hAnsi="Arial" w:cs="Arial"/>
            <w:color w:val="467886"/>
            <w:u w:val="single"/>
            <w:lang w:eastAsia="zh-TW"/>
          </w:rPr>
          <w:t>https://doi.org/10.1007/s11218-024-09999-9</w:t>
        </w:r>
      </w:hyperlink>
      <w:r w:rsidRPr="003F3DEE">
        <w:rPr>
          <w:rFonts w:ascii="Arial" w:eastAsia="PMingLiU" w:hAnsi="Arial" w:cs="Arial"/>
          <w:lang w:eastAsia="zh-TW"/>
        </w:rPr>
        <w:t xml:space="preserve"> (Accessed: 21 April 2026).</w:t>
      </w:r>
    </w:p>
    <w:p w14:paraId="6F78011F" w14:textId="77777777" w:rsidR="003F3DEE" w:rsidRPr="003F3DEE" w:rsidRDefault="003F3DEE" w:rsidP="003F3DEE">
      <w:pPr>
        <w:rPr>
          <w:rFonts w:ascii="Arial" w:eastAsia="PMingLiU" w:hAnsi="Arial" w:cs="Arial"/>
          <w:lang w:eastAsia="zh-TW"/>
        </w:rPr>
      </w:pPr>
      <w:r w:rsidRPr="003F3DEE">
        <w:rPr>
          <w:rFonts w:ascii="Arial" w:eastAsia="PMingLiU" w:hAnsi="Arial" w:cs="Arial"/>
          <w:lang w:eastAsia="zh-TW"/>
        </w:rPr>
        <w:t xml:space="preserve">Søndergaard, E. and Reventlow, S. (2019) 'Drawing as a facilitating approach when conducting research among children', </w:t>
      </w:r>
      <w:r w:rsidRPr="003F3DEE">
        <w:rPr>
          <w:rFonts w:ascii="Arial" w:eastAsia="PMingLiU" w:hAnsi="Arial" w:cs="Arial"/>
          <w:i/>
          <w:iCs/>
          <w:lang w:eastAsia="zh-TW"/>
        </w:rPr>
        <w:t>International Journal of Qualitative Methods</w:t>
      </w:r>
      <w:r w:rsidRPr="003F3DEE">
        <w:rPr>
          <w:rFonts w:ascii="Arial" w:eastAsia="PMingLiU" w:hAnsi="Arial" w:cs="Arial"/>
          <w:lang w:eastAsia="zh-TW"/>
        </w:rPr>
        <w:t xml:space="preserve">, 18, pp. 1–10. Available at: </w:t>
      </w:r>
      <w:hyperlink r:id="rId24" w:history="1">
        <w:r w:rsidRPr="003F3DEE">
          <w:rPr>
            <w:rFonts w:ascii="Arial" w:eastAsia="PMingLiU" w:hAnsi="Arial" w:cs="Arial"/>
            <w:color w:val="467886"/>
            <w:u w:val="single"/>
            <w:lang w:eastAsia="zh-TW"/>
          </w:rPr>
          <w:t>https://doi.org/10.1177/1609406918822558</w:t>
        </w:r>
      </w:hyperlink>
      <w:r w:rsidRPr="003F3DEE">
        <w:rPr>
          <w:rFonts w:ascii="Arial" w:eastAsia="PMingLiU" w:hAnsi="Arial" w:cs="Arial"/>
          <w:lang w:eastAsia="zh-TW"/>
        </w:rPr>
        <w:t xml:space="preserve"> (Accessed: 24 April 2026).</w:t>
      </w:r>
    </w:p>
    <w:p w14:paraId="69CFF0EE" w14:textId="77777777" w:rsidR="003F3DEE" w:rsidRPr="003F3DEE" w:rsidRDefault="003F3DEE" w:rsidP="003F3DEE">
      <w:pPr>
        <w:rPr>
          <w:rFonts w:ascii="Arial" w:eastAsia="PMingLiU" w:hAnsi="Arial" w:cs="Arial"/>
          <w:lang w:eastAsia="zh-TW"/>
        </w:rPr>
      </w:pPr>
      <w:r w:rsidRPr="003F3DEE">
        <w:rPr>
          <w:rFonts w:ascii="Arial" w:eastAsia="PMingLiU" w:hAnsi="Arial" w:cs="Arial"/>
          <w:lang w:eastAsia="zh-TW"/>
        </w:rPr>
        <w:t xml:space="preserve">Sun, Y., Hsieh, J. and Gao, X. (2025) 'Integrating qualitative comparative analysis with reflexive thematic analysis in theme development', </w:t>
      </w:r>
      <w:r w:rsidRPr="003F3DEE">
        <w:rPr>
          <w:rFonts w:ascii="Arial" w:eastAsia="PMingLiU" w:hAnsi="Arial" w:cs="Arial"/>
          <w:i/>
          <w:iCs/>
          <w:lang w:eastAsia="zh-TW"/>
        </w:rPr>
        <w:t>International Journal of Qualitative Methods</w:t>
      </w:r>
      <w:r w:rsidRPr="003F3DEE">
        <w:rPr>
          <w:rFonts w:ascii="Arial" w:eastAsia="PMingLiU" w:hAnsi="Arial" w:cs="Arial"/>
          <w:lang w:eastAsia="zh-TW"/>
        </w:rPr>
        <w:t xml:space="preserve">, 24, pp. 1–14. Available at: </w:t>
      </w:r>
      <w:hyperlink r:id="rId25" w:history="1">
        <w:r w:rsidRPr="003F3DEE">
          <w:rPr>
            <w:rFonts w:ascii="Arial" w:eastAsia="PMingLiU" w:hAnsi="Arial" w:cs="Arial"/>
            <w:color w:val="467886"/>
            <w:u w:val="single"/>
            <w:lang w:eastAsia="zh-TW"/>
          </w:rPr>
          <w:t>https://doi.org/10.1177/16094069251318749</w:t>
        </w:r>
      </w:hyperlink>
      <w:r w:rsidRPr="003F3DEE">
        <w:rPr>
          <w:rFonts w:ascii="Arial" w:eastAsia="PMingLiU" w:hAnsi="Arial" w:cs="Arial"/>
          <w:lang w:eastAsia="zh-TW"/>
        </w:rPr>
        <w:t xml:space="preserve"> (Accessed: 22 April 2026).</w:t>
      </w:r>
    </w:p>
    <w:p w14:paraId="695ABF3D"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Waite, S. (2011) </w:t>
      </w:r>
      <w:r w:rsidRPr="003F3DEE">
        <w:rPr>
          <w:rFonts w:ascii="Arial" w:eastAsia="PMingLiU" w:hAnsi="Arial" w:cs="Arial"/>
          <w:i/>
          <w:iCs/>
          <w:lang w:eastAsia="zh-TW"/>
        </w:rPr>
        <w:t>Children Learning Outside the Classroom: From Birth to Eleven</w:t>
      </w:r>
      <w:r w:rsidRPr="003F3DEE">
        <w:rPr>
          <w:rFonts w:ascii="Arial" w:eastAsia="PMingLiU" w:hAnsi="Arial" w:cs="Arial"/>
          <w:lang w:eastAsia="zh-TW"/>
        </w:rPr>
        <w:t>. London: SAGE.</w:t>
      </w:r>
    </w:p>
    <w:p w14:paraId="59676CC3"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Waite, S. (2020) 'Where are we going? International views on purposes, practices and barriers in school-based outdoor learning', </w:t>
      </w:r>
      <w:r w:rsidRPr="003F3DEE">
        <w:rPr>
          <w:rFonts w:ascii="Arial" w:eastAsia="PMingLiU" w:hAnsi="Arial" w:cs="Arial"/>
          <w:i/>
          <w:iCs/>
          <w:lang w:eastAsia="zh-TW"/>
        </w:rPr>
        <w:t>Education Sciences</w:t>
      </w:r>
      <w:r w:rsidRPr="003F3DEE">
        <w:rPr>
          <w:rFonts w:ascii="Arial" w:eastAsia="PMingLiU" w:hAnsi="Arial" w:cs="Arial"/>
          <w:lang w:eastAsia="zh-TW"/>
        </w:rPr>
        <w:t>, 10(11), p. 311.</w:t>
      </w:r>
    </w:p>
    <w:p w14:paraId="6FC45A5D"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Welsh Government (2022) </w:t>
      </w:r>
      <w:r w:rsidRPr="003F3DEE">
        <w:rPr>
          <w:rFonts w:ascii="Arial" w:eastAsia="PMingLiU" w:hAnsi="Arial" w:cs="Arial"/>
          <w:i/>
          <w:iCs/>
          <w:lang w:eastAsia="zh-TW"/>
        </w:rPr>
        <w:t>Curriculum for Wales: Science and Technology Area of Learning and Experience</w:t>
      </w:r>
      <w:r w:rsidRPr="003F3DEE">
        <w:rPr>
          <w:rFonts w:ascii="Arial" w:eastAsia="PMingLiU" w:hAnsi="Arial" w:cs="Arial"/>
          <w:lang w:eastAsia="zh-TW"/>
        </w:rPr>
        <w:t xml:space="preserve">. Cardiff: Welsh Government. Available at: </w:t>
      </w:r>
      <w:hyperlink r:id="rId26" w:history="1">
        <w:r w:rsidRPr="003F3DEE">
          <w:rPr>
            <w:rFonts w:ascii="Arial" w:eastAsia="PMingLiU" w:hAnsi="Arial" w:cs="Arial"/>
            <w:color w:val="467886"/>
            <w:u w:val="single"/>
            <w:lang w:eastAsia="zh-TW"/>
          </w:rPr>
          <w:t>https://hwb.gov.wales/curriculum-for-wales/science-and-technology/</w:t>
        </w:r>
      </w:hyperlink>
      <w:r w:rsidRPr="003F3DEE">
        <w:rPr>
          <w:rFonts w:ascii="Arial" w:eastAsia="PMingLiU" w:hAnsi="Arial" w:cs="Arial"/>
          <w:lang w:eastAsia="zh-TW"/>
        </w:rPr>
        <w:t xml:space="preserve"> (Accessed: 7 April 2026).</w:t>
      </w:r>
    </w:p>
    <w:p w14:paraId="5ACBA6B5" w14:textId="77777777" w:rsidR="003F3DEE" w:rsidRPr="003F3DEE" w:rsidRDefault="003F3DEE" w:rsidP="003F3DEE">
      <w:pPr>
        <w:jc w:val="both"/>
        <w:rPr>
          <w:rFonts w:ascii="Arial" w:eastAsia="PMingLiU" w:hAnsi="Arial" w:cs="Arial"/>
          <w:lang w:eastAsia="zh-TW"/>
        </w:rPr>
      </w:pPr>
      <w:r w:rsidRPr="003F3DEE">
        <w:rPr>
          <w:rFonts w:ascii="Arial" w:eastAsia="PMingLiU" w:hAnsi="Arial" w:cs="Arial"/>
          <w:lang w:eastAsia="zh-TW"/>
        </w:rPr>
        <w:t xml:space="preserve">Yazan, B. (2015) 'Three approaches to case study methods in education: Yin, Merriam, and Stake', </w:t>
      </w:r>
      <w:r w:rsidRPr="003F3DEE">
        <w:rPr>
          <w:rFonts w:ascii="Arial" w:eastAsia="PMingLiU" w:hAnsi="Arial" w:cs="Arial"/>
          <w:i/>
          <w:iCs/>
          <w:lang w:eastAsia="zh-TW"/>
        </w:rPr>
        <w:t>The Qualitative Report</w:t>
      </w:r>
      <w:r w:rsidRPr="003F3DEE">
        <w:rPr>
          <w:rFonts w:ascii="Arial" w:eastAsia="PMingLiU" w:hAnsi="Arial" w:cs="Arial"/>
          <w:lang w:eastAsia="zh-TW"/>
        </w:rPr>
        <w:t>, 20(2), pp. 134–152.</w:t>
      </w:r>
    </w:p>
    <w:p w14:paraId="51C75095" w14:textId="77777777" w:rsidR="003F3DEE" w:rsidRPr="003F3DEE" w:rsidRDefault="003F3DEE" w:rsidP="003F3DEE">
      <w:pPr>
        <w:jc w:val="both"/>
        <w:rPr>
          <w:rFonts w:ascii="Arial" w:eastAsia="PMingLiU" w:hAnsi="Arial" w:cs="Arial"/>
          <w:lang w:eastAsia="zh-TW"/>
        </w:rPr>
      </w:pPr>
    </w:p>
    <w:p w14:paraId="0F146C91" w14:textId="77777777" w:rsidR="003F3DEE" w:rsidRPr="00B103B9" w:rsidRDefault="003F3DEE" w:rsidP="00DD5969">
      <w:pPr>
        <w:rPr>
          <w:sz w:val="16"/>
          <w:szCs w:val="16"/>
        </w:rPr>
      </w:pPr>
    </w:p>
    <w:sectPr w:rsidR="003F3DEE" w:rsidRPr="00B103B9" w:rsidSect="003F3DEE">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90D59" w14:textId="77777777" w:rsidR="004D1602" w:rsidRDefault="004D1602" w:rsidP="003F3DEE">
      <w:pPr>
        <w:spacing w:after="0" w:line="240" w:lineRule="auto"/>
      </w:pPr>
      <w:r>
        <w:separator/>
      </w:r>
    </w:p>
  </w:endnote>
  <w:endnote w:type="continuationSeparator" w:id="0">
    <w:p w14:paraId="4E499985" w14:textId="77777777" w:rsidR="004D1602" w:rsidRDefault="004D1602" w:rsidP="003F3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396284"/>
      <w:docPartObj>
        <w:docPartGallery w:val="Page Numbers (Bottom of Page)"/>
        <w:docPartUnique/>
      </w:docPartObj>
    </w:sdtPr>
    <w:sdtContent>
      <w:p w14:paraId="30C3DDF5" w14:textId="1CDC5806" w:rsidR="003F3DEE" w:rsidRDefault="003F3DEE">
        <w:pPr>
          <w:pStyle w:val="Footer"/>
          <w:jc w:val="center"/>
        </w:pPr>
        <w:r>
          <w:fldChar w:fldCharType="begin"/>
        </w:r>
        <w:r>
          <w:instrText>PAGE   \* MERGEFORMAT</w:instrText>
        </w:r>
        <w:r>
          <w:fldChar w:fldCharType="separate"/>
        </w:r>
        <w:r>
          <w:t>2</w:t>
        </w:r>
        <w:r>
          <w:fldChar w:fldCharType="end"/>
        </w:r>
      </w:p>
    </w:sdtContent>
  </w:sdt>
  <w:p w14:paraId="154A0CDE" w14:textId="77777777" w:rsidR="003F3DEE" w:rsidRDefault="003F3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FA9A2" w14:textId="77777777" w:rsidR="004D1602" w:rsidRDefault="004D1602" w:rsidP="003F3DEE">
      <w:pPr>
        <w:spacing w:after="0" w:line="240" w:lineRule="auto"/>
      </w:pPr>
      <w:r>
        <w:separator/>
      </w:r>
    </w:p>
  </w:footnote>
  <w:footnote w:type="continuationSeparator" w:id="0">
    <w:p w14:paraId="7692F385" w14:textId="77777777" w:rsidR="004D1602" w:rsidRDefault="004D1602" w:rsidP="003F3D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6910"/>
    <w:multiLevelType w:val="multilevel"/>
    <w:tmpl w:val="E3CA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2716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F243A"/>
    <w:rsid w:val="00301906"/>
    <w:rsid w:val="00302BB1"/>
    <w:rsid w:val="003341DF"/>
    <w:rsid w:val="00347EA1"/>
    <w:rsid w:val="00382546"/>
    <w:rsid w:val="003A709B"/>
    <w:rsid w:val="003D223A"/>
    <w:rsid w:val="003F3DEE"/>
    <w:rsid w:val="00417AB6"/>
    <w:rsid w:val="004810C7"/>
    <w:rsid w:val="004D1602"/>
    <w:rsid w:val="004D474C"/>
    <w:rsid w:val="004F4AF3"/>
    <w:rsid w:val="00510A28"/>
    <w:rsid w:val="00536CFB"/>
    <w:rsid w:val="00543F5E"/>
    <w:rsid w:val="00573F8C"/>
    <w:rsid w:val="00584970"/>
    <w:rsid w:val="005A0DF2"/>
    <w:rsid w:val="005B783A"/>
    <w:rsid w:val="005F42D0"/>
    <w:rsid w:val="005F7C42"/>
    <w:rsid w:val="0062310A"/>
    <w:rsid w:val="00664B16"/>
    <w:rsid w:val="006B52C3"/>
    <w:rsid w:val="007203C3"/>
    <w:rsid w:val="0072124A"/>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3103"/>
    <w:rsid w:val="00AD7313"/>
    <w:rsid w:val="00AE2AA9"/>
    <w:rsid w:val="00AE3307"/>
    <w:rsid w:val="00B028A8"/>
    <w:rsid w:val="00B103B9"/>
    <w:rsid w:val="00B33EEC"/>
    <w:rsid w:val="00B51B61"/>
    <w:rsid w:val="00B724BB"/>
    <w:rsid w:val="00BE2A35"/>
    <w:rsid w:val="00BE3554"/>
    <w:rsid w:val="00C129B8"/>
    <w:rsid w:val="00C24461"/>
    <w:rsid w:val="00C2550A"/>
    <w:rsid w:val="00C4699D"/>
    <w:rsid w:val="00CF32AC"/>
    <w:rsid w:val="00D24ADF"/>
    <w:rsid w:val="00D26517"/>
    <w:rsid w:val="00DC55F3"/>
    <w:rsid w:val="00DD5969"/>
    <w:rsid w:val="00E10797"/>
    <w:rsid w:val="00E243A8"/>
    <w:rsid w:val="00E6747C"/>
    <w:rsid w:val="00EA0B9A"/>
    <w:rsid w:val="00EA15D1"/>
    <w:rsid w:val="00EA6220"/>
    <w:rsid w:val="00EC1771"/>
    <w:rsid w:val="00F8089C"/>
    <w:rsid w:val="00FE22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paragraph" w:styleId="Header">
    <w:name w:val="header"/>
    <w:basedOn w:val="Normal"/>
    <w:link w:val="HeaderChar"/>
    <w:uiPriority w:val="99"/>
    <w:unhideWhenUsed/>
    <w:rsid w:val="003F3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DEE"/>
  </w:style>
  <w:style w:type="paragraph" w:styleId="Footer">
    <w:name w:val="footer"/>
    <w:basedOn w:val="Normal"/>
    <w:link w:val="FooterChar"/>
    <w:uiPriority w:val="99"/>
    <w:unhideWhenUsed/>
    <w:rsid w:val="003F3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4192-025-00139-z" TargetMode="External"/><Relationship Id="rId13" Type="http://schemas.openxmlformats.org/officeDocument/2006/relationships/hyperlink" Target="https://doi.org/10.1504/IJTEL.2023.131865" TargetMode="External"/><Relationship Id="rId18" Type="http://schemas.openxmlformats.org/officeDocument/2006/relationships/hyperlink" Target="https://pmc.ncbi.nlm.nih.gov/articles/PMC4012002/" TargetMode="External"/><Relationship Id="rId26" Type="http://schemas.openxmlformats.org/officeDocument/2006/relationships/hyperlink" Target="https://hwb.gov.wales/curriculum-for-wales/science-and-technology/" TargetMode="External"/><Relationship Id="rId3" Type="http://schemas.openxmlformats.org/officeDocument/2006/relationships/settings" Target="settings.xml"/><Relationship Id="rId21" Type="http://schemas.openxmlformats.org/officeDocument/2006/relationships/hyperlink" Target="https://informalscience.org/research/review-research-outdoor-learning/" TargetMode="External"/><Relationship Id="rId7" Type="http://schemas.openxmlformats.org/officeDocument/2006/relationships/image" Target="media/image1.png"/><Relationship Id="rId12" Type="http://schemas.openxmlformats.org/officeDocument/2006/relationships/hyperlink" Target="https://doi.org/10.3389/fpubh.2022.877058" TargetMode="External"/><Relationship Id="rId17" Type="http://schemas.openxmlformats.org/officeDocument/2006/relationships/hyperlink" Target="https://doi.org/10.1111/cch.12344" TargetMode="External"/><Relationship Id="rId25" Type="http://schemas.openxmlformats.org/officeDocument/2006/relationships/hyperlink" Target="https://doi.org/10.1177/16094069251318749" TargetMode="External"/><Relationship Id="rId2" Type="http://schemas.openxmlformats.org/officeDocument/2006/relationships/styles" Target="styles.xml"/><Relationship Id="rId16" Type="http://schemas.openxmlformats.org/officeDocument/2006/relationships/hyperlink" Target="https://doi.org/10.20525/ijrbs.v11i6.1920" TargetMode="External"/><Relationship Id="rId20" Type="http://schemas.openxmlformats.org/officeDocument/2006/relationships/hyperlink" Target="https://journalwjarr.com/sites/default/files/fulltext_pdf/WJARR-2025-0947.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648/j.ajtas.20160501.11" TargetMode="External"/><Relationship Id="rId24" Type="http://schemas.openxmlformats.org/officeDocument/2006/relationships/hyperlink" Target="https://doi.org/10.1177/1609406918822558" TargetMode="External"/><Relationship Id="rId5" Type="http://schemas.openxmlformats.org/officeDocument/2006/relationships/footnotes" Target="footnotes.xml"/><Relationship Id="rId15" Type="http://schemas.openxmlformats.org/officeDocument/2006/relationships/hyperlink" Target="https://nsuworks.nova.edu/tqr/vol27/iss1/4" TargetMode="External"/><Relationship Id="rId23" Type="http://schemas.openxmlformats.org/officeDocument/2006/relationships/hyperlink" Target="https://doi.org/10.1007/s11218-024-09999-9" TargetMode="External"/><Relationship Id="rId28" Type="http://schemas.openxmlformats.org/officeDocument/2006/relationships/fontTable" Target="fontTable.xml"/><Relationship Id="rId10" Type="http://schemas.openxmlformats.org/officeDocument/2006/relationships/hyperlink" Target="https://doi.org/10.1177/1744987120927206" TargetMode="External"/><Relationship Id="rId19" Type="http://schemas.openxmlformats.org/officeDocument/2006/relationships/hyperlink" Target="https://doi.org/10.1080/09669760.2021.1960802" TargetMode="External"/><Relationship Id="rId4" Type="http://schemas.openxmlformats.org/officeDocument/2006/relationships/webSettings" Target="webSettings.xml"/><Relationship Id="rId9" Type="http://schemas.openxmlformats.org/officeDocument/2006/relationships/hyperlink" Target="https://doi.org/10.1177/0253717620977000" TargetMode="External"/><Relationship Id="rId14" Type="http://schemas.openxmlformats.org/officeDocument/2006/relationships/hyperlink" Target="https://doi.org/10.1080/0969594X.2021.1884042" TargetMode="External"/><Relationship Id="rId22" Type="http://schemas.openxmlformats.org/officeDocument/2006/relationships/hyperlink" Target="https://doi.org/10.1080/2331186X.2025.247164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16</Pages>
  <Words>5097</Words>
  <Characters>29058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Y CHENG (Halfway Primary School)</cp:lastModifiedBy>
  <cp:revision>6</cp:revision>
  <dcterms:created xsi:type="dcterms:W3CDTF">2026-04-27T15:17:00Z</dcterms:created>
  <dcterms:modified xsi:type="dcterms:W3CDTF">2026-04-29T14:42:00Z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1f8e741b-12e2-4fbd-91c9-af9b94e4b0c9</vt:lpwstr>
  </property>
</Properties>
</file>