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44328649"/>
        <w:docPartObj>
          <w:docPartGallery w:val="Cover Pages"/>
          <w:docPartUnique/>
        </w:docPartObj>
      </w:sdtPr>
      <w:sdtEndPr>
        <w:rPr>
          <w:rFonts w:ascii="Arial" w:hAnsi="Arial" w:cs="Arial"/>
        </w:rPr>
      </w:sdtEndPr>
      <w:sdtContent>
        <w:p w14:paraId="06E05CA8" w14:textId="3758DD69" w:rsidR="00DF68B3" w:rsidRDefault="00DF68B3">
          <w:r>
            <w:rPr>
              <w:noProof/>
            </w:rPr>
            <mc:AlternateContent>
              <mc:Choice Requires="wpg">
                <w:drawing>
                  <wp:anchor distT="0" distB="0" distL="114300" distR="114300" simplePos="0" relativeHeight="251662336" behindDoc="0" locked="0" layoutInCell="1" allowOverlap="1" wp14:anchorId="684F5CFD" wp14:editId="47AF4C7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0CA00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p>
        <w:p w14:paraId="0F9512AB" w14:textId="04162F1C" w:rsidR="00DF68B3" w:rsidRDefault="0079056B">
          <w:pPr>
            <w:rPr>
              <w:rFonts w:ascii="Arial" w:hAnsi="Arial" w:cs="Arial"/>
            </w:rPr>
          </w:pPr>
          <w:r>
            <w:rPr>
              <w:noProof/>
            </w:rPr>
            <mc:AlternateContent>
              <mc:Choice Requires="wps">
                <w:drawing>
                  <wp:anchor distT="0" distB="0" distL="114300" distR="114300" simplePos="0" relativeHeight="251661312" behindDoc="0" locked="0" layoutInCell="1" allowOverlap="1" wp14:anchorId="64532802" wp14:editId="16BA17B2">
                    <wp:simplePos x="0" y="0"/>
                    <wp:positionH relativeFrom="page">
                      <wp:posOffset>-1722120</wp:posOffset>
                    </wp:positionH>
                    <wp:positionV relativeFrom="bottomMargin">
                      <wp:posOffset>-1761490</wp:posOffset>
                    </wp:positionV>
                    <wp:extent cx="71247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1247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AB9AFC" w14:textId="0889E064" w:rsidR="00DF68B3" w:rsidRDefault="00DF68B3" w:rsidP="00DF68B3">
                                <w:pPr>
                                  <w:pStyle w:val="NoSpacing"/>
                                  <w:jc w:val="center"/>
                                  <w:rPr>
                                    <w:color w:val="156082" w:themeColor="accent1"/>
                                    <w:sz w:val="28"/>
                                    <w:szCs w:val="28"/>
                                  </w:rPr>
                                </w:pPr>
                              </w:p>
                              <w:sdt>
                                <w:sdtPr>
                                  <w:rPr>
                                    <w:color w:val="595959" w:themeColor="text1" w:themeTint="A6"/>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Content>
                                  <w:p w14:paraId="7665B1C6" w14:textId="2CC7AB55" w:rsidR="00DF68B3" w:rsidRDefault="00DF68B3" w:rsidP="00DF68B3">
                                    <w:pPr>
                                      <w:pStyle w:val="NoSpacing"/>
                                      <w:jc w:val="right"/>
                                      <w:rPr>
                                        <w:color w:val="595959" w:themeColor="text1" w:themeTint="A6"/>
                                        <w:sz w:val="20"/>
                                        <w:szCs w:val="20"/>
                                      </w:rPr>
                                    </w:pPr>
                                    <w:r w:rsidRPr="0079056B">
                                      <w:rPr>
                                        <w:color w:val="595959" w:themeColor="text1" w:themeTint="A6"/>
                                        <w:sz w:val="36"/>
                                        <w:szCs w:val="36"/>
                                      </w:rPr>
                                      <w:br/>
                                    </w:r>
                                    <w:r w:rsidRPr="00DF68B3">
                                      <w:rPr>
                                        <w:color w:val="595959" w:themeColor="text1" w:themeTint="A6"/>
                                        <w:sz w:val="36"/>
                                        <w:szCs w:val="36"/>
                                      </w:rPr>
                                      <w:t>Lecturer: Rebecca Francis-Davies</w:t>
                                    </w:r>
                                    <w:r w:rsidR="0079056B">
                                      <w:rPr>
                                        <w:color w:val="595959" w:themeColor="text1" w:themeTint="A6"/>
                                        <w:sz w:val="36"/>
                                        <w:szCs w:val="36"/>
                                      </w:rPr>
                                      <w:t xml:space="preserve">   </w:t>
                                    </w:r>
                                    <w:r w:rsidR="0079056B">
                                      <w:rPr>
                                        <w:color w:val="595959" w:themeColor="text1" w:themeTint="A6"/>
                                        <w:sz w:val="36"/>
                                        <w:szCs w:val="36"/>
                                      </w:rPr>
                                      <w:br/>
                                    </w:r>
                                    <w:r w:rsidR="0079056B">
                                      <w:rPr>
                                        <w:color w:val="595959" w:themeColor="text1" w:themeTint="A6"/>
                                        <w:sz w:val="36"/>
                                        <w:szCs w:val="36"/>
                                      </w:rPr>
                                      <w:br/>
                                    </w:r>
                                    <w:r w:rsidR="0079056B">
                                      <w:rPr>
                                        <w:color w:val="595959" w:themeColor="text1" w:themeTint="A6"/>
                                        <w:sz w:val="36"/>
                                        <w:szCs w:val="36"/>
                                      </w:rPr>
                                      <w:br/>
                                    </w:r>
                                    <w:r w:rsidR="0079056B">
                                      <w:rPr>
                                        <w:color w:val="595959" w:themeColor="text1" w:themeTint="A6"/>
                                        <w:sz w:val="36"/>
                                        <w:szCs w:val="36"/>
                                      </w:rPr>
                                      <w:br/>
                                      <w:t>Word count: 2</w:t>
                                    </w:r>
                                    <w:r w:rsidR="003D0287">
                                      <w:rPr>
                                        <w:color w:val="595959" w:themeColor="text1" w:themeTint="A6"/>
                                        <w:sz w:val="36"/>
                                        <w:szCs w:val="36"/>
                                      </w:rPr>
                                      <w:t>200</w:t>
                                    </w:r>
                                    <w:r w:rsidR="0079056B">
                                      <w:rPr>
                                        <w:color w:val="595959" w:themeColor="text1" w:themeTint="A6"/>
                                        <w:sz w:val="36"/>
                                        <w:szCs w:val="36"/>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type w14:anchorId="64532802" id="_x0000_t202" coordsize="21600,21600" o:spt="202" path="m,l,21600r21600,l21600,xe">
                    <v:stroke joinstyle="miter"/>
                    <v:path gradientshapeok="t" o:connecttype="rect"/>
                  </v:shapetype>
                  <v:shape id="Text Box 161" o:spid="_x0000_s1026" type="#_x0000_t202" style="position:absolute;margin-left:-135.6pt;margin-top:-138.7pt;width:561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bottom-margin-area;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" filled="f" stroked="f" strokeweight=".5pt">
                    <v:textbox style="mso-fit-shape-to-text:t" inset="126pt,0,54pt,0">
                      <w:txbxContent>
                        <w:p w14:paraId="74AB9AFC" w14:textId="0889E064" w:rsidR="00DF68B3" w:rsidRDefault="00DF68B3" w:rsidP="00DF68B3">
                          <w:pPr>
                            <w:pStyle w:val="NoSpacing"/>
                            <w:jc w:val="center"/>
                            <w:rPr>
                              <w:color w:val="156082" w:themeColor="accent1"/>
                              <w:sz w:val="28"/>
                              <w:szCs w:val="28"/>
                            </w:rPr>
                          </w:pPr>
                        </w:p>
                        <w:sdt>
                          <w:sdtPr>
                            <w:rPr>
                              <w:color w:val="595959" w:themeColor="text1" w:themeTint="A6"/>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Content>
                            <w:p w14:paraId="7665B1C6" w14:textId="2CC7AB55" w:rsidR="00DF68B3" w:rsidRDefault="00DF68B3" w:rsidP="00DF68B3">
                              <w:pPr>
                                <w:pStyle w:val="NoSpacing"/>
                                <w:jc w:val="right"/>
                                <w:rPr>
                                  <w:color w:val="595959" w:themeColor="text1" w:themeTint="A6"/>
                                  <w:sz w:val="20"/>
                                  <w:szCs w:val="20"/>
                                </w:rPr>
                              </w:pPr>
                              <w:r w:rsidRPr="0079056B">
                                <w:rPr>
                                  <w:color w:val="595959" w:themeColor="text1" w:themeTint="A6"/>
                                  <w:sz w:val="36"/>
                                  <w:szCs w:val="36"/>
                                </w:rPr>
                                <w:br/>
                              </w:r>
                              <w:r w:rsidRPr="00DF68B3">
                                <w:rPr>
                                  <w:color w:val="595959" w:themeColor="text1" w:themeTint="A6"/>
                                  <w:sz w:val="36"/>
                                  <w:szCs w:val="36"/>
                                </w:rPr>
                                <w:t>Lecturer: Rebecca Francis-Davies</w:t>
                              </w:r>
                              <w:r w:rsidR="0079056B">
                                <w:rPr>
                                  <w:color w:val="595959" w:themeColor="text1" w:themeTint="A6"/>
                                  <w:sz w:val="36"/>
                                  <w:szCs w:val="36"/>
                                </w:rPr>
                                <w:t xml:space="preserve">   </w:t>
                              </w:r>
                              <w:r w:rsidR="0079056B">
                                <w:rPr>
                                  <w:color w:val="595959" w:themeColor="text1" w:themeTint="A6"/>
                                  <w:sz w:val="36"/>
                                  <w:szCs w:val="36"/>
                                </w:rPr>
                                <w:br/>
                              </w:r>
                              <w:r w:rsidR="0079056B">
                                <w:rPr>
                                  <w:color w:val="595959" w:themeColor="text1" w:themeTint="A6"/>
                                  <w:sz w:val="36"/>
                                  <w:szCs w:val="36"/>
                                </w:rPr>
                                <w:br/>
                              </w:r>
                              <w:r w:rsidR="0079056B">
                                <w:rPr>
                                  <w:color w:val="595959" w:themeColor="text1" w:themeTint="A6"/>
                                  <w:sz w:val="36"/>
                                  <w:szCs w:val="36"/>
                                </w:rPr>
                                <w:br/>
                              </w:r>
                              <w:r w:rsidR="0079056B">
                                <w:rPr>
                                  <w:color w:val="595959" w:themeColor="text1" w:themeTint="A6"/>
                                  <w:sz w:val="36"/>
                                  <w:szCs w:val="36"/>
                                </w:rPr>
                                <w:br/>
                                <w:t>Word count: 2</w:t>
                              </w:r>
                              <w:r w:rsidR="003D0287">
                                <w:rPr>
                                  <w:color w:val="595959" w:themeColor="text1" w:themeTint="A6"/>
                                  <w:sz w:val="36"/>
                                  <w:szCs w:val="36"/>
                                </w:rPr>
                                <w:t>200</w:t>
                              </w:r>
                              <w:r w:rsidR="0079056B">
                                <w:rPr>
                                  <w:color w:val="595959" w:themeColor="text1" w:themeTint="A6"/>
                                  <w:sz w:val="36"/>
                                  <w:szCs w:val="36"/>
                                </w:rPr>
                                <w:t xml:space="preserve"> </w:t>
                              </w:r>
                            </w:p>
                          </w:sdtContent>
                        </w:sdt>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2B1498E4" wp14:editId="7392FE96">
                    <wp:simplePos x="0" y="0"/>
                    <wp:positionH relativeFrom="page">
                      <wp:posOffset>-533400</wp:posOffset>
                    </wp:positionH>
                    <wp:positionV relativeFrom="page">
                      <wp:posOffset>7284720</wp:posOffset>
                    </wp:positionV>
                    <wp:extent cx="810514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810514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0F085AA" w14:textId="2BCB4A1F" w:rsidR="00DF68B3" w:rsidRPr="0079056B" w:rsidRDefault="00DF68B3">
                                    <w:pPr>
                                      <w:pStyle w:val="NoSpacing"/>
                                      <w:jc w:val="right"/>
                                      <w:rPr>
                                        <w:color w:val="595959" w:themeColor="text1" w:themeTint="A6"/>
                                        <w:sz w:val="40"/>
                                        <w:szCs w:val="40"/>
                                      </w:rPr>
                                    </w:pPr>
                                    <w:r w:rsidRPr="0079056B">
                                      <w:rPr>
                                        <w:color w:val="595959" w:themeColor="text1" w:themeTint="A6"/>
                                        <w:sz w:val="40"/>
                                        <w:szCs w:val="40"/>
                                      </w:rPr>
                                      <w:t>Student Name &amp; Number: Andreea Lilea (2126939)</w:t>
                                    </w:r>
                                  </w:p>
                                </w:sdtContent>
                              </w:sdt>
                              <w:p w14:paraId="0644C4D2" w14:textId="4D0AF182" w:rsidR="00DF68B3" w:rsidRDefault="00000000" w:rsidP="00DF68B3">
                                <w:pPr>
                                  <w:pStyle w:val="NoSpacing"/>
                                  <w:jc w:val="center"/>
                                  <w:rPr>
                                    <w:color w:val="595959" w:themeColor="text1" w:themeTint="A6"/>
                                    <w:sz w:val="18"/>
                                    <w:szCs w:val="18"/>
                                  </w:rPr>
                                </w:pPr>
                                <w:sdt>
                                  <w:sdtPr>
                                    <w:rPr>
                                      <w:color w:val="595959" w:themeColor="text1" w:themeTint="A6"/>
                                      <w:sz w:val="40"/>
                                      <w:szCs w:val="40"/>
                                    </w:rPr>
                                    <w:alias w:val="Email"/>
                                    <w:tag w:val="Email"/>
                                    <w:id w:val="942260680"/>
                                    <w:showingPlcHdr/>
                                    <w:dataBinding w:prefixMappings="xmlns:ns0='http://schemas.microsoft.com/office/2006/coverPageProps' " w:xpath="/ns0:CoverPageProperties[1]/ns0:CompanyEmail[1]" w:storeItemID="{55AF091B-3C7A-41E3-B477-F2FDAA23CFDA}"/>
                                    <w:text/>
                                  </w:sdtPr>
                                  <w:sdtEndPr>
                                    <w:rPr>
                                      <w:sz w:val="18"/>
                                      <w:szCs w:val="18"/>
                                    </w:rPr>
                                  </w:sdtEndPr>
                                  <w:sdtContent>
                                    <w:r w:rsidR="00DF68B3" w:rsidRPr="0079056B">
                                      <w:rPr>
                                        <w:color w:val="595959" w:themeColor="text1" w:themeTint="A6"/>
                                        <w:sz w:val="40"/>
                                        <w:szCs w:val="40"/>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 w14:anchorId="2B1498E4" id="Text Box 159" o:spid="_x0000_s1027" type="#_x0000_t202" style="position:absolute;margin-left:-42pt;margin-top:573.6pt;width:638.2pt;height:1in;z-index:251660288;visibility:visible;mso-wrap-style:square;mso-width-percent:0;mso-height-percent:92;mso-wrap-distance-left:9pt;mso-wrap-distance-top:0;mso-wrap-distance-right:9pt;mso-wrap-distance-bottom:0;mso-position-horizontal:absolute;mso-position-horizontal-relative:page;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" filled="f" stroked="f" strokeweight=".5pt">
                    <v:textbox inset="126pt,0,54pt,0">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0F085AA" w14:textId="2BCB4A1F" w:rsidR="00DF68B3" w:rsidRPr="0079056B" w:rsidRDefault="00DF68B3">
                              <w:pPr>
                                <w:pStyle w:val="NoSpacing"/>
                                <w:jc w:val="right"/>
                                <w:rPr>
                                  <w:color w:val="595959" w:themeColor="text1" w:themeTint="A6"/>
                                  <w:sz w:val="40"/>
                                  <w:szCs w:val="40"/>
                                </w:rPr>
                              </w:pPr>
                              <w:r w:rsidRPr="0079056B">
                                <w:rPr>
                                  <w:color w:val="595959" w:themeColor="text1" w:themeTint="A6"/>
                                  <w:sz w:val="40"/>
                                  <w:szCs w:val="40"/>
                                </w:rPr>
                                <w:t>Student Name &amp; Number: Andreea Lilea (2126939)</w:t>
                              </w:r>
                            </w:p>
                          </w:sdtContent>
                        </w:sdt>
                        <w:p w14:paraId="0644C4D2" w14:textId="4D0AF182" w:rsidR="00DF68B3" w:rsidRDefault="00000000" w:rsidP="00DF68B3">
                          <w:pPr>
                            <w:pStyle w:val="NoSpacing"/>
                            <w:jc w:val="center"/>
                            <w:rPr>
                              <w:color w:val="595959" w:themeColor="text1" w:themeTint="A6"/>
                              <w:sz w:val="18"/>
                              <w:szCs w:val="18"/>
                            </w:rPr>
                          </w:pPr>
                          <w:sdt>
                            <w:sdtPr>
                              <w:rPr>
                                <w:color w:val="595959" w:themeColor="text1" w:themeTint="A6"/>
                                <w:sz w:val="40"/>
                                <w:szCs w:val="40"/>
                              </w:rPr>
                              <w:alias w:val="Email"/>
                              <w:tag w:val="Email"/>
                              <w:id w:val="942260680"/>
                              <w:showingPlcHdr/>
                              <w:dataBinding w:prefixMappings="xmlns:ns0='http://schemas.microsoft.com/office/2006/coverPageProps' " w:xpath="/ns0:CoverPageProperties[1]/ns0:CompanyEmail[1]" w:storeItemID="{55AF091B-3C7A-41E3-B477-F2FDAA23CFDA}"/>
                              <w:text/>
                            </w:sdtPr>
                            <w:sdtEndPr>
                              <w:rPr>
                                <w:sz w:val="18"/>
                                <w:szCs w:val="18"/>
                              </w:rPr>
                            </w:sdtEndPr>
                            <w:sdtContent>
                              <w:r w:rsidR="00DF68B3" w:rsidRPr="0079056B">
                                <w:rPr>
                                  <w:color w:val="595959" w:themeColor="text1" w:themeTint="A6"/>
                                  <w:sz w:val="40"/>
                                  <w:szCs w:val="40"/>
                                </w:rPr>
                                <w:t xml:space="preserve">     </w:t>
                              </w:r>
                            </w:sdtContent>
                          </w:sdt>
                        </w:p>
                      </w:txbxContent>
                    </v:textbox>
                    <w10:wrap type="square" anchorx="page" anchory="page"/>
                  </v:shape>
                </w:pict>
              </mc:Fallback>
            </mc:AlternateContent>
          </w:r>
          <w:r w:rsidR="00DF68B3">
            <w:rPr>
              <w:noProof/>
            </w:rPr>
            <mc:AlternateContent>
              <mc:Choice Requires="wps">
                <w:drawing>
                  <wp:anchor distT="0" distB="0" distL="114300" distR="114300" simplePos="0" relativeHeight="251659264" behindDoc="0" locked="0" layoutInCell="1" allowOverlap="1" wp14:anchorId="671A42EB" wp14:editId="684096DB">
                    <wp:simplePos x="0" y="0"/>
                    <wp:positionH relativeFrom="page">
                      <wp:posOffset>-403860</wp:posOffset>
                    </wp:positionH>
                    <wp:positionV relativeFrom="page">
                      <wp:posOffset>4191000</wp:posOffset>
                    </wp:positionV>
                    <wp:extent cx="9044940" cy="280162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9044940" cy="2801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AE142" w14:textId="330A9AD1" w:rsidR="00DF68B3" w:rsidRPr="00DF68B3" w:rsidRDefault="00DF68B3" w:rsidP="00DF68B3">
                                <w:pPr>
                                  <w:rPr>
                                    <w:rFonts w:eastAsiaTheme="minorEastAsia"/>
                                    <w:b/>
                                    <w:bCs/>
                                    <w:color w:val="595959" w:themeColor="text1" w:themeTint="A6"/>
                                    <w:kern w:val="0"/>
                                    <w:sz w:val="60"/>
                                    <w:szCs w:val="60"/>
                                    <w:lang w:eastAsia="en-GB"/>
                                    <w14:ligatures w14:val="none"/>
                                  </w:rPr>
                                </w:pPr>
                                <w:r w:rsidRPr="00DF68B3">
                                  <w:rPr>
                                    <w:rFonts w:eastAsiaTheme="minorEastAsia"/>
                                    <w:b/>
                                    <w:bCs/>
                                    <w:color w:val="595959" w:themeColor="text1" w:themeTint="A6"/>
                                    <w:kern w:val="0"/>
                                    <w:sz w:val="60"/>
                                    <w:szCs w:val="60"/>
                                    <w:lang w:eastAsia="en-GB"/>
                                    <w14:ligatures w14:val="none"/>
                                  </w:rPr>
                                  <w:t xml:space="preserve">Module Name: People Management </w:t>
                                </w:r>
                              </w:p>
                              <w:p w14:paraId="53A2D0A3" w14:textId="1633A67D" w:rsidR="00DF68B3" w:rsidRPr="00DF68B3" w:rsidRDefault="00DF68B3" w:rsidP="00DF68B3">
                                <w:pPr>
                                  <w:rPr>
                                    <w:b/>
                                    <w:bCs/>
                                    <w:color w:val="595959" w:themeColor="text1" w:themeTint="A6"/>
                                    <w:sz w:val="60"/>
                                    <w:szCs w:val="60"/>
                                  </w:rPr>
                                </w:pPr>
                                <w:r w:rsidRPr="00DF68B3">
                                  <w:rPr>
                                    <w:rFonts w:eastAsiaTheme="minorEastAsia"/>
                                    <w:b/>
                                    <w:bCs/>
                                    <w:color w:val="595959" w:themeColor="text1" w:themeTint="A6"/>
                                    <w:kern w:val="0"/>
                                    <w:sz w:val="60"/>
                                    <w:szCs w:val="60"/>
                                    <w:lang w:eastAsia="en-GB"/>
                                    <w14:ligatures w14:val="none"/>
                                  </w:rPr>
                                  <w:t>Module Code: BMSW5010_SWAN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71A42EB" id="Text Box 163" o:spid="_x0000_s1028" type="#_x0000_t202" style="position:absolute;margin-left:-31.8pt;margin-top:330pt;width:712.2pt;height:220.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" filled="f" stroked="f" strokeweight=".5pt">
                    <v:textbox inset="126pt,0,54pt,0">
                      <w:txbxContent>
                        <w:p w14:paraId="172AE142" w14:textId="330A9AD1" w:rsidR="00DF68B3" w:rsidRPr="00DF68B3" w:rsidRDefault="00DF68B3" w:rsidP="00DF68B3">
                          <w:pPr>
                            <w:rPr>
                              <w:rFonts w:eastAsiaTheme="minorEastAsia"/>
                              <w:b/>
                              <w:bCs/>
                              <w:color w:val="595959" w:themeColor="text1" w:themeTint="A6"/>
                              <w:kern w:val="0"/>
                              <w:sz w:val="60"/>
                              <w:szCs w:val="60"/>
                              <w:lang w:eastAsia="en-GB"/>
                              <w14:ligatures w14:val="none"/>
                            </w:rPr>
                          </w:pPr>
                          <w:r w:rsidRPr="00DF68B3">
                            <w:rPr>
                              <w:rFonts w:eastAsiaTheme="minorEastAsia"/>
                              <w:b/>
                              <w:bCs/>
                              <w:color w:val="595959" w:themeColor="text1" w:themeTint="A6"/>
                              <w:kern w:val="0"/>
                              <w:sz w:val="60"/>
                              <w:szCs w:val="60"/>
                              <w:lang w:eastAsia="en-GB"/>
                              <w14:ligatures w14:val="none"/>
                            </w:rPr>
                            <w:t xml:space="preserve">Module Name: People Management </w:t>
                          </w:r>
                        </w:p>
                        <w:p w14:paraId="53A2D0A3" w14:textId="1633A67D" w:rsidR="00DF68B3" w:rsidRPr="00DF68B3" w:rsidRDefault="00DF68B3" w:rsidP="00DF68B3">
                          <w:pPr>
                            <w:rPr>
                              <w:b/>
                              <w:bCs/>
                              <w:color w:val="595959" w:themeColor="text1" w:themeTint="A6"/>
                              <w:sz w:val="60"/>
                              <w:szCs w:val="60"/>
                            </w:rPr>
                          </w:pPr>
                          <w:r w:rsidRPr="00DF68B3">
                            <w:rPr>
                              <w:rFonts w:eastAsiaTheme="minorEastAsia"/>
                              <w:b/>
                              <w:bCs/>
                              <w:color w:val="595959" w:themeColor="text1" w:themeTint="A6"/>
                              <w:kern w:val="0"/>
                              <w:sz w:val="60"/>
                              <w:szCs w:val="60"/>
                              <w:lang w:eastAsia="en-GB"/>
                              <w14:ligatures w14:val="none"/>
                            </w:rPr>
                            <w:t>Module Code: BMSW5010_SWAN</w:t>
                          </w:r>
                        </w:p>
                      </w:txbxContent>
                    </v:textbox>
                    <w10:wrap type="square" anchorx="page" anchory="page"/>
                  </v:shape>
                </w:pict>
              </mc:Fallback>
            </mc:AlternateContent>
          </w:r>
          <w:r>
            <w:rPr>
              <w:rFonts w:ascii="Arial" w:hAnsi="Arial" w:cs="Arial"/>
              <w:noProof/>
            </w:rPr>
            <w:drawing>
              <wp:inline distT="0" distB="0" distL="0" distR="0" wp14:anchorId="501D0FD8" wp14:editId="788FDD6B">
                <wp:extent cx="3145790" cy="1749425"/>
                <wp:effectExtent l="0" t="0" r="0" b="3175"/>
                <wp:docPr id="140470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5790" cy="1749425"/>
                        </a:xfrm>
                        <a:prstGeom prst="rect">
                          <a:avLst/>
                        </a:prstGeom>
                        <a:noFill/>
                      </pic:spPr>
                    </pic:pic>
                  </a:graphicData>
                </a:graphic>
              </wp:inline>
            </w:drawing>
          </w:r>
        </w:p>
      </w:sdtContent>
    </w:sdt>
    <w:p w14:paraId="684FFF58" w14:textId="77777777" w:rsidR="002017C2" w:rsidRDefault="002017C2" w:rsidP="002017C2">
      <w:pPr>
        <w:spacing w:line="360" w:lineRule="auto"/>
        <w:rPr>
          <w:rFonts w:ascii="Arial" w:hAnsi="Arial" w:cs="Arial"/>
          <w:b/>
          <w:bCs/>
          <w:sz w:val="32"/>
          <w:szCs w:val="32"/>
        </w:rPr>
      </w:pPr>
    </w:p>
    <w:p w14:paraId="735AD228" w14:textId="77777777" w:rsidR="0079056B" w:rsidRDefault="0079056B" w:rsidP="002017C2">
      <w:pPr>
        <w:spacing w:line="360" w:lineRule="auto"/>
        <w:rPr>
          <w:rFonts w:ascii="Arial" w:hAnsi="Arial" w:cs="Arial"/>
          <w:b/>
          <w:bCs/>
          <w:sz w:val="32"/>
          <w:szCs w:val="32"/>
        </w:rPr>
      </w:pPr>
    </w:p>
    <w:p w14:paraId="1016664E" w14:textId="77777777" w:rsidR="0079056B" w:rsidRDefault="0079056B" w:rsidP="002017C2">
      <w:pPr>
        <w:spacing w:line="360" w:lineRule="auto"/>
        <w:rPr>
          <w:rFonts w:ascii="Arial" w:hAnsi="Arial" w:cs="Arial"/>
          <w:b/>
          <w:bCs/>
          <w:sz w:val="32"/>
          <w:szCs w:val="32"/>
        </w:rPr>
      </w:pPr>
    </w:p>
    <w:p w14:paraId="58D730A0" w14:textId="77777777" w:rsidR="0079056B" w:rsidRDefault="0079056B" w:rsidP="002017C2">
      <w:pPr>
        <w:spacing w:line="360" w:lineRule="auto"/>
        <w:rPr>
          <w:rFonts w:ascii="Arial" w:hAnsi="Arial" w:cs="Arial"/>
          <w:b/>
          <w:bCs/>
          <w:sz w:val="32"/>
          <w:szCs w:val="32"/>
        </w:rPr>
      </w:pPr>
    </w:p>
    <w:p w14:paraId="626AFCCF" w14:textId="77777777" w:rsidR="0079056B" w:rsidRDefault="0079056B" w:rsidP="002017C2">
      <w:pPr>
        <w:spacing w:line="360" w:lineRule="auto"/>
        <w:rPr>
          <w:rFonts w:ascii="Arial" w:hAnsi="Arial" w:cs="Arial"/>
          <w:b/>
          <w:bCs/>
          <w:sz w:val="32"/>
          <w:szCs w:val="32"/>
        </w:rPr>
      </w:pPr>
    </w:p>
    <w:p w14:paraId="45C4D20B" w14:textId="77777777" w:rsidR="0079056B" w:rsidRPr="001D308A" w:rsidRDefault="0079056B" w:rsidP="002017C2">
      <w:pPr>
        <w:spacing w:line="360" w:lineRule="auto"/>
        <w:rPr>
          <w:rFonts w:ascii="Arial" w:hAnsi="Arial" w:cs="Arial"/>
        </w:rPr>
      </w:pPr>
    </w:p>
    <w:p w14:paraId="5A03723E" w14:textId="77777777" w:rsidR="0079056B" w:rsidRDefault="0079056B" w:rsidP="002017C2">
      <w:pPr>
        <w:spacing w:line="360" w:lineRule="auto"/>
        <w:rPr>
          <w:rFonts w:ascii="Arial" w:hAnsi="Arial" w:cs="Arial"/>
          <w:b/>
          <w:bCs/>
        </w:rPr>
      </w:pPr>
    </w:p>
    <w:p w14:paraId="6B56E819" w14:textId="001307E3" w:rsidR="0079056B" w:rsidRDefault="0079056B" w:rsidP="002017C2">
      <w:pPr>
        <w:spacing w:line="360" w:lineRule="auto"/>
        <w:rPr>
          <w:rFonts w:ascii="Arial" w:hAnsi="Arial" w:cs="Arial"/>
          <w:b/>
          <w:bCs/>
          <w:sz w:val="32"/>
          <w:szCs w:val="32"/>
        </w:rPr>
      </w:pPr>
      <w:r w:rsidRPr="00FB1120">
        <w:rPr>
          <w:rFonts w:ascii="Arial" w:hAnsi="Arial" w:cs="Arial"/>
          <w:b/>
          <w:bCs/>
          <w:sz w:val="32"/>
          <w:szCs w:val="32"/>
        </w:rPr>
        <w:lastRenderedPageBreak/>
        <w:t>Future People Management Strategy for BrightWave Services Ltd</w:t>
      </w:r>
    </w:p>
    <w:p w14:paraId="3FD35930" w14:textId="77777777" w:rsidR="0079056B" w:rsidRPr="0079056B" w:rsidRDefault="0079056B" w:rsidP="002017C2">
      <w:pPr>
        <w:spacing w:line="360" w:lineRule="auto"/>
        <w:rPr>
          <w:rFonts w:ascii="Arial" w:hAnsi="Arial" w:cs="Arial"/>
          <w:b/>
          <w:bCs/>
          <w:sz w:val="32"/>
          <w:szCs w:val="32"/>
        </w:rPr>
      </w:pPr>
    </w:p>
    <w:p w14:paraId="6003CDC6" w14:textId="51429435" w:rsidR="002017C2" w:rsidRPr="001D308A" w:rsidRDefault="002017C2" w:rsidP="002017C2">
      <w:pPr>
        <w:spacing w:line="360" w:lineRule="auto"/>
        <w:rPr>
          <w:rFonts w:ascii="Arial" w:hAnsi="Arial" w:cs="Arial"/>
          <w:b/>
          <w:bCs/>
        </w:rPr>
      </w:pPr>
      <w:r w:rsidRPr="001D308A">
        <w:rPr>
          <w:rFonts w:ascii="Arial" w:hAnsi="Arial" w:cs="Arial"/>
          <w:b/>
          <w:bCs/>
        </w:rPr>
        <w:t>Executive Summary</w:t>
      </w:r>
    </w:p>
    <w:p w14:paraId="0CFA19F9" w14:textId="77777777" w:rsidR="002017C2" w:rsidRPr="001D308A" w:rsidRDefault="002017C2" w:rsidP="002017C2">
      <w:pPr>
        <w:spacing w:line="360" w:lineRule="auto"/>
        <w:rPr>
          <w:rFonts w:ascii="Arial" w:hAnsi="Arial" w:cs="Arial"/>
        </w:rPr>
      </w:pPr>
      <w:r w:rsidRPr="001D308A">
        <w:rPr>
          <w:rFonts w:ascii="Arial" w:hAnsi="Arial" w:cs="Arial"/>
        </w:rPr>
        <w:t>This report evaluates how BrightWave Services Ltd can improve its people management and organisational performance. The company’s rapid growth and operational focus have created issues in leadership capability, staff engagement, and organisational culture. The analysis applies theories and models from leadership, HRM, and organisational behaviour to identify root causes and practical solutions.</w:t>
      </w:r>
    </w:p>
    <w:p w14:paraId="71C30E4A" w14:textId="77777777" w:rsidR="002017C2" w:rsidRPr="001D308A" w:rsidRDefault="002017C2" w:rsidP="002017C2">
      <w:pPr>
        <w:spacing w:line="360" w:lineRule="auto"/>
        <w:rPr>
          <w:rFonts w:ascii="Arial" w:hAnsi="Arial" w:cs="Arial"/>
        </w:rPr>
      </w:pPr>
      <w:r w:rsidRPr="001D308A">
        <w:rPr>
          <w:rFonts w:ascii="Arial" w:hAnsi="Arial" w:cs="Arial"/>
        </w:rPr>
        <w:t>It argues that BrightWave must redefine its mission, vision and values to include people development as a core objective. Stronger leadership, evidence-based HR practices, and cultural renewal are needed to build long-term sustainability and competitive advantage. Drawing on frameworks by Drucker (1973), Porter (1985), Schein (2017), Kotter (1996), and others, the report links theory directly to BrightWave’s context.</w:t>
      </w:r>
    </w:p>
    <w:p w14:paraId="63082CDC" w14:textId="77777777" w:rsidR="002017C2" w:rsidRPr="001D308A" w:rsidRDefault="002017C2" w:rsidP="002017C2">
      <w:pPr>
        <w:spacing w:line="360" w:lineRule="auto"/>
        <w:rPr>
          <w:rFonts w:ascii="Arial" w:hAnsi="Arial" w:cs="Arial"/>
        </w:rPr>
      </w:pPr>
      <w:r w:rsidRPr="001D308A">
        <w:rPr>
          <w:rFonts w:ascii="Arial" w:hAnsi="Arial" w:cs="Arial"/>
        </w:rPr>
        <w:t>The recommendations propose SMART, cost-aware actions, including management training, data-driven performance systems, engagement and recognition programmes, and inclusive leadership practices. These initiatives will help the organisation reduce staff turnover, improve morale, and enhance client satisfaction, transforming BrightWave into a people-centred and high-performing business.</w:t>
      </w:r>
    </w:p>
    <w:p w14:paraId="2F6866A9" w14:textId="77777777" w:rsidR="004F7CD9" w:rsidRDefault="004F7CD9"/>
    <w:p w14:paraId="671FF379" w14:textId="77777777" w:rsidR="002017C2" w:rsidRDefault="002017C2"/>
    <w:p w14:paraId="6E02718D" w14:textId="77777777" w:rsidR="002017C2" w:rsidRDefault="002017C2"/>
    <w:p w14:paraId="7F710F01" w14:textId="77777777" w:rsidR="002017C2" w:rsidRDefault="002017C2"/>
    <w:p w14:paraId="181247B5" w14:textId="77777777" w:rsidR="002017C2" w:rsidRDefault="002017C2"/>
    <w:p w14:paraId="3F73314E" w14:textId="77777777" w:rsidR="002017C2" w:rsidRDefault="002017C2"/>
    <w:p w14:paraId="0207174F" w14:textId="77777777" w:rsidR="002017C2" w:rsidRDefault="002017C2"/>
    <w:p w14:paraId="15225439" w14:textId="77777777" w:rsidR="002017C2" w:rsidRDefault="002017C2"/>
    <w:p w14:paraId="34B259DA" w14:textId="77777777" w:rsidR="002017C2" w:rsidRDefault="002017C2"/>
    <w:p w14:paraId="2B5D661C" w14:textId="77777777" w:rsidR="002017C2" w:rsidRDefault="002017C2"/>
    <w:p w14:paraId="56C54690" w14:textId="77777777" w:rsidR="002017C2" w:rsidRPr="0013213C" w:rsidRDefault="002017C2" w:rsidP="002017C2">
      <w:pPr>
        <w:spacing w:line="360" w:lineRule="auto"/>
        <w:rPr>
          <w:rFonts w:ascii="Arial" w:hAnsi="Arial" w:cs="Arial"/>
          <w:b/>
          <w:bCs/>
        </w:rPr>
      </w:pPr>
      <w:r w:rsidRPr="0013213C">
        <w:rPr>
          <w:rFonts w:ascii="Arial" w:hAnsi="Arial" w:cs="Arial"/>
          <w:b/>
          <w:bCs/>
        </w:rPr>
        <w:t>1. Introduction</w:t>
      </w:r>
    </w:p>
    <w:p w14:paraId="6930EC1C" w14:textId="77F244EA" w:rsidR="002017C2" w:rsidRPr="0013213C" w:rsidRDefault="002017C2" w:rsidP="002017C2">
      <w:pPr>
        <w:spacing w:line="360" w:lineRule="auto"/>
        <w:rPr>
          <w:rFonts w:ascii="Arial" w:hAnsi="Arial" w:cs="Arial"/>
        </w:rPr>
      </w:pPr>
      <w:r w:rsidRPr="0013213C">
        <w:rPr>
          <w:rFonts w:ascii="Arial" w:hAnsi="Arial" w:cs="Arial"/>
        </w:rPr>
        <w:t>BrightWave Services Ltd is a</w:t>
      </w:r>
      <w:r w:rsidR="006A1837">
        <w:rPr>
          <w:rFonts w:ascii="Arial" w:hAnsi="Arial" w:cs="Arial"/>
        </w:rPr>
        <w:t xml:space="preserve"> </w:t>
      </w:r>
      <w:r w:rsidR="00740F6A">
        <w:rPr>
          <w:rFonts w:ascii="Arial" w:hAnsi="Arial" w:cs="Arial"/>
        </w:rPr>
        <w:t>medium-sized</w:t>
      </w:r>
      <w:r w:rsidRPr="0013213C">
        <w:rPr>
          <w:rFonts w:ascii="Arial" w:hAnsi="Arial" w:cs="Arial"/>
        </w:rPr>
        <w:t xml:space="preserve"> facilities management company in South Wales</w:t>
      </w:r>
      <w:r w:rsidR="00740F6A">
        <w:rPr>
          <w:rFonts w:ascii="Arial" w:hAnsi="Arial" w:cs="Arial"/>
        </w:rPr>
        <w:t>,</w:t>
      </w:r>
      <w:r w:rsidRPr="0013213C">
        <w:rPr>
          <w:rFonts w:ascii="Arial" w:hAnsi="Arial" w:cs="Arial"/>
        </w:rPr>
        <w:t xml:space="preserve"> </w:t>
      </w:r>
      <w:r w:rsidR="006A1837">
        <w:rPr>
          <w:rFonts w:ascii="Arial" w:hAnsi="Arial" w:cs="Arial"/>
        </w:rPr>
        <w:t>having</w:t>
      </w:r>
      <w:r w:rsidRPr="0013213C">
        <w:rPr>
          <w:rFonts w:ascii="Arial" w:hAnsi="Arial" w:cs="Arial"/>
        </w:rPr>
        <w:t xml:space="preserve"> about 350 staff. The company expanded rapidly through public-sector contracts, but growth has outpaced leadership and cultural capability. Issues include high turnover, inconsistent performance management, and a culture focused on numbers over people.</w:t>
      </w:r>
    </w:p>
    <w:p w14:paraId="14DEDA4C" w14:textId="77777777" w:rsidR="002017C2" w:rsidRPr="001D308A" w:rsidRDefault="002017C2" w:rsidP="002017C2">
      <w:pPr>
        <w:spacing w:line="360" w:lineRule="auto"/>
        <w:rPr>
          <w:rFonts w:ascii="Arial" w:hAnsi="Arial" w:cs="Arial"/>
        </w:rPr>
      </w:pPr>
      <w:r w:rsidRPr="0013213C">
        <w:rPr>
          <w:rFonts w:ascii="Arial" w:hAnsi="Arial" w:cs="Arial"/>
        </w:rPr>
        <w:t>Drucker (1973) stated that only a clear mission and purpose enable realistic objectives. BrightWave’s mission of cost-effective service delivery supports profitability but neglects the human factors vital for sustained quality. Redefining its purpose to value both service and people would align staff behind shared goals.</w:t>
      </w:r>
    </w:p>
    <w:p w14:paraId="44694D35" w14:textId="77777777" w:rsidR="002017C2" w:rsidRPr="0013213C" w:rsidRDefault="002017C2" w:rsidP="002017C2">
      <w:pPr>
        <w:spacing w:line="360" w:lineRule="auto"/>
        <w:rPr>
          <w:rFonts w:ascii="Arial" w:hAnsi="Arial" w:cs="Arial"/>
        </w:rPr>
      </w:pPr>
      <w:r w:rsidRPr="0013213C">
        <w:rPr>
          <w:rFonts w:ascii="Arial" w:hAnsi="Arial" w:cs="Arial"/>
        </w:rPr>
        <w:t>Porter (1985) argued that firms succeed through cost leadership or differentiation. BrightWave has pursued efficiency at the cost of quality and engagement. Competitive advantage now depends on skilled, motivated employees who deliver consistent service (Boxall &amp; Purcell, 2016).</w:t>
      </w:r>
    </w:p>
    <w:p w14:paraId="16C3BB8E" w14:textId="77777777" w:rsidR="002017C2" w:rsidRPr="0013213C" w:rsidRDefault="002017C2" w:rsidP="002017C2">
      <w:pPr>
        <w:spacing w:line="360" w:lineRule="auto"/>
        <w:rPr>
          <w:rFonts w:ascii="Arial" w:hAnsi="Arial" w:cs="Arial"/>
        </w:rPr>
      </w:pPr>
      <w:r w:rsidRPr="0013213C">
        <w:rPr>
          <w:rFonts w:ascii="Arial" w:hAnsi="Arial" w:cs="Arial"/>
        </w:rPr>
        <w:t>This report evaluates BrightWave’s people-management challenges, applies key theories, and proposes evidence-based solutions.</w:t>
      </w:r>
    </w:p>
    <w:p w14:paraId="68A4425B" w14:textId="77777777" w:rsidR="002017C2" w:rsidRPr="001D308A" w:rsidRDefault="002017C2" w:rsidP="002017C2">
      <w:pPr>
        <w:spacing w:line="360" w:lineRule="auto"/>
        <w:rPr>
          <w:rFonts w:ascii="Arial" w:hAnsi="Arial" w:cs="Arial"/>
          <w:b/>
          <w:bCs/>
        </w:rPr>
      </w:pPr>
      <w:r w:rsidRPr="001D308A">
        <w:rPr>
          <w:rFonts w:ascii="Arial" w:hAnsi="Arial" w:cs="Arial"/>
          <w:b/>
          <w:bCs/>
        </w:rPr>
        <w:t>2. The Role and Skills of Managers</w:t>
      </w:r>
    </w:p>
    <w:p w14:paraId="00929F23" w14:textId="77777777" w:rsidR="002017C2" w:rsidRPr="001D308A" w:rsidRDefault="002017C2" w:rsidP="002017C2">
      <w:pPr>
        <w:spacing w:line="360" w:lineRule="auto"/>
        <w:rPr>
          <w:rFonts w:ascii="Arial" w:hAnsi="Arial" w:cs="Arial"/>
        </w:rPr>
      </w:pPr>
      <w:r w:rsidRPr="001D308A">
        <w:rPr>
          <w:rFonts w:ascii="Arial" w:hAnsi="Arial" w:cs="Arial"/>
        </w:rPr>
        <w:t>Managers at BrightWave are responsible for translating operational goals into effective team performance. However, many were promoted for their technical ability rather than their leadership potential. Armstrong and Taylor (2023) describe effective management as combining technical competence with interpersonal skill, strategic vision, and ethical judgement. BrightWave’s managers demonstrate strong operational control but lack the people-management capability required to engage and develop staff.</w:t>
      </w:r>
    </w:p>
    <w:p w14:paraId="13EFC1C8" w14:textId="77777777" w:rsidR="002017C2" w:rsidRPr="001D308A" w:rsidRDefault="002017C2" w:rsidP="002017C2">
      <w:pPr>
        <w:spacing w:line="360" w:lineRule="auto"/>
        <w:rPr>
          <w:rFonts w:ascii="Arial" w:hAnsi="Arial" w:cs="Arial"/>
        </w:rPr>
      </w:pPr>
      <w:r w:rsidRPr="001D308A">
        <w:rPr>
          <w:rFonts w:ascii="Arial" w:hAnsi="Arial" w:cs="Arial"/>
        </w:rPr>
        <w:t>Kotter (1996) distinguishes between management and leadership: management maintains order through planning and control, while leadership creates direction and inspires change. At BrightWave, managers have been focused on schedules and compliance rather than motivation or coaching. This has created teams that deliver tasks but lack enthusiasm and initiative.</w:t>
      </w:r>
    </w:p>
    <w:p w14:paraId="0A6D38F2" w14:textId="790100AD" w:rsidR="00740F6A" w:rsidRDefault="00B5478D" w:rsidP="002017C2">
      <w:pPr>
        <w:spacing w:line="360" w:lineRule="auto"/>
        <w:rPr>
          <w:rFonts w:ascii="Arial" w:hAnsi="Arial" w:cs="Arial"/>
        </w:rPr>
      </w:pPr>
      <w:r w:rsidRPr="00B5478D">
        <w:rPr>
          <w:rFonts w:ascii="Arial" w:hAnsi="Arial" w:cs="Arial"/>
        </w:rPr>
        <w:lastRenderedPageBreak/>
        <w:t>According to Goleman (2013), emotional intelligence, particularly self-awareness and empathy, underpins effective leadership</w:t>
      </w:r>
      <w:r>
        <w:rPr>
          <w:rFonts w:ascii="Arial" w:hAnsi="Arial" w:cs="Arial"/>
        </w:rPr>
        <w:t>.</w:t>
      </w:r>
    </w:p>
    <w:p w14:paraId="6FE9D4BF" w14:textId="367D9295" w:rsidR="002017C2" w:rsidRPr="001D308A" w:rsidRDefault="002017C2" w:rsidP="002017C2">
      <w:pPr>
        <w:spacing w:line="360" w:lineRule="auto"/>
        <w:rPr>
          <w:rFonts w:ascii="Arial" w:hAnsi="Arial" w:cs="Arial"/>
        </w:rPr>
      </w:pPr>
      <w:r w:rsidRPr="001D308A">
        <w:rPr>
          <w:rFonts w:ascii="Arial" w:hAnsi="Arial" w:cs="Arial"/>
        </w:rPr>
        <w:t>Managers who understand emotions and communicate authentically create psychological safety — a concept later emphasised by McKinsey (2023) as central to employee engagement and innovation. BrightWave’s managers often avoid difficult conversations, demonstrating a lack of confidence in emotional leadership.</w:t>
      </w:r>
    </w:p>
    <w:p w14:paraId="7893867A" w14:textId="258BF7FA" w:rsidR="002017C2" w:rsidRPr="001D308A" w:rsidRDefault="002017C2" w:rsidP="002017C2">
      <w:pPr>
        <w:spacing w:line="360" w:lineRule="auto"/>
        <w:rPr>
          <w:rFonts w:ascii="Arial" w:hAnsi="Arial" w:cs="Arial"/>
        </w:rPr>
      </w:pPr>
      <w:r w:rsidRPr="001D308A">
        <w:rPr>
          <w:rFonts w:ascii="Arial" w:hAnsi="Arial" w:cs="Arial"/>
        </w:rPr>
        <w:t>Burgoyne (2010) argues that leaders are made through reflection and experience, not born with innate skills. Developing leadership capability</w:t>
      </w:r>
      <w:r w:rsidR="005823BC">
        <w:rPr>
          <w:rFonts w:ascii="Arial" w:hAnsi="Arial" w:cs="Arial"/>
        </w:rPr>
        <w:t>,</w:t>
      </w:r>
      <w:r w:rsidRPr="001D308A">
        <w:rPr>
          <w:rFonts w:ascii="Arial" w:hAnsi="Arial" w:cs="Arial"/>
        </w:rPr>
        <w:t xml:space="preserve"> therefore</w:t>
      </w:r>
      <w:r w:rsidR="005823BC">
        <w:rPr>
          <w:rFonts w:ascii="Arial" w:hAnsi="Arial" w:cs="Arial"/>
        </w:rPr>
        <w:t>,</w:t>
      </w:r>
      <w:r w:rsidRPr="001D308A">
        <w:rPr>
          <w:rFonts w:ascii="Arial" w:hAnsi="Arial" w:cs="Arial"/>
        </w:rPr>
        <w:t xml:space="preserve"> requires structured learning opportunities. Mullins (2020) adds that motivated teams depend on leaders who show trust and recognition. These theories suggest that BrightWave’s current reliance on technical promotions without training is unsustainable. A targeted development programme combining mentoring, coaching, and feedback would help managers move from supervision to leadership.</w:t>
      </w:r>
    </w:p>
    <w:p w14:paraId="4E9AEBE2" w14:textId="77777777" w:rsidR="002017C2" w:rsidRPr="001D308A" w:rsidRDefault="002017C2" w:rsidP="002017C2">
      <w:pPr>
        <w:spacing w:line="360" w:lineRule="auto"/>
        <w:rPr>
          <w:rFonts w:ascii="Arial" w:hAnsi="Arial" w:cs="Arial"/>
        </w:rPr>
      </w:pPr>
      <w:r w:rsidRPr="001D308A">
        <w:rPr>
          <w:rFonts w:ascii="Arial" w:hAnsi="Arial" w:cs="Arial"/>
        </w:rPr>
        <w:t>Ulrich and Brockbank (2017) describe HR’s role as enabling line managers to act as “people champions.” This means equipping them with frameworks and support to hold performance conversations, provide feedback, and promote fairness. At BrightWave, HR should become an active partner in developing managerial competence through workshops, shadowing, and internal coaching networks.</w:t>
      </w:r>
    </w:p>
    <w:p w14:paraId="285816CB" w14:textId="4E78E484" w:rsidR="002017C2" w:rsidRDefault="002017C2" w:rsidP="002017C2">
      <w:pPr>
        <w:spacing w:line="360" w:lineRule="auto"/>
        <w:rPr>
          <w:rFonts w:ascii="Arial" w:hAnsi="Arial" w:cs="Arial"/>
        </w:rPr>
      </w:pPr>
      <w:r w:rsidRPr="001D308A">
        <w:rPr>
          <w:rFonts w:ascii="Arial" w:hAnsi="Arial" w:cs="Arial"/>
        </w:rPr>
        <w:t>Developing these managerial skills will directly affect engagement and performance outcomes. As Armstrong and Taylor (2023) argue, effective people management builds trust, drives accountability, and aligns behaviour with organisational goals — the very areas where BrightWave currently struggles.</w:t>
      </w:r>
    </w:p>
    <w:p w14:paraId="63BC9DD1" w14:textId="77777777" w:rsidR="005823BC" w:rsidRPr="001D308A" w:rsidRDefault="005823BC" w:rsidP="005823BC">
      <w:pPr>
        <w:spacing w:line="360" w:lineRule="auto"/>
        <w:rPr>
          <w:rFonts w:ascii="Arial" w:hAnsi="Arial" w:cs="Arial"/>
          <w:b/>
          <w:bCs/>
        </w:rPr>
      </w:pPr>
      <w:r w:rsidRPr="001D308A">
        <w:rPr>
          <w:rFonts w:ascii="Arial" w:hAnsi="Arial" w:cs="Arial"/>
          <w:b/>
          <w:bCs/>
        </w:rPr>
        <w:t>3. Theories and Models of People Management</w:t>
      </w:r>
    </w:p>
    <w:p w14:paraId="55FF476C" w14:textId="77777777" w:rsidR="005823BC" w:rsidRPr="001D308A" w:rsidRDefault="005823BC" w:rsidP="005823BC">
      <w:pPr>
        <w:spacing w:line="360" w:lineRule="auto"/>
        <w:rPr>
          <w:rFonts w:ascii="Arial" w:hAnsi="Arial" w:cs="Arial"/>
        </w:rPr>
      </w:pPr>
      <w:r w:rsidRPr="001D308A">
        <w:rPr>
          <w:rFonts w:ascii="Arial" w:hAnsi="Arial" w:cs="Arial"/>
        </w:rPr>
        <w:t>Herzberg’s (1959) Two-Factor Theory helps explain BrightWave’s retention and motivation problems. The company focuses on hygiene factors — pay, job security, and schedules — but neglects motivators such as recognition, development, and achievement. Maslow’s (1954) hierarchy of needs shows that once basic needs are met, employees seek belonging, esteem, and self-fulfilment. Without these, job satisfaction declines.</w:t>
      </w:r>
    </w:p>
    <w:p w14:paraId="3D63D4AC" w14:textId="099B2447" w:rsidR="005823BC" w:rsidRPr="001D308A" w:rsidRDefault="005823BC" w:rsidP="005823BC">
      <w:pPr>
        <w:spacing w:line="360" w:lineRule="auto"/>
        <w:rPr>
          <w:rFonts w:ascii="Arial" w:hAnsi="Arial" w:cs="Arial"/>
        </w:rPr>
      </w:pPr>
      <w:r w:rsidRPr="001D308A">
        <w:rPr>
          <w:rFonts w:ascii="Arial" w:hAnsi="Arial" w:cs="Arial"/>
        </w:rPr>
        <w:t xml:space="preserve">Guest (2017) proposes that effective HRM integrates wellbeing and performance. Where employees feel valued, they reciprocate with higher effort and loyalty. </w:t>
      </w:r>
      <w:r w:rsidRPr="001D308A">
        <w:rPr>
          <w:rFonts w:ascii="Arial" w:hAnsi="Arial" w:cs="Arial"/>
        </w:rPr>
        <w:lastRenderedPageBreak/>
        <w:t>BrightWave’s staff surveys revealing low fairness and recognition suggest a failure in this psychological contract. According to Purcell (2014), managers are “the front line of engagement”; poor management behaviours therefore erode trust.</w:t>
      </w:r>
    </w:p>
    <w:p w14:paraId="39E2AD8A" w14:textId="77777777" w:rsidR="005823BC" w:rsidRPr="001D308A" w:rsidRDefault="005823BC" w:rsidP="005823BC">
      <w:pPr>
        <w:spacing w:line="360" w:lineRule="auto"/>
        <w:rPr>
          <w:rFonts w:ascii="Arial" w:hAnsi="Arial" w:cs="Arial"/>
        </w:rPr>
      </w:pPr>
      <w:r w:rsidRPr="001D308A">
        <w:rPr>
          <w:rFonts w:ascii="Arial" w:hAnsi="Arial" w:cs="Arial"/>
        </w:rPr>
        <w:t>The CIPD’s (2025) “Dimensions of Good Work” framework identifies quality work as secure, fair, and meaningful. BrightWave’s task-driven model conflicts with these dimensions. The company could apply these standards to create more balanced job designs and fair workload allocation.</w:t>
      </w:r>
    </w:p>
    <w:p w14:paraId="482865EB" w14:textId="77777777" w:rsidR="005823BC" w:rsidRPr="001D308A" w:rsidRDefault="005823BC" w:rsidP="005823BC">
      <w:pPr>
        <w:spacing w:line="360" w:lineRule="auto"/>
        <w:rPr>
          <w:rFonts w:ascii="Arial" w:hAnsi="Arial" w:cs="Arial"/>
        </w:rPr>
      </w:pPr>
      <w:r w:rsidRPr="001D308A">
        <w:rPr>
          <w:rFonts w:ascii="Arial" w:hAnsi="Arial" w:cs="Arial"/>
        </w:rPr>
        <w:t>Torrington et al. (2020) argue that HRM effectiveness depends on linking recruitment, development, and performance processes into a coherent system. At BrightWave, these functions operate in isolation, resulting in inconsistency. Marchington and Wilkinson (2020) emphasise the importance of integrating hard workforce planning (numbers, cost) with soft planning (skills, culture). BrightWave’s approach has been heavily quantitative, driven by rosters and budgets, with little attention to employee growth or succession.</w:t>
      </w:r>
    </w:p>
    <w:p w14:paraId="50DAB998" w14:textId="77777777" w:rsidR="005823BC" w:rsidRPr="001D308A" w:rsidRDefault="005823BC" w:rsidP="005823BC">
      <w:pPr>
        <w:spacing w:line="360" w:lineRule="auto"/>
        <w:rPr>
          <w:rFonts w:ascii="Arial" w:hAnsi="Arial" w:cs="Arial"/>
        </w:rPr>
      </w:pPr>
      <w:r w:rsidRPr="001D308A">
        <w:rPr>
          <w:rFonts w:ascii="Arial" w:hAnsi="Arial" w:cs="Arial"/>
        </w:rPr>
        <w:t>By combining these theories, it becomes clear that BrightWave’s challenges are not purely structural but behavioural. The absence of motivation, recognition, and dialogue has reduced engagement. To address this, HR must embed evidence-based management that values both performance and wellbeing.</w:t>
      </w:r>
    </w:p>
    <w:p w14:paraId="720ED229" w14:textId="77777777" w:rsidR="005823BC" w:rsidRPr="001D308A" w:rsidRDefault="005823BC" w:rsidP="005823BC">
      <w:pPr>
        <w:spacing w:line="360" w:lineRule="auto"/>
        <w:rPr>
          <w:rFonts w:ascii="Arial" w:hAnsi="Arial" w:cs="Arial"/>
        </w:rPr>
      </w:pPr>
    </w:p>
    <w:p w14:paraId="3DA155D9" w14:textId="77777777" w:rsidR="005823BC" w:rsidRPr="001D308A" w:rsidRDefault="005823BC" w:rsidP="005823BC">
      <w:pPr>
        <w:spacing w:line="360" w:lineRule="auto"/>
        <w:rPr>
          <w:rFonts w:ascii="Arial" w:hAnsi="Arial" w:cs="Arial"/>
          <w:b/>
          <w:bCs/>
        </w:rPr>
      </w:pPr>
      <w:r w:rsidRPr="001D308A">
        <w:rPr>
          <w:rFonts w:ascii="Arial" w:hAnsi="Arial" w:cs="Arial"/>
          <w:b/>
          <w:bCs/>
        </w:rPr>
        <w:t>4. Organisational Culture and Its Impact</w:t>
      </w:r>
    </w:p>
    <w:p w14:paraId="71672F7C" w14:textId="4F09953B" w:rsidR="005823BC" w:rsidRPr="001D308A" w:rsidRDefault="005823BC" w:rsidP="005823BC">
      <w:pPr>
        <w:spacing w:line="360" w:lineRule="auto"/>
        <w:rPr>
          <w:rFonts w:ascii="Arial" w:hAnsi="Arial" w:cs="Arial"/>
        </w:rPr>
      </w:pPr>
      <w:r w:rsidRPr="001D308A">
        <w:rPr>
          <w:rFonts w:ascii="Arial" w:hAnsi="Arial" w:cs="Arial"/>
        </w:rPr>
        <w:t xml:space="preserve">Schein (2017) </w:t>
      </w:r>
      <w:r w:rsidR="006A1837">
        <w:rPr>
          <w:rFonts w:ascii="Arial" w:hAnsi="Arial" w:cs="Arial"/>
        </w:rPr>
        <w:t>underlines that</w:t>
      </w:r>
      <w:r w:rsidRPr="001D308A">
        <w:rPr>
          <w:rFonts w:ascii="Arial" w:hAnsi="Arial" w:cs="Arial"/>
        </w:rPr>
        <w:t xml:space="preserve"> organisational culture </w:t>
      </w:r>
      <w:r w:rsidR="006A1837">
        <w:rPr>
          <w:rFonts w:ascii="Arial" w:hAnsi="Arial" w:cs="Arial"/>
        </w:rPr>
        <w:t>is</w:t>
      </w:r>
      <w:r w:rsidRPr="001D308A">
        <w:rPr>
          <w:rFonts w:ascii="Arial" w:hAnsi="Arial" w:cs="Arial"/>
        </w:rPr>
        <w:t xml:space="preserve"> the beliefs,</w:t>
      </w:r>
      <w:r w:rsidR="006A1837">
        <w:rPr>
          <w:rFonts w:ascii="Arial" w:hAnsi="Arial" w:cs="Arial"/>
        </w:rPr>
        <w:t xml:space="preserve"> shared values</w:t>
      </w:r>
      <w:r w:rsidRPr="001D308A">
        <w:rPr>
          <w:rFonts w:ascii="Arial" w:hAnsi="Arial" w:cs="Arial"/>
        </w:rPr>
        <w:t xml:space="preserve"> and assumptions that shape behaviour. BrightWave’s culture is described as “task-driven” and “numbers-first,” showing that efficiency has taken priority over people. At the visible level, artefacts include tight scheduling and minimal feedback; underlying assumptions suggest that employees are cost units rather than contributors to innovation. Handy (1999) would classify this as a “role culture,” where control and structure dominate, creating barriers to collaboration.</w:t>
      </w:r>
    </w:p>
    <w:p w14:paraId="1E959718" w14:textId="77777777" w:rsidR="005823BC" w:rsidRPr="001D308A" w:rsidRDefault="005823BC" w:rsidP="005823BC">
      <w:pPr>
        <w:spacing w:line="360" w:lineRule="auto"/>
        <w:rPr>
          <w:rFonts w:ascii="Arial" w:hAnsi="Arial" w:cs="Arial"/>
        </w:rPr>
      </w:pPr>
      <w:r w:rsidRPr="001D308A">
        <w:rPr>
          <w:rFonts w:ascii="Arial" w:hAnsi="Arial" w:cs="Arial"/>
        </w:rPr>
        <w:t xml:space="preserve">Such cultures can achieve consistency but often suppress initiative and learning. Kotter and Heskett (1992) found that organisations with adaptable, value-driven cultures outperform those focused solely on short-term results. BrightWave’s resistance to flexible scheduling or wellbeing initiatives demonstrates a lack of </w:t>
      </w:r>
      <w:r w:rsidRPr="001D308A">
        <w:rPr>
          <w:rFonts w:ascii="Arial" w:hAnsi="Arial" w:cs="Arial"/>
        </w:rPr>
        <w:lastRenderedPageBreak/>
        <w:t>adaptability. Drucker (1973) famously argued that “culture eats strategy for breakfast”; in this case, no HR strategy will succeed without cultural change.</w:t>
      </w:r>
    </w:p>
    <w:p w14:paraId="6BD22EAF" w14:textId="77777777" w:rsidR="005823BC" w:rsidRPr="001D308A" w:rsidRDefault="005823BC" w:rsidP="005823BC">
      <w:pPr>
        <w:spacing w:line="360" w:lineRule="auto"/>
        <w:rPr>
          <w:rFonts w:ascii="Arial" w:hAnsi="Arial" w:cs="Arial"/>
        </w:rPr>
      </w:pPr>
      <w:r w:rsidRPr="001D308A">
        <w:rPr>
          <w:rFonts w:ascii="Arial" w:hAnsi="Arial" w:cs="Arial"/>
        </w:rPr>
        <w:t>Psychological safety, identified by McKinsey (2023) as critical for innovation, is low. Employees do not feel comfortable raising concerns or suggesting ideas. To change culture, leadership must model new behaviours—listening, recognising effort, and promoting openness. Mullins (2020) suggests that motivation flourishes when employees feel trusted and included. Creating a more participative culture will therefore improve both morale and client service.</w:t>
      </w:r>
    </w:p>
    <w:p w14:paraId="56FAFB0F" w14:textId="56A49669" w:rsidR="005823BC" w:rsidRPr="001D308A" w:rsidRDefault="005823BC" w:rsidP="005823BC">
      <w:pPr>
        <w:spacing w:line="360" w:lineRule="auto"/>
        <w:rPr>
          <w:rFonts w:ascii="Arial" w:hAnsi="Arial" w:cs="Arial"/>
          <w:b/>
          <w:bCs/>
        </w:rPr>
      </w:pPr>
      <w:r w:rsidRPr="001D308A">
        <w:rPr>
          <w:rFonts w:ascii="Arial" w:hAnsi="Arial" w:cs="Arial"/>
          <w:b/>
          <w:bCs/>
        </w:rPr>
        <w:t>5. External and Internal Influences:</w:t>
      </w:r>
    </w:p>
    <w:p w14:paraId="757E656F" w14:textId="77777777" w:rsidR="005823BC" w:rsidRPr="001D308A" w:rsidRDefault="005823BC" w:rsidP="005823BC">
      <w:pPr>
        <w:spacing w:line="360" w:lineRule="auto"/>
        <w:rPr>
          <w:rFonts w:ascii="Arial" w:hAnsi="Arial" w:cs="Arial"/>
        </w:rPr>
      </w:pPr>
      <w:r w:rsidRPr="001D308A">
        <w:rPr>
          <w:rFonts w:ascii="Arial" w:hAnsi="Arial" w:cs="Arial"/>
        </w:rPr>
        <w:t xml:space="preserve">A </w:t>
      </w:r>
      <w:r w:rsidRPr="001D308A">
        <w:rPr>
          <w:rFonts w:ascii="Arial" w:hAnsi="Arial" w:cs="Arial"/>
          <w:b/>
          <w:bCs/>
        </w:rPr>
        <w:t>PESTLE analysis</w:t>
      </w:r>
      <w:r w:rsidRPr="001D308A">
        <w:rPr>
          <w:rFonts w:ascii="Arial" w:hAnsi="Arial" w:cs="Arial"/>
        </w:rPr>
        <w:t xml:space="preserve"> highlights the environmental forces shaping BrightWave’s HR strategy.</w:t>
      </w:r>
    </w:p>
    <w:p w14:paraId="0D063E40" w14:textId="3F379F13" w:rsidR="005823BC" w:rsidRDefault="005823BC" w:rsidP="005823BC">
      <w:pPr>
        <w:numPr>
          <w:ilvl w:val="0"/>
          <w:numId w:val="1"/>
        </w:numPr>
        <w:spacing w:line="360" w:lineRule="auto"/>
        <w:rPr>
          <w:rFonts w:ascii="Arial" w:hAnsi="Arial" w:cs="Arial"/>
        </w:rPr>
      </w:pPr>
      <w:r w:rsidRPr="001D308A">
        <w:rPr>
          <w:rFonts w:ascii="Arial" w:hAnsi="Arial" w:cs="Arial"/>
          <w:b/>
          <w:bCs/>
        </w:rPr>
        <w:t>Political:</w:t>
      </w:r>
      <w:r w:rsidRPr="001D308A">
        <w:rPr>
          <w:rFonts w:ascii="Arial" w:hAnsi="Arial" w:cs="Arial"/>
        </w:rPr>
        <w:t xml:space="preserve"> Government contracts increasingly require suppliers to demonstrate fair work and social value. Failure to do so </w:t>
      </w:r>
      <w:r w:rsidR="00784EE2">
        <w:rPr>
          <w:rFonts w:ascii="Arial" w:hAnsi="Arial" w:cs="Arial"/>
        </w:rPr>
        <w:t>could risk contract renewals.</w:t>
      </w:r>
    </w:p>
    <w:p w14:paraId="438ED885" w14:textId="77777777" w:rsidR="005823BC" w:rsidRPr="001D308A" w:rsidRDefault="005823BC" w:rsidP="005823BC">
      <w:pPr>
        <w:numPr>
          <w:ilvl w:val="0"/>
          <w:numId w:val="1"/>
        </w:numPr>
        <w:spacing w:line="360" w:lineRule="auto"/>
        <w:rPr>
          <w:rFonts w:ascii="Arial" w:hAnsi="Arial" w:cs="Arial"/>
        </w:rPr>
      </w:pPr>
      <w:r w:rsidRPr="001D308A">
        <w:rPr>
          <w:rFonts w:ascii="Arial" w:hAnsi="Arial" w:cs="Arial"/>
          <w:b/>
          <w:bCs/>
        </w:rPr>
        <w:t>Economic:</w:t>
      </w:r>
      <w:r w:rsidRPr="001D308A">
        <w:rPr>
          <w:rFonts w:ascii="Arial" w:hAnsi="Arial" w:cs="Arial"/>
        </w:rPr>
        <w:t xml:space="preserve"> Inflation and public-sector budget cuts place pressure on margins, reinforcing the temptation to reduce staff costs.</w:t>
      </w:r>
    </w:p>
    <w:p w14:paraId="5A1533CA" w14:textId="77777777" w:rsidR="005823BC" w:rsidRPr="001D308A" w:rsidRDefault="005823BC" w:rsidP="005823BC">
      <w:pPr>
        <w:numPr>
          <w:ilvl w:val="0"/>
          <w:numId w:val="1"/>
        </w:numPr>
        <w:spacing w:line="360" w:lineRule="auto"/>
        <w:rPr>
          <w:rFonts w:ascii="Arial" w:hAnsi="Arial" w:cs="Arial"/>
        </w:rPr>
      </w:pPr>
      <w:r w:rsidRPr="001D308A">
        <w:rPr>
          <w:rFonts w:ascii="Arial" w:hAnsi="Arial" w:cs="Arial"/>
          <w:b/>
          <w:bCs/>
        </w:rPr>
        <w:t>Social:</w:t>
      </w:r>
      <w:r w:rsidRPr="001D308A">
        <w:rPr>
          <w:rFonts w:ascii="Arial" w:hAnsi="Arial" w:cs="Arial"/>
        </w:rPr>
        <w:t xml:space="preserve"> A multi-generational workforce expects flexibility and progression; ignoring these expectations leads to turnover.</w:t>
      </w:r>
    </w:p>
    <w:p w14:paraId="7A70C58A" w14:textId="77777777" w:rsidR="005823BC" w:rsidRPr="001D308A" w:rsidRDefault="005823BC" w:rsidP="005823BC">
      <w:pPr>
        <w:numPr>
          <w:ilvl w:val="0"/>
          <w:numId w:val="1"/>
        </w:numPr>
        <w:spacing w:line="360" w:lineRule="auto"/>
        <w:rPr>
          <w:rFonts w:ascii="Arial" w:hAnsi="Arial" w:cs="Arial"/>
        </w:rPr>
      </w:pPr>
      <w:r w:rsidRPr="001D308A">
        <w:rPr>
          <w:rFonts w:ascii="Arial" w:hAnsi="Arial" w:cs="Arial"/>
          <w:b/>
          <w:bCs/>
        </w:rPr>
        <w:t>Technological:</w:t>
      </w:r>
      <w:r w:rsidRPr="001D308A">
        <w:rPr>
          <w:rFonts w:ascii="Arial" w:hAnsi="Arial" w:cs="Arial"/>
        </w:rPr>
        <w:t xml:space="preserve"> Digital scheduling and HR analytics could improve efficiency and decision-making, but require investment and training.</w:t>
      </w:r>
    </w:p>
    <w:p w14:paraId="6A14102D" w14:textId="77777777" w:rsidR="00784EE2" w:rsidRDefault="005823BC" w:rsidP="00784EE2">
      <w:pPr>
        <w:numPr>
          <w:ilvl w:val="0"/>
          <w:numId w:val="1"/>
        </w:numPr>
        <w:spacing w:line="360" w:lineRule="auto"/>
        <w:rPr>
          <w:rFonts w:ascii="Arial" w:hAnsi="Arial" w:cs="Arial"/>
        </w:rPr>
      </w:pPr>
      <w:r w:rsidRPr="001D308A">
        <w:rPr>
          <w:rFonts w:ascii="Arial" w:hAnsi="Arial" w:cs="Arial"/>
          <w:b/>
          <w:bCs/>
        </w:rPr>
        <w:t>Legal:</w:t>
      </w:r>
      <w:r w:rsidRPr="001D308A">
        <w:rPr>
          <w:rFonts w:ascii="Arial" w:hAnsi="Arial" w:cs="Arial"/>
        </w:rPr>
        <w:t xml:space="preserve"> The Equality Act 2010 obliges employers to ensure fair treatment; inconsistent management may expose BrightWave to legal risks.</w:t>
      </w:r>
    </w:p>
    <w:p w14:paraId="537F0AED" w14:textId="5EAB3B70" w:rsidR="005823BC" w:rsidRPr="001D308A" w:rsidRDefault="005823BC" w:rsidP="00784EE2">
      <w:pPr>
        <w:numPr>
          <w:ilvl w:val="0"/>
          <w:numId w:val="1"/>
        </w:numPr>
        <w:spacing w:line="360" w:lineRule="auto"/>
        <w:rPr>
          <w:rFonts w:ascii="Arial" w:hAnsi="Arial" w:cs="Arial"/>
        </w:rPr>
      </w:pPr>
      <w:r w:rsidRPr="001D308A">
        <w:rPr>
          <w:rFonts w:ascii="Arial" w:hAnsi="Arial" w:cs="Arial"/>
          <w:b/>
          <w:bCs/>
        </w:rPr>
        <w:t>Environmental:</w:t>
      </w:r>
      <w:r w:rsidRPr="001D308A">
        <w:rPr>
          <w:rFonts w:ascii="Arial" w:hAnsi="Arial" w:cs="Arial"/>
        </w:rPr>
        <w:t xml:space="preserve"> </w:t>
      </w:r>
      <w:r w:rsidR="00784EE2" w:rsidRPr="00AB488F">
        <w:rPr>
          <w:rFonts w:ascii="Arial" w:hAnsi="Arial" w:cs="Arial"/>
        </w:rPr>
        <w:t>Clients value sustainability and ethical employment, reinforcing HR’s strategic role.</w:t>
      </w:r>
    </w:p>
    <w:p w14:paraId="4BD2F778" w14:textId="77777777" w:rsidR="005823BC" w:rsidRPr="001D308A" w:rsidRDefault="005823BC" w:rsidP="005823BC">
      <w:pPr>
        <w:spacing w:line="360" w:lineRule="auto"/>
        <w:rPr>
          <w:rFonts w:ascii="Arial" w:hAnsi="Arial" w:cs="Arial"/>
        </w:rPr>
      </w:pPr>
      <w:r w:rsidRPr="001D308A">
        <w:rPr>
          <w:rFonts w:ascii="Arial" w:hAnsi="Arial" w:cs="Arial"/>
        </w:rPr>
        <w:t xml:space="preserve">Internally, a </w:t>
      </w:r>
      <w:r w:rsidRPr="001D308A">
        <w:rPr>
          <w:rFonts w:ascii="Arial" w:hAnsi="Arial" w:cs="Arial"/>
          <w:b/>
          <w:bCs/>
        </w:rPr>
        <w:t>SWOT analysis</w:t>
      </w:r>
      <w:r w:rsidRPr="001D308A">
        <w:rPr>
          <w:rFonts w:ascii="Arial" w:hAnsi="Arial" w:cs="Arial"/>
        </w:rPr>
        <w:t xml:space="preserve"> identifies:</w:t>
      </w:r>
    </w:p>
    <w:p w14:paraId="776C9A78" w14:textId="77777777" w:rsidR="005823BC" w:rsidRPr="001D308A" w:rsidRDefault="005823BC" w:rsidP="005823BC">
      <w:pPr>
        <w:spacing w:line="360" w:lineRule="auto"/>
        <w:rPr>
          <w:rFonts w:ascii="Arial" w:hAnsi="Arial" w:cs="Arial"/>
        </w:rPr>
      </w:pPr>
      <w:r w:rsidRPr="001D308A">
        <w:rPr>
          <w:rFonts w:ascii="Arial" w:hAnsi="Arial" w:cs="Arial"/>
          <w:b/>
          <w:bCs/>
        </w:rPr>
        <w:t>Strengths:</w:t>
      </w:r>
      <w:r w:rsidRPr="001D308A">
        <w:rPr>
          <w:rFonts w:ascii="Arial" w:hAnsi="Arial" w:cs="Arial"/>
        </w:rPr>
        <w:t xml:space="preserve"> reliable client base, experienced technical staff, clear operational systems.</w:t>
      </w:r>
      <w:r w:rsidRPr="001D308A">
        <w:rPr>
          <w:rFonts w:ascii="Arial" w:hAnsi="Arial" w:cs="Arial"/>
        </w:rPr>
        <w:br/>
      </w:r>
      <w:r w:rsidRPr="001D308A">
        <w:rPr>
          <w:rFonts w:ascii="Arial" w:hAnsi="Arial" w:cs="Arial"/>
          <w:b/>
          <w:bCs/>
        </w:rPr>
        <w:t>Weaknesses:</w:t>
      </w:r>
      <w:r w:rsidRPr="001D308A">
        <w:rPr>
          <w:rFonts w:ascii="Arial" w:hAnsi="Arial" w:cs="Arial"/>
        </w:rPr>
        <w:t xml:space="preserve"> limited leadership capability, high turnover, weak communication.</w:t>
      </w:r>
      <w:r w:rsidRPr="001D308A">
        <w:rPr>
          <w:rFonts w:ascii="Arial" w:hAnsi="Arial" w:cs="Arial"/>
        </w:rPr>
        <w:br/>
      </w:r>
      <w:r w:rsidRPr="001D308A">
        <w:rPr>
          <w:rFonts w:ascii="Arial" w:hAnsi="Arial" w:cs="Arial"/>
          <w:b/>
          <w:bCs/>
        </w:rPr>
        <w:t>Opportunities:</w:t>
      </w:r>
      <w:r w:rsidRPr="001D308A">
        <w:rPr>
          <w:rFonts w:ascii="Arial" w:hAnsi="Arial" w:cs="Arial"/>
        </w:rPr>
        <w:t xml:space="preserve"> leadership training, culture transformation, employer branding.</w:t>
      </w:r>
      <w:r w:rsidRPr="001D308A">
        <w:rPr>
          <w:rFonts w:ascii="Arial" w:hAnsi="Arial" w:cs="Arial"/>
        </w:rPr>
        <w:br/>
      </w:r>
      <w:r w:rsidRPr="001D308A">
        <w:rPr>
          <w:rFonts w:ascii="Arial" w:hAnsi="Arial" w:cs="Arial"/>
          <w:b/>
          <w:bCs/>
        </w:rPr>
        <w:t>Threats:</w:t>
      </w:r>
      <w:r w:rsidRPr="001D308A">
        <w:rPr>
          <w:rFonts w:ascii="Arial" w:hAnsi="Arial" w:cs="Arial"/>
        </w:rPr>
        <w:t xml:space="preserve"> contract loss, reputational damage, competition for skilled labour.</w:t>
      </w:r>
    </w:p>
    <w:p w14:paraId="1C6EF2AB" w14:textId="07C9FE22" w:rsidR="005823BC" w:rsidRPr="001D308A" w:rsidRDefault="005823BC" w:rsidP="005823BC">
      <w:pPr>
        <w:spacing w:line="360" w:lineRule="auto"/>
        <w:rPr>
          <w:rFonts w:ascii="Arial" w:hAnsi="Arial" w:cs="Arial"/>
        </w:rPr>
      </w:pPr>
      <w:r w:rsidRPr="001D308A">
        <w:rPr>
          <w:rFonts w:ascii="Arial" w:hAnsi="Arial" w:cs="Arial"/>
        </w:rPr>
        <w:lastRenderedPageBreak/>
        <w:t>Understanding these factors demonstrates that HR improvement is not optional but essential for strategic survival.</w:t>
      </w:r>
      <w:r w:rsidR="001F4F94">
        <w:rPr>
          <w:rFonts w:ascii="Arial" w:hAnsi="Arial" w:cs="Arial"/>
        </w:rPr>
        <w:t xml:space="preserve"> </w:t>
      </w:r>
      <w:r w:rsidR="001F4F94" w:rsidRPr="001F4F94">
        <w:rPr>
          <w:rFonts w:ascii="Arial" w:hAnsi="Arial" w:cs="Arial"/>
        </w:rPr>
        <w:t>Porter (1985) suggests that lasting success depends on resources that add real value and are difficult for others to replicate.</w:t>
      </w:r>
      <w:r w:rsidRPr="001D308A">
        <w:rPr>
          <w:rFonts w:ascii="Arial" w:hAnsi="Arial" w:cs="Arial"/>
        </w:rPr>
        <w:t xml:space="preserve"> For BrightWave, those resources must be its people.</w:t>
      </w:r>
    </w:p>
    <w:p w14:paraId="0D79F2F5" w14:textId="77777777" w:rsidR="005823BC" w:rsidRPr="001D308A" w:rsidRDefault="005823BC" w:rsidP="005823BC">
      <w:pPr>
        <w:spacing w:line="360" w:lineRule="auto"/>
        <w:rPr>
          <w:rFonts w:ascii="Arial" w:hAnsi="Arial" w:cs="Arial"/>
          <w:b/>
          <w:bCs/>
        </w:rPr>
      </w:pPr>
      <w:r w:rsidRPr="001D308A">
        <w:rPr>
          <w:rFonts w:ascii="Arial" w:hAnsi="Arial" w:cs="Arial"/>
          <w:b/>
          <w:bCs/>
        </w:rPr>
        <w:t>6. HRM, Resourcing, and the Employee Lifecycle</w:t>
      </w:r>
    </w:p>
    <w:p w14:paraId="1A6A578E" w14:textId="77777777" w:rsidR="005823BC" w:rsidRPr="001D308A" w:rsidRDefault="005823BC" w:rsidP="005823BC">
      <w:pPr>
        <w:spacing w:line="360" w:lineRule="auto"/>
        <w:rPr>
          <w:rFonts w:ascii="Arial" w:hAnsi="Arial" w:cs="Arial"/>
        </w:rPr>
      </w:pPr>
      <w:r w:rsidRPr="001D308A">
        <w:rPr>
          <w:rFonts w:ascii="Arial" w:hAnsi="Arial" w:cs="Arial"/>
        </w:rPr>
        <w:t>Effective human resource management connects every stage of the employee lifecycle—from recruitment to exit—with organisational goals. Armstrong and Taylor (2023) stress that alignment between people strategy and business objectives is the foundation of success.</w:t>
      </w:r>
    </w:p>
    <w:p w14:paraId="7CAD9F0D" w14:textId="77777777" w:rsidR="005823BC" w:rsidRPr="001D308A" w:rsidRDefault="005823BC" w:rsidP="005823BC">
      <w:pPr>
        <w:spacing w:line="360" w:lineRule="auto"/>
        <w:rPr>
          <w:rFonts w:ascii="Arial" w:hAnsi="Arial" w:cs="Arial"/>
        </w:rPr>
      </w:pPr>
      <w:r w:rsidRPr="001D308A">
        <w:rPr>
          <w:rFonts w:ascii="Arial" w:hAnsi="Arial" w:cs="Arial"/>
        </w:rPr>
        <w:t>Recruitment at BrightWave appears transactional and cost-led. Torrington et al. (2020) explain that a strong employer brand attracts higher-quality candidates and reduces turnover. By promoting fairness, opportunity, and wellbeing, BrightWave could enhance its reputation and appeal.</w:t>
      </w:r>
    </w:p>
    <w:p w14:paraId="2BBBA5F8" w14:textId="0E18F7CF" w:rsidR="005823BC" w:rsidRPr="001D308A" w:rsidRDefault="005823BC" w:rsidP="005823BC">
      <w:pPr>
        <w:spacing w:line="360" w:lineRule="auto"/>
        <w:rPr>
          <w:rFonts w:ascii="Arial" w:hAnsi="Arial" w:cs="Arial"/>
        </w:rPr>
      </w:pPr>
      <w:r w:rsidRPr="001D308A">
        <w:rPr>
          <w:rFonts w:ascii="Arial" w:hAnsi="Arial" w:cs="Arial"/>
        </w:rPr>
        <w:t xml:space="preserve">The CIPD (2021) defines workforce planning as </w:t>
      </w:r>
      <w:r w:rsidR="001F4F94">
        <w:rPr>
          <w:rFonts w:ascii="Arial" w:hAnsi="Arial" w:cs="Arial"/>
        </w:rPr>
        <w:t xml:space="preserve">“ensuring </w:t>
      </w:r>
      <w:r w:rsidRPr="001D308A">
        <w:rPr>
          <w:rFonts w:ascii="Arial" w:hAnsi="Arial" w:cs="Arial"/>
        </w:rPr>
        <w:t>the right people, with the right skills, are in the right place at the right time.” Marchington and Wilkinson (2020) differentiate between hard and soft planning: hard focuses on numbers and budgets, soft on culture and skills. BrightWave’s hard focus has delivered efficiency but not engagement. A balanced approach, linking headcount planning with leadership and development initiatives, is required.</w:t>
      </w:r>
    </w:p>
    <w:p w14:paraId="58DAD277" w14:textId="77777777" w:rsidR="005823BC" w:rsidRPr="001D308A" w:rsidRDefault="005823BC" w:rsidP="005823BC">
      <w:pPr>
        <w:spacing w:line="360" w:lineRule="auto"/>
        <w:rPr>
          <w:rFonts w:ascii="Arial" w:hAnsi="Arial" w:cs="Arial"/>
        </w:rPr>
      </w:pPr>
      <w:r w:rsidRPr="001D308A">
        <w:rPr>
          <w:rFonts w:ascii="Arial" w:hAnsi="Arial" w:cs="Arial"/>
        </w:rPr>
        <w:t>Talent management, according to Collings and Mellahi (2019), means identifying high-potential staff and providing opportunities to grow internally. BrightWave’s younger employees report limited visibility of career paths. Implementing structured progression frameworks and mentoring will help “grow from within,” reducing recruitment costs and improving morale.</w:t>
      </w:r>
    </w:p>
    <w:p w14:paraId="5DC901FC" w14:textId="77777777" w:rsidR="005823BC" w:rsidRPr="001D308A" w:rsidRDefault="005823BC" w:rsidP="005823BC">
      <w:pPr>
        <w:spacing w:line="360" w:lineRule="auto"/>
        <w:rPr>
          <w:rFonts w:ascii="Arial" w:hAnsi="Arial" w:cs="Arial"/>
        </w:rPr>
      </w:pPr>
      <w:r w:rsidRPr="001D308A">
        <w:rPr>
          <w:rFonts w:ascii="Arial" w:hAnsi="Arial" w:cs="Arial"/>
        </w:rPr>
        <w:t>Employee retention links closely with reward and recognition. Herzberg (1959) and Goleman (2013) both emphasise that acknowledgement of contribution is a powerful motivator. Introducing low-cost recognition schemes and transparent appraisal processes will demonstrate that achievement matters.</w:t>
      </w:r>
    </w:p>
    <w:p w14:paraId="212E9631" w14:textId="77777777" w:rsidR="005823BC" w:rsidRPr="001D308A" w:rsidRDefault="005823BC" w:rsidP="005823BC">
      <w:pPr>
        <w:spacing w:line="360" w:lineRule="auto"/>
        <w:rPr>
          <w:rFonts w:ascii="Arial" w:hAnsi="Arial" w:cs="Arial"/>
          <w:b/>
          <w:bCs/>
        </w:rPr>
      </w:pPr>
      <w:r w:rsidRPr="001D308A">
        <w:rPr>
          <w:rFonts w:ascii="Arial" w:hAnsi="Arial" w:cs="Arial"/>
          <w:b/>
          <w:bCs/>
        </w:rPr>
        <w:t>7. Managing Performance, Engagement and Conflict</w:t>
      </w:r>
    </w:p>
    <w:p w14:paraId="1344872E" w14:textId="77777777" w:rsidR="005823BC" w:rsidRPr="001D308A" w:rsidRDefault="005823BC" w:rsidP="005823BC">
      <w:pPr>
        <w:spacing w:line="360" w:lineRule="auto"/>
        <w:rPr>
          <w:rFonts w:ascii="Arial" w:hAnsi="Arial" w:cs="Arial"/>
        </w:rPr>
      </w:pPr>
      <w:r w:rsidRPr="001D308A">
        <w:rPr>
          <w:rFonts w:ascii="Arial" w:hAnsi="Arial" w:cs="Arial"/>
        </w:rPr>
        <w:lastRenderedPageBreak/>
        <w:t>Performance management at BrightWave is inconsistent and reactive. Armstrong and Taylor (2023) describe it as a continuous process that links organisational, team, and individual objectives. Supervisors currently focus on compliance rather than improvement.</w:t>
      </w:r>
    </w:p>
    <w:p w14:paraId="4702BE16" w14:textId="77777777" w:rsidR="005823BC" w:rsidRPr="001D308A" w:rsidRDefault="005823BC" w:rsidP="005823BC">
      <w:pPr>
        <w:spacing w:line="360" w:lineRule="auto"/>
        <w:rPr>
          <w:rFonts w:ascii="Arial" w:hAnsi="Arial" w:cs="Arial"/>
        </w:rPr>
      </w:pPr>
      <w:r w:rsidRPr="001D308A">
        <w:rPr>
          <w:rFonts w:ascii="Arial" w:hAnsi="Arial" w:cs="Arial"/>
        </w:rPr>
        <w:t>Data and metrics are essential. Drucker (1973) wrote that “what gets measured gets managed.” HR should track engagement scores, turnover, absenteeism, and client satisfaction to evaluate the effect of interventions. Quantitative data enables objective feedback, reducing bias and defensiveness.</w:t>
      </w:r>
    </w:p>
    <w:p w14:paraId="4F432BAE" w14:textId="77777777" w:rsidR="005823BC" w:rsidRPr="001D308A" w:rsidRDefault="005823BC" w:rsidP="005823BC">
      <w:pPr>
        <w:spacing w:line="360" w:lineRule="auto"/>
        <w:rPr>
          <w:rFonts w:ascii="Arial" w:hAnsi="Arial" w:cs="Arial"/>
        </w:rPr>
      </w:pPr>
      <w:r w:rsidRPr="001D308A">
        <w:rPr>
          <w:rFonts w:ascii="Arial" w:hAnsi="Arial" w:cs="Arial"/>
        </w:rPr>
        <w:t>Employee engagement is central to productivity. Guest (2017) found that engaged employees show higher commitment and better service delivery. Engagement improves when employees have a voice. Purcell (2014) argues that “people perform better when they feel heard.” Establishing staff forums and surveys would allow employees to contribute to decisions.</w:t>
      </w:r>
    </w:p>
    <w:p w14:paraId="5EEF9C4F" w14:textId="77777777" w:rsidR="005823BC" w:rsidRDefault="005823BC" w:rsidP="005823BC">
      <w:pPr>
        <w:spacing w:line="360" w:lineRule="auto"/>
        <w:rPr>
          <w:rFonts w:ascii="Arial" w:hAnsi="Arial" w:cs="Arial"/>
        </w:rPr>
      </w:pPr>
      <w:r w:rsidRPr="001D308A">
        <w:rPr>
          <w:rFonts w:ascii="Arial" w:hAnsi="Arial" w:cs="Arial"/>
        </w:rPr>
        <w:t>Conflict, often viewed negatively, can be beneficial when it exposes problems early. Mullins (2020) notes that constructive conflict encourages innovation if managed through respectful dialogue. Training managers in negotiation and feedback will turn conflict into learning rather than avoidance.</w:t>
      </w:r>
    </w:p>
    <w:p w14:paraId="64B20E15" w14:textId="77777777" w:rsidR="005823BC" w:rsidRDefault="005823BC" w:rsidP="005823BC">
      <w:pPr>
        <w:spacing w:line="360" w:lineRule="auto"/>
        <w:rPr>
          <w:rFonts w:ascii="Arial" w:hAnsi="Arial" w:cs="Arial"/>
        </w:rPr>
      </w:pPr>
    </w:p>
    <w:p w14:paraId="49F05BEF" w14:textId="77777777" w:rsidR="005823BC" w:rsidRPr="001D308A" w:rsidRDefault="005823BC" w:rsidP="005823BC">
      <w:pPr>
        <w:spacing w:line="360" w:lineRule="auto"/>
        <w:rPr>
          <w:rFonts w:ascii="Arial" w:hAnsi="Arial" w:cs="Arial"/>
          <w:b/>
          <w:bCs/>
        </w:rPr>
      </w:pPr>
      <w:r w:rsidRPr="001D308A">
        <w:rPr>
          <w:rFonts w:ascii="Arial" w:hAnsi="Arial" w:cs="Arial"/>
          <w:b/>
          <w:bCs/>
        </w:rPr>
        <w:t>8. Managing Change</w:t>
      </w:r>
    </w:p>
    <w:p w14:paraId="2503BDB6" w14:textId="77777777" w:rsidR="005823BC" w:rsidRPr="001D308A" w:rsidRDefault="005823BC" w:rsidP="005823BC">
      <w:pPr>
        <w:spacing w:line="360" w:lineRule="auto"/>
        <w:rPr>
          <w:rFonts w:ascii="Arial" w:hAnsi="Arial" w:cs="Arial"/>
        </w:rPr>
      </w:pPr>
      <w:r w:rsidRPr="001D308A">
        <w:rPr>
          <w:rFonts w:ascii="Arial" w:hAnsi="Arial" w:cs="Arial"/>
        </w:rPr>
        <w:t>Transforming BrightWave’s culture requires structured change management. Lewin’s (1951) three-stage model—unfreeze, change, refreeze—suggests that people must first recognise the need for change, then adopt new behaviours, and finally stabilise them. Kotter (1996) expands this with eight steps, beginning with creating urgency and ending with embedding new values into systems.</w:t>
      </w:r>
    </w:p>
    <w:p w14:paraId="1B91B973" w14:textId="77777777" w:rsidR="005823BC" w:rsidRPr="001D308A" w:rsidRDefault="005823BC" w:rsidP="005823BC">
      <w:pPr>
        <w:spacing w:line="360" w:lineRule="auto"/>
        <w:rPr>
          <w:rFonts w:ascii="Arial" w:hAnsi="Arial" w:cs="Arial"/>
        </w:rPr>
      </w:pPr>
      <w:r w:rsidRPr="001D308A">
        <w:rPr>
          <w:rFonts w:ascii="Arial" w:hAnsi="Arial" w:cs="Arial"/>
        </w:rPr>
        <w:t>For BrightWave, the “unfreeze” stage involves communicating the link between engagement, quality, and client satisfaction. Pilot programmes such as leadership workshops and recognition awards can create early success stories (“short-term wins”) that Kotter (1996) identifies as crucial.</w:t>
      </w:r>
    </w:p>
    <w:p w14:paraId="40842B72" w14:textId="77777777" w:rsidR="005823BC" w:rsidRPr="001D308A" w:rsidRDefault="005823BC" w:rsidP="005823BC">
      <w:pPr>
        <w:spacing w:line="360" w:lineRule="auto"/>
        <w:rPr>
          <w:rFonts w:ascii="Arial" w:hAnsi="Arial" w:cs="Arial"/>
        </w:rPr>
      </w:pPr>
      <w:r w:rsidRPr="001D308A">
        <w:rPr>
          <w:rFonts w:ascii="Arial" w:hAnsi="Arial" w:cs="Arial"/>
        </w:rPr>
        <w:t xml:space="preserve">However, both models assume linear progression. In practice, change is iterative; setbacks should be expected. As Handy (1999) observes, cultural evolution requires </w:t>
      </w:r>
      <w:r w:rsidRPr="001D308A">
        <w:rPr>
          <w:rFonts w:ascii="Arial" w:hAnsi="Arial" w:cs="Arial"/>
        </w:rPr>
        <w:lastRenderedPageBreak/>
        <w:t>patience and consistency from leaders. Integrating change objectives into performance reviews and reward systems will help sustain progress.</w:t>
      </w:r>
    </w:p>
    <w:p w14:paraId="0E68B64D" w14:textId="77777777" w:rsidR="005823BC" w:rsidRPr="001D308A" w:rsidRDefault="005823BC" w:rsidP="005823BC">
      <w:pPr>
        <w:spacing w:line="360" w:lineRule="auto"/>
        <w:rPr>
          <w:rFonts w:ascii="Arial" w:hAnsi="Arial" w:cs="Arial"/>
          <w:b/>
          <w:bCs/>
        </w:rPr>
      </w:pPr>
      <w:r w:rsidRPr="001D308A">
        <w:rPr>
          <w:rFonts w:ascii="Arial" w:hAnsi="Arial" w:cs="Arial"/>
          <w:b/>
          <w:bCs/>
        </w:rPr>
        <w:t>9. Equality, Diversity, Inclusion and Voice</w:t>
      </w:r>
    </w:p>
    <w:p w14:paraId="62266D48" w14:textId="6DCF5A4E" w:rsidR="005823BC" w:rsidRPr="001D308A" w:rsidRDefault="00277C07" w:rsidP="005823BC">
      <w:pPr>
        <w:spacing w:line="360" w:lineRule="auto"/>
        <w:rPr>
          <w:rFonts w:ascii="Arial" w:hAnsi="Arial" w:cs="Arial"/>
        </w:rPr>
      </w:pPr>
      <w:r w:rsidRPr="00277C07">
        <w:rPr>
          <w:rFonts w:ascii="Arial" w:hAnsi="Arial" w:cs="Arial"/>
        </w:rPr>
        <w:t>Equality and inclusion are both legal requirements and moral responsibilities for organisations</w:t>
      </w:r>
      <w:r w:rsidR="005823BC" w:rsidRPr="001D308A">
        <w:rPr>
          <w:rFonts w:ascii="Arial" w:hAnsi="Arial" w:cs="Arial"/>
        </w:rPr>
        <w:t>. The Equality Act (2010) prohibits discrimination, but true inclusion goes further. Kandola and Fullerton (2019) argue that diverse teams outperform homogeneous ones when managed inclusively. BrightWave’s workforce is varied in age, ethnicity, and contract type, yet its leadership remains uniform. Representation at supervisory level should therefore be a priority.</w:t>
      </w:r>
    </w:p>
    <w:p w14:paraId="773B3DAB" w14:textId="77777777" w:rsidR="005823BC" w:rsidRPr="001D308A" w:rsidRDefault="005823BC" w:rsidP="005823BC">
      <w:pPr>
        <w:spacing w:line="360" w:lineRule="auto"/>
        <w:rPr>
          <w:rFonts w:ascii="Arial" w:hAnsi="Arial" w:cs="Arial"/>
        </w:rPr>
      </w:pPr>
      <w:r w:rsidRPr="001D308A">
        <w:rPr>
          <w:rFonts w:ascii="Arial" w:hAnsi="Arial" w:cs="Arial"/>
        </w:rPr>
        <w:t>The concept of employee voice aligns with Freeman’s (1984) stakeholder theory, which views employees as partners rather than costs. Regular feedback channels—forums, surveys, or digital platforms—strengthen engagement and trust.</w:t>
      </w:r>
    </w:p>
    <w:p w14:paraId="36B9B325" w14:textId="77777777" w:rsidR="005823BC" w:rsidRPr="001D308A" w:rsidRDefault="005823BC" w:rsidP="005823BC">
      <w:pPr>
        <w:spacing w:line="360" w:lineRule="auto"/>
        <w:rPr>
          <w:rFonts w:ascii="Arial" w:hAnsi="Arial" w:cs="Arial"/>
        </w:rPr>
      </w:pPr>
      <w:r w:rsidRPr="001D308A">
        <w:rPr>
          <w:rFonts w:ascii="Arial" w:hAnsi="Arial" w:cs="Arial"/>
        </w:rPr>
        <w:t>Governance also matters. Drucker (1973) and Porter (1985) both noted that sustainable performance depends on balancing shareholder interests with stakeholder responsibility. Embedding EDI and voice practices will enhance BrightWave’s reputation among clients and employees alike.</w:t>
      </w:r>
    </w:p>
    <w:p w14:paraId="3B6AEAC1" w14:textId="77777777" w:rsidR="005823BC" w:rsidRPr="001D308A" w:rsidRDefault="005823BC" w:rsidP="005823BC">
      <w:pPr>
        <w:spacing w:line="360" w:lineRule="auto"/>
        <w:rPr>
          <w:rFonts w:ascii="Arial" w:hAnsi="Arial" w:cs="Arial"/>
          <w:b/>
          <w:bCs/>
        </w:rPr>
      </w:pPr>
      <w:r w:rsidRPr="001D308A">
        <w:rPr>
          <w:rFonts w:ascii="Arial" w:hAnsi="Arial" w:cs="Arial"/>
          <w:b/>
          <w:bCs/>
        </w:rPr>
        <w:t>10. Critical Evaluation</w:t>
      </w:r>
    </w:p>
    <w:p w14:paraId="0FBCCC4D" w14:textId="77777777" w:rsidR="005823BC" w:rsidRPr="001D308A" w:rsidRDefault="005823BC" w:rsidP="005823BC">
      <w:pPr>
        <w:spacing w:line="360" w:lineRule="auto"/>
        <w:rPr>
          <w:rFonts w:ascii="Arial" w:hAnsi="Arial" w:cs="Arial"/>
        </w:rPr>
      </w:pPr>
      <w:r w:rsidRPr="001D308A">
        <w:rPr>
          <w:rFonts w:ascii="Arial" w:hAnsi="Arial" w:cs="Arial"/>
        </w:rPr>
        <w:t>BrightWave’s challenges stem from over-centralised control, limited leadership development, and a culture of short-term efficiency. While these practices once supported growth, they now restrict adaptability. The analysis shows that leadership capability, culture, and HR systems are interdependent: without capable leaders, HR policies remain procedural; without supportive culture, leadership cannot thrive.</w:t>
      </w:r>
    </w:p>
    <w:p w14:paraId="58F665CF" w14:textId="77777777" w:rsidR="005823BC" w:rsidRPr="001D308A" w:rsidRDefault="005823BC" w:rsidP="005823BC">
      <w:pPr>
        <w:spacing w:line="360" w:lineRule="auto"/>
        <w:rPr>
          <w:rFonts w:ascii="Arial" w:hAnsi="Arial" w:cs="Arial"/>
        </w:rPr>
      </w:pPr>
      <w:r w:rsidRPr="001D308A">
        <w:rPr>
          <w:rFonts w:ascii="Arial" w:hAnsi="Arial" w:cs="Arial"/>
        </w:rPr>
        <w:t>Theories from Herzberg, Maslow and Goleman highlight motivation as relational rather than transactional. Schein and Handy show that culture both enables and constrains behaviour. Kotter and Lewin demonstrate that change must be deliberate and structured. Together, these theories confirm that technical efficiency alone cannot sustain performance.</w:t>
      </w:r>
    </w:p>
    <w:p w14:paraId="7FACAD1B" w14:textId="77777777" w:rsidR="005823BC" w:rsidRPr="001D308A" w:rsidRDefault="005823BC" w:rsidP="005823BC">
      <w:pPr>
        <w:spacing w:line="360" w:lineRule="auto"/>
        <w:rPr>
          <w:rFonts w:ascii="Arial" w:hAnsi="Arial" w:cs="Arial"/>
        </w:rPr>
      </w:pPr>
      <w:r w:rsidRPr="001D308A">
        <w:rPr>
          <w:rFonts w:ascii="Arial" w:hAnsi="Arial" w:cs="Arial"/>
        </w:rPr>
        <w:t xml:space="preserve">Nevertheless, each model has limitations. Herzberg’s theory overlooks individual differences; Lewin’s assumes stability; Goleman’s emotional intelligence can be hard </w:t>
      </w:r>
      <w:r w:rsidRPr="001D308A">
        <w:rPr>
          <w:rFonts w:ascii="Arial" w:hAnsi="Arial" w:cs="Arial"/>
        </w:rPr>
        <w:lastRenderedPageBreak/>
        <w:t>to measure. Critical use of these frameworks allows BrightWave to combine structure with flexibility. Data and feedback should be used to test assumptions continuously.</w:t>
      </w:r>
    </w:p>
    <w:p w14:paraId="70413AF0" w14:textId="77777777" w:rsidR="005823BC" w:rsidRPr="001D308A" w:rsidRDefault="005823BC" w:rsidP="005823BC">
      <w:pPr>
        <w:spacing w:line="360" w:lineRule="auto"/>
        <w:rPr>
          <w:rFonts w:ascii="Arial" w:hAnsi="Arial" w:cs="Arial"/>
          <w:b/>
          <w:bCs/>
        </w:rPr>
      </w:pPr>
      <w:r w:rsidRPr="001D308A">
        <w:rPr>
          <w:rFonts w:ascii="Arial" w:hAnsi="Arial" w:cs="Arial"/>
          <w:b/>
          <w:bCs/>
        </w:rPr>
        <w:t>11. SMART Recommendations</w:t>
      </w:r>
    </w:p>
    <w:p w14:paraId="117F0CB1" w14:textId="77777777" w:rsidR="005823BC" w:rsidRPr="001D308A" w:rsidRDefault="005823BC" w:rsidP="005823BC">
      <w:pPr>
        <w:spacing w:line="360" w:lineRule="auto"/>
        <w:rPr>
          <w:rFonts w:ascii="Arial" w:hAnsi="Arial" w:cs="Arial"/>
        </w:rPr>
      </w:pPr>
      <w:r w:rsidRPr="001D308A">
        <w:rPr>
          <w:rFonts w:ascii="Arial" w:hAnsi="Arial" w:cs="Arial"/>
          <w:b/>
          <w:bCs/>
        </w:rPr>
        <w:t>Specific:</w:t>
      </w:r>
      <w:r w:rsidRPr="001D308A">
        <w:rPr>
          <w:rFonts w:ascii="Arial" w:hAnsi="Arial" w:cs="Arial"/>
        </w:rPr>
        <w:br/>
        <w:t>Introduce a 12-month leadership and management development programme covering coaching, feedback, and emotional intelligence. Delivered through internal workshops and external facilitators, reaching all 25 site and area managers.</w:t>
      </w:r>
    </w:p>
    <w:p w14:paraId="52168D62" w14:textId="77777777" w:rsidR="005823BC" w:rsidRPr="001D308A" w:rsidRDefault="005823BC" w:rsidP="005823BC">
      <w:pPr>
        <w:spacing w:line="360" w:lineRule="auto"/>
        <w:rPr>
          <w:rFonts w:ascii="Arial" w:hAnsi="Arial" w:cs="Arial"/>
        </w:rPr>
      </w:pPr>
      <w:r w:rsidRPr="001D308A">
        <w:rPr>
          <w:rFonts w:ascii="Arial" w:hAnsi="Arial" w:cs="Arial"/>
          <w:b/>
          <w:bCs/>
        </w:rPr>
        <w:t>Measurable:</w:t>
      </w:r>
      <w:r w:rsidRPr="001D308A">
        <w:rPr>
          <w:rFonts w:ascii="Arial" w:hAnsi="Arial" w:cs="Arial"/>
        </w:rPr>
        <w:br/>
        <w:t>Reduce annual turnover from 28 % to below 18 % within two years; increase engagement survey participation to 85 % and satisfaction scores by 15 %.</w:t>
      </w:r>
    </w:p>
    <w:p w14:paraId="463AD373" w14:textId="77777777" w:rsidR="005823BC" w:rsidRPr="001D308A" w:rsidRDefault="005823BC" w:rsidP="005823BC">
      <w:pPr>
        <w:spacing w:line="360" w:lineRule="auto"/>
        <w:rPr>
          <w:rFonts w:ascii="Arial" w:hAnsi="Arial" w:cs="Arial"/>
        </w:rPr>
      </w:pPr>
      <w:r w:rsidRPr="001D308A">
        <w:rPr>
          <w:rFonts w:ascii="Arial" w:hAnsi="Arial" w:cs="Arial"/>
          <w:b/>
          <w:bCs/>
        </w:rPr>
        <w:t>Achievable:</w:t>
      </w:r>
      <w:r w:rsidRPr="001D308A">
        <w:rPr>
          <w:rFonts w:ascii="Arial" w:hAnsi="Arial" w:cs="Arial"/>
        </w:rPr>
        <w:br/>
        <w:t>Budget £12,000 per year, utilising existing HR training allocations. Use internal mentors to minimise external costs. Implement HR software for performance tracking at £5,000 initial setup.</w:t>
      </w:r>
    </w:p>
    <w:p w14:paraId="59CEBD5D" w14:textId="77777777" w:rsidR="005823BC" w:rsidRPr="001D308A" w:rsidRDefault="005823BC" w:rsidP="005823BC">
      <w:pPr>
        <w:spacing w:line="360" w:lineRule="auto"/>
        <w:rPr>
          <w:rFonts w:ascii="Arial" w:hAnsi="Arial" w:cs="Arial"/>
        </w:rPr>
      </w:pPr>
      <w:r w:rsidRPr="001D308A">
        <w:rPr>
          <w:rFonts w:ascii="Arial" w:hAnsi="Arial" w:cs="Arial"/>
          <w:b/>
          <w:bCs/>
        </w:rPr>
        <w:t>Relevant:</w:t>
      </w:r>
      <w:r w:rsidRPr="001D308A">
        <w:rPr>
          <w:rFonts w:ascii="Arial" w:hAnsi="Arial" w:cs="Arial"/>
        </w:rPr>
        <w:br/>
        <w:t>Aligns with client expectations for fair work and social value; improves culture, leadership and service consistency.</w:t>
      </w:r>
    </w:p>
    <w:p w14:paraId="6B4389C6" w14:textId="77777777" w:rsidR="005823BC" w:rsidRPr="001D308A" w:rsidRDefault="005823BC" w:rsidP="005823BC">
      <w:pPr>
        <w:spacing w:line="360" w:lineRule="auto"/>
        <w:rPr>
          <w:rFonts w:ascii="Arial" w:hAnsi="Arial" w:cs="Arial"/>
        </w:rPr>
      </w:pPr>
      <w:r w:rsidRPr="001D308A">
        <w:rPr>
          <w:rFonts w:ascii="Arial" w:hAnsi="Arial" w:cs="Arial"/>
          <w:b/>
          <w:bCs/>
        </w:rPr>
        <w:t>Time-bound:</w:t>
      </w:r>
      <w:r w:rsidRPr="001D308A">
        <w:rPr>
          <w:rFonts w:ascii="Arial" w:hAnsi="Arial" w:cs="Arial"/>
        </w:rPr>
        <w:br/>
        <w:t>Launch programme within three months, review quarterly, and embed new leadership standards and recognition systems within three years.</w:t>
      </w:r>
    </w:p>
    <w:p w14:paraId="19096DD6" w14:textId="77777777" w:rsidR="005823BC" w:rsidRPr="001D308A" w:rsidRDefault="005823BC" w:rsidP="005823BC">
      <w:pPr>
        <w:spacing w:line="360" w:lineRule="auto"/>
        <w:rPr>
          <w:rFonts w:ascii="Arial" w:hAnsi="Arial" w:cs="Arial"/>
        </w:rPr>
      </w:pPr>
      <w:r w:rsidRPr="001D308A">
        <w:rPr>
          <w:rFonts w:ascii="Arial" w:hAnsi="Arial" w:cs="Arial"/>
        </w:rPr>
        <w:t>Additional actions include:</w:t>
      </w:r>
    </w:p>
    <w:p w14:paraId="19C77CCB" w14:textId="77777777" w:rsidR="005823BC" w:rsidRPr="001D308A" w:rsidRDefault="005823BC" w:rsidP="005823BC">
      <w:pPr>
        <w:numPr>
          <w:ilvl w:val="0"/>
          <w:numId w:val="2"/>
        </w:numPr>
        <w:spacing w:line="360" w:lineRule="auto"/>
        <w:rPr>
          <w:rFonts w:ascii="Arial" w:hAnsi="Arial" w:cs="Arial"/>
        </w:rPr>
      </w:pPr>
      <w:r w:rsidRPr="001D308A">
        <w:rPr>
          <w:rFonts w:ascii="Arial" w:hAnsi="Arial" w:cs="Arial"/>
        </w:rPr>
        <w:t>Establish quarterly staff-voice forums to strengthen inclusion and communication.</w:t>
      </w:r>
    </w:p>
    <w:p w14:paraId="150B2741" w14:textId="77777777" w:rsidR="005823BC" w:rsidRPr="001D308A" w:rsidRDefault="005823BC" w:rsidP="005823BC">
      <w:pPr>
        <w:numPr>
          <w:ilvl w:val="0"/>
          <w:numId w:val="2"/>
        </w:numPr>
        <w:spacing w:line="360" w:lineRule="auto"/>
        <w:rPr>
          <w:rFonts w:ascii="Arial" w:hAnsi="Arial" w:cs="Arial"/>
        </w:rPr>
      </w:pPr>
      <w:r w:rsidRPr="001D308A">
        <w:rPr>
          <w:rFonts w:ascii="Arial" w:hAnsi="Arial" w:cs="Arial"/>
        </w:rPr>
        <w:t>Introduce low-cost recognition awards and transparent appraisal templates.</w:t>
      </w:r>
    </w:p>
    <w:p w14:paraId="67EDA23B" w14:textId="77777777" w:rsidR="005823BC" w:rsidRPr="001D308A" w:rsidRDefault="005823BC" w:rsidP="005823BC">
      <w:pPr>
        <w:numPr>
          <w:ilvl w:val="0"/>
          <w:numId w:val="2"/>
        </w:numPr>
        <w:spacing w:line="360" w:lineRule="auto"/>
        <w:rPr>
          <w:rFonts w:ascii="Arial" w:hAnsi="Arial" w:cs="Arial"/>
        </w:rPr>
      </w:pPr>
      <w:r w:rsidRPr="001D308A">
        <w:rPr>
          <w:rFonts w:ascii="Arial" w:hAnsi="Arial" w:cs="Arial"/>
        </w:rPr>
        <w:t>Implement digital HR metrics to monitor turnover, absence and training outcomes.</w:t>
      </w:r>
    </w:p>
    <w:p w14:paraId="2275A56D" w14:textId="77777777" w:rsidR="005823BC" w:rsidRPr="001D308A" w:rsidRDefault="005823BC" w:rsidP="005823BC">
      <w:pPr>
        <w:numPr>
          <w:ilvl w:val="0"/>
          <w:numId w:val="2"/>
        </w:numPr>
        <w:spacing w:line="360" w:lineRule="auto"/>
        <w:rPr>
          <w:rFonts w:ascii="Arial" w:hAnsi="Arial" w:cs="Arial"/>
        </w:rPr>
      </w:pPr>
      <w:r w:rsidRPr="001D308A">
        <w:rPr>
          <w:rFonts w:ascii="Arial" w:hAnsi="Arial" w:cs="Arial"/>
        </w:rPr>
        <w:t>Review mission, vision and values annually to ensure alignment with people strategy.</w:t>
      </w:r>
    </w:p>
    <w:p w14:paraId="165800F8" w14:textId="77777777" w:rsidR="005823BC" w:rsidRPr="001D308A" w:rsidRDefault="005823BC" w:rsidP="005823BC">
      <w:pPr>
        <w:spacing w:line="360" w:lineRule="auto"/>
        <w:rPr>
          <w:rFonts w:ascii="Arial" w:hAnsi="Arial" w:cs="Arial"/>
        </w:rPr>
      </w:pPr>
      <w:r w:rsidRPr="001D308A">
        <w:rPr>
          <w:rFonts w:ascii="Arial" w:hAnsi="Arial" w:cs="Arial"/>
        </w:rPr>
        <w:lastRenderedPageBreak/>
        <w:t>These recommendations are realistic within existing resources and will deliver measurable cultural and operational improvement.</w:t>
      </w:r>
    </w:p>
    <w:p w14:paraId="3DBFDDD5" w14:textId="77777777" w:rsidR="005823BC" w:rsidRPr="001D308A" w:rsidRDefault="005823BC" w:rsidP="005823BC">
      <w:pPr>
        <w:spacing w:line="360" w:lineRule="auto"/>
        <w:rPr>
          <w:rFonts w:ascii="Arial" w:hAnsi="Arial" w:cs="Arial"/>
          <w:b/>
          <w:bCs/>
        </w:rPr>
      </w:pPr>
      <w:r w:rsidRPr="001D308A">
        <w:rPr>
          <w:rFonts w:ascii="Arial" w:hAnsi="Arial" w:cs="Arial"/>
          <w:b/>
          <w:bCs/>
        </w:rPr>
        <w:t>12. Conclusion</w:t>
      </w:r>
    </w:p>
    <w:p w14:paraId="04AE0CE0" w14:textId="77777777" w:rsidR="005823BC" w:rsidRPr="001D308A" w:rsidRDefault="005823BC" w:rsidP="005823BC">
      <w:pPr>
        <w:spacing w:line="360" w:lineRule="auto"/>
        <w:rPr>
          <w:rFonts w:ascii="Arial" w:hAnsi="Arial" w:cs="Arial"/>
        </w:rPr>
      </w:pPr>
      <w:r w:rsidRPr="001D308A">
        <w:rPr>
          <w:rFonts w:ascii="Arial" w:hAnsi="Arial" w:cs="Arial"/>
        </w:rPr>
        <w:t>BrightWave Services Ltd must evolve from a cost-driven organisation into a people-centred enterprise. The report demonstrates that culture, leadership and HR systems are inseparable. Clear mission and values (Drucker, 1973), leadership capability (Goleman, 2013; Burgoyne, 2010) and inclusive culture (Schein, 2017; Handy, 1999) directly influence engagement and performance.</w:t>
      </w:r>
    </w:p>
    <w:p w14:paraId="49D6A121" w14:textId="24308E58" w:rsidR="005823BC" w:rsidRPr="001D308A" w:rsidRDefault="005823BC" w:rsidP="005823BC">
      <w:pPr>
        <w:spacing w:line="360" w:lineRule="auto"/>
        <w:rPr>
          <w:rFonts w:ascii="Arial" w:hAnsi="Arial" w:cs="Arial"/>
        </w:rPr>
      </w:pPr>
      <w:r w:rsidRPr="001D308A">
        <w:rPr>
          <w:rFonts w:ascii="Arial" w:hAnsi="Arial" w:cs="Arial"/>
        </w:rPr>
        <w:t>By implementing SMART, evidence-based actions, BrightWave can reduce turnover, raise engagement, and secure competitive advantage in a challenging market. Sustainable success will depend not on working harder, but on managing smarter—with leaders who motivate, listen, and align people to purpose.</w:t>
      </w:r>
    </w:p>
    <w:p w14:paraId="476A65B2" w14:textId="77777777" w:rsidR="00AD3153" w:rsidRDefault="00AD3153" w:rsidP="002017C2">
      <w:pPr>
        <w:spacing w:line="360" w:lineRule="auto"/>
        <w:rPr>
          <w:rFonts w:ascii="Arial" w:hAnsi="Arial" w:cs="Arial"/>
        </w:rPr>
      </w:pPr>
    </w:p>
    <w:p w14:paraId="534E80F2" w14:textId="77777777" w:rsidR="00AD3153" w:rsidRDefault="00AD3153" w:rsidP="002017C2">
      <w:pPr>
        <w:spacing w:line="360" w:lineRule="auto"/>
        <w:rPr>
          <w:rFonts w:ascii="Arial" w:hAnsi="Arial" w:cs="Arial"/>
        </w:rPr>
      </w:pPr>
    </w:p>
    <w:p w14:paraId="22F90C38" w14:textId="77777777" w:rsidR="00AD3153" w:rsidRDefault="00AD3153" w:rsidP="002017C2">
      <w:pPr>
        <w:spacing w:line="360" w:lineRule="auto"/>
        <w:rPr>
          <w:rFonts w:ascii="Arial" w:hAnsi="Arial" w:cs="Arial"/>
        </w:rPr>
      </w:pPr>
    </w:p>
    <w:p w14:paraId="5D85EFDA" w14:textId="77777777" w:rsidR="00AD3153" w:rsidRDefault="00AD3153" w:rsidP="002017C2">
      <w:pPr>
        <w:spacing w:line="360" w:lineRule="auto"/>
        <w:rPr>
          <w:rFonts w:ascii="Arial" w:hAnsi="Arial" w:cs="Arial"/>
        </w:rPr>
      </w:pPr>
    </w:p>
    <w:p w14:paraId="5FBFC29C" w14:textId="77777777" w:rsidR="00AD3153" w:rsidRDefault="00AD3153" w:rsidP="002017C2">
      <w:pPr>
        <w:spacing w:line="360" w:lineRule="auto"/>
        <w:rPr>
          <w:rFonts w:ascii="Arial" w:hAnsi="Arial" w:cs="Arial"/>
        </w:rPr>
      </w:pPr>
    </w:p>
    <w:p w14:paraId="56724E77" w14:textId="77777777" w:rsidR="00AD3153" w:rsidRDefault="00AD3153" w:rsidP="002017C2">
      <w:pPr>
        <w:spacing w:line="360" w:lineRule="auto"/>
        <w:rPr>
          <w:rFonts w:ascii="Arial" w:hAnsi="Arial" w:cs="Arial"/>
        </w:rPr>
      </w:pPr>
    </w:p>
    <w:p w14:paraId="7C7267F2" w14:textId="77777777" w:rsidR="00AD3153" w:rsidRDefault="00AD3153" w:rsidP="002017C2">
      <w:pPr>
        <w:spacing w:line="360" w:lineRule="auto"/>
        <w:rPr>
          <w:rFonts w:ascii="Arial" w:hAnsi="Arial" w:cs="Arial"/>
        </w:rPr>
      </w:pPr>
    </w:p>
    <w:p w14:paraId="4D6C0BFF" w14:textId="77777777" w:rsidR="00AD3153" w:rsidRDefault="00AD3153" w:rsidP="002017C2">
      <w:pPr>
        <w:spacing w:line="360" w:lineRule="auto"/>
        <w:rPr>
          <w:rFonts w:ascii="Arial" w:hAnsi="Arial" w:cs="Arial"/>
        </w:rPr>
      </w:pPr>
    </w:p>
    <w:p w14:paraId="5230C1D0" w14:textId="77777777" w:rsidR="00AD3153" w:rsidRDefault="00AD3153" w:rsidP="002017C2">
      <w:pPr>
        <w:spacing w:line="360" w:lineRule="auto"/>
        <w:rPr>
          <w:rFonts w:ascii="Arial" w:hAnsi="Arial" w:cs="Arial"/>
        </w:rPr>
      </w:pPr>
    </w:p>
    <w:p w14:paraId="0A3D6857" w14:textId="77777777" w:rsidR="00AD3153" w:rsidRDefault="00AD3153" w:rsidP="002017C2">
      <w:pPr>
        <w:spacing w:line="360" w:lineRule="auto"/>
        <w:rPr>
          <w:rFonts w:ascii="Arial" w:hAnsi="Arial" w:cs="Arial"/>
        </w:rPr>
      </w:pPr>
    </w:p>
    <w:p w14:paraId="3FD4CD03" w14:textId="77777777" w:rsidR="00AD3153" w:rsidRDefault="00AD3153" w:rsidP="002017C2">
      <w:pPr>
        <w:spacing w:line="360" w:lineRule="auto"/>
        <w:rPr>
          <w:rFonts w:ascii="Arial" w:hAnsi="Arial" w:cs="Arial"/>
        </w:rPr>
      </w:pPr>
    </w:p>
    <w:p w14:paraId="169837AB" w14:textId="77777777" w:rsidR="00AD3153" w:rsidRDefault="00AD3153" w:rsidP="002017C2">
      <w:pPr>
        <w:spacing w:line="360" w:lineRule="auto"/>
        <w:rPr>
          <w:rFonts w:ascii="Arial" w:hAnsi="Arial" w:cs="Arial"/>
        </w:rPr>
      </w:pPr>
    </w:p>
    <w:p w14:paraId="50660AE8" w14:textId="77777777" w:rsidR="00AD3153" w:rsidRDefault="00AD3153" w:rsidP="002017C2">
      <w:pPr>
        <w:spacing w:line="360" w:lineRule="auto"/>
        <w:rPr>
          <w:rFonts w:ascii="Arial" w:hAnsi="Arial" w:cs="Arial"/>
        </w:rPr>
      </w:pPr>
    </w:p>
    <w:p w14:paraId="7A965CCE" w14:textId="77777777" w:rsidR="00AD3153" w:rsidRDefault="00AD3153" w:rsidP="002017C2">
      <w:pPr>
        <w:spacing w:line="360" w:lineRule="auto"/>
        <w:rPr>
          <w:rFonts w:ascii="Arial" w:hAnsi="Arial" w:cs="Arial"/>
        </w:rPr>
      </w:pPr>
    </w:p>
    <w:p w14:paraId="5564B1A4" w14:textId="77777777" w:rsidR="00AD3153" w:rsidRDefault="00AD3153" w:rsidP="002017C2">
      <w:pPr>
        <w:spacing w:line="360" w:lineRule="auto"/>
        <w:rPr>
          <w:rFonts w:ascii="Arial" w:hAnsi="Arial" w:cs="Arial"/>
        </w:rPr>
      </w:pPr>
    </w:p>
    <w:p w14:paraId="45C64E74" w14:textId="3B30ACDF" w:rsidR="005823BC" w:rsidRPr="001D308A" w:rsidRDefault="00AD3153" w:rsidP="002017C2">
      <w:pPr>
        <w:spacing w:line="360" w:lineRule="auto"/>
        <w:rPr>
          <w:rFonts w:ascii="Arial" w:hAnsi="Arial" w:cs="Arial"/>
        </w:rPr>
      </w:pPr>
      <w:r>
        <w:rPr>
          <w:rFonts w:ascii="Arial" w:hAnsi="Arial" w:cs="Arial"/>
        </w:rPr>
        <w:lastRenderedPageBreak/>
        <w:t xml:space="preserve">References </w:t>
      </w:r>
    </w:p>
    <w:p w14:paraId="2D93499E" w14:textId="77777777" w:rsidR="005823BC" w:rsidRPr="00D927FC" w:rsidRDefault="005823BC" w:rsidP="005823BC">
      <w:pPr>
        <w:spacing w:line="360" w:lineRule="auto"/>
        <w:rPr>
          <w:rFonts w:ascii="Arial" w:hAnsi="Arial" w:cs="Arial"/>
        </w:rPr>
      </w:pPr>
      <w:r w:rsidRPr="00D927FC">
        <w:rPr>
          <w:rFonts w:ascii="Arial" w:hAnsi="Arial" w:cs="Arial"/>
        </w:rPr>
        <w:t>Armstrong, M. &amp; Taylor, S. (2023) Armstrong’s Handbook of Human Resource Management Practice. London: Kogan Page.</w:t>
      </w:r>
    </w:p>
    <w:p w14:paraId="067BF098" w14:textId="77777777" w:rsidR="005823BC" w:rsidRPr="00D927FC" w:rsidRDefault="005823BC" w:rsidP="005823BC">
      <w:pPr>
        <w:spacing w:line="360" w:lineRule="auto"/>
        <w:rPr>
          <w:rFonts w:ascii="Arial" w:hAnsi="Arial" w:cs="Arial"/>
        </w:rPr>
      </w:pPr>
      <w:r w:rsidRPr="00D927FC">
        <w:rPr>
          <w:rFonts w:ascii="Arial" w:hAnsi="Arial" w:cs="Arial"/>
        </w:rPr>
        <w:t>Boxall, P. &amp; Purcell, J. (2016) Strategy and Human Resource Management. Basingstoke: Palgrave Macmillan.</w:t>
      </w:r>
    </w:p>
    <w:p w14:paraId="5BC9A18D" w14:textId="77777777" w:rsidR="005823BC" w:rsidRPr="00D927FC" w:rsidRDefault="005823BC" w:rsidP="005823BC">
      <w:pPr>
        <w:spacing w:line="360" w:lineRule="auto"/>
        <w:rPr>
          <w:rFonts w:ascii="Arial" w:hAnsi="Arial" w:cs="Arial"/>
        </w:rPr>
      </w:pPr>
      <w:r w:rsidRPr="00D927FC">
        <w:rPr>
          <w:rFonts w:ascii="Arial" w:hAnsi="Arial" w:cs="Arial"/>
        </w:rPr>
        <w:t>Burgoyne, J. (2010) Leadership Development: Are Leaders Born or Made? Maidenhead: McGraw-Hill Education.</w:t>
      </w:r>
    </w:p>
    <w:p w14:paraId="6147901D" w14:textId="77777777" w:rsidR="005823BC" w:rsidRPr="00D927FC" w:rsidRDefault="005823BC" w:rsidP="005823BC">
      <w:pPr>
        <w:spacing w:line="360" w:lineRule="auto"/>
        <w:rPr>
          <w:rFonts w:ascii="Arial" w:hAnsi="Arial" w:cs="Arial"/>
        </w:rPr>
      </w:pPr>
      <w:r w:rsidRPr="00D927FC">
        <w:rPr>
          <w:rFonts w:ascii="Arial" w:hAnsi="Arial" w:cs="Arial"/>
        </w:rPr>
        <w:t>CIPD (2021) Workforce Planning Practice. London: Chartered Institute of Personnel and Development.</w:t>
      </w:r>
    </w:p>
    <w:p w14:paraId="117085F9" w14:textId="77777777" w:rsidR="005823BC" w:rsidRPr="00D927FC" w:rsidRDefault="005823BC" w:rsidP="005823BC">
      <w:pPr>
        <w:spacing w:line="360" w:lineRule="auto"/>
        <w:rPr>
          <w:rFonts w:ascii="Arial" w:hAnsi="Arial" w:cs="Arial"/>
        </w:rPr>
      </w:pPr>
      <w:r w:rsidRPr="00D927FC">
        <w:rPr>
          <w:rFonts w:ascii="Arial" w:hAnsi="Arial" w:cs="Arial"/>
        </w:rPr>
        <w:t>CIPD (2025) Good Work Index: Dimensions of Good Work. London: Chartered Institute of Personnel and Development.</w:t>
      </w:r>
    </w:p>
    <w:p w14:paraId="24D06857" w14:textId="77777777" w:rsidR="005823BC" w:rsidRPr="00D927FC" w:rsidRDefault="005823BC" w:rsidP="005823BC">
      <w:pPr>
        <w:spacing w:line="360" w:lineRule="auto"/>
        <w:rPr>
          <w:rFonts w:ascii="Arial" w:hAnsi="Arial" w:cs="Arial"/>
        </w:rPr>
      </w:pPr>
      <w:r w:rsidRPr="00D927FC">
        <w:rPr>
          <w:rFonts w:ascii="Arial" w:hAnsi="Arial" w:cs="Arial"/>
        </w:rPr>
        <w:t>Collings, D. &amp; Mellahi, K. (2019) Talent Management: A Critical Review. London: Routledge.</w:t>
      </w:r>
    </w:p>
    <w:p w14:paraId="6A3FA500" w14:textId="77777777" w:rsidR="005823BC" w:rsidRPr="00D927FC" w:rsidRDefault="005823BC" w:rsidP="005823BC">
      <w:pPr>
        <w:spacing w:line="360" w:lineRule="auto"/>
        <w:rPr>
          <w:rFonts w:ascii="Arial" w:hAnsi="Arial" w:cs="Arial"/>
        </w:rPr>
      </w:pPr>
      <w:r w:rsidRPr="00D927FC">
        <w:rPr>
          <w:rFonts w:ascii="Arial" w:hAnsi="Arial" w:cs="Arial"/>
        </w:rPr>
        <w:t>Drucker, P. (1973) Management: Tasks, Responsibilities, Practices. New York: Harper &amp; Row.</w:t>
      </w:r>
    </w:p>
    <w:p w14:paraId="26A9D136" w14:textId="77777777" w:rsidR="005823BC" w:rsidRPr="00D927FC" w:rsidRDefault="005823BC" w:rsidP="005823BC">
      <w:pPr>
        <w:spacing w:line="360" w:lineRule="auto"/>
        <w:rPr>
          <w:rFonts w:ascii="Arial" w:hAnsi="Arial" w:cs="Arial"/>
        </w:rPr>
      </w:pPr>
      <w:r w:rsidRPr="00D927FC">
        <w:rPr>
          <w:rFonts w:ascii="Arial" w:hAnsi="Arial" w:cs="Arial"/>
        </w:rPr>
        <w:t>Freeman, R. (1984) Strategic Management: A Stakeholder Approach. Boston: Pitman.</w:t>
      </w:r>
    </w:p>
    <w:p w14:paraId="5BCBC0C9" w14:textId="77777777" w:rsidR="005823BC" w:rsidRPr="00D927FC" w:rsidRDefault="005823BC" w:rsidP="005823BC">
      <w:pPr>
        <w:spacing w:line="360" w:lineRule="auto"/>
        <w:rPr>
          <w:rFonts w:ascii="Arial" w:hAnsi="Arial" w:cs="Arial"/>
        </w:rPr>
      </w:pPr>
      <w:r w:rsidRPr="00D927FC">
        <w:rPr>
          <w:rFonts w:ascii="Arial" w:hAnsi="Arial" w:cs="Arial"/>
        </w:rPr>
        <w:t>Goleman, D. (2013) The New Leaders: Transforming the Art of Leadership into the Science of Results. London: Little, Brown.</w:t>
      </w:r>
    </w:p>
    <w:p w14:paraId="32AFB364" w14:textId="77777777" w:rsidR="005823BC" w:rsidRPr="00D927FC" w:rsidRDefault="005823BC" w:rsidP="005823BC">
      <w:pPr>
        <w:spacing w:line="360" w:lineRule="auto"/>
        <w:rPr>
          <w:rFonts w:ascii="Arial" w:hAnsi="Arial" w:cs="Arial"/>
        </w:rPr>
      </w:pPr>
      <w:r w:rsidRPr="00D927FC">
        <w:rPr>
          <w:rFonts w:ascii="Arial" w:hAnsi="Arial" w:cs="Arial"/>
        </w:rPr>
        <w:t>Guest, D.E. (2017) Human Resource Management and Employee Well-being. Oxford: Oxford University Press.</w:t>
      </w:r>
    </w:p>
    <w:p w14:paraId="1981CB0A" w14:textId="77777777" w:rsidR="005823BC" w:rsidRPr="00D927FC" w:rsidRDefault="005823BC" w:rsidP="005823BC">
      <w:pPr>
        <w:spacing w:line="360" w:lineRule="auto"/>
        <w:rPr>
          <w:rFonts w:ascii="Arial" w:hAnsi="Arial" w:cs="Arial"/>
        </w:rPr>
      </w:pPr>
      <w:r w:rsidRPr="00D927FC">
        <w:rPr>
          <w:rFonts w:ascii="Arial" w:hAnsi="Arial" w:cs="Arial"/>
        </w:rPr>
        <w:t>Handy, C. (1999) Understanding Organisations. London: Penguin.</w:t>
      </w:r>
    </w:p>
    <w:p w14:paraId="2356EB98" w14:textId="77777777" w:rsidR="005823BC" w:rsidRPr="00D927FC" w:rsidRDefault="005823BC" w:rsidP="005823BC">
      <w:pPr>
        <w:spacing w:line="360" w:lineRule="auto"/>
        <w:rPr>
          <w:rFonts w:ascii="Arial" w:hAnsi="Arial" w:cs="Arial"/>
        </w:rPr>
      </w:pPr>
      <w:r w:rsidRPr="00D927FC">
        <w:rPr>
          <w:rFonts w:ascii="Arial" w:hAnsi="Arial" w:cs="Arial"/>
        </w:rPr>
        <w:t>Herzberg, F. (1959) The Motivation to Work. New York: Wiley.</w:t>
      </w:r>
    </w:p>
    <w:p w14:paraId="5898D918" w14:textId="77777777" w:rsidR="005823BC" w:rsidRPr="00D927FC" w:rsidRDefault="005823BC" w:rsidP="005823BC">
      <w:pPr>
        <w:spacing w:line="360" w:lineRule="auto"/>
        <w:rPr>
          <w:rFonts w:ascii="Arial" w:hAnsi="Arial" w:cs="Arial"/>
        </w:rPr>
      </w:pPr>
      <w:r w:rsidRPr="00D927FC">
        <w:rPr>
          <w:rFonts w:ascii="Arial" w:hAnsi="Arial" w:cs="Arial"/>
        </w:rPr>
        <w:t>Kandola, R. &amp; Fullerton, J. (2019) Diversity in Action: Managing the Mosaic. London: Chartered Institute of Personnel and Development.</w:t>
      </w:r>
    </w:p>
    <w:p w14:paraId="7ACD545E" w14:textId="77777777" w:rsidR="005823BC" w:rsidRPr="00D927FC" w:rsidRDefault="005823BC" w:rsidP="005823BC">
      <w:pPr>
        <w:spacing w:line="360" w:lineRule="auto"/>
        <w:rPr>
          <w:rFonts w:ascii="Arial" w:hAnsi="Arial" w:cs="Arial"/>
        </w:rPr>
      </w:pPr>
      <w:r w:rsidRPr="00D927FC">
        <w:rPr>
          <w:rFonts w:ascii="Arial" w:hAnsi="Arial" w:cs="Arial"/>
        </w:rPr>
        <w:t>Kotter, J.P. (1996) Leading Change. Boston: Harvard Business School Press.</w:t>
      </w:r>
    </w:p>
    <w:p w14:paraId="322A9482" w14:textId="77777777" w:rsidR="005823BC" w:rsidRPr="00D927FC" w:rsidRDefault="005823BC" w:rsidP="005823BC">
      <w:pPr>
        <w:spacing w:line="360" w:lineRule="auto"/>
        <w:rPr>
          <w:rFonts w:ascii="Arial" w:hAnsi="Arial" w:cs="Arial"/>
        </w:rPr>
      </w:pPr>
      <w:r w:rsidRPr="00D927FC">
        <w:rPr>
          <w:rFonts w:ascii="Arial" w:hAnsi="Arial" w:cs="Arial"/>
        </w:rPr>
        <w:t>Kotter, J.P. &amp; Heskett, J.L. (1992) Corporate Culture and Performance. New York: Free Press.</w:t>
      </w:r>
    </w:p>
    <w:p w14:paraId="26900A88" w14:textId="77777777" w:rsidR="005823BC" w:rsidRPr="00D927FC" w:rsidRDefault="005823BC" w:rsidP="005823BC">
      <w:pPr>
        <w:spacing w:line="360" w:lineRule="auto"/>
        <w:rPr>
          <w:rFonts w:ascii="Arial" w:hAnsi="Arial" w:cs="Arial"/>
        </w:rPr>
      </w:pPr>
      <w:r w:rsidRPr="00D927FC">
        <w:rPr>
          <w:rFonts w:ascii="Arial" w:hAnsi="Arial" w:cs="Arial"/>
        </w:rPr>
        <w:lastRenderedPageBreak/>
        <w:t>Lewin, K. (1951) Field Theory in Social Science. New York: Harper.</w:t>
      </w:r>
    </w:p>
    <w:p w14:paraId="7EF0CBEF" w14:textId="77777777" w:rsidR="005823BC" w:rsidRPr="00D927FC" w:rsidRDefault="005823BC" w:rsidP="005823BC">
      <w:pPr>
        <w:spacing w:line="360" w:lineRule="auto"/>
        <w:rPr>
          <w:rFonts w:ascii="Arial" w:hAnsi="Arial" w:cs="Arial"/>
        </w:rPr>
      </w:pPr>
      <w:r w:rsidRPr="00D927FC">
        <w:rPr>
          <w:rFonts w:ascii="Arial" w:hAnsi="Arial" w:cs="Arial"/>
        </w:rPr>
        <w:t>Marchington, M. &amp; Wilkinson, A. (2020) Human Resource Management at Work. London: Chartered Institute of Personnel and Development.</w:t>
      </w:r>
    </w:p>
    <w:p w14:paraId="76CC896E" w14:textId="77777777" w:rsidR="005823BC" w:rsidRPr="00D927FC" w:rsidRDefault="005823BC" w:rsidP="005823BC">
      <w:pPr>
        <w:spacing w:line="360" w:lineRule="auto"/>
        <w:rPr>
          <w:rFonts w:ascii="Arial" w:hAnsi="Arial" w:cs="Arial"/>
        </w:rPr>
      </w:pPr>
      <w:r w:rsidRPr="00D927FC">
        <w:rPr>
          <w:rFonts w:ascii="Arial" w:hAnsi="Arial" w:cs="Arial"/>
        </w:rPr>
        <w:t>Maslow, A. (1954) Motivation and Personality. New York: Harper &amp; Row.</w:t>
      </w:r>
    </w:p>
    <w:p w14:paraId="1FC139AC" w14:textId="77777777" w:rsidR="005823BC" w:rsidRPr="00D927FC" w:rsidRDefault="005823BC" w:rsidP="005823BC">
      <w:pPr>
        <w:spacing w:line="360" w:lineRule="auto"/>
        <w:rPr>
          <w:rFonts w:ascii="Arial" w:hAnsi="Arial" w:cs="Arial"/>
        </w:rPr>
      </w:pPr>
      <w:r w:rsidRPr="00D927FC">
        <w:rPr>
          <w:rFonts w:ascii="Arial" w:hAnsi="Arial" w:cs="Arial"/>
        </w:rPr>
        <w:t>McKinsey &amp; Company (2023) The State of Organisations 2023: Psychological Safety and Performance. New York: McKinsey Global Institute.</w:t>
      </w:r>
    </w:p>
    <w:p w14:paraId="52CE46F0" w14:textId="77777777" w:rsidR="005823BC" w:rsidRPr="00D927FC" w:rsidRDefault="005823BC" w:rsidP="005823BC">
      <w:pPr>
        <w:spacing w:line="360" w:lineRule="auto"/>
        <w:rPr>
          <w:rFonts w:ascii="Arial" w:hAnsi="Arial" w:cs="Arial"/>
        </w:rPr>
      </w:pPr>
      <w:r w:rsidRPr="00D927FC">
        <w:rPr>
          <w:rFonts w:ascii="Arial" w:hAnsi="Arial" w:cs="Arial"/>
        </w:rPr>
        <w:t>Mullins, L.J. (2020) Management and Organisational Behaviour. Harlow: Pearson Education.</w:t>
      </w:r>
    </w:p>
    <w:p w14:paraId="4E843BA7" w14:textId="77777777" w:rsidR="005823BC" w:rsidRPr="00D927FC" w:rsidRDefault="005823BC" w:rsidP="005823BC">
      <w:pPr>
        <w:spacing w:line="360" w:lineRule="auto"/>
        <w:rPr>
          <w:rFonts w:ascii="Arial" w:hAnsi="Arial" w:cs="Arial"/>
        </w:rPr>
      </w:pPr>
      <w:r w:rsidRPr="00D927FC">
        <w:rPr>
          <w:rFonts w:ascii="Arial" w:hAnsi="Arial" w:cs="Arial"/>
        </w:rPr>
        <w:t>Purcell, J. (2014) Strategy and Human Resource Management. Basingstoke: Palgrave Macmillan.</w:t>
      </w:r>
    </w:p>
    <w:p w14:paraId="41F16709" w14:textId="77777777" w:rsidR="005823BC" w:rsidRPr="00D927FC" w:rsidRDefault="005823BC" w:rsidP="005823BC">
      <w:pPr>
        <w:spacing w:line="360" w:lineRule="auto"/>
        <w:rPr>
          <w:rFonts w:ascii="Arial" w:hAnsi="Arial" w:cs="Arial"/>
        </w:rPr>
      </w:pPr>
      <w:r w:rsidRPr="00D927FC">
        <w:rPr>
          <w:rFonts w:ascii="Arial" w:hAnsi="Arial" w:cs="Arial"/>
        </w:rPr>
        <w:t>Schein, E.H. (2017) Organizational Culture and Leadership. Hoboken, NJ: Wiley.</w:t>
      </w:r>
    </w:p>
    <w:p w14:paraId="650A974A" w14:textId="77777777" w:rsidR="005823BC" w:rsidRPr="00D927FC" w:rsidRDefault="005823BC" w:rsidP="005823BC">
      <w:pPr>
        <w:spacing w:line="360" w:lineRule="auto"/>
        <w:rPr>
          <w:rFonts w:ascii="Arial" w:hAnsi="Arial" w:cs="Arial"/>
        </w:rPr>
      </w:pPr>
      <w:r w:rsidRPr="00D927FC">
        <w:rPr>
          <w:rFonts w:ascii="Arial" w:hAnsi="Arial" w:cs="Arial"/>
        </w:rPr>
        <w:t>Torrington, D., Hall, L., Taylor, S. &amp; Atkinson, C. (2020) Human Resource Management. Harlow: Pearson Education.</w:t>
      </w:r>
    </w:p>
    <w:p w14:paraId="625AD59C" w14:textId="77777777" w:rsidR="005823BC" w:rsidRPr="00D927FC" w:rsidRDefault="005823BC" w:rsidP="005823BC">
      <w:pPr>
        <w:spacing w:line="360" w:lineRule="auto"/>
        <w:rPr>
          <w:rFonts w:ascii="Arial" w:hAnsi="Arial" w:cs="Arial"/>
        </w:rPr>
      </w:pPr>
      <w:r w:rsidRPr="00D927FC">
        <w:rPr>
          <w:rFonts w:ascii="Arial" w:hAnsi="Arial" w:cs="Arial"/>
        </w:rPr>
        <w:t>Porter, M.E. (1985) Competitive Advantage: Creating and Sustaining Superior Performance. New York: Free Press.</w:t>
      </w:r>
    </w:p>
    <w:p w14:paraId="51C1B8CF" w14:textId="77777777" w:rsidR="005823BC" w:rsidRPr="00D927FC" w:rsidRDefault="005823BC" w:rsidP="005823BC">
      <w:pPr>
        <w:spacing w:line="360" w:lineRule="auto"/>
        <w:rPr>
          <w:rFonts w:ascii="Arial" w:hAnsi="Arial" w:cs="Arial"/>
        </w:rPr>
      </w:pPr>
    </w:p>
    <w:p w14:paraId="0EE3E238" w14:textId="77777777" w:rsidR="002017C2" w:rsidRDefault="002017C2"/>
    <w:sectPr w:rsidR="002017C2" w:rsidSect="00DF68B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41607"/>
    <w:multiLevelType w:val="multilevel"/>
    <w:tmpl w:val="5C6E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AA03D3"/>
    <w:multiLevelType w:val="multilevel"/>
    <w:tmpl w:val="B650B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3561540">
    <w:abstractNumId w:val="1"/>
  </w:num>
  <w:num w:numId="2" w16cid:durableId="647444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CD9"/>
    <w:rsid w:val="001F4F94"/>
    <w:rsid w:val="002017C2"/>
    <w:rsid w:val="00277C07"/>
    <w:rsid w:val="00280F20"/>
    <w:rsid w:val="003605D7"/>
    <w:rsid w:val="003D0287"/>
    <w:rsid w:val="004F7CD9"/>
    <w:rsid w:val="005823BC"/>
    <w:rsid w:val="006A1837"/>
    <w:rsid w:val="00740F6A"/>
    <w:rsid w:val="00784EE2"/>
    <w:rsid w:val="0079056B"/>
    <w:rsid w:val="00905116"/>
    <w:rsid w:val="00AD3153"/>
    <w:rsid w:val="00B5478D"/>
    <w:rsid w:val="00CB3D51"/>
    <w:rsid w:val="00DF6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C1444"/>
  <w15:chartTrackingRefBased/>
  <w15:docId w15:val="{B63E3B68-8E46-4F09-A845-2FEB8F6D9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7C2"/>
  </w:style>
  <w:style w:type="paragraph" w:styleId="Heading1">
    <w:name w:val="heading 1"/>
    <w:basedOn w:val="Normal"/>
    <w:next w:val="Normal"/>
    <w:link w:val="Heading1Char"/>
    <w:uiPriority w:val="9"/>
    <w:qFormat/>
    <w:rsid w:val="004F7C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7C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7C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7C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7C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7C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7C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7C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7C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C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7C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7C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7C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7C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7C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7C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7C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7CD9"/>
    <w:rPr>
      <w:rFonts w:eastAsiaTheme="majorEastAsia" w:cstheme="majorBidi"/>
      <w:color w:val="272727" w:themeColor="text1" w:themeTint="D8"/>
    </w:rPr>
  </w:style>
  <w:style w:type="paragraph" w:styleId="Title">
    <w:name w:val="Title"/>
    <w:basedOn w:val="Normal"/>
    <w:next w:val="Normal"/>
    <w:link w:val="TitleChar"/>
    <w:uiPriority w:val="10"/>
    <w:qFormat/>
    <w:rsid w:val="004F7C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C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7C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7C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7CD9"/>
    <w:pPr>
      <w:spacing w:before="160"/>
      <w:jc w:val="center"/>
    </w:pPr>
    <w:rPr>
      <w:i/>
      <w:iCs/>
      <w:color w:val="404040" w:themeColor="text1" w:themeTint="BF"/>
    </w:rPr>
  </w:style>
  <w:style w:type="character" w:customStyle="1" w:styleId="QuoteChar">
    <w:name w:val="Quote Char"/>
    <w:basedOn w:val="DefaultParagraphFont"/>
    <w:link w:val="Quote"/>
    <w:uiPriority w:val="29"/>
    <w:rsid w:val="004F7CD9"/>
    <w:rPr>
      <w:i/>
      <w:iCs/>
      <w:color w:val="404040" w:themeColor="text1" w:themeTint="BF"/>
    </w:rPr>
  </w:style>
  <w:style w:type="paragraph" w:styleId="ListParagraph">
    <w:name w:val="List Paragraph"/>
    <w:basedOn w:val="Normal"/>
    <w:uiPriority w:val="34"/>
    <w:qFormat/>
    <w:rsid w:val="004F7CD9"/>
    <w:pPr>
      <w:ind w:left="720"/>
      <w:contextualSpacing/>
    </w:pPr>
  </w:style>
  <w:style w:type="character" w:styleId="IntenseEmphasis">
    <w:name w:val="Intense Emphasis"/>
    <w:basedOn w:val="DefaultParagraphFont"/>
    <w:uiPriority w:val="21"/>
    <w:qFormat/>
    <w:rsid w:val="004F7CD9"/>
    <w:rPr>
      <w:i/>
      <w:iCs/>
      <w:color w:val="0F4761" w:themeColor="accent1" w:themeShade="BF"/>
    </w:rPr>
  </w:style>
  <w:style w:type="paragraph" w:styleId="IntenseQuote">
    <w:name w:val="Intense Quote"/>
    <w:basedOn w:val="Normal"/>
    <w:next w:val="Normal"/>
    <w:link w:val="IntenseQuoteChar"/>
    <w:uiPriority w:val="30"/>
    <w:qFormat/>
    <w:rsid w:val="004F7C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7CD9"/>
    <w:rPr>
      <w:i/>
      <w:iCs/>
      <w:color w:val="0F4761" w:themeColor="accent1" w:themeShade="BF"/>
    </w:rPr>
  </w:style>
  <w:style w:type="character" w:styleId="IntenseReference">
    <w:name w:val="Intense Reference"/>
    <w:basedOn w:val="DefaultParagraphFont"/>
    <w:uiPriority w:val="32"/>
    <w:qFormat/>
    <w:rsid w:val="004F7CD9"/>
    <w:rPr>
      <w:b/>
      <w:bCs/>
      <w:smallCaps/>
      <w:color w:val="0F4761" w:themeColor="accent1" w:themeShade="BF"/>
      <w:spacing w:val="5"/>
    </w:rPr>
  </w:style>
  <w:style w:type="paragraph" w:styleId="NoSpacing">
    <w:name w:val="No Spacing"/>
    <w:link w:val="NoSpacingChar"/>
    <w:uiPriority w:val="1"/>
    <w:qFormat/>
    <w:rsid w:val="00DF68B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F68B3"/>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Lecturer: Rebecca Francis-Davies   
Word count: 2200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13</Pages>
  <Words>3062</Words>
  <Characters>17460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Name &amp; Number: Andreea Lilea (2126939)</dc:creator>
  <cp:keywords/>
  <dc:description/>
  <cp:lastModifiedBy>Andreea Lilea (2126939)</cp:lastModifiedBy>
  <cp:revision>6</cp:revision>
  <dcterms:created xsi:type="dcterms:W3CDTF">2025-12-12T00:33:00Z</dcterms:created>
  <dcterms:modified xsi:type="dcterms:W3CDTF">2025-12-12T17:00:00Z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92df7830-8840-48f1-863d-d1471db382fd</vt:lpwstr>
  </property>
</Properties>
</file>