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A0E8B" w14:textId="0D45F34F" w:rsidR="007C706B" w:rsidRDefault="003340FE" w:rsidP="004C0C63">
      <w:pPr>
        <w:jc w:val="center"/>
        <w:rPr>
          <w:noProof/>
          <w:sz w:val="52"/>
          <w:szCs w:val="52"/>
        </w:rPr>
      </w:pPr>
      <w:r>
        <w:rPr>
          <w:noProof/>
          <w:sz w:val="52"/>
          <w:szCs w:val="52"/>
        </w:rPr>
        <w:drawing>
          <wp:inline distT="0" distB="0" distL="0" distR="0" wp14:anchorId="54BD9269" wp14:editId="37F4C981">
            <wp:extent cx="5544921" cy="1932258"/>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98911" cy="1985919"/>
                    </a:xfrm>
                    <a:prstGeom prst="rect">
                      <a:avLst/>
                    </a:prstGeom>
                  </pic:spPr>
                </pic:pic>
              </a:graphicData>
            </a:graphic>
          </wp:inline>
        </w:drawing>
      </w:r>
    </w:p>
    <w:p w14:paraId="450614C1" w14:textId="77777777" w:rsidR="003340FE" w:rsidRDefault="003340FE" w:rsidP="007C706B">
      <w:pPr>
        <w:rPr>
          <w:noProof/>
          <w:sz w:val="52"/>
          <w:szCs w:val="52"/>
        </w:rPr>
      </w:pPr>
    </w:p>
    <w:p w14:paraId="46D80ACE" w14:textId="77777777" w:rsidR="003340FE" w:rsidRDefault="003340FE" w:rsidP="007C706B">
      <w:pPr>
        <w:rPr>
          <w:noProof/>
          <w:sz w:val="52"/>
          <w:szCs w:val="52"/>
        </w:rPr>
      </w:pPr>
    </w:p>
    <w:p w14:paraId="0BB697E5" w14:textId="77777777" w:rsidR="003340FE" w:rsidRDefault="003340FE" w:rsidP="007C706B">
      <w:pPr>
        <w:rPr>
          <w:noProof/>
          <w:sz w:val="52"/>
          <w:szCs w:val="52"/>
        </w:rPr>
      </w:pPr>
    </w:p>
    <w:p w14:paraId="1F4E4D6C" w14:textId="77777777" w:rsidR="003340FE" w:rsidRPr="00200528" w:rsidRDefault="003340FE" w:rsidP="007C706B">
      <w:pPr>
        <w:rPr>
          <w:sz w:val="28"/>
          <w:szCs w:val="28"/>
        </w:rPr>
      </w:pPr>
    </w:p>
    <w:p w14:paraId="3E6D707A" w14:textId="6AC6679B" w:rsidR="007C706B" w:rsidRPr="00200528" w:rsidRDefault="007C706B" w:rsidP="007C706B">
      <w:pPr>
        <w:jc w:val="center"/>
        <w:rPr>
          <w:rFonts w:cs="Arial"/>
          <w:b/>
          <w:bCs/>
          <w:sz w:val="32"/>
          <w:szCs w:val="32"/>
        </w:rPr>
      </w:pPr>
      <w:r w:rsidRPr="00200528">
        <w:rPr>
          <w:rFonts w:cs="Arial"/>
          <w:b/>
          <w:bCs/>
          <w:sz w:val="32"/>
          <w:szCs w:val="32"/>
        </w:rPr>
        <w:t>Developing and Managing Individuals and Teams (LCLM5002_LON)</w:t>
      </w:r>
    </w:p>
    <w:p w14:paraId="0C03D1BA" w14:textId="77777777" w:rsidR="00200528" w:rsidRDefault="00200528" w:rsidP="00200528">
      <w:pPr>
        <w:rPr>
          <w:rFonts w:cs="Arial"/>
          <w:b/>
          <w:bCs/>
          <w:sz w:val="32"/>
          <w:szCs w:val="32"/>
        </w:rPr>
      </w:pPr>
    </w:p>
    <w:p w14:paraId="5DBAE774" w14:textId="2E4DECF6" w:rsidR="00200528" w:rsidRPr="00200528" w:rsidRDefault="00BA4CE8" w:rsidP="00200528">
      <w:pPr>
        <w:rPr>
          <w:rFonts w:cs="Arial"/>
          <w:b/>
          <w:bCs/>
          <w:sz w:val="32"/>
          <w:szCs w:val="32"/>
        </w:rPr>
      </w:pPr>
      <w:r>
        <w:rPr>
          <w:rFonts w:cs="Arial"/>
          <w:b/>
          <w:bCs/>
          <w:sz w:val="32"/>
          <w:szCs w:val="32"/>
        </w:rPr>
        <w:tab/>
      </w:r>
    </w:p>
    <w:p w14:paraId="4815F23A" w14:textId="4D85F807" w:rsidR="007C706B" w:rsidRPr="00200528" w:rsidRDefault="00200528" w:rsidP="007C706B">
      <w:pPr>
        <w:jc w:val="center"/>
        <w:rPr>
          <w:rFonts w:cs="Arial"/>
          <w:b/>
          <w:bCs/>
          <w:sz w:val="32"/>
          <w:szCs w:val="32"/>
        </w:rPr>
      </w:pPr>
      <w:r w:rsidRPr="00200528">
        <w:rPr>
          <w:rFonts w:cs="Arial"/>
          <w:b/>
          <w:bCs/>
          <w:sz w:val="32"/>
          <w:szCs w:val="32"/>
        </w:rPr>
        <w:t>HRM Challenges and Contemporary HR Practices at IKEA UK</w:t>
      </w:r>
    </w:p>
    <w:p w14:paraId="2EC1B455" w14:textId="77777777" w:rsidR="00200528" w:rsidRDefault="00200528" w:rsidP="007C706B">
      <w:pPr>
        <w:jc w:val="center"/>
        <w:rPr>
          <w:rFonts w:cs="Arial"/>
          <w:b/>
          <w:bCs/>
        </w:rPr>
      </w:pPr>
    </w:p>
    <w:p w14:paraId="54C30E1E" w14:textId="77777777" w:rsidR="00200528" w:rsidRDefault="00200528" w:rsidP="007C706B">
      <w:pPr>
        <w:jc w:val="center"/>
        <w:rPr>
          <w:rFonts w:cs="Arial"/>
          <w:b/>
          <w:bCs/>
        </w:rPr>
      </w:pPr>
    </w:p>
    <w:p w14:paraId="062441C4" w14:textId="77777777" w:rsidR="00200528" w:rsidRDefault="00200528" w:rsidP="007C706B">
      <w:pPr>
        <w:jc w:val="center"/>
        <w:rPr>
          <w:rFonts w:cs="Arial"/>
          <w:b/>
          <w:bCs/>
        </w:rPr>
      </w:pPr>
    </w:p>
    <w:p w14:paraId="4B2293D1" w14:textId="77777777" w:rsidR="00200528" w:rsidRDefault="00200528" w:rsidP="007C706B">
      <w:pPr>
        <w:jc w:val="center"/>
        <w:rPr>
          <w:rFonts w:cs="Arial"/>
          <w:b/>
          <w:bCs/>
        </w:rPr>
      </w:pPr>
    </w:p>
    <w:p w14:paraId="676C361D" w14:textId="77777777" w:rsidR="00200528" w:rsidRDefault="00200528" w:rsidP="007C706B">
      <w:pPr>
        <w:jc w:val="center"/>
        <w:rPr>
          <w:rFonts w:cs="Arial"/>
          <w:b/>
          <w:bCs/>
        </w:rPr>
      </w:pPr>
    </w:p>
    <w:p w14:paraId="2C51F952" w14:textId="77777777" w:rsidR="00200528" w:rsidRDefault="00200528" w:rsidP="007C706B">
      <w:pPr>
        <w:jc w:val="center"/>
        <w:rPr>
          <w:rFonts w:cs="Arial"/>
          <w:b/>
          <w:bCs/>
        </w:rPr>
      </w:pPr>
    </w:p>
    <w:p w14:paraId="434D9B0B" w14:textId="77777777" w:rsidR="00200528" w:rsidRPr="001A3E89" w:rsidRDefault="00200528" w:rsidP="007C706B">
      <w:pPr>
        <w:jc w:val="center"/>
        <w:rPr>
          <w:rFonts w:cs="Arial"/>
          <w:b/>
          <w:bCs/>
        </w:rPr>
      </w:pPr>
    </w:p>
    <w:p w14:paraId="76D0AE63" w14:textId="77777777" w:rsidR="00200528" w:rsidRDefault="007C706B" w:rsidP="007C706B">
      <w:pPr>
        <w:rPr>
          <w:rFonts w:cs="Arial"/>
          <w:sz w:val="24"/>
          <w:szCs w:val="24"/>
        </w:rPr>
      </w:pPr>
      <w:r w:rsidRPr="003C3BBA">
        <w:rPr>
          <w:rFonts w:cs="Arial"/>
          <w:b/>
          <w:bCs/>
          <w:sz w:val="24"/>
          <w:szCs w:val="24"/>
        </w:rPr>
        <w:t>Student Name:</w:t>
      </w:r>
      <w:r w:rsidRPr="003C3BBA">
        <w:rPr>
          <w:rFonts w:cs="Arial"/>
          <w:sz w:val="24"/>
          <w:szCs w:val="24"/>
        </w:rPr>
        <w:t> Taisiia Pavliukova</w:t>
      </w:r>
    </w:p>
    <w:p w14:paraId="6D9AE0D4" w14:textId="5437AC0F" w:rsidR="007C706B" w:rsidRDefault="007C706B" w:rsidP="007C706B">
      <w:pPr>
        <w:rPr>
          <w:rFonts w:cs="Arial"/>
          <w:sz w:val="24"/>
          <w:szCs w:val="24"/>
        </w:rPr>
      </w:pPr>
      <w:r w:rsidRPr="003C3BBA">
        <w:rPr>
          <w:rFonts w:cs="Arial"/>
          <w:sz w:val="24"/>
          <w:szCs w:val="24"/>
        </w:rPr>
        <w:br/>
      </w:r>
      <w:r w:rsidRPr="003C3BBA">
        <w:rPr>
          <w:rFonts w:cs="Arial"/>
          <w:b/>
          <w:bCs/>
          <w:sz w:val="24"/>
          <w:szCs w:val="24"/>
        </w:rPr>
        <w:t>Student ID:</w:t>
      </w:r>
      <w:r w:rsidRPr="003C3BBA">
        <w:rPr>
          <w:rFonts w:cs="Arial"/>
          <w:sz w:val="24"/>
          <w:szCs w:val="24"/>
        </w:rPr>
        <w:t> 2429456</w:t>
      </w:r>
    </w:p>
    <w:p w14:paraId="402BF76C" w14:textId="77777777" w:rsidR="00200528" w:rsidRPr="00200528" w:rsidRDefault="00200528" w:rsidP="007C706B">
      <w:pPr>
        <w:rPr>
          <w:rFonts w:cs="Arial"/>
          <w:sz w:val="24"/>
          <w:szCs w:val="24"/>
        </w:rPr>
      </w:pPr>
    </w:p>
    <w:p w14:paraId="4124E086" w14:textId="686DE3C8" w:rsidR="00C16EF5" w:rsidRPr="00EF6B8C" w:rsidRDefault="007C706B">
      <w:pPr>
        <w:rPr>
          <w:b/>
          <w:bCs/>
          <w:sz w:val="24"/>
          <w:szCs w:val="24"/>
        </w:rPr>
      </w:pPr>
      <w:r w:rsidRPr="009C3866">
        <w:rPr>
          <w:b/>
          <w:bCs/>
          <w:sz w:val="24"/>
          <w:szCs w:val="24"/>
        </w:rPr>
        <w:t>Submission Date:</w:t>
      </w:r>
      <w:r w:rsidR="0043473A">
        <w:rPr>
          <w:b/>
          <w:bCs/>
          <w:sz w:val="24"/>
          <w:szCs w:val="24"/>
        </w:rPr>
        <w:t xml:space="preserve"> </w:t>
      </w:r>
      <w:r w:rsidR="00EF6B8C">
        <w:rPr>
          <w:b/>
          <w:bCs/>
          <w:sz w:val="24"/>
          <w:szCs w:val="24"/>
        </w:rPr>
        <w:t>29</w:t>
      </w:r>
      <w:r w:rsidR="0043473A">
        <w:rPr>
          <w:b/>
          <w:bCs/>
          <w:sz w:val="24"/>
          <w:szCs w:val="24"/>
        </w:rPr>
        <w:t>/04/2026</w:t>
      </w:r>
    </w:p>
    <w:p w14:paraId="653E46B2" w14:textId="77777777" w:rsidR="009D1490" w:rsidRPr="009D1490" w:rsidRDefault="0031091B" w:rsidP="009D1490">
      <w:pPr>
        <w:rPr>
          <w:b/>
          <w:bCs/>
        </w:rPr>
      </w:pPr>
      <w:r w:rsidRPr="0031091B">
        <w:rPr>
          <w:b/>
          <w:bCs/>
          <w:sz w:val="24"/>
          <w:szCs w:val="24"/>
        </w:rPr>
        <w:t>Lecture</w:t>
      </w:r>
      <w:r>
        <w:rPr>
          <w:b/>
          <w:bCs/>
          <w:sz w:val="24"/>
          <w:szCs w:val="24"/>
        </w:rPr>
        <w:t xml:space="preserve">: </w:t>
      </w:r>
      <w:r w:rsidR="009D1490" w:rsidRPr="009D1490">
        <w:rPr>
          <w:b/>
          <w:bCs/>
        </w:rPr>
        <w:t>Sukhpreet Grewal</w:t>
      </w:r>
    </w:p>
    <w:p w14:paraId="5A5183E2" w14:textId="212B1792" w:rsidR="00C16EF5" w:rsidRPr="0031091B" w:rsidRDefault="00C16EF5">
      <w:pPr>
        <w:rPr>
          <w:b/>
          <w:bCs/>
          <w:sz w:val="24"/>
          <w:szCs w:val="24"/>
        </w:rPr>
      </w:pPr>
    </w:p>
    <w:sdt>
      <w:sdtPr>
        <w:rPr>
          <w:rFonts w:ascii="Arial" w:eastAsiaTheme="minorEastAsia" w:hAnsi="Arial" w:cstheme="minorBidi"/>
          <w:color w:val="auto"/>
          <w:sz w:val="22"/>
          <w:szCs w:val="22"/>
          <w:lang w:eastAsia="zh-CN"/>
        </w:rPr>
        <w:id w:val="514114819"/>
        <w:docPartObj>
          <w:docPartGallery w:val="Table of Contents"/>
          <w:docPartUnique/>
        </w:docPartObj>
      </w:sdtPr>
      <w:sdtEndPr>
        <w:rPr>
          <w:b/>
          <w:bCs/>
        </w:rPr>
      </w:sdtEndPr>
      <w:sdtContent>
        <w:p w14:paraId="4DD02B01" w14:textId="582B4711" w:rsidR="00590285" w:rsidRPr="00A2412A" w:rsidRDefault="00590285">
          <w:pPr>
            <w:pStyle w:val="TOCHeading"/>
            <w:rPr>
              <w:b/>
              <w:bCs/>
            </w:rPr>
          </w:pPr>
          <w:r w:rsidRPr="00A2412A">
            <w:rPr>
              <w:b/>
              <w:bCs/>
            </w:rPr>
            <w:t>Table of Contents</w:t>
          </w:r>
        </w:p>
        <w:p w14:paraId="1911D7C3" w14:textId="59BA79B1" w:rsidR="00A2412A" w:rsidRDefault="00590285">
          <w:pPr>
            <w:pStyle w:val="TOC1"/>
            <w:tabs>
              <w:tab w:val="right" w:leader="dot" w:pos="9345"/>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8460164" w:history="1">
            <w:r w:rsidR="00A2412A" w:rsidRPr="00440E6A">
              <w:rPr>
                <w:rStyle w:val="Hyperlink"/>
                <w:b/>
                <w:bCs/>
                <w:noProof/>
              </w:rPr>
              <w:t>1. Introduction</w:t>
            </w:r>
            <w:r w:rsidR="00A2412A">
              <w:rPr>
                <w:noProof/>
                <w:webHidden/>
              </w:rPr>
              <w:tab/>
            </w:r>
            <w:r w:rsidR="00A2412A">
              <w:rPr>
                <w:noProof/>
                <w:webHidden/>
              </w:rPr>
              <w:fldChar w:fldCharType="begin"/>
            </w:r>
            <w:r w:rsidR="00A2412A">
              <w:rPr>
                <w:noProof/>
                <w:webHidden/>
              </w:rPr>
              <w:instrText xml:space="preserve"> PAGEREF _Toc228460164 \h </w:instrText>
            </w:r>
            <w:r w:rsidR="00A2412A">
              <w:rPr>
                <w:noProof/>
                <w:webHidden/>
              </w:rPr>
            </w:r>
            <w:r w:rsidR="00A2412A">
              <w:rPr>
                <w:noProof/>
                <w:webHidden/>
              </w:rPr>
              <w:fldChar w:fldCharType="separate"/>
            </w:r>
            <w:r w:rsidR="00A2412A">
              <w:rPr>
                <w:noProof/>
                <w:webHidden/>
              </w:rPr>
              <w:t>3</w:t>
            </w:r>
            <w:r w:rsidR="00A2412A">
              <w:rPr>
                <w:noProof/>
                <w:webHidden/>
              </w:rPr>
              <w:fldChar w:fldCharType="end"/>
            </w:r>
          </w:hyperlink>
        </w:p>
        <w:p w14:paraId="5C8F07C4" w14:textId="37A00944" w:rsidR="00A2412A" w:rsidRDefault="00A2412A">
          <w:pPr>
            <w:pStyle w:val="TOC1"/>
            <w:tabs>
              <w:tab w:val="right" w:leader="dot" w:pos="9345"/>
            </w:tabs>
            <w:rPr>
              <w:rFonts w:asciiTheme="minorHAnsi" w:hAnsiTheme="minorHAnsi"/>
              <w:noProof/>
              <w:kern w:val="2"/>
              <w:sz w:val="24"/>
              <w:szCs w:val="24"/>
              <w:lang w:eastAsia="en-GB"/>
              <w14:ligatures w14:val="standardContextual"/>
            </w:rPr>
          </w:pPr>
          <w:hyperlink w:anchor="_Toc228460165" w:history="1">
            <w:r w:rsidRPr="00440E6A">
              <w:rPr>
                <w:rStyle w:val="Hyperlink"/>
                <w:b/>
                <w:bCs/>
                <w:noProof/>
              </w:rPr>
              <w:t>2. Key HR Challenges in IKEA UK</w:t>
            </w:r>
            <w:r>
              <w:rPr>
                <w:noProof/>
                <w:webHidden/>
              </w:rPr>
              <w:tab/>
            </w:r>
            <w:r>
              <w:rPr>
                <w:noProof/>
                <w:webHidden/>
              </w:rPr>
              <w:fldChar w:fldCharType="begin"/>
            </w:r>
            <w:r>
              <w:rPr>
                <w:noProof/>
                <w:webHidden/>
              </w:rPr>
              <w:instrText xml:space="preserve"> PAGEREF _Toc228460165 \h </w:instrText>
            </w:r>
            <w:r>
              <w:rPr>
                <w:noProof/>
                <w:webHidden/>
              </w:rPr>
            </w:r>
            <w:r>
              <w:rPr>
                <w:noProof/>
                <w:webHidden/>
              </w:rPr>
              <w:fldChar w:fldCharType="separate"/>
            </w:r>
            <w:r>
              <w:rPr>
                <w:noProof/>
                <w:webHidden/>
              </w:rPr>
              <w:t>3</w:t>
            </w:r>
            <w:r>
              <w:rPr>
                <w:noProof/>
                <w:webHidden/>
              </w:rPr>
              <w:fldChar w:fldCharType="end"/>
            </w:r>
          </w:hyperlink>
        </w:p>
        <w:p w14:paraId="7629BF52" w14:textId="68091C03"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66" w:history="1">
            <w:r w:rsidRPr="00440E6A">
              <w:rPr>
                <w:rStyle w:val="Hyperlink"/>
                <w:b/>
                <w:bCs/>
                <w:noProof/>
              </w:rPr>
              <w:t>2.1 Technological Advancement</w:t>
            </w:r>
            <w:r>
              <w:rPr>
                <w:noProof/>
                <w:webHidden/>
              </w:rPr>
              <w:tab/>
            </w:r>
            <w:r>
              <w:rPr>
                <w:noProof/>
                <w:webHidden/>
              </w:rPr>
              <w:fldChar w:fldCharType="begin"/>
            </w:r>
            <w:r>
              <w:rPr>
                <w:noProof/>
                <w:webHidden/>
              </w:rPr>
              <w:instrText xml:space="preserve"> PAGEREF _Toc228460166 \h </w:instrText>
            </w:r>
            <w:r>
              <w:rPr>
                <w:noProof/>
                <w:webHidden/>
              </w:rPr>
            </w:r>
            <w:r>
              <w:rPr>
                <w:noProof/>
                <w:webHidden/>
              </w:rPr>
              <w:fldChar w:fldCharType="separate"/>
            </w:r>
            <w:r>
              <w:rPr>
                <w:noProof/>
                <w:webHidden/>
              </w:rPr>
              <w:t>3</w:t>
            </w:r>
            <w:r>
              <w:rPr>
                <w:noProof/>
                <w:webHidden/>
              </w:rPr>
              <w:fldChar w:fldCharType="end"/>
            </w:r>
          </w:hyperlink>
        </w:p>
        <w:p w14:paraId="3A9D93D1" w14:textId="37257CDB"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67" w:history="1">
            <w:r w:rsidRPr="00440E6A">
              <w:rPr>
                <w:rStyle w:val="Hyperlink"/>
                <w:b/>
                <w:bCs/>
                <w:noProof/>
              </w:rPr>
              <w:t>2.2 Attracting and Retaining Staff.</w:t>
            </w:r>
            <w:r>
              <w:rPr>
                <w:noProof/>
                <w:webHidden/>
              </w:rPr>
              <w:tab/>
            </w:r>
            <w:r>
              <w:rPr>
                <w:noProof/>
                <w:webHidden/>
              </w:rPr>
              <w:fldChar w:fldCharType="begin"/>
            </w:r>
            <w:r>
              <w:rPr>
                <w:noProof/>
                <w:webHidden/>
              </w:rPr>
              <w:instrText xml:space="preserve"> PAGEREF _Toc228460167 \h </w:instrText>
            </w:r>
            <w:r>
              <w:rPr>
                <w:noProof/>
                <w:webHidden/>
              </w:rPr>
            </w:r>
            <w:r>
              <w:rPr>
                <w:noProof/>
                <w:webHidden/>
              </w:rPr>
              <w:fldChar w:fldCharType="separate"/>
            </w:r>
            <w:r>
              <w:rPr>
                <w:noProof/>
                <w:webHidden/>
              </w:rPr>
              <w:t>4</w:t>
            </w:r>
            <w:r>
              <w:rPr>
                <w:noProof/>
                <w:webHidden/>
              </w:rPr>
              <w:fldChar w:fldCharType="end"/>
            </w:r>
          </w:hyperlink>
        </w:p>
        <w:p w14:paraId="4A3C8979" w14:textId="3D0FECBF"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68" w:history="1">
            <w:r w:rsidRPr="00440E6A">
              <w:rPr>
                <w:rStyle w:val="Hyperlink"/>
                <w:b/>
                <w:bCs/>
                <w:noProof/>
              </w:rPr>
              <w:t>2.3 Diversity, Equity and Inclusion (DEI)</w:t>
            </w:r>
            <w:r>
              <w:rPr>
                <w:noProof/>
                <w:webHidden/>
              </w:rPr>
              <w:tab/>
            </w:r>
            <w:r>
              <w:rPr>
                <w:noProof/>
                <w:webHidden/>
              </w:rPr>
              <w:fldChar w:fldCharType="begin"/>
            </w:r>
            <w:r>
              <w:rPr>
                <w:noProof/>
                <w:webHidden/>
              </w:rPr>
              <w:instrText xml:space="preserve"> PAGEREF _Toc228460168 \h </w:instrText>
            </w:r>
            <w:r>
              <w:rPr>
                <w:noProof/>
                <w:webHidden/>
              </w:rPr>
            </w:r>
            <w:r>
              <w:rPr>
                <w:noProof/>
                <w:webHidden/>
              </w:rPr>
              <w:fldChar w:fldCharType="separate"/>
            </w:r>
            <w:r>
              <w:rPr>
                <w:noProof/>
                <w:webHidden/>
              </w:rPr>
              <w:t>5</w:t>
            </w:r>
            <w:r>
              <w:rPr>
                <w:noProof/>
                <w:webHidden/>
              </w:rPr>
              <w:fldChar w:fldCharType="end"/>
            </w:r>
          </w:hyperlink>
        </w:p>
        <w:p w14:paraId="0F72CAEA" w14:textId="6879BC7F" w:rsidR="00A2412A" w:rsidRDefault="00A2412A">
          <w:pPr>
            <w:pStyle w:val="TOC1"/>
            <w:tabs>
              <w:tab w:val="right" w:leader="dot" w:pos="9345"/>
            </w:tabs>
            <w:rPr>
              <w:rFonts w:asciiTheme="minorHAnsi" w:hAnsiTheme="minorHAnsi"/>
              <w:noProof/>
              <w:kern w:val="2"/>
              <w:sz w:val="24"/>
              <w:szCs w:val="24"/>
              <w:lang w:eastAsia="en-GB"/>
              <w14:ligatures w14:val="standardContextual"/>
            </w:rPr>
          </w:pPr>
          <w:hyperlink w:anchor="_Toc228460169" w:history="1">
            <w:r w:rsidRPr="00440E6A">
              <w:rPr>
                <w:rStyle w:val="Hyperlink"/>
                <w:b/>
                <w:bCs/>
                <w:noProof/>
              </w:rPr>
              <w:t>3. Evaluation of Contemporary HR Practices</w:t>
            </w:r>
            <w:r>
              <w:rPr>
                <w:noProof/>
                <w:webHidden/>
              </w:rPr>
              <w:tab/>
            </w:r>
            <w:r>
              <w:rPr>
                <w:noProof/>
                <w:webHidden/>
              </w:rPr>
              <w:fldChar w:fldCharType="begin"/>
            </w:r>
            <w:r>
              <w:rPr>
                <w:noProof/>
                <w:webHidden/>
              </w:rPr>
              <w:instrText xml:space="preserve"> PAGEREF _Toc228460169 \h </w:instrText>
            </w:r>
            <w:r>
              <w:rPr>
                <w:noProof/>
                <w:webHidden/>
              </w:rPr>
            </w:r>
            <w:r>
              <w:rPr>
                <w:noProof/>
                <w:webHidden/>
              </w:rPr>
              <w:fldChar w:fldCharType="separate"/>
            </w:r>
            <w:r>
              <w:rPr>
                <w:noProof/>
                <w:webHidden/>
              </w:rPr>
              <w:t>6</w:t>
            </w:r>
            <w:r>
              <w:rPr>
                <w:noProof/>
                <w:webHidden/>
              </w:rPr>
              <w:fldChar w:fldCharType="end"/>
            </w:r>
          </w:hyperlink>
        </w:p>
        <w:p w14:paraId="41DF3253" w14:textId="62252116"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70" w:history="1">
            <w:r w:rsidRPr="00440E6A">
              <w:rPr>
                <w:rStyle w:val="Hyperlink"/>
                <w:b/>
                <w:bCs/>
                <w:noProof/>
              </w:rPr>
              <w:t>3.1 Training and Development</w:t>
            </w:r>
            <w:r>
              <w:rPr>
                <w:noProof/>
                <w:webHidden/>
              </w:rPr>
              <w:tab/>
            </w:r>
            <w:r>
              <w:rPr>
                <w:noProof/>
                <w:webHidden/>
              </w:rPr>
              <w:fldChar w:fldCharType="begin"/>
            </w:r>
            <w:r>
              <w:rPr>
                <w:noProof/>
                <w:webHidden/>
              </w:rPr>
              <w:instrText xml:space="preserve"> PAGEREF _Toc228460170 \h </w:instrText>
            </w:r>
            <w:r>
              <w:rPr>
                <w:noProof/>
                <w:webHidden/>
              </w:rPr>
            </w:r>
            <w:r>
              <w:rPr>
                <w:noProof/>
                <w:webHidden/>
              </w:rPr>
              <w:fldChar w:fldCharType="separate"/>
            </w:r>
            <w:r>
              <w:rPr>
                <w:noProof/>
                <w:webHidden/>
              </w:rPr>
              <w:t>6</w:t>
            </w:r>
            <w:r>
              <w:rPr>
                <w:noProof/>
                <w:webHidden/>
              </w:rPr>
              <w:fldChar w:fldCharType="end"/>
            </w:r>
          </w:hyperlink>
        </w:p>
        <w:p w14:paraId="2A9A6049" w14:textId="6FE07675"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71" w:history="1">
            <w:r w:rsidRPr="00440E6A">
              <w:rPr>
                <w:rStyle w:val="Hyperlink"/>
                <w:b/>
                <w:bCs/>
                <w:noProof/>
              </w:rPr>
              <w:t>3.2 HR Information Systems (HRIS)</w:t>
            </w:r>
            <w:r>
              <w:rPr>
                <w:noProof/>
                <w:webHidden/>
              </w:rPr>
              <w:tab/>
            </w:r>
            <w:r>
              <w:rPr>
                <w:noProof/>
                <w:webHidden/>
              </w:rPr>
              <w:fldChar w:fldCharType="begin"/>
            </w:r>
            <w:r>
              <w:rPr>
                <w:noProof/>
                <w:webHidden/>
              </w:rPr>
              <w:instrText xml:space="preserve"> PAGEREF _Toc228460171 \h </w:instrText>
            </w:r>
            <w:r>
              <w:rPr>
                <w:noProof/>
                <w:webHidden/>
              </w:rPr>
            </w:r>
            <w:r>
              <w:rPr>
                <w:noProof/>
                <w:webHidden/>
              </w:rPr>
              <w:fldChar w:fldCharType="separate"/>
            </w:r>
            <w:r>
              <w:rPr>
                <w:noProof/>
                <w:webHidden/>
              </w:rPr>
              <w:t>7</w:t>
            </w:r>
            <w:r>
              <w:rPr>
                <w:noProof/>
                <w:webHidden/>
              </w:rPr>
              <w:fldChar w:fldCharType="end"/>
            </w:r>
          </w:hyperlink>
        </w:p>
        <w:p w14:paraId="7F6CAAF4" w14:textId="155144EF"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72" w:history="1">
            <w:r w:rsidRPr="00440E6A">
              <w:rPr>
                <w:rStyle w:val="Hyperlink"/>
                <w:b/>
                <w:bCs/>
                <w:noProof/>
              </w:rPr>
              <w:t>3.3 Employer Branding</w:t>
            </w:r>
            <w:r>
              <w:rPr>
                <w:noProof/>
                <w:webHidden/>
              </w:rPr>
              <w:tab/>
            </w:r>
            <w:r>
              <w:rPr>
                <w:noProof/>
                <w:webHidden/>
              </w:rPr>
              <w:fldChar w:fldCharType="begin"/>
            </w:r>
            <w:r>
              <w:rPr>
                <w:noProof/>
                <w:webHidden/>
              </w:rPr>
              <w:instrText xml:space="preserve"> PAGEREF _Toc228460172 \h </w:instrText>
            </w:r>
            <w:r>
              <w:rPr>
                <w:noProof/>
                <w:webHidden/>
              </w:rPr>
            </w:r>
            <w:r>
              <w:rPr>
                <w:noProof/>
                <w:webHidden/>
              </w:rPr>
              <w:fldChar w:fldCharType="separate"/>
            </w:r>
            <w:r>
              <w:rPr>
                <w:noProof/>
                <w:webHidden/>
              </w:rPr>
              <w:t>7</w:t>
            </w:r>
            <w:r>
              <w:rPr>
                <w:noProof/>
                <w:webHidden/>
              </w:rPr>
              <w:fldChar w:fldCharType="end"/>
            </w:r>
          </w:hyperlink>
        </w:p>
        <w:p w14:paraId="06E75C10" w14:textId="2B3DE683"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73" w:history="1">
            <w:r w:rsidRPr="00440E6A">
              <w:rPr>
                <w:rStyle w:val="Hyperlink"/>
                <w:b/>
                <w:bCs/>
                <w:noProof/>
              </w:rPr>
              <w:t>3.4 Performance Management</w:t>
            </w:r>
            <w:r>
              <w:rPr>
                <w:noProof/>
                <w:webHidden/>
              </w:rPr>
              <w:tab/>
            </w:r>
            <w:r>
              <w:rPr>
                <w:noProof/>
                <w:webHidden/>
              </w:rPr>
              <w:fldChar w:fldCharType="begin"/>
            </w:r>
            <w:r>
              <w:rPr>
                <w:noProof/>
                <w:webHidden/>
              </w:rPr>
              <w:instrText xml:space="preserve"> PAGEREF _Toc228460173 \h </w:instrText>
            </w:r>
            <w:r>
              <w:rPr>
                <w:noProof/>
                <w:webHidden/>
              </w:rPr>
            </w:r>
            <w:r>
              <w:rPr>
                <w:noProof/>
                <w:webHidden/>
              </w:rPr>
              <w:fldChar w:fldCharType="separate"/>
            </w:r>
            <w:r>
              <w:rPr>
                <w:noProof/>
                <w:webHidden/>
              </w:rPr>
              <w:t>7</w:t>
            </w:r>
            <w:r>
              <w:rPr>
                <w:noProof/>
                <w:webHidden/>
              </w:rPr>
              <w:fldChar w:fldCharType="end"/>
            </w:r>
          </w:hyperlink>
        </w:p>
        <w:p w14:paraId="74C38A61" w14:textId="05B0D3E0" w:rsidR="00A2412A" w:rsidRDefault="00A2412A">
          <w:pPr>
            <w:pStyle w:val="TOC2"/>
            <w:tabs>
              <w:tab w:val="right" w:leader="dot" w:pos="9345"/>
            </w:tabs>
            <w:rPr>
              <w:rFonts w:asciiTheme="minorHAnsi" w:hAnsiTheme="minorHAnsi"/>
              <w:noProof/>
              <w:kern w:val="2"/>
              <w:sz w:val="24"/>
              <w:szCs w:val="24"/>
              <w:lang w:eastAsia="en-GB"/>
              <w14:ligatures w14:val="standardContextual"/>
            </w:rPr>
          </w:pPr>
          <w:hyperlink w:anchor="_Toc228460174" w:history="1">
            <w:r w:rsidRPr="00440E6A">
              <w:rPr>
                <w:rStyle w:val="Hyperlink"/>
                <w:b/>
                <w:bCs/>
                <w:noProof/>
              </w:rPr>
              <w:t>3.5 DEI Practices</w:t>
            </w:r>
            <w:r>
              <w:rPr>
                <w:noProof/>
                <w:webHidden/>
              </w:rPr>
              <w:tab/>
            </w:r>
            <w:r>
              <w:rPr>
                <w:noProof/>
                <w:webHidden/>
              </w:rPr>
              <w:fldChar w:fldCharType="begin"/>
            </w:r>
            <w:r>
              <w:rPr>
                <w:noProof/>
                <w:webHidden/>
              </w:rPr>
              <w:instrText xml:space="preserve"> PAGEREF _Toc228460174 \h </w:instrText>
            </w:r>
            <w:r>
              <w:rPr>
                <w:noProof/>
                <w:webHidden/>
              </w:rPr>
            </w:r>
            <w:r>
              <w:rPr>
                <w:noProof/>
                <w:webHidden/>
              </w:rPr>
              <w:fldChar w:fldCharType="separate"/>
            </w:r>
            <w:r>
              <w:rPr>
                <w:noProof/>
                <w:webHidden/>
              </w:rPr>
              <w:t>8</w:t>
            </w:r>
            <w:r>
              <w:rPr>
                <w:noProof/>
                <w:webHidden/>
              </w:rPr>
              <w:fldChar w:fldCharType="end"/>
            </w:r>
          </w:hyperlink>
        </w:p>
        <w:p w14:paraId="0CA0B0C4" w14:textId="475DE222" w:rsidR="00A2412A" w:rsidRDefault="00A2412A">
          <w:pPr>
            <w:pStyle w:val="TOC1"/>
            <w:tabs>
              <w:tab w:val="right" w:leader="dot" w:pos="9345"/>
            </w:tabs>
            <w:rPr>
              <w:rFonts w:asciiTheme="minorHAnsi" w:hAnsiTheme="minorHAnsi"/>
              <w:noProof/>
              <w:kern w:val="2"/>
              <w:sz w:val="24"/>
              <w:szCs w:val="24"/>
              <w:lang w:eastAsia="en-GB"/>
              <w14:ligatures w14:val="standardContextual"/>
            </w:rPr>
          </w:pPr>
          <w:hyperlink w:anchor="_Toc228460175" w:history="1">
            <w:r w:rsidRPr="00440E6A">
              <w:rPr>
                <w:rStyle w:val="Hyperlink"/>
                <w:b/>
                <w:bCs/>
                <w:noProof/>
              </w:rPr>
              <w:t>4. Critical Evaluation: Role of Managers</w:t>
            </w:r>
            <w:r>
              <w:rPr>
                <w:noProof/>
                <w:webHidden/>
              </w:rPr>
              <w:tab/>
            </w:r>
            <w:r>
              <w:rPr>
                <w:noProof/>
                <w:webHidden/>
              </w:rPr>
              <w:fldChar w:fldCharType="begin"/>
            </w:r>
            <w:r>
              <w:rPr>
                <w:noProof/>
                <w:webHidden/>
              </w:rPr>
              <w:instrText xml:space="preserve"> PAGEREF _Toc228460175 \h </w:instrText>
            </w:r>
            <w:r>
              <w:rPr>
                <w:noProof/>
                <w:webHidden/>
              </w:rPr>
            </w:r>
            <w:r>
              <w:rPr>
                <w:noProof/>
                <w:webHidden/>
              </w:rPr>
              <w:fldChar w:fldCharType="separate"/>
            </w:r>
            <w:r>
              <w:rPr>
                <w:noProof/>
                <w:webHidden/>
              </w:rPr>
              <w:t>8</w:t>
            </w:r>
            <w:r>
              <w:rPr>
                <w:noProof/>
                <w:webHidden/>
              </w:rPr>
              <w:fldChar w:fldCharType="end"/>
            </w:r>
          </w:hyperlink>
        </w:p>
        <w:p w14:paraId="0BA9F6B2" w14:textId="13712A51" w:rsidR="00A2412A" w:rsidRDefault="00A2412A">
          <w:pPr>
            <w:pStyle w:val="TOC1"/>
            <w:tabs>
              <w:tab w:val="right" w:leader="dot" w:pos="9345"/>
            </w:tabs>
            <w:rPr>
              <w:rFonts w:asciiTheme="minorHAnsi" w:hAnsiTheme="minorHAnsi"/>
              <w:noProof/>
              <w:kern w:val="2"/>
              <w:sz w:val="24"/>
              <w:szCs w:val="24"/>
              <w:lang w:eastAsia="en-GB"/>
              <w14:ligatures w14:val="standardContextual"/>
            </w:rPr>
          </w:pPr>
          <w:hyperlink w:anchor="_Toc228460176" w:history="1">
            <w:r w:rsidRPr="00440E6A">
              <w:rPr>
                <w:rStyle w:val="Hyperlink"/>
                <w:b/>
                <w:bCs/>
                <w:noProof/>
              </w:rPr>
              <w:t>5. Conclusion</w:t>
            </w:r>
            <w:r>
              <w:rPr>
                <w:noProof/>
                <w:webHidden/>
              </w:rPr>
              <w:tab/>
            </w:r>
            <w:r>
              <w:rPr>
                <w:noProof/>
                <w:webHidden/>
              </w:rPr>
              <w:fldChar w:fldCharType="begin"/>
            </w:r>
            <w:r>
              <w:rPr>
                <w:noProof/>
                <w:webHidden/>
              </w:rPr>
              <w:instrText xml:space="preserve"> PAGEREF _Toc228460176 \h </w:instrText>
            </w:r>
            <w:r>
              <w:rPr>
                <w:noProof/>
                <w:webHidden/>
              </w:rPr>
            </w:r>
            <w:r>
              <w:rPr>
                <w:noProof/>
                <w:webHidden/>
              </w:rPr>
              <w:fldChar w:fldCharType="separate"/>
            </w:r>
            <w:r>
              <w:rPr>
                <w:noProof/>
                <w:webHidden/>
              </w:rPr>
              <w:t>9</w:t>
            </w:r>
            <w:r>
              <w:rPr>
                <w:noProof/>
                <w:webHidden/>
              </w:rPr>
              <w:fldChar w:fldCharType="end"/>
            </w:r>
          </w:hyperlink>
        </w:p>
        <w:p w14:paraId="1269B394" w14:textId="4B4D8B23" w:rsidR="00A2412A" w:rsidRDefault="00A2412A">
          <w:pPr>
            <w:pStyle w:val="TOC1"/>
            <w:tabs>
              <w:tab w:val="right" w:leader="dot" w:pos="9345"/>
            </w:tabs>
            <w:rPr>
              <w:rFonts w:asciiTheme="minorHAnsi" w:hAnsiTheme="minorHAnsi"/>
              <w:noProof/>
              <w:kern w:val="2"/>
              <w:sz w:val="24"/>
              <w:szCs w:val="24"/>
              <w:lang w:eastAsia="en-GB"/>
              <w14:ligatures w14:val="standardContextual"/>
            </w:rPr>
          </w:pPr>
          <w:hyperlink w:anchor="_Toc228460177" w:history="1">
            <w:r w:rsidRPr="00440E6A">
              <w:rPr>
                <w:rStyle w:val="Hyperlink"/>
                <w:b/>
                <w:bCs/>
                <w:noProof/>
              </w:rPr>
              <w:t>6. Recommendations</w:t>
            </w:r>
            <w:r>
              <w:rPr>
                <w:noProof/>
                <w:webHidden/>
              </w:rPr>
              <w:tab/>
            </w:r>
            <w:r>
              <w:rPr>
                <w:noProof/>
                <w:webHidden/>
              </w:rPr>
              <w:fldChar w:fldCharType="begin"/>
            </w:r>
            <w:r>
              <w:rPr>
                <w:noProof/>
                <w:webHidden/>
              </w:rPr>
              <w:instrText xml:space="preserve"> PAGEREF _Toc228460177 \h </w:instrText>
            </w:r>
            <w:r>
              <w:rPr>
                <w:noProof/>
                <w:webHidden/>
              </w:rPr>
            </w:r>
            <w:r>
              <w:rPr>
                <w:noProof/>
                <w:webHidden/>
              </w:rPr>
              <w:fldChar w:fldCharType="separate"/>
            </w:r>
            <w:r>
              <w:rPr>
                <w:noProof/>
                <w:webHidden/>
              </w:rPr>
              <w:t>10</w:t>
            </w:r>
            <w:r>
              <w:rPr>
                <w:noProof/>
                <w:webHidden/>
              </w:rPr>
              <w:fldChar w:fldCharType="end"/>
            </w:r>
          </w:hyperlink>
        </w:p>
        <w:p w14:paraId="7C1AEEFB" w14:textId="36D6DC76" w:rsidR="00A2412A" w:rsidRDefault="00A2412A">
          <w:pPr>
            <w:pStyle w:val="TOC1"/>
            <w:tabs>
              <w:tab w:val="right" w:leader="dot" w:pos="9345"/>
            </w:tabs>
            <w:rPr>
              <w:rFonts w:asciiTheme="minorHAnsi" w:hAnsiTheme="minorHAnsi"/>
              <w:noProof/>
              <w:kern w:val="2"/>
              <w:sz w:val="24"/>
              <w:szCs w:val="24"/>
              <w:lang w:eastAsia="en-GB"/>
              <w14:ligatures w14:val="standardContextual"/>
            </w:rPr>
          </w:pPr>
          <w:hyperlink w:anchor="_Toc228460178" w:history="1">
            <w:r w:rsidRPr="00440E6A">
              <w:rPr>
                <w:rStyle w:val="Hyperlink"/>
                <w:b/>
                <w:bCs/>
                <w:noProof/>
              </w:rPr>
              <w:t>7. References</w:t>
            </w:r>
            <w:r>
              <w:rPr>
                <w:noProof/>
                <w:webHidden/>
              </w:rPr>
              <w:tab/>
            </w:r>
            <w:r>
              <w:rPr>
                <w:noProof/>
                <w:webHidden/>
              </w:rPr>
              <w:fldChar w:fldCharType="begin"/>
            </w:r>
            <w:r>
              <w:rPr>
                <w:noProof/>
                <w:webHidden/>
              </w:rPr>
              <w:instrText xml:space="preserve"> PAGEREF _Toc228460178 \h </w:instrText>
            </w:r>
            <w:r>
              <w:rPr>
                <w:noProof/>
                <w:webHidden/>
              </w:rPr>
            </w:r>
            <w:r>
              <w:rPr>
                <w:noProof/>
                <w:webHidden/>
              </w:rPr>
              <w:fldChar w:fldCharType="separate"/>
            </w:r>
            <w:r>
              <w:rPr>
                <w:noProof/>
                <w:webHidden/>
              </w:rPr>
              <w:t>11</w:t>
            </w:r>
            <w:r>
              <w:rPr>
                <w:noProof/>
                <w:webHidden/>
              </w:rPr>
              <w:fldChar w:fldCharType="end"/>
            </w:r>
          </w:hyperlink>
        </w:p>
        <w:p w14:paraId="460EA007" w14:textId="304F188F" w:rsidR="00590285" w:rsidRDefault="00590285">
          <w:r>
            <w:rPr>
              <w:b/>
              <w:bCs/>
            </w:rPr>
            <w:fldChar w:fldCharType="end"/>
          </w:r>
        </w:p>
      </w:sdtContent>
    </w:sdt>
    <w:p w14:paraId="4FD09B1F" w14:textId="77777777" w:rsidR="009F4DBD" w:rsidRDefault="009F4DBD" w:rsidP="009F4DBD">
      <w:pPr>
        <w:spacing w:line="360" w:lineRule="auto"/>
        <w:rPr>
          <w:rFonts w:cs="Arial"/>
          <w:sz w:val="24"/>
          <w:szCs w:val="24"/>
        </w:rPr>
      </w:pPr>
    </w:p>
    <w:p w14:paraId="5D0B3B45" w14:textId="77777777" w:rsidR="009F4DBD" w:rsidRDefault="009F4DBD" w:rsidP="009F4DBD">
      <w:pPr>
        <w:spacing w:line="360" w:lineRule="auto"/>
        <w:rPr>
          <w:rFonts w:cs="Arial"/>
          <w:sz w:val="24"/>
          <w:szCs w:val="24"/>
        </w:rPr>
      </w:pPr>
    </w:p>
    <w:p w14:paraId="420DCE17" w14:textId="77777777" w:rsidR="009F4DBD" w:rsidRDefault="009F4DBD" w:rsidP="009F4DBD">
      <w:pPr>
        <w:spacing w:line="360" w:lineRule="auto"/>
        <w:rPr>
          <w:rFonts w:cs="Arial"/>
          <w:sz w:val="24"/>
          <w:szCs w:val="24"/>
        </w:rPr>
      </w:pPr>
    </w:p>
    <w:p w14:paraId="1B00EC2B" w14:textId="77777777" w:rsidR="009F4DBD" w:rsidRDefault="009F4DBD" w:rsidP="009F4DBD">
      <w:pPr>
        <w:spacing w:line="360" w:lineRule="auto"/>
        <w:rPr>
          <w:rFonts w:cs="Arial"/>
          <w:sz w:val="24"/>
          <w:szCs w:val="24"/>
        </w:rPr>
      </w:pPr>
    </w:p>
    <w:p w14:paraId="78EBA0FA" w14:textId="77777777" w:rsidR="009F4DBD" w:rsidRDefault="009F4DBD" w:rsidP="009F4DBD">
      <w:pPr>
        <w:spacing w:line="360" w:lineRule="auto"/>
        <w:rPr>
          <w:rFonts w:cs="Arial"/>
          <w:sz w:val="24"/>
          <w:szCs w:val="24"/>
        </w:rPr>
      </w:pPr>
    </w:p>
    <w:p w14:paraId="3C2E40F8" w14:textId="77777777" w:rsidR="009F4DBD" w:rsidRDefault="009F4DBD" w:rsidP="009F4DBD">
      <w:pPr>
        <w:spacing w:line="360" w:lineRule="auto"/>
        <w:rPr>
          <w:rFonts w:cs="Arial"/>
          <w:sz w:val="24"/>
          <w:szCs w:val="24"/>
        </w:rPr>
      </w:pPr>
    </w:p>
    <w:p w14:paraId="0AFCD76E" w14:textId="77777777" w:rsidR="009F4DBD" w:rsidRDefault="009F4DBD" w:rsidP="009F4DBD">
      <w:pPr>
        <w:spacing w:line="360" w:lineRule="auto"/>
        <w:rPr>
          <w:rFonts w:cs="Arial"/>
          <w:sz w:val="24"/>
          <w:szCs w:val="24"/>
        </w:rPr>
      </w:pPr>
    </w:p>
    <w:p w14:paraId="7E6FF6AA" w14:textId="77777777" w:rsidR="009F4DBD" w:rsidRDefault="009F4DBD" w:rsidP="009F4DBD">
      <w:pPr>
        <w:spacing w:line="360" w:lineRule="auto"/>
        <w:rPr>
          <w:rFonts w:cs="Arial"/>
          <w:sz w:val="24"/>
          <w:szCs w:val="24"/>
        </w:rPr>
      </w:pPr>
    </w:p>
    <w:p w14:paraId="6235C77A" w14:textId="77777777" w:rsidR="005934E4" w:rsidRDefault="005934E4" w:rsidP="009F4DBD">
      <w:pPr>
        <w:spacing w:line="360" w:lineRule="auto"/>
        <w:rPr>
          <w:rFonts w:cs="Arial"/>
          <w:sz w:val="24"/>
          <w:szCs w:val="24"/>
        </w:rPr>
      </w:pPr>
    </w:p>
    <w:p w14:paraId="5B0867A3" w14:textId="77777777" w:rsidR="009F4DBD" w:rsidRDefault="009F4DBD" w:rsidP="009F4DBD">
      <w:pPr>
        <w:pStyle w:val="Heading1"/>
        <w:rPr>
          <w:b/>
          <w:bCs/>
        </w:rPr>
      </w:pPr>
    </w:p>
    <w:p w14:paraId="699AB84F" w14:textId="77777777" w:rsidR="005934E4" w:rsidRDefault="005934E4" w:rsidP="005934E4"/>
    <w:p w14:paraId="0C29A9AD" w14:textId="77777777" w:rsidR="005934E4" w:rsidRPr="005934E4" w:rsidRDefault="005934E4" w:rsidP="005934E4"/>
    <w:p w14:paraId="63F04718" w14:textId="34632828" w:rsidR="00292246" w:rsidRPr="009F4DBD" w:rsidRDefault="00292246" w:rsidP="009F4DBD">
      <w:pPr>
        <w:pStyle w:val="Heading1"/>
        <w:rPr>
          <w:b/>
          <w:bCs/>
        </w:rPr>
      </w:pPr>
      <w:bookmarkStart w:id="0" w:name="_Toc228460164"/>
      <w:r w:rsidRPr="009F4DBD">
        <w:rPr>
          <w:b/>
          <w:bCs/>
        </w:rPr>
        <w:lastRenderedPageBreak/>
        <w:t>1. Introduction</w:t>
      </w:r>
      <w:bookmarkEnd w:id="0"/>
    </w:p>
    <w:p w14:paraId="4A47F349" w14:textId="10CBCD8F" w:rsidR="00347B28" w:rsidRPr="00A97425" w:rsidRDefault="00292246" w:rsidP="00347B28">
      <w:pPr>
        <w:spacing w:line="360" w:lineRule="auto"/>
        <w:rPr>
          <w:rFonts w:cs="Arial"/>
          <w:sz w:val="24"/>
          <w:szCs w:val="24"/>
        </w:rPr>
      </w:pPr>
      <w:r w:rsidRPr="002E5152">
        <w:rPr>
          <w:rFonts w:cs="Arial"/>
          <w:sz w:val="24"/>
          <w:szCs w:val="24"/>
        </w:rPr>
        <w:t xml:space="preserve"> </w:t>
      </w:r>
      <w:r w:rsidR="00347B28" w:rsidRPr="00A97425">
        <w:rPr>
          <w:rFonts w:cs="Arial"/>
          <w:sz w:val="24"/>
          <w:szCs w:val="24"/>
        </w:rPr>
        <w:t xml:space="preserve">This report </w:t>
      </w:r>
      <w:r w:rsidR="0002647F" w:rsidRPr="0002647F">
        <w:rPr>
          <w:rFonts w:cs="Arial"/>
          <w:sz w:val="24"/>
          <w:szCs w:val="24"/>
        </w:rPr>
        <w:t>explores</w:t>
      </w:r>
      <w:r w:rsidR="00347B28" w:rsidRPr="00A97425">
        <w:rPr>
          <w:rFonts w:cs="Arial"/>
          <w:sz w:val="24"/>
          <w:szCs w:val="24"/>
        </w:rPr>
        <w:t xml:space="preserve"> key Human Resource Management (HRM) challenges faced by IKEA UK and evaluates how the organisation responds to them through contemporary HR practices. IKEA is a global retail company recognised for its strong values, collaborative culture and people</w:t>
      </w:r>
      <w:r w:rsidR="00347B28" w:rsidRPr="00A97425">
        <w:rPr>
          <w:rFonts w:cs="Arial"/>
          <w:sz w:val="24"/>
          <w:szCs w:val="24"/>
        </w:rPr>
        <w:noBreakHyphen/>
        <w:t>centred approach to work (IKEA, 2024). As part of the People Planning &amp; Resource function, I regularly observe how HR decisions influence scheduling, forecasting, recruitment support and the overall employee experience. This operational perspective provides valuable insight into how HR theories translate into real workplace situations.</w:t>
      </w:r>
    </w:p>
    <w:p w14:paraId="454D1C00" w14:textId="77777777" w:rsidR="00347B28" w:rsidRPr="00A97425" w:rsidRDefault="00347B28" w:rsidP="00347B28">
      <w:pPr>
        <w:spacing w:line="360" w:lineRule="auto"/>
        <w:rPr>
          <w:rFonts w:cs="Arial"/>
          <w:sz w:val="24"/>
          <w:szCs w:val="24"/>
        </w:rPr>
      </w:pPr>
      <w:r w:rsidRPr="00A97425">
        <w:rPr>
          <w:rFonts w:cs="Arial"/>
          <w:sz w:val="24"/>
          <w:szCs w:val="24"/>
        </w:rPr>
        <w:t>The retail sector in the UK is highly dynamic, shaped by rapid technological change, labour shortages, increasing customer expectations and growing emphasis on Diversity, Equity and Inclusion (DEI). These external pressures require HR teams to remain flexible, strategic and responsive. For IKEA UK, three major HR challenges stand out: technological advancement, attracting and retaining staff, and ensuring strong DEI practices. Each of these challenges directly affects employee motivation, performance, engagement and long</w:t>
      </w:r>
      <w:r w:rsidRPr="00A97425">
        <w:rPr>
          <w:rFonts w:cs="Arial"/>
          <w:sz w:val="24"/>
          <w:szCs w:val="24"/>
        </w:rPr>
        <w:noBreakHyphen/>
        <w:t>term organisational success.</w:t>
      </w:r>
    </w:p>
    <w:p w14:paraId="575B2653" w14:textId="1E847603" w:rsidR="00CB64B5" w:rsidRPr="00A97425" w:rsidRDefault="005B5B23" w:rsidP="00347B28">
      <w:pPr>
        <w:spacing w:line="360" w:lineRule="auto"/>
        <w:rPr>
          <w:rFonts w:cs="Arial"/>
          <w:sz w:val="24"/>
          <w:szCs w:val="24"/>
        </w:rPr>
      </w:pPr>
      <w:r w:rsidRPr="005B5B23">
        <w:rPr>
          <w:rFonts w:cs="Arial"/>
          <w:sz w:val="24"/>
          <w:szCs w:val="24"/>
        </w:rPr>
        <w:t>To examine these challenges, the report refers to several foundational HR and motivation theories, including Maslow’s model of human needs, Herzberg’s distinction between hygiene factors and motivators, Vroom’s expectancy-based approach, principles of equity, and insights from the Hawthorne studies.</w:t>
      </w:r>
      <w:r>
        <w:rPr>
          <w:rFonts w:cs="Arial"/>
          <w:sz w:val="24"/>
          <w:szCs w:val="24"/>
        </w:rPr>
        <w:t xml:space="preserve"> </w:t>
      </w:r>
      <w:r w:rsidR="00347B28" w:rsidRPr="00A97425">
        <w:rPr>
          <w:rFonts w:cs="Arial"/>
          <w:sz w:val="24"/>
          <w:szCs w:val="24"/>
        </w:rPr>
        <w:t>These theories help explain employee behaviour and provide a framework for evaluating how effectively IKEA’s HR practices address current challenges. By combining academic theory with practical workplace experience, the report aims to provide a balanced and realistic understanding of HRM at IKEA UK.</w:t>
      </w:r>
    </w:p>
    <w:p w14:paraId="398421BF" w14:textId="5EDA1CEF" w:rsidR="00292246" w:rsidRPr="002E5152" w:rsidRDefault="00292246" w:rsidP="002E5152">
      <w:pPr>
        <w:pStyle w:val="Heading1"/>
        <w:rPr>
          <w:b/>
          <w:bCs/>
        </w:rPr>
      </w:pPr>
      <w:bookmarkStart w:id="1" w:name="_Toc228460165"/>
      <w:r w:rsidRPr="002E5152">
        <w:rPr>
          <w:b/>
          <w:bCs/>
        </w:rPr>
        <w:t>2. Key HR Challenges in IKEA UK</w:t>
      </w:r>
      <w:bookmarkEnd w:id="1"/>
    </w:p>
    <w:p w14:paraId="1D0F5EED" w14:textId="77777777" w:rsidR="00292246" w:rsidRPr="00ED5D36" w:rsidRDefault="00292246" w:rsidP="00ED5D36">
      <w:pPr>
        <w:pStyle w:val="Heading2"/>
        <w:rPr>
          <w:b/>
          <w:bCs/>
        </w:rPr>
      </w:pPr>
      <w:bookmarkStart w:id="2" w:name="_Toc228460166"/>
      <w:r w:rsidRPr="00ED5D36">
        <w:rPr>
          <w:b/>
          <w:bCs/>
        </w:rPr>
        <w:t>2.1 Technological Advancement</w:t>
      </w:r>
      <w:bookmarkEnd w:id="2"/>
    </w:p>
    <w:p w14:paraId="31B2E40B" w14:textId="1C52898B" w:rsidR="00185599" w:rsidRPr="00185599" w:rsidRDefault="00A33951" w:rsidP="00185599">
      <w:pPr>
        <w:spacing w:line="360" w:lineRule="auto"/>
        <w:rPr>
          <w:rFonts w:cs="Arial"/>
          <w:sz w:val="24"/>
          <w:szCs w:val="24"/>
        </w:rPr>
      </w:pPr>
      <w:r w:rsidRPr="00A33951">
        <w:rPr>
          <w:rFonts w:cs="Arial"/>
          <w:sz w:val="24"/>
          <w:szCs w:val="24"/>
        </w:rPr>
        <w:t>Technological development has become a major HR challenge for IKEA UK</w:t>
      </w:r>
      <w:r w:rsidR="00185599" w:rsidRPr="00185599">
        <w:rPr>
          <w:rFonts w:cs="Arial"/>
          <w:sz w:val="24"/>
          <w:szCs w:val="24"/>
        </w:rPr>
        <w:t xml:space="preserve">, particularly as the organisation continues to digitalise its workforce planning, scheduling and recruitment processes. In daily operations, digital tools such as forecasting systems, electronic scheduling platforms and online recruitment portals are used to optimise labour planning and improve accuracy. These systems help managers match staffing levels with customer flow, reduce manual errors and support more efficient </w:t>
      </w:r>
      <w:r w:rsidR="00185599" w:rsidRPr="00185599">
        <w:rPr>
          <w:rFonts w:cs="Arial"/>
          <w:sz w:val="24"/>
          <w:szCs w:val="24"/>
        </w:rPr>
        <w:lastRenderedPageBreak/>
        <w:t>decision</w:t>
      </w:r>
      <w:r w:rsidR="00185599" w:rsidRPr="00185599">
        <w:rPr>
          <w:rFonts w:cs="Arial"/>
          <w:sz w:val="24"/>
          <w:szCs w:val="24"/>
        </w:rPr>
        <w:noBreakHyphen/>
        <w:t>making. However, they also require employees and managers to continuously develop digital confidence and adapt to new ways of working.</w:t>
      </w:r>
    </w:p>
    <w:p w14:paraId="46EF2EA0" w14:textId="1142EB27" w:rsidR="00185599" w:rsidRDefault="0003733B" w:rsidP="00185599">
      <w:pPr>
        <w:spacing w:line="360" w:lineRule="auto"/>
        <w:rPr>
          <w:rFonts w:cs="Arial"/>
          <w:sz w:val="24"/>
          <w:szCs w:val="24"/>
        </w:rPr>
      </w:pPr>
      <w:r w:rsidRPr="0003733B">
        <w:rPr>
          <w:rFonts w:cs="Arial"/>
          <w:sz w:val="24"/>
          <w:szCs w:val="24"/>
        </w:rPr>
        <w:t>Noe (2020) emphasises that ongoing learning is crucial for employees to remain effective during periods of technological change. Without adequate preparation, new systems can create uncertainty or resistance. Maslow’s theory suggests that employees need a sense of stability before they can focus on developing new skills. This is evident in IKEA stores, where some employees adapt quickly, while others require additional guidance and reassurance.</w:t>
      </w:r>
      <w:r w:rsidRPr="0003733B">
        <w:rPr>
          <w:rFonts w:cs="Arial"/>
          <w:sz w:val="24"/>
          <w:szCs w:val="24"/>
        </w:rPr>
        <w:br/>
        <w:t>Vroom’s expectancy perspective also helps explain behaviour: employees are more willing to engage with new tools when they believe their effort will genuinely improve their work experience, such as simplifying scheduling or reducing workload</w:t>
      </w:r>
      <w:r w:rsidR="00185599" w:rsidRPr="00185599">
        <w:rPr>
          <w:rFonts w:cs="Arial"/>
          <w:sz w:val="24"/>
          <w:szCs w:val="24"/>
        </w:rPr>
        <w:t>.</w:t>
      </w:r>
    </w:p>
    <w:p w14:paraId="01B25D75" w14:textId="316B5A17" w:rsidR="00572992" w:rsidRPr="00185599" w:rsidRDefault="00572992" w:rsidP="00185599">
      <w:pPr>
        <w:spacing w:line="360" w:lineRule="auto"/>
        <w:rPr>
          <w:rFonts w:cs="Arial"/>
          <w:sz w:val="24"/>
          <w:szCs w:val="24"/>
        </w:rPr>
      </w:pPr>
      <w:r w:rsidRPr="00572992">
        <w:rPr>
          <w:rFonts w:cs="Arial"/>
          <w:sz w:val="24"/>
          <w:szCs w:val="24"/>
        </w:rPr>
        <w:t>In practice, managers also play a key role in reviewing draft schedules generated from forecasting tools. If the proposed staffing levels do not match operational expectations, managers must provide feedback to People Planning Specialists to ensure the forecast reflects real business needs</w:t>
      </w:r>
      <w:r w:rsidR="008B4423">
        <w:rPr>
          <w:rFonts w:cs="Arial"/>
          <w:sz w:val="24"/>
          <w:szCs w:val="24"/>
        </w:rPr>
        <w:t>.</w:t>
      </w:r>
    </w:p>
    <w:p w14:paraId="60DC8C83" w14:textId="77777777" w:rsidR="00185599" w:rsidRPr="00185599" w:rsidRDefault="00185599" w:rsidP="00185599">
      <w:pPr>
        <w:spacing w:line="360" w:lineRule="auto"/>
        <w:rPr>
          <w:rFonts w:cs="Arial"/>
          <w:sz w:val="24"/>
          <w:szCs w:val="24"/>
        </w:rPr>
      </w:pPr>
      <w:r w:rsidRPr="00185599">
        <w:rPr>
          <w:rFonts w:cs="Arial"/>
          <w:sz w:val="24"/>
          <w:szCs w:val="24"/>
        </w:rPr>
        <w:t>Technological change also affects job roles. HR must regularly update job descriptions and person specifications to reflect digital competencies, such as system navigation, data accuracy and online communication. If these updates are not aligned with operational reality, recruitment becomes less accurate and turnover may increase.</w:t>
      </w:r>
    </w:p>
    <w:p w14:paraId="1D3F6C74" w14:textId="63F9AE1D" w:rsidR="00292246" w:rsidRPr="00185599" w:rsidRDefault="00185599" w:rsidP="00185599">
      <w:pPr>
        <w:spacing w:line="360" w:lineRule="auto"/>
        <w:rPr>
          <w:rFonts w:cs="Arial"/>
          <w:sz w:val="24"/>
          <w:szCs w:val="24"/>
        </w:rPr>
      </w:pPr>
      <w:r w:rsidRPr="00185599">
        <w:rPr>
          <w:rFonts w:cs="Arial"/>
          <w:sz w:val="24"/>
          <w:szCs w:val="24"/>
        </w:rPr>
        <w:t>Overall, technological advancement offers significant opportunities for efficiency and improved employee experience, but it also requires strong training, clear communication and consistent managerial support. Without these elements, digital transformation can create stress rather than progress.</w:t>
      </w:r>
    </w:p>
    <w:p w14:paraId="25304E2C" w14:textId="68D81880" w:rsidR="00292246" w:rsidRPr="00FB6AFE" w:rsidRDefault="00292246" w:rsidP="00FB6AFE">
      <w:pPr>
        <w:pStyle w:val="Heading2"/>
        <w:rPr>
          <w:b/>
          <w:bCs/>
        </w:rPr>
      </w:pPr>
      <w:bookmarkStart w:id="3" w:name="_Toc228460167"/>
      <w:r w:rsidRPr="00FB6AFE">
        <w:rPr>
          <w:b/>
          <w:bCs/>
        </w:rPr>
        <w:t xml:space="preserve">2.2 </w:t>
      </w:r>
      <w:r w:rsidR="009F6D23" w:rsidRPr="009F6D23">
        <w:rPr>
          <w:b/>
          <w:bCs/>
        </w:rPr>
        <w:t>Attracting and Retaining Staff.</w:t>
      </w:r>
      <w:bookmarkEnd w:id="3"/>
    </w:p>
    <w:p w14:paraId="7C552CCC" w14:textId="4C20AAF4" w:rsidR="00827F3B" w:rsidRPr="00827F3B" w:rsidRDefault="00827F3B" w:rsidP="00827F3B">
      <w:pPr>
        <w:spacing w:line="360" w:lineRule="auto"/>
        <w:rPr>
          <w:rFonts w:cs="Arial"/>
          <w:sz w:val="24"/>
          <w:szCs w:val="24"/>
        </w:rPr>
      </w:pPr>
      <w:r w:rsidRPr="00827F3B">
        <w:rPr>
          <w:rFonts w:cs="Arial"/>
          <w:sz w:val="24"/>
          <w:szCs w:val="24"/>
        </w:rPr>
        <w:t>Attracting and retaining staff remains a major HR challenge for IKEA UK, particularly within the competitive UK retail labour market. Retail roles often experience high turnover due to irregular working hours, physically demanding tasks and the availability of alternative employment options. As a result, IKEA must continuously strengthen its recruitment and retention strategies to ensure a stable and motivated workforce.</w:t>
      </w:r>
    </w:p>
    <w:p w14:paraId="6AA47FD9" w14:textId="77777777" w:rsidR="00827F3B" w:rsidRPr="00827F3B" w:rsidRDefault="00827F3B" w:rsidP="00827F3B">
      <w:pPr>
        <w:spacing w:line="360" w:lineRule="auto"/>
        <w:rPr>
          <w:rFonts w:cs="Arial"/>
          <w:sz w:val="24"/>
          <w:szCs w:val="24"/>
        </w:rPr>
      </w:pPr>
      <w:r w:rsidRPr="00827F3B">
        <w:rPr>
          <w:rFonts w:cs="Arial"/>
          <w:sz w:val="24"/>
          <w:szCs w:val="24"/>
        </w:rPr>
        <w:t xml:space="preserve">IKEA places strong emphasis on hiring individuals who align with its core values, such as togetherness, simplicity and caring for people. The recruitment process typically includes job analysis, clear job descriptions, person specifications and structured </w:t>
      </w:r>
      <w:r w:rsidRPr="00827F3B">
        <w:rPr>
          <w:rFonts w:cs="Arial"/>
          <w:sz w:val="24"/>
          <w:szCs w:val="24"/>
        </w:rPr>
        <w:lastRenderedPageBreak/>
        <w:t>interviews designed to assess both skills and cultural fit. However, even with a well</w:t>
      </w:r>
      <w:r w:rsidRPr="00827F3B">
        <w:rPr>
          <w:rFonts w:cs="Arial"/>
          <w:sz w:val="24"/>
          <w:szCs w:val="24"/>
        </w:rPr>
        <w:noBreakHyphen/>
        <w:t>designed process, early turnover can still occur when job expectations do not fully match the reality of the role. This is particularly visible in operational departments, where new employees may underestimate the physical demands or the pace of the store environment.</w:t>
      </w:r>
    </w:p>
    <w:p w14:paraId="43C99DD8" w14:textId="4516B432" w:rsidR="00827F3B" w:rsidRPr="00827F3B" w:rsidRDefault="00405617" w:rsidP="00827F3B">
      <w:pPr>
        <w:spacing w:line="360" w:lineRule="auto"/>
        <w:rPr>
          <w:rFonts w:cs="Arial"/>
          <w:sz w:val="24"/>
          <w:szCs w:val="24"/>
        </w:rPr>
      </w:pPr>
      <w:r w:rsidRPr="00405617">
        <w:rPr>
          <w:rFonts w:cs="Arial"/>
          <w:sz w:val="24"/>
          <w:szCs w:val="24"/>
        </w:rPr>
        <w:t>Herzberg’s Two</w:t>
      </w:r>
      <w:r w:rsidRPr="00405617">
        <w:rPr>
          <w:rFonts w:cs="Arial"/>
          <w:sz w:val="24"/>
          <w:szCs w:val="24"/>
        </w:rPr>
        <w:noBreakHyphen/>
        <w:t>Factor Theory (1959) suggests that elements such as pay, working conditions and job stability must be adequate to prevent dissatisfaction, while long</w:t>
      </w:r>
      <w:r w:rsidRPr="00405617">
        <w:rPr>
          <w:rFonts w:cs="Arial"/>
          <w:sz w:val="24"/>
          <w:szCs w:val="24"/>
        </w:rPr>
        <w:noBreakHyphen/>
        <w:t>term motivation depends on factors like recognition, development opportunities and meaningful tasks. IKEA supports retention by offering structured learning pathways, internal mobility and cross</w:t>
      </w:r>
      <w:r w:rsidRPr="00405617">
        <w:rPr>
          <w:rFonts w:cs="Arial"/>
          <w:sz w:val="24"/>
          <w:szCs w:val="24"/>
        </w:rPr>
        <w:noBreakHyphen/>
        <w:t>departmental experience, helping employees build confidence and see clear career progression</w:t>
      </w:r>
      <w:r w:rsidR="00827F3B" w:rsidRPr="00827F3B">
        <w:rPr>
          <w:rFonts w:cs="Arial"/>
          <w:sz w:val="24"/>
          <w:szCs w:val="24"/>
        </w:rPr>
        <w:t>.</w:t>
      </w:r>
    </w:p>
    <w:p w14:paraId="28B94488" w14:textId="77777777" w:rsidR="00827F3B" w:rsidRPr="00827F3B" w:rsidRDefault="00827F3B" w:rsidP="00827F3B">
      <w:pPr>
        <w:spacing w:line="360" w:lineRule="auto"/>
        <w:rPr>
          <w:rFonts w:cs="Arial"/>
          <w:sz w:val="24"/>
          <w:szCs w:val="24"/>
        </w:rPr>
      </w:pPr>
      <w:r w:rsidRPr="00827F3B">
        <w:rPr>
          <w:rFonts w:cs="Arial"/>
          <w:sz w:val="24"/>
          <w:szCs w:val="24"/>
        </w:rPr>
        <w:t>The Hawthorne Effect (Mayo, 1933) also applies: employees perform better when they feel valued and supported. In practice, positive communication, regular check</w:t>
      </w:r>
      <w:r w:rsidRPr="00827F3B">
        <w:rPr>
          <w:rFonts w:cs="Arial"/>
          <w:sz w:val="24"/>
          <w:szCs w:val="24"/>
        </w:rPr>
        <w:noBreakHyphen/>
        <w:t>ins and supportive leadership significantly improve engagement and reduce turnover. However, inconsistent management styles, workload pressures and limited clarity around career progression can still negatively impact retention.</w:t>
      </w:r>
    </w:p>
    <w:p w14:paraId="37881E18" w14:textId="2636553E" w:rsidR="00292246" w:rsidRPr="00827F3B" w:rsidRDefault="00827F3B" w:rsidP="00827F3B">
      <w:pPr>
        <w:spacing w:line="360" w:lineRule="auto"/>
        <w:rPr>
          <w:rFonts w:cs="Arial"/>
          <w:sz w:val="24"/>
          <w:szCs w:val="24"/>
        </w:rPr>
      </w:pPr>
      <w:r w:rsidRPr="00827F3B">
        <w:rPr>
          <w:rFonts w:cs="Arial"/>
          <w:sz w:val="24"/>
          <w:szCs w:val="24"/>
        </w:rPr>
        <w:t>Overall, attracting and retaining staff requires a balanced approach that combines strong recruitment processes with ongoing development, realistic job previews and consistent managerial support.</w:t>
      </w:r>
    </w:p>
    <w:p w14:paraId="7BF74107" w14:textId="77777777" w:rsidR="00292246" w:rsidRPr="00FB6AFE" w:rsidRDefault="00292246" w:rsidP="00FB6AFE">
      <w:pPr>
        <w:pStyle w:val="Heading2"/>
        <w:rPr>
          <w:b/>
          <w:bCs/>
        </w:rPr>
      </w:pPr>
      <w:bookmarkStart w:id="4" w:name="_Toc228460168"/>
      <w:r w:rsidRPr="00FB6AFE">
        <w:rPr>
          <w:b/>
          <w:bCs/>
        </w:rPr>
        <w:t>2.3 Diversity, Equity and Inclusion (DEI)</w:t>
      </w:r>
      <w:bookmarkEnd w:id="4"/>
    </w:p>
    <w:p w14:paraId="42E56DBC" w14:textId="7F80A46A" w:rsidR="00CB49E2" w:rsidRPr="00CB49E2" w:rsidRDefault="00CB49E2" w:rsidP="00CB49E2">
      <w:pPr>
        <w:spacing w:line="360" w:lineRule="auto"/>
        <w:rPr>
          <w:rFonts w:cs="Arial"/>
          <w:sz w:val="24"/>
          <w:szCs w:val="24"/>
        </w:rPr>
      </w:pPr>
      <w:r w:rsidRPr="00CB49E2">
        <w:rPr>
          <w:rFonts w:cs="Arial"/>
          <w:sz w:val="24"/>
          <w:szCs w:val="24"/>
        </w:rPr>
        <w:t>Diversity, Equity and Inclusion (DEI) is a central priority for IKEA UK and forms a key part of its people</w:t>
      </w:r>
      <w:r w:rsidRPr="00CB49E2">
        <w:rPr>
          <w:rFonts w:cs="Arial"/>
          <w:sz w:val="24"/>
          <w:szCs w:val="24"/>
        </w:rPr>
        <w:noBreakHyphen/>
        <w:t>centred culture. A diverse workforce enables better decision</w:t>
      </w:r>
      <w:r w:rsidRPr="00CB49E2">
        <w:rPr>
          <w:rFonts w:cs="Arial"/>
          <w:sz w:val="24"/>
          <w:szCs w:val="24"/>
        </w:rPr>
        <w:noBreakHyphen/>
        <w:t>making, stronger creativity and improved customer understanding, particularly in a multicultural retail environment. IKEA promotes fairness, equal opportunities and respect for all employees, ensuring that HR practices reflect both legal requirements and organisational values.</w:t>
      </w:r>
    </w:p>
    <w:p w14:paraId="76AF917F" w14:textId="77777777" w:rsidR="00CB49E2" w:rsidRPr="00CB49E2" w:rsidRDefault="00CB49E2" w:rsidP="00CB49E2">
      <w:pPr>
        <w:spacing w:line="360" w:lineRule="auto"/>
        <w:rPr>
          <w:rFonts w:cs="Arial"/>
          <w:sz w:val="24"/>
          <w:szCs w:val="24"/>
        </w:rPr>
      </w:pPr>
      <w:r w:rsidRPr="00CB49E2">
        <w:rPr>
          <w:rFonts w:cs="Arial"/>
          <w:sz w:val="24"/>
          <w:szCs w:val="24"/>
        </w:rPr>
        <w:t>Equity Theory (Adams, 1965) is especially relevant to DEI. Employees continuously compare their effort and rewards with those of others, and any perception of unfairness can reduce motivation and engagement. This is particularly visible in scheduling, development opportunities and workload distribution. In my experience within People Planning &amp; Resource, employees respond positively when they see that shift allocation, flexibility requests and training access are handled consistently and transparently.</w:t>
      </w:r>
    </w:p>
    <w:p w14:paraId="486DAAEC" w14:textId="77777777" w:rsidR="00CB49E2" w:rsidRPr="00CB49E2" w:rsidRDefault="00CB49E2" w:rsidP="00CB49E2">
      <w:pPr>
        <w:spacing w:line="360" w:lineRule="auto"/>
        <w:rPr>
          <w:rFonts w:cs="Arial"/>
          <w:sz w:val="24"/>
          <w:szCs w:val="24"/>
        </w:rPr>
      </w:pPr>
      <w:r w:rsidRPr="00CB49E2">
        <w:rPr>
          <w:rFonts w:cs="Arial"/>
          <w:sz w:val="24"/>
          <w:szCs w:val="24"/>
        </w:rPr>
        <w:lastRenderedPageBreak/>
        <w:t>Maslow’s social needs — belonging, acceptance and connection — also play a significant role. Employees want to feel included and respected, not only through formal policies but through everyday interactions. IKEA invests in DEI training to reduce unconscious bias and promote inclusive behaviour. However, long</w:t>
      </w:r>
      <w:r w:rsidRPr="00CB49E2">
        <w:rPr>
          <w:rFonts w:cs="Arial"/>
          <w:sz w:val="24"/>
          <w:szCs w:val="24"/>
        </w:rPr>
        <w:noBreakHyphen/>
        <w:t>term change depends on leadership consistency. Managers must model inclusive behaviour, challenge inappropriate comments and ensure fairness in recruitment, performance discussions and team communication.</w:t>
      </w:r>
    </w:p>
    <w:p w14:paraId="79FCFA93" w14:textId="48717DB5" w:rsidR="00292246" w:rsidRPr="00CB49E2" w:rsidRDefault="00CB49E2" w:rsidP="00CB49E2">
      <w:pPr>
        <w:spacing w:line="360" w:lineRule="auto"/>
        <w:rPr>
          <w:rFonts w:cs="Arial"/>
          <w:sz w:val="24"/>
          <w:szCs w:val="24"/>
        </w:rPr>
      </w:pPr>
      <w:r w:rsidRPr="00CB49E2">
        <w:rPr>
          <w:rFonts w:cs="Arial"/>
          <w:sz w:val="24"/>
          <w:szCs w:val="24"/>
        </w:rPr>
        <w:t>IKEA also emphasises the role of Safety &amp; Security and People &amp; Culture teams in supporting DEI. These teams ensure that HR decisions consider individual circumstances, wellbeing and accessibility needs, aligning with the Equality Act 2010 (UK Government, 2023). This approach strengthens trust and reinforces a culture where employees feel safe, valued and supported.</w:t>
      </w:r>
    </w:p>
    <w:p w14:paraId="7925E4C4" w14:textId="77777777" w:rsidR="00292246" w:rsidRPr="00517122" w:rsidRDefault="00292246" w:rsidP="00517122">
      <w:pPr>
        <w:pStyle w:val="Heading1"/>
        <w:rPr>
          <w:b/>
          <w:bCs/>
        </w:rPr>
      </w:pPr>
      <w:bookmarkStart w:id="5" w:name="_Toc228460169"/>
      <w:r w:rsidRPr="00517122">
        <w:rPr>
          <w:b/>
          <w:bCs/>
        </w:rPr>
        <w:t>3. Evaluation of Contemporary HR Practices</w:t>
      </w:r>
      <w:bookmarkEnd w:id="5"/>
    </w:p>
    <w:p w14:paraId="5B4C526E" w14:textId="344CF292" w:rsidR="00D64FFE" w:rsidRPr="00D64FFE" w:rsidRDefault="007D6928" w:rsidP="00D64FFE">
      <w:pPr>
        <w:spacing w:line="360" w:lineRule="auto"/>
        <w:rPr>
          <w:rFonts w:cs="Arial"/>
        </w:rPr>
      </w:pPr>
      <w:r>
        <w:rPr>
          <w:rFonts w:cs="Arial"/>
          <w:sz w:val="24"/>
          <w:szCs w:val="24"/>
        </w:rPr>
        <w:t>IKEA</w:t>
      </w:r>
      <w:r w:rsidR="00E70739" w:rsidRPr="00E70739">
        <w:rPr>
          <w:rFonts w:cs="Arial"/>
          <w:sz w:val="24"/>
          <w:szCs w:val="24"/>
        </w:rPr>
        <w:t xml:space="preserve"> </w:t>
      </w:r>
      <w:r w:rsidR="00D64FFE" w:rsidRPr="00D64FFE">
        <w:rPr>
          <w:rFonts w:cs="Arial"/>
        </w:rPr>
        <w:t>UK uses a range of contemporary HR practices to address its key challenges, particularly in relation to technological change, talent retention and DEI. These practices aim to improve employee capability, strengthen organisational culture and support long</w:t>
      </w:r>
      <w:r w:rsidR="00D64FFE" w:rsidRPr="00D64FFE">
        <w:rPr>
          <w:rFonts w:cs="Arial"/>
        </w:rPr>
        <w:noBreakHyphen/>
        <w:t>term performance. However, their effectiveness depends heavily on implementation quality and managerial consistency.</w:t>
      </w:r>
    </w:p>
    <w:p w14:paraId="1A0333CF" w14:textId="77777777" w:rsidR="00D64FFE" w:rsidRPr="00D64FFE" w:rsidRDefault="00D64FFE" w:rsidP="00D64FFE">
      <w:pPr>
        <w:pStyle w:val="Heading2"/>
        <w:rPr>
          <w:b/>
          <w:bCs/>
        </w:rPr>
      </w:pPr>
      <w:bookmarkStart w:id="6" w:name="_Toc228460170"/>
      <w:r w:rsidRPr="00D64FFE">
        <w:rPr>
          <w:b/>
          <w:bCs/>
        </w:rPr>
        <w:t>3.1 Training and Development</w:t>
      </w:r>
      <w:bookmarkEnd w:id="6"/>
    </w:p>
    <w:p w14:paraId="07E74A9E" w14:textId="3647C584" w:rsidR="00D64FFE" w:rsidRPr="00D64FFE" w:rsidRDefault="00404948" w:rsidP="00D64FFE">
      <w:pPr>
        <w:spacing w:line="360" w:lineRule="auto"/>
        <w:rPr>
          <w:rFonts w:cs="Arial"/>
          <w:sz w:val="24"/>
          <w:szCs w:val="24"/>
        </w:rPr>
      </w:pPr>
      <w:r w:rsidRPr="00404948">
        <w:rPr>
          <w:rFonts w:cs="Arial"/>
          <w:sz w:val="24"/>
          <w:szCs w:val="24"/>
        </w:rPr>
        <w:t>Training and development are essential for helping employees adjust to new technologies and build long</w:t>
      </w:r>
      <w:r w:rsidRPr="00404948">
        <w:rPr>
          <w:rFonts w:cs="Arial"/>
          <w:sz w:val="24"/>
          <w:szCs w:val="24"/>
        </w:rPr>
        <w:noBreakHyphen/>
        <w:t>term career opportunities. At IKEA, this includes a mix of digital learning tools, practical coaching on the shop floor and structured programmes that support skill growth. Such approaches help employees feel more confident, improve their performance and adapt more smoothly to technological changes. Noe (2020) notes that ongoing learning is vital for keeping the workforce capable in fast</w:t>
      </w:r>
      <w:r w:rsidRPr="00404948">
        <w:rPr>
          <w:rFonts w:cs="Arial"/>
          <w:sz w:val="24"/>
          <w:szCs w:val="24"/>
        </w:rPr>
        <w:noBreakHyphen/>
        <w:t>changing environments</w:t>
      </w:r>
      <w:r w:rsidR="00D64FFE" w:rsidRPr="00D64FFE">
        <w:rPr>
          <w:rFonts w:cs="Arial"/>
          <w:sz w:val="24"/>
          <w:szCs w:val="24"/>
        </w:rPr>
        <w:t>.</w:t>
      </w:r>
    </w:p>
    <w:p w14:paraId="4F264EA3" w14:textId="3C3761B3" w:rsidR="00D64FFE" w:rsidRPr="00D64FFE" w:rsidRDefault="00D64FFE" w:rsidP="00D64FFE">
      <w:pPr>
        <w:spacing w:line="360" w:lineRule="auto"/>
        <w:rPr>
          <w:rFonts w:cs="Arial"/>
          <w:sz w:val="24"/>
          <w:szCs w:val="24"/>
        </w:rPr>
      </w:pPr>
      <w:r w:rsidRPr="00D64FFE">
        <w:rPr>
          <w:rFonts w:cs="Arial"/>
          <w:sz w:val="24"/>
          <w:szCs w:val="24"/>
        </w:rPr>
        <w:t xml:space="preserve">However, training effectiveness varies. </w:t>
      </w:r>
      <w:r w:rsidR="00D65CEC" w:rsidRPr="00D65CEC">
        <w:rPr>
          <w:rFonts w:cs="Arial"/>
          <w:sz w:val="24"/>
          <w:szCs w:val="24"/>
        </w:rPr>
        <w:t xml:space="preserve">Employees learn at different speeds, and not all individuals feel equally comfortable with digital tools. For example, some colleagues require repeated demonstrations when learning how to navigate digital scheduling systems, which increases the training responsibility for managers during busy periods. This creates pressure on managers, who must balance operational demands with </w:t>
      </w:r>
      <w:r w:rsidR="00D65CEC" w:rsidRPr="00D65CEC">
        <w:rPr>
          <w:rFonts w:cs="Arial"/>
          <w:sz w:val="24"/>
          <w:szCs w:val="24"/>
        </w:rPr>
        <w:lastRenderedPageBreak/>
        <w:t>training needs.</w:t>
      </w:r>
      <w:r w:rsidR="000D2747">
        <w:rPr>
          <w:rFonts w:cs="Arial"/>
          <w:sz w:val="24"/>
          <w:szCs w:val="24"/>
        </w:rPr>
        <w:t xml:space="preserve"> </w:t>
      </w:r>
      <w:r w:rsidRPr="00D64FFE">
        <w:rPr>
          <w:rFonts w:cs="Arial"/>
          <w:sz w:val="24"/>
          <w:szCs w:val="24"/>
        </w:rPr>
        <w:t>Additionally, training programmes can be costly and time</w:t>
      </w:r>
      <w:r w:rsidRPr="00D64FFE">
        <w:rPr>
          <w:rFonts w:cs="Arial"/>
          <w:sz w:val="24"/>
          <w:szCs w:val="24"/>
        </w:rPr>
        <w:noBreakHyphen/>
        <w:t>consuming, which may limit access for some teams during peak trading periods.</w:t>
      </w:r>
    </w:p>
    <w:p w14:paraId="0BA3A8BF" w14:textId="77777777" w:rsidR="00D64FFE" w:rsidRPr="00D64FFE" w:rsidRDefault="00D64FFE" w:rsidP="00D64FFE">
      <w:pPr>
        <w:pStyle w:val="Heading2"/>
        <w:rPr>
          <w:b/>
          <w:bCs/>
        </w:rPr>
      </w:pPr>
      <w:bookmarkStart w:id="7" w:name="_Toc228460171"/>
      <w:r w:rsidRPr="00D64FFE">
        <w:rPr>
          <w:b/>
          <w:bCs/>
        </w:rPr>
        <w:t>3.2 HR Information Systems (HRIS)</w:t>
      </w:r>
      <w:bookmarkEnd w:id="7"/>
    </w:p>
    <w:p w14:paraId="208D5F96" w14:textId="77777777" w:rsidR="00D64FFE" w:rsidRPr="00D64FFE" w:rsidRDefault="00D64FFE" w:rsidP="00D64FFE">
      <w:pPr>
        <w:spacing w:line="360" w:lineRule="auto"/>
        <w:rPr>
          <w:rFonts w:cs="Arial"/>
          <w:sz w:val="24"/>
          <w:szCs w:val="24"/>
        </w:rPr>
      </w:pPr>
      <w:r w:rsidRPr="00D64FFE">
        <w:rPr>
          <w:rFonts w:cs="Arial"/>
          <w:sz w:val="24"/>
          <w:szCs w:val="24"/>
        </w:rPr>
        <w:t>HRIS supports data</w:t>
      </w:r>
      <w:r w:rsidRPr="00D64FFE">
        <w:rPr>
          <w:rFonts w:cs="Arial"/>
          <w:sz w:val="24"/>
          <w:szCs w:val="24"/>
        </w:rPr>
        <w:noBreakHyphen/>
        <w:t>driven decision</w:t>
      </w:r>
      <w:r w:rsidRPr="00D64FFE">
        <w:rPr>
          <w:rFonts w:cs="Arial"/>
          <w:sz w:val="24"/>
          <w:szCs w:val="24"/>
        </w:rPr>
        <w:noBreakHyphen/>
        <w:t>making across recruitment, scheduling and workforce planning. These systems reduce administrative workload, improve accuracy and allow managers to make more informed staffing decisions. For example, digital forecasting tools help align labour hours with customer demand, reducing both understaffing and overscheduling.</w:t>
      </w:r>
    </w:p>
    <w:p w14:paraId="6A98B9CF" w14:textId="77777777" w:rsidR="00D64FFE" w:rsidRPr="00D64FFE" w:rsidRDefault="00D64FFE" w:rsidP="00D64FFE">
      <w:pPr>
        <w:spacing w:line="360" w:lineRule="auto"/>
        <w:rPr>
          <w:rFonts w:cs="Arial"/>
          <w:sz w:val="24"/>
          <w:szCs w:val="24"/>
        </w:rPr>
      </w:pPr>
      <w:r w:rsidRPr="00D64FFE">
        <w:rPr>
          <w:rFonts w:cs="Arial"/>
          <w:sz w:val="24"/>
          <w:szCs w:val="24"/>
        </w:rPr>
        <w:t>Despite these benefits, HRIS implementation presents challenges. Data privacy concerns require strict compliance with GDPR, and employees must trust that their information is handled responsibly. High implementation costs and the need for ongoing system updates can also create financial and operational pressure. Furthermore, if employees lack digital confidence, HRIS may become a source of frustration rather than efficiency.</w:t>
      </w:r>
    </w:p>
    <w:p w14:paraId="001D1C82" w14:textId="77777777" w:rsidR="00D64FFE" w:rsidRPr="00D64FFE" w:rsidRDefault="00D64FFE" w:rsidP="00D64FFE">
      <w:pPr>
        <w:pStyle w:val="Heading2"/>
        <w:rPr>
          <w:b/>
          <w:bCs/>
        </w:rPr>
      </w:pPr>
      <w:bookmarkStart w:id="8" w:name="_Toc228460172"/>
      <w:r w:rsidRPr="00D64FFE">
        <w:rPr>
          <w:b/>
          <w:bCs/>
        </w:rPr>
        <w:t>3.3 Employer Branding</w:t>
      </w:r>
      <w:bookmarkEnd w:id="8"/>
    </w:p>
    <w:p w14:paraId="77DB66B0" w14:textId="77777777" w:rsidR="00D64FFE" w:rsidRPr="00D64FFE" w:rsidRDefault="00D64FFE" w:rsidP="00D64FFE">
      <w:pPr>
        <w:spacing w:line="360" w:lineRule="auto"/>
        <w:rPr>
          <w:rFonts w:cs="Arial"/>
          <w:sz w:val="24"/>
          <w:szCs w:val="24"/>
        </w:rPr>
      </w:pPr>
      <w:r w:rsidRPr="00D64FFE">
        <w:rPr>
          <w:rFonts w:cs="Arial"/>
          <w:sz w:val="24"/>
          <w:szCs w:val="24"/>
        </w:rPr>
        <w:t>Employer branding is a key strategy for attracting high</w:t>
      </w:r>
      <w:r w:rsidRPr="00D64FFE">
        <w:rPr>
          <w:rFonts w:cs="Arial"/>
          <w:sz w:val="24"/>
          <w:szCs w:val="24"/>
        </w:rPr>
        <w:noBreakHyphen/>
        <w:t>quality applicants in a competitive labour market. IKEA promotes its values</w:t>
      </w:r>
      <w:r w:rsidRPr="00D64FFE">
        <w:rPr>
          <w:rFonts w:cs="Arial"/>
          <w:sz w:val="24"/>
          <w:szCs w:val="24"/>
        </w:rPr>
        <w:noBreakHyphen/>
        <w:t>driven culture, development opportunities and inclusive environment through recruitment campaigns and social media. A strong employer brand helps attract candidates who align with the organisation’s culture, which supports retention and engagement.</w:t>
      </w:r>
    </w:p>
    <w:p w14:paraId="36FF685F" w14:textId="77777777" w:rsidR="00D64FFE" w:rsidRPr="00D64FFE" w:rsidRDefault="00D64FFE" w:rsidP="00D64FFE">
      <w:pPr>
        <w:spacing w:line="360" w:lineRule="auto"/>
        <w:rPr>
          <w:rFonts w:cs="Arial"/>
          <w:sz w:val="24"/>
          <w:szCs w:val="24"/>
        </w:rPr>
      </w:pPr>
      <w:r w:rsidRPr="00D64FFE">
        <w:rPr>
          <w:rFonts w:cs="Arial"/>
          <w:sz w:val="24"/>
          <w:szCs w:val="24"/>
        </w:rPr>
        <w:t>However, employer branding requires continuous investment. If the internal employee experience does not match external messaging, early turnover may increase. Realistic job previews and transparent communication are essential to ensure that candidates understand the demands of retail work before joining.</w:t>
      </w:r>
    </w:p>
    <w:p w14:paraId="7F53E517" w14:textId="77777777" w:rsidR="00D64FFE" w:rsidRPr="00D64FFE" w:rsidRDefault="00D64FFE" w:rsidP="00D64FFE">
      <w:pPr>
        <w:pStyle w:val="Heading2"/>
        <w:rPr>
          <w:b/>
          <w:bCs/>
        </w:rPr>
      </w:pPr>
      <w:bookmarkStart w:id="9" w:name="_Toc228460173"/>
      <w:r w:rsidRPr="00D64FFE">
        <w:rPr>
          <w:b/>
          <w:bCs/>
        </w:rPr>
        <w:t>3.4 Performance Management</w:t>
      </w:r>
      <w:bookmarkEnd w:id="9"/>
    </w:p>
    <w:p w14:paraId="5088A8BA" w14:textId="77777777" w:rsidR="00D64FFE" w:rsidRPr="00D64FFE" w:rsidRDefault="00D64FFE" w:rsidP="00D64FFE">
      <w:pPr>
        <w:spacing w:line="360" w:lineRule="auto"/>
        <w:rPr>
          <w:rFonts w:cs="Arial"/>
          <w:sz w:val="24"/>
          <w:szCs w:val="24"/>
        </w:rPr>
      </w:pPr>
      <w:r w:rsidRPr="00D64FFE">
        <w:rPr>
          <w:rFonts w:cs="Arial"/>
          <w:sz w:val="24"/>
          <w:szCs w:val="24"/>
        </w:rPr>
        <w:t>Performance management at IKEA includes KPIs, regular check</w:t>
      </w:r>
      <w:r w:rsidRPr="00D64FFE">
        <w:rPr>
          <w:rFonts w:cs="Arial"/>
          <w:sz w:val="24"/>
          <w:szCs w:val="24"/>
        </w:rPr>
        <w:noBreakHyphen/>
        <w:t>ins and structured feedback systems. These practices help identify development needs, improve transparency and support employee growth. When implemented effectively, performance discussions strengthen trust and motivation.</w:t>
      </w:r>
    </w:p>
    <w:p w14:paraId="25BDCDB3" w14:textId="77777777" w:rsidR="00D64FFE" w:rsidRPr="00D64FFE" w:rsidRDefault="00D64FFE" w:rsidP="00D64FFE">
      <w:pPr>
        <w:spacing w:line="360" w:lineRule="auto"/>
        <w:rPr>
          <w:rFonts w:cs="Arial"/>
          <w:sz w:val="24"/>
          <w:szCs w:val="24"/>
        </w:rPr>
      </w:pPr>
      <w:r w:rsidRPr="00D64FFE">
        <w:rPr>
          <w:rFonts w:cs="Arial"/>
          <w:sz w:val="24"/>
          <w:szCs w:val="24"/>
        </w:rPr>
        <w:t xml:space="preserve">However, performance management depends heavily on manager capability. Inconsistent feedback, unclear expectations or overly rigid KPI targets can create </w:t>
      </w:r>
      <w:r w:rsidRPr="00D64FFE">
        <w:rPr>
          <w:rFonts w:cs="Arial"/>
          <w:sz w:val="24"/>
          <w:szCs w:val="24"/>
        </w:rPr>
        <w:lastRenderedPageBreak/>
        <w:t>pressure and reduce engagement. CIPD (2023) highlights that line managers have the strongest influence on employee experience, making their training essential.</w:t>
      </w:r>
    </w:p>
    <w:p w14:paraId="7D89159A" w14:textId="77777777" w:rsidR="00D64FFE" w:rsidRPr="00D64FFE" w:rsidRDefault="00D64FFE" w:rsidP="00D64FFE">
      <w:pPr>
        <w:pStyle w:val="Heading2"/>
        <w:rPr>
          <w:b/>
          <w:bCs/>
        </w:rPr>
      </w:pPr>
      <w:bookmarkStart w:id="10" w:name="_Toc228460174"/>
      <w:r w:rsidRPr="00D64FFE">
        <w:rPr>
          <w:b/>
          <w:bCs/>
        </w:rPr>
        <w:t>3.5 DEI Practices</w:t>
      </w:r>
      <w:bookmarkEnd w:id="10"/>
    </w:p>
    <w:p w14:paraId="0F0EC363" w14:textId="77777777" w:rsidR="00D64FFE" w:rsidRPr="00D64FFE" w:rsidRDefault="00D64FFE" w:rsidP="00D64FFE">
      <w:pPr>
        <w:spacing w:line="360" w:lineRule="auto"/>
        <w:rPr>
          <w:rFonts w:cs="Arial"/>
          <w:sz w:val="24"/>
          <w:szCs w:val="24"/>
        </w:rPr>
      </w:pPr>
      <w:r w:rsidRPr="00D64FFE">
        <w:rPr>
          <w:rFonts w:cs="Arial"/>
          <w:sz w:val="24"/>
          <w:szCs w:val="24"/>
        </w:rPr>
        <w:t>IKEA’s DEI practices include inclusive recruitment, diversity training, equal opportunity policies and support for underrepresented groups. These initiatives help create a respectful and innovative workplace, reduce discrimination and strengthen employee belonging. DEI practices also support compliance with the Equality Act 2010.</w:t>
      </w:r>
    </w:p>
    <w:p w14:paraId="5B05812B" w14:textId="76F0CA1A" w:rsidR="00292246" w:rsidRPr="00584E27" w:rsidRDefault="00D64FFE" w:rsidP="00D64FFE">
      <w:pPr>
        <w:spacing w:line="360" w:lineRule="auto"/>
        <w:rPr>
          <w:rFonts w:cs="Arial"/>
          <w:sz w:val="24"/>
          <w:szCs w:val="24"/>
        </w:rPr>
      </w:pPr>
      <w:r w:rsidRPr="00D64FFE">
        <w:rPr>
          <w:rFonts w:cs="Arial"/>
          <w:sz w:val="24"/>
          <w:szCs w:val="24"/>
        </w:rPr>
        <w:t>However, training alone cannot change behaviour. Long</w:t>
      </w:r>
      <w:r w:rsidRPr="00D64FFE">
        <w:rPr>
          <w:rFonts w:cs="Arial"/>
          <w:sz w:val="24"/>
          <w:szCs w:val="24"/>
        </w:rPr>
        <w:noBreakHyphen/>
        <w:t>term progress requires strong leadership commitment, consistent communication and accountability. Without these elements, DEI initiatives risk becoming symbolic rather than impactful.</w:t>
      </w:r>
    </w:p>
    <w:p w14:paraId="7D393BDD" w14:textId="77777777" w:rsidR="00292246" w:rsidRPr="00502064" w:rsidRDefault="00292246" w:rsidP="00502064">
      <w:pPr>
        <w:pStyle w:val="Heading1"/>
        <w:rPr>
          <w:b/>
          <w:bCs/>
        </w:rPr>
      </w:pPr>
      <w:bookmarkStart w:id="11" w:name="_Toc228460175"/>
      <w:r w:rsidRPr="00502064">
        <w:rPr>
          <w:b/>
          <w:bCs/>
        </w:rPr>
        <w:t>4. Critical Evaluation: Role of Managers</w:t>
      </w:r>
      <w:bookmarkEnd w:id="11"/>
    </w:p>
    <w:p w14:paraId="6F862E22" w14:textId="7D8B8FA1" w:rsidR="00E937DF" w:rsidRPr="00167AF4" w:rsidRDefault="0072321E" w:rsidP="00E937DF">
      <w:pPr>
        <w:spacing w:line="360" w:lineRule="auto"/>
        <w:rPr>
          <w:rFonts w:cs="Arial"/>
          <w:sz w:val="24"/>
          <w:szCs w:val="24"/>
        </w:rPr>
      </w:pPr>
      <w:r w:rsidRPr="0072321E">
        <w:rPr>
          <w:rFonts w:cs="Arial"/>
          <w:sz w:val="24"/>
          <w:szCs w:val="24"/>
        </w:rPr>
        <w:t>Managers play a central role in translating HR policies into everyday practice. While HR departments create the overall structure, it is managers who shape employees’ real experiences through communication, guidance and daily decision</w:t>
      </w:r>
      <w:r w:rsidRPr="0072321E">
        <w:rPr>
          <w:rFonts w:cs="Arial"/>
          <w:sz w:val="24"/>
          <w:szCs w:val="24"/>
        </w:rPr>
        <w:noBreakHyphen/>
        <w:t>making</w:t>
      </w:r>
      <w:r w:rsidR="00E937DF" w:rsidRPr="00167AF4">
        <w:rPr>
          <w:rFonts w:cs="Arial"/>
          <w:sz w:val="24"/>
          <w:szCs w:val="24"/>
        </w:rPr>
        <w:t>.</w:t>
      </w:r>
    </w:p>
    <w:p w14:paraId="578E2265" w14:textId="086229B7" w:rsidR="00EF2E67" w:rsidRPr="00167AF4" w:rsidRDefault="00E937DF" w:rsidP="00E937DF">
      <w:pPr>
        <w:spacing w:line="360" w:lineRule="auto"/>
        <w:rPr>
          <w:rFonts w:cs="Arial"/>
          <w:sz w:val="24"/>
          <w:szCs w:val="24"/>
        </w:rPr>
      </w:pPr>
      <w:r w:rsidRPr="00167AF4">
        <w:rPr>
          <w:rFonts w:cs="Arial"/>
          <w:b/>
          <w:bCs/>
          <w:sz w:val="24"/>
          <w:szCs w:val="24"/>
        </w:rPr>
        <w:t>Supporting Technological Change</w:t>
      </w:r>
      <w:r w:rsidRPr="00167AF4">
        <w:rPr>
          <w:rFonts w:cs="Arial"/>
          <w:sz w:val="24"/>
          <w:szCs w:val="24"/>
        </w:rPr>
        <w:br/>
        <w:t>Managers must encourage employees to attend training, provide hands</w:t>
      </w:r>
      <w:r w:rsidRPr="00167AF4">
        <w:rPr>
          <w:rFonts w:cs="Arial"/>
          <w:sz w:val="24"/>
          <w:szCs w:val="24"/>
        </w:rPr>
        <w:noBreakHyphen/>
        <w:t>on guidance and model confidence when using new systems. If managers themselves lack digital capability they may unintentionally create resistance or confusion within their teams. Their ability to translate technical changes into practical, understandable steps is essential for successful digital adoption.</w:t>
      </w:r>
    </w:p>
    <w:p w14:paraId="0FE02E94" w14:textId="77777777" w:rsidR="00E937DF" w:rsidRPr="00167AF4" w:rsidRDefault="00E937DF" w:rsidP="00E937DF">
      <w:pPr>
        <w:spacing w:line="360" w:lineRule="auto"/>
        <w:rPr>
          <w:rFonts w:cs="Arial"/>
          <w:sz w:val="24"/>
          <w:szCs w:val="24"/>
        </w:rPr>
      </w:pPr>
      <w:r w:rsidRPr="00167AF4">
        <w:rPr>
          <w:rFonts w:cs="Arial"/>
          <w:b/>
          <w:bCs/>
          <w:sz w:val="24"/>
          <w:szCs w:val="24"/>
        </w:rPr>
        <w:t>Improving Retention</w:t>
      </w:r>
      <w:r w:rsidRPr="00167AF4">
        <w:rPr>
          <w:rFonts w:cs="Arial"/>
          <w:sz w:val="24"/>
          <w:szCs w:val="24"/>
        </w:rPr>
        <w:br/>
        <w:t>Managers directly influence job satisfaction and engagement. CIPD (2023) highlights that line managers are the most influential factor in employee experience. Consistent communication, fair workload distribution and recognition significantly improve motivation. Conversely, inconsistent leadership or unclear expectations can undermine even the strongest HR strategies and contribute to early turnover.</w:t>
      </w:r>
    </w:p>
    <w:p w14:paraId="2667A076" w14:textId="77777777" w:rsidR="00E937DF" w:rsidRPr="00167AF4" w:rsidRDefault="00E937DF" w:rsidP="00E937DF">
      <w:pPr>
        <w:spacing w:line="360" w:lineRule="auto"/>
        <w:rPr>
          <w:rFonts w:cs="Arial"/>
          <w:sz w:val="24"/>
          <w:szCs w:val="24"/>
        </w:rPr>
      </w:pPr>
      <w:r w:rsidRPr="00167AF4">
        <w:rPr>
          <w:rFonts w:cs="Arial"/>
          <w:b/>
          <w:bCs/>
          <w:sz w:val="24"/>
          <w:szCs w:val="24"/>
        </w:rPr>
        <w:t>Implementing DEI</w:t>
      </w:r>
      <w:r w:rsidRPr="00167AF4">
        <w:rPr>
          <w:rFonts w:cs="Arial"/>
          <w:sz w:val="24"/>
          <w:szCs w:val="24"/>
        </w:rPr>
        <w:br/>
        <w:t>Managers must ensure fairness in recruitment, scheduling and development opportunities. They play a central role in challenging bias, promoting inclusive behaviour and creating a respectful environment. DEI policies are only effective when managers apply them consistently and demonstrate inclusive leadership in everyday interactions.</w:t>
      </w:r>
    </w:p>
    <w:p w14:paraId="2764D373" w14:textId="0E0B0AEF" w:rsidR="006D1F8B" w:rsidRPr="00167AF4" w:rsidRDefault="00E937DF" w:rsidP="00E937DF">
      <w:pPr>
        <w:spacing w:line="360" w:lineRule="auto"/>
        <w:rPr>
          <w:rFonts w:cs="Arial"/>
          <w:sz w:val="24"/>
          <w:szCs w:val="24"/>
        </w:rPr>
      </w:pPr>
      <w:r w:rsidRPr="00167AF4">
        <w:rPr>
          <w:rFonts w:cs="Arial"/>
          <w:b/>
          <w:bCs/>
          <w:sz w:val="24"/>
          <w:szCs w:val="24"/>
        </w:rPr>
        <w:lastRenderedPageBreak/>
        <w:t>Managing Change</w:t>
      </w:r>
      <w:r w:rsidRPr="00167AF4">
        <w:rPr>
          <w:rFonts w:cs="Arial"/>
          <w:sz w:val="24"/>
          <w:szCs w:val="24"/>
        </w:rPr>
        <w:br/>
        <w:t>Change</w:t>
      </w:r>
      <w:r w:rsidR="00167AF4" w:rsidRPr="00167AF4">
        <w:rPr>
          <w:rFonts w:cs="Arial"/>
          <w:sz w:val="24"/>
          <w:szCs w:val="24"/>
        </w:rPr>
        <w:t>s</w:t>
      </w:r>
      <w:r w:rsidRPr="00167AF4">
        <w:rPr>
          <w:rFonts w:cs="Arial"/>
          <w:sz w:val="24"/>
          <w:szCs w:val="24"/>
        </w:rPr>
        <w:t xml:space="preserve"> can be stressful, especially in fast</w:t>
      </w:r>
      <w:r w:rsidRPr="00167AF4">
        <w:rPr>
          <w:rFonts w:cs="Arial"/>
          <w:sz w:val="24"/>
          <w:szCs w:val="24"/>
        </w:rPr>
        <w:noBreakHyphen/>
        <w:t>paced retail environments. Managers must communicate clearly, address concerns early and support employees through transitions. Without this support, resistance increases and organisational change becomes more difficult to implement</w:t>
      </w:r>
      <w:r w:rsidR="006D1F8B">
        <w:rPr>
          <w:rFonts w:cs="Arial"/>
          <w:sz w:val="24"/>
          <w:szCs w:val="24"/>
        </w:rPr>
        <w:t xml:space="preserve">. </w:t>
      </w:r>
      <w:r w:rsidR="00A67D46" w:rsidRPr="00A67D46">
        <w:rPr>
          <w:rFonts w:cs="Arial"/>
          <w:sz w:val="24"/>
          <w:szCs w:val="24"/>
        </w:rPr>
        <w:t>Even routine schedule adjustments can be challenging.</w:t>
      </w:r>
      <w:r w:rsidR="006D1F8B">
        <w:rPr>
          <w:rFonts w:cs="Arial"/>
          <w:sz w:val="24"/>
          <w:szCs w:val="24"/>
        </w:rPr>
        <w:t xml:space="preserve"> </w:t>
      </w:r>
      <w:r w:rsidR="006D1F8B" w:rsidRPr="006D1F8B">
        <w:rPr>
          <w:rFonts w:cs="Arial"/>
          <w:sz w:val="24"/>
          <w:szCs w:val="24"/>
        </w:rPr>
        <w:t>After schedules are published, managers must handle unplanned absences, shift swaps and sudden changes in business needs. This ongoing maintenance requires quick decision-making, such as opening extra shifts or reallocating hours to busier days.</w:t>
      </w:r>
    </w:p>
    <w:p w14:paraId="00E9F31C" w14:textId="77777777" w:rsidR="00E937DF" w:rsidRPr="00167AF4" w:rsidRDefault="00E937DF" w:rsidP="00E937DF">
      <w:pPr>
        <w:spacing w:line="360" w:lineRule="auto"/>
        <w:rPr>
          <w:rFonts w:cs="Arial"/>
          <w:sz w:val="24"/>
          <w:szCs w:val="24"/>
        </w:rPr>
      </w:pPr>
      <w:r w:rsidRPr="00167AF4">
        <w:rPr>
          <w:rFonts w:cs="Arial"/>
          <w:sz w:val="24"/>
          <w:szCs w:val="24"/>
        </w:rPr>
        <w:t>Overall, managers are essential for successful HR implementation, but they require ongoing training, resources and support from senior leadership to perform effectively.</w:t>
      </w:r>
    </w:p>
    <w:p w14:paraId="0FCF5F6B" w14:textId="77777777" w:rsidR="00292246" w:rsidRPr="00502064" w:rsidRDefault="00292246" w:rsidP="00502064">
      <w:pPr>
        <w:pStyle w:val="Heading1"/>
        <w:rPr>
          <w:b/>
          <w:bCs/>
        </w:rPr>
      </w:pPr>
      <w:bookmarkStart w:id="12" w:name="_Toc228460176"/>
      <w:r w:rsidRPr="00502064">
        <w:rPr>
          <w:b/>
          <w:bCs/>
        </w:rPr>
        <w:t>5. Conclusion</w:t>
      </w:r>
      <w:bookmarkEnd w:id="12"/>
    </w:p>
    <w:p w14:paraId="544CB5F3" w14:textId="77154058" w:rsidR="00A2568F" w:rsidRPr="00A2568F" w:rsidRDefault="00A2568F" w:rsidP="00A2568F">
      <w:pPr>
        <w:spacing w:line="360" w:lineRule="auto"/>
        <w:rPr>
          <w:rFonts w:cs="Arial"/>
          <w:sz w:val="24"/>
          <w:szCs w:val="24"/>
        </w:rPr>
      </w:pPr>
      <w:r w:rsidRPr="00A2568F">
        <w:rPr>
          <w:rFonts w:cs="Arial"/>
          <w:sz w:val="24"/>
          <w:szCs w:val="24"/>
        </w:rPr>
        <w:t>IKEA UK faces three major HR challenges: technological advancement, talent acquisition and retention, and DEI. The organisation has implemented a range of contemporary HR practices to address these issues, including digital learning, HRIS, employer branding, performance management and inclusive policies. These initiatives demonstrate a strong commitment to people</w:t>
      </w:r>
      <w:r w:rsidRPr="00A2568F">
        <w:rPr>
          <w:rFonts w:cs="Arial"/>
          <w:sz w:val="24"/>
          <w:szCs w:val="24"/>
        </w:rPr>
        <w:noBreakHyphen/>
        <w:t>centred HRM and continuous improvement.</w:t>
      </w:r>
    </w:p>
    <w:p w14:paraId="1DED1514" w14:textId="77777777" w:rsidR="00A2568F" w:rsidRPr="00A2568F" w:rsidRDefault="00A2568F" w:rsidP="00A2568F">
      <w:pPr>
        <w:spacing w:line="360" w:lineRule="auto"/>
        <w:rPr>
          <w:rFonts w:cs="Arial"/>
          <w:sz w:val="24"/>
          <w:szCs w:val="24"/>
        </w:rPr>
      </w:pPr>
      <w:r w:rsidRPr="00A2568F">
        <w:rPr>
          <w:rFonts w:cs="Arial"/>
          <w:sz w:val="24"/>
          <w:szCs w:val="24"/>
        </w:rPr>
        <w:t>However, the effectiveness of these practices depends heavily on consistent leadership, clear communication and ongoing investment in employee development. Digital transformation requires stronger support for employees with varying levels of digital confidence. Retention strategies must be more targeted, particularly for early</w:t>
      </w:r>
      <w:r w:rsidRPr="00A2568F">
        <w:rPr>
          <w:rFonts w:cs="Arial"/>
          <w:sz w:val="24"/>
          <w:szCs w:val="24"/>
        </w:rPr>
        <w:noBreakHyphen/>
        <w:t>stage employees who may struggle with job expectations. DEI initiatives are well</w:t>
      </w:r>
      <w:r w:rsidRPr="00A2568F">
        <w:rPr>
          <w:rFonts w:cs="Arial"/>
          <w:sz w:val="24"/>
          <w:szCs w:val="24"/>
        </w:rPr>
        <w:noBreakHyphen/>
        <w:t>structured, but long</w:t>
      </w:r>
      <w:r w:rsidRPr="00A2568F">
        <w:rPr>
          <w:rFonts w:cs="Arial"/>
          <w:sz w:val="24"/>
          <w:szCs w:val="24"/>
        </w:rPr>
        <w:noBreakHyphen/>
        <w:t>term progress relies on everyday managerial behaviour rather than policy alone.</w:t>
      </w:r>
    </w:p>
    <w:p w14:paraId="14C9EFA5" w14:textId="001615A5" w:rsidR="00292246" w:rsidRDefault="00A2568F" w:rsidP="00A2568F">
      <w:pPr>
        <w:spacing w:line="360" w:lineRule="auto"/>
        <w:rPr>
          <w:rFonts w:cs="Arial"/>
          <w:sz w:val="24"/>
          <w:szCs w:val="24"/>
        </w:rPr>
      </w:pPr>
      <w:r w:rsidRPr="00A2568F">
        <w:rPr>
          <w:rFonts w:cs="Arial"/>
          <w:sz w:val="24"/>
          <w:szCs w:val="24"/>
        </w:rPr>
        <w:t>Overall, IKEA has a solid HR foundation, but continued focus on leadership capability, fairness and employee experience will be essential for building a resilient, inclusive and future</w:t>
      </w:r>
      <w:r w:rsidRPr="00A2568F">
        <w:rPr>
          <w:rFonts w:cs="Arial"/>
          <w:sz w:val="24"/>
          <w:szCs w:val="24"/>
        </w:rPr>
        <w:noBreakHyphen/>
        <w:t>ready workforce.</w:t>
      </w:r>
    </w:p>
    <w:p w14:paraId="07A85562" w14:textId="77777777" w:rsidR="00F45BB4" w:rsidRDefault="00F45BB4" w:rsidP="00A2568F">
      <w:pPr>
        <w:spacing w:line="360" w:lineRule="auto"/>
        <w:rPr>
          <w:rFonts w:cs="Arial"/>
          <w:sz w:val="24"/>
          <w:szCs w:val="24"/>
        </w:rPr>
      </w:pPr>
    </w:p>
    <w:p w14:paraId="757C2E6D" w14:textId="77777777" w:rsidR="00F45BB4" w:rsidRDefault="00F45BB4" w:rsidP="00A2568F">
      <w:pPr>
        <w:spacing w:line="360" w:lineRule="auto"/>
        <w:rPr>
          <w:rFonts w:cs="Arial"/>
          <w:sz w:val="24"/>
          <w:szCs w:val="24"/>
        </w:rPr>
      </w:pPr>
    </w:p>
    <w:p w14:paraId="704F4085" w14:textId="77777777" w:rsidR="00F45BB4" w:rsidRDefault="00F45BB4" w:rsidP="00A2568F">
      <w:pPr>
        <w:spacing w:line="360" w:lineRule="auto"/>
        <w:rPr>
          <w:rFonts w:cs="Arial"/>
          <w:sz w:val="24"/>
          <w:szCs w:val="24"/>
        </w:rPr>
      </w:pPr>
    </w:p>
    <w:p w14:paraId="0D85C501" w14:textId="77777777" w:rsidR="00F45BB4" w:rsidRDefault="00F45BB4" w:rsidP="00A2568F">
      <w:pPr>
        <w:spacing w:line="360" w:lineRule="auto"/>
        <w:rPr>
          <w:rFonts w:cs="Arial"/>
          <w:sz w:val="24"/>
          <w:szCs w:val="24"/>
        </w:rPr>
      </w:pPr>
    </w:p>
    <w:p w14:paraId="5257823F" w14:textId="77777777" w:rsidR="00F45BB4" w:rsidRPr="00A2568F" w:rsidRDefault="00F45BB4" w:rsidP="00A2568F">
      <w:pPr>
        <w:spacing w:line="360" w:lineRule="auto"/>
        <w:rPr>
          <w:rFonts w:cs="Arial"/>
          <w:sz w:val="24"/>
          <w:szCs w:val="24"/>
        </w:rPr>
      </w:pPr>
    </w:p>
    <w:p w14:paraId="21FB4391" w14:textId="77777777" w:rsidR="00292246" w:rsidRPr="00502064" w:rsidRDefault="00292246" w:rsidP="00502064">
      <w:pPr>
        <w:pStyle w:val="Heading1"/>
        <w:rPr>
          <w:b/>
          <w:bCs/>
        </w:rPr>
      </w:pPr>
      <w:bookmarkStart w:id="13" w:name="_Toc228460177"/>
      <w:r w:rsidRPr="00502064">
        <w:rPr>
          <w:b/>
          <w:bCs/>
        </w:rPr>
        <w:t>6. Recommendations</w:t>
      </w:r>
      <w:bookmarkEnd w:id="13"/>
    </w:p>
    <w:p w14:paraId="3D37B2D8" w14:textId="5D0547B9" w:rsidR="004F32C9" w:rsidRPr="004F32C9" w:rsidRDefault="00292246" w:rsidP="004F32C9">
      <w:pPr>
        <w:spacing w:line="360" w:lineRule="auto"/>
        <w:rPr>
          <w:rFonts w:cs="Arial"/>
        </w:rPr>
      </w:pPr>
      <w:r w:rsidRPr="00292246">
        <w:rPr>
          <w:rFonts w:cs="Arial"/>
          <w:sz w:val="24"/>
          <w:szCs w:val="24"/>
        </w:rPr>
        <w:t xml:space="preserve"> </w:t>
      </w:r>
      <w:r w:rsidR="004F32C9" w:rsidRPr="004F32C9">
        <w:rPr>
          <w:rFonts w:cs="Arial"/>
          <w:b/>
          <w:bCs/>
        </w:rPr>
        <w:t>I would recommend that IKEA focuses on the following actions to improve its HR and recruitment processes:</w:t>
      </w:r>
    </w:p>
    <w:p w14:paraId="1CD4F019" w14:textId="77777777" w:rsidR="004F32C9" w:rsidRPr="004F32C9" w:rsidRDefault="004F32C9" w:rsidP="004F32C9">
      <w:pPr>
        <w:numPr>
          <w:ilvl w:val="0"/>
          <w:numId w:val="25"/>
        </w:numPr>
        <w:spacing w:line="360" w:lineRule="auto"/>
        <w:rPr>
          <w:rFonts w:cs="Arial"/>
          <w:sz w:val="24"/>
          <w:szCs w:val="24"/>
        </w:rPr>
      </w:pPr>
      <w:r w:rsidRPr="004F32C9">
        <w:rPr>
          <w:rFonts w:cs="Arial"/>
          <w:b/>
          <w:bCs/>
          <w:sz w:val="24"/>
          <w:szCs w:val="24"/>
        </w:rPr>
        <w:t>Increase digital training for employees and managers</w:t>
      </w:r>
      <w:r w:rsidRPr="004F32C9">
        <w:rPr>
          <w:rFonts w:cs="Arial"/>
          <w:sz w:val="24"/>
          <w:szCs w:val="24"/>
        </w:rPr>
        <w:t xml:space="preserve"> to help teams adapt to new systems with more confidence.</w:t>
      </w:r>
    </w:p>
    <w:p w14:paraId="300BAA94" w14:textId="77777777" w:rsidR="004F32C9" w:rsidRPr="004F32C9" w:rsidRDefault="004F32C9" w:rsidP="004F32C9">
      <w:pPr>
        <w:numPr>
          <w:ilvl w:val="0"/>
          <w:numId w:val="25"/>
        </w:numPr>
        <w:spacing w:line="360" w:lineRule="auto"/>
        <w:rPr>
          <w:rFonts w:cs="Arial"/>
          <w:sz w:val="24"/>
          <w:szCs w:val="24"/>
        </w:rPr>
      </w:pPr>
      <w:r w:rsidRPr="004F32C9">
        <w:rPr>
          <w:rFonts w:cs="Arial"/>
          <w:b/>
          <w:bCs/>
          <w:sz w:val="24"/>
          <w:szCs w:val="24"/>
        </w:rPr>
        <w:t>Improve onboarding and reduce early turnover</w:t>
      </w:r>
      <w:r w:rsidRPr="004F32C9">
        <w:rPr>
          <w:rFonts w:cs="Arial"/>
          <w:sz w:val="24"/>
          <w:szCs w:val="24"/>
        </w:rPr>
        <w:t xml:space="preserve"> by adding structured check</w:t>
      </w:r>
      <w:r w:rsidRPr="004F32C9">
        <w:rPr>
          <w:rFonts w:cs="Arial"/>
          <w:sz w:val="24"/>
          <w:szCs w:val="24"/>
        </w:rPr>
        <w:noBreakHyphen/>
        <w:t>ins during the first 90 days.</w:t>
      </w:r>
    </w:p>
    <w:p w14:paraId="4A9BABC8" w14:textId="77777777" w:rsidR="004F32C9" w:rsidRPr="004F32C9" w:rsidRDefault="004F32C9" w:rsidP="004F32C9">
      <w:pPr>
        <w:numPr>
          <w:ilvl w:val="0"/>
          <w:numId w:val="25"/>
        </w:numPr>
        <w:spacing w:line="360" w:lineRule="auto"/>
        <w:rPr>
          <w:rFonts w:cs="Arial"/>
          <w:sz w:val="24"/>
          <w:szCs w:val="24"/>
        </w:rPr>
      </w:pPr>
      <w:r w:rsidRPr="004F32C9">
        <w:rPr>
          <w:rFonts w:cs="Arial"/>
          <w:b/>
          <w:bCs/>
          <w:sz w:val="24"/>
          <w:szCs w:val="24"/>
        </w:rPr>
        <w:t>Strengthen employer branding and provide realistic job previews</w:t>
      </w:r>
      <w:r w:rsidRPr="004F32C9">
        <w:rPr>
          <w:rFonts w:cs="Arial"/>
          <w:sz w:val="24"/>
          <w:szCs w:val="24"/>
        </w:rPr>
        <w:t xml:space="preserve"> so candidates have a clearer understanding of the role before joining.</w:t>
      </w:r>
    </w:p>
    <w:p w14:paraId="511A0474" w14:textId="77777777" w:rsidR="004F32C9" w:rsidRPr="004F32C9" w:rsidRDefault="004F32C9" w:rsidP="004F32C9">
      <w:pPr>
        <w:numPr>
          <w:ilvl w:val="0"/>
          <w:numId w:val="25"/>
        </w:numPr>
        <w:spacing w:line="360" w:lineRule="auto"/>
        <w:rPr>
          <w:rFonts w:cs="Arial"/>
          <w:sz w:val="24"/>
          <w:szCs w:val="24"/>
        </w:rPr>
      </w:pPr>
      <w:r w:rsidRPr="004F32C9">
        <w:rPr>
          <w:rFonts w:cs="Arial"/>
          <w:b/>
          <w:bCs/>
          <w:sz w:val="24"/>
          <w:szCs w:val="24"/>
        </w:rPr>
        <w:t>Enhance DEI monitoring and reduce unconscious bias</w:t>
      </w:r>
      <w:r w:rsidRPr="004F32C9">
        <w:rPr>
          <w:rFonts w:cs="Arial"/>
          <w:sz w:val="24"/>
          <w:szCs w:val="24"/>
        </w:rPr>
        <w:t xml:space="preserve"> in recruitment, scheduling and development opportunities.</w:t>
      </w:r>
    </w:p>
    <w:p w14:paraId="6E29A616" w14:textId="77777777" w:rsidR="004F32C9" w:rsidRPr="004F32C9" w:rsidRDefault="004F32C9" w:rsidP="004F32C9">
      <w:pPr>
        <w:numPr>
          <w:ilvl w:val="0"/>
          <w:numId w:val="25"/>
        </w:numPr>
        <w:spacing w:line="360" w:lineRule="auto"/>
        <w:rPr>
          <w:rFonts w:cs="Arial"/>
          <w:sz w:val="24"/>
          <w:szCs w:val="24"/>
        </w:rPr>
      </w:pPr>
      <w:r w:rsidRPr="004F32C9">
        <w:rPr>
          <w:rFonts w:cs="Arial"/>
          <w:b/>
          <w:bCs/>
          <w:sz w:val="24"/>
          <w:szCs w:val="24"/>
        </w:rPr>
        <w:t>Provide leadership and communication training for managers</w:t>
      </w:r>
      <w:r w:rsidRPr="004F32C9">
        <w:rPr>
          <w:rFonts w:cs="Arial"/>
          <w:sz w:val="24"/>
          <w:szCs w:val="24"/>
        </w:rPr>
        <w:t xml:space="preserve"> to ensure more consistent support across teams.</w:t>
      </w:r>
    </w:p>
    <w:p w14:paraId="4ED592ED" w14:textId="77777777" w:rsidR="004F32C9" w:rsidRPr="004F32C9" w:rsidRDefault="004F32C9" w:rsidP="004F32C9">
      <w:pPr>
        <w:numPr>
          <w:ilvl w:val="0"/>
          <w:numId w:val="25"/>
        </w:numPr>
        <w:spacing w:line="360" w:lineRule="auto"/>
        <w:rPr>
          <w:rFonts w:cs="Arial"/>
          <w:sz w:val="24"/>
          <w:szCs w:val="24"/>
        </w:rPr>
      </w:pPr>
      <w:r w:rsidRPr="004F32C9">
        <w:rPr>
          <w:rFonts w:cs="Arial"/>
          <w:b/>
          <w:bCs/>
          <w:sz w:val="24"/>
          <w:szCs w:val="24"/>
        </w:rPr>
        <w:t>Improve communication between HR and operational teams</w:t>
      </w:r>
      <w:r w:rsidRPr="004F32C9">
        <w:rPr>
          <w:rFonts w:cs="Arial"/>
          <w:sz w:val="24"/>
          <w:szCs w:val="24"/>
        </w:rPr>
        <w:t xml:space="preserve"> to align staffing, workload and wellbeing needs.</w:t>
      </w:r>
    </w:p>
    <w:p w14:paraId="2825936E" w14:textId="1BFB5DD0" w:rsidR="00292246" w:rsidRDefault="004F32C9" w:rsidP="004F32C9">
      <w:pPr>
        <w:numPr>
          <w:ilvl w:val="0"/>
          <w:numId w:val="25"/>
        </w:numPr>
        <w:spacing w:line="360" w:lineRule="auto"/>
        <w:rPr>
          <w:rFonts w:cs="Arial"/>
          <w:sz w:val="24"/>
          <w:szCs w:val="24"/>
        </w:rPr>
      </w:pPr>
      <w:r w:rsidRPr="004F32C9">
        <w:rPr>
          <w:rFonts w:cs="Arial"/>
          <w:b/>
          <w:bCs/>
          <w:sz w:val="24"/>
          <w:szCs w:val="24"/>
        </w:rPr>
        <w:t>Use structured performance feedback systems more consistently</w:t>
      </w:r>
      <w:r w:rsidRPr="004F32C9">
        <w:rPr>
          <w:rFonts w:cs="Arial"/>
          <w:sz w:val="24"/>
          <w:szCs w:val="24"/>
        </w:rPr>
        <w:t xml:space="preserve"> to support development and improve employee experience.</w:t>
      </w:r>
    </w:p>
    <w:p w14:paraId="24A6B7C1" w14:textId="77777777" w:rsidR="005934E4" w:rsidRDefault="005934E4" w:rsidP="005934E4">
      <w:pPr>
        <w:spacing w:line="360" w:lineRule="auto"/>
        <w:rPr>
          <w:rFonts w:cs="Arial"/>
          <w:sz w:val="24"/>
          <w:szCs w:val="24"/>
        </w:rPr>
      </w:pPr>
    </w:p>
    <w:p w14:paraId="0C37011D" w14:textId="77777777" w:rsidR="005934E4" w:rsidRDefault="005934E4" w:rsidP="005934E4">
      <w:pPr>
        <w:spacing w:line="360" w:lineRule="auto"/>
        <w:rPr>
          <w:rFonts w:cs="Arial"/>
          <w:sz w:val="24"/>
          <w:szCs w:val="24"/>
        </w:rPr>
      </w:pPr>
    </w:p>
    <w:p w14:paraId="0DE58DE1" w14:textId="77777777" w:rsidR="005934E4" w:rsidRDefault="005934E4" w:rsidP="005934E4">
      <w:pPr>
        <w:spacing w:line="360" w:lineRule="auto"/>
        <w:rPr>
          <w:rFonts w:cs="Arial"/>
          <w:sz w:val="24"/>
          <w:szCs w:val="24"/>
        </w:rPr>
      </w:pPr>
    </w:p>
    <w:p w14:paraId="3ADEC911" w14:textId="77777777" w:rsidR="00F45BB4" w:rsidRDefault="00F45BB4" w:rsidP="005934E4">
      <w:pPr>
        <w:spacing w:line="360" w:lineRule="auto"/>
        <w:rPr>
          <w:rFonts w:cs="Arial"/>
          <w:sz w:val="24"/>
          <w:szCs w:val="24"/>
        </w:rPr>
      </w:pPr>
    </w:p>
    <w:p w14:paraId="01C0F295" w14:textId="77777777" w:rsidR="00F45BB4" w:rsidRDefault="00F45BB4" w:rsidP="005934E4">
      <w:pPr>
        <w:spacing w:line="360" w:lineRule="auto"/>
        <w:rPr>
          <w:rFonts w:cs="Arial"/>
          <w:sz w:val="24"/>
          <w:szCs w:val="24"/>
        </w:rPr>
      </w:pPr>
    </w:p>
    <w:p w14:paraId="087D569A" w14:textId="77777777" w:rsidR="00F45BB4" w:rsidRDefault="00F45BB4" w:rsidP="005934E4">
      <w:pPr>
        <w:spacing w:line="360" w:lineRule="auto"/>
        <w:rPr>
          <w:rFonts w:cs="Arial"/>
          <w:sz w:val="24"/>
          <w:szCs w:val="24"/>
        </w:rPr>
      </w:pPr>
    </w:p>
    <w:p w14:paraId="24A0C57E" w14:textId="77777777" w:rsidR="00F45BB4" w:rsidRDefault="00F45BB4" w:rsidP="005934E4">
      <w:pPr>
        <w:spacing w:line="360" w:lineRule="auto"/>
        <w:rPr>
          <w:rFonts w:cs="Arial"/>
          <w:sz w:val="24"/>
          <w:szCs w:val="24"/>
        </w:rPr>
      </w:pPr>
    </w:p>
    <w:p w14:paraId="0DA1644E" w14:textId="77777777" w:rsidR="005934E4" w:rsidRPr="004F32C9" w:rsidRDefault="005934E4" w:rsidP="005934E4">
      <w:pPr>
        <w:spacing w:line="360" w:lineRule="auto"/>
        <w:rPr>
          <w:rFonts w:cs="Arial"/>
          <w:sz w:val="24"/>
          <w:szCs w:val="24"/>
        </w:rPr>
      </w:pPr>
    </w:p>
    <w:p w14:paraId="4495B442" w14:textId="6314A44A" w:rsidR="00292246" w:rsidRPr="00502064" w:rsidRDefault="00292246" w:rsidP="00502064">
      <w:pPr>
        <w:pStyle w:val="Heading1"/>
        <w:rPr>
          <w:b/>
          <w:bCs/>
        </w:rPr>
      </w:pPr>
      <w:bookmarkStart w:id="14" w:name="_Toc228460178"/>
      <w:r w:rsidRPr="00502064">
        <w:rPr>
          <w:b/>
          <w:bCs/>
        </w:rPr>
        <w:lastRenderedPageBreak/>
        <w:t>7. References</w:t>
      </w:r>
      <w:bookmarkEnd w:id="14"/>
      <w:r w:rsidRPr="00502064">
        <w:rPr>
          <w:b/>
          <w:bCs/>
        </w:rPr>
        <w:t xml:space="preserve"> </w:t>
      </w:r>
    </w:p>
    <w:p w14:paraId="3E3124E3" w14:textId="77777777" w:rsidR="00292246" w:rsidRPr="00292246" w:rsidRDefault="00292246" w:rsidP="009F4DBD">
      <w:pPr>
        <w:spacing w:line="360" w:lineRule="auto"/>
        <w:rPr>
          <w:rFonts w:cs="Arial"/>
          <w:sz w:val="24"/>
          <w:szCs w:val="24"/>
        </w:rPr>
      </w:pPr>
      <w:r w:rsidRPr="00292246">
        <w:rPr>
          <w:rFonts w:cs="Arial"/>
          <w:sz w:val="24"/>
          <w:szCs w:val="24"/>
        </w:rPr>
        <w:t xml:space="preserve">Adams, J.S. (1965) ‘Inequity in Social Exchange’, </w:t>
      </w:r>
      <w:r w:rsidRPr="00292246">
        <w:rPr>
          <w:rFonts w:cs="Arial"/>
          <w:i/>
          <w:iCs/>
          <w:sz w:val="24"/>
          <w:szCs w:val="24"/>
        </w:rPr>
        <w:t>Advances in Experimental Social Psychology</w:t>
      </w:r>
      <w:r w:rsidRPr="00292246">
        <w:rPr>
          <w:rFonts w:cs="Arial"/>
          <w:sz w:val="24"/>
          <w:szCs w:val="24"/>
        </w:rPr>
        <w:t>.</w:t>
      </w:r>
    </w:p>
    <w:p w14:paraId="7E60FB4B" w14:textId="77777777" w:rsidR="00292246" w:rsidRPr="00292246" w:rsidRDefault="00292246" w:rsidP="009F4DBD">
      <w:pPr>
        <w:spacing w:line="360" w:lineRule="auto"/>
        <w:rPr>
          <w:rFonts w:cs="Arial"/>
          <w:sz w:val="24"/>
          <w:szCs w:val="24"/>
        </w:rPr>
      </w:pPr>
      <w:r w:rsidRPr="00292246">
        <w:rPr>
          <w:rFonts w:cs="Arial"/>
          <w:sz w:val="24"/>
          <w:szCs w:val="24"/>
        </w:rPr>
        <w:t xml:space="preserve">Armstrong, M. (2020) </w:t>
      </w:r>
      <w:r w:rsidRPr="00292246">
        <w:rPr>
          <w:rFonts w:cs="Arial"/>
          <w:i/>
          <w:iCs/>
          <w:sz w:val="24"/>
          <w:szCs w:val="24"/>
        </w:rPr>
        <w:t>Armstrong’s Handbook of Human Resource Management Practice</w:t>
      </w:r>
      <w:r w:rsidRPr="00292246">
        <w:rPr>
          <w:rFonts w:cs="Arial"/>
          <w:sz w:val="24"/>
          <w:szCs w:val="24"/>
        </w:rPr>
        <w:t xml:space="preserve">. 15th </w:t>
      </w:r>
      <w:proofErr w:type="spellStart"/>
      <w:r w:rsidRPr="00292246">
        <w:rPr>
          <w:rFonts w:cs="Arial"/>
          <w:sz w:val="24"/>
          <w:szCs w:val="24"/>
        </w:rPr>
        <w:t>edn</w:t>
      </w:r>
      <w:proofErr w:type="spellEnd"/>
      <w:r w:rsidRPr="00292246">
        <w:rPr>
          <w:rFonts w:cs="Arial"/>
          <w:sz w:val="24"/>
          <w:szCs w:val="24"/>
        </w:rPr>
        <w:t>. London: Kogan Page.</w:t>
      </w:r>
    </w:p>
    <w:p w14:paraId="69955C7D" w14:textId="77777777" w:rsidR="00292246" w:rsidRPr="00292246" w:rsidRDefault="00292246" w:rsidP="009F4DBD">
      <w:pPr>
        <w:spacing w:line="360" w:lineRule="auto"/>
        <w:rPr>
          <w:rFonts w:cs="Arial"/>
          <w:sz w:val="24"/>
          <w:szCs w:val="24"/>
        </w:rPr>
      </w:pPr>
      <w:r w:rsidRPr="00292246">
        <w:rPr>
          <w:rFonts w:cs="Arial"/>
          <w:sz w:val="24"/>
          <w:szCs w:val="24"/>
        </w:rPr>
        <w:t xml:space="preserve">CIPD (2023) </w:t>
      </w:r>
      <w:r w:rsidRPr="00292246">
        <w:rPr>
          <w:rFonts w:cs="Arial"/>
          <w:i/>
          <w:iCs/>
          <w:sz w:val="24"/>
          <w:szCs w:val="24"/>
        </w:rPr>
        <w:t>Workforce Planning and Recruitment</w:t>
      </w:r>
      <w:r w:rsidRPr="00292246">
        <w:rPr>
          <w:rFonts w:cs="Arial"/>
          <w:sz w:val="24"/>
          <w:szCs w:val="24"/>
        </w:rPr>
        <w:t xml:space="preserve">. Available at: </w:t>
      </w:r>
      <w:hyperlink r:id="rId9" w:history="1">
        <w:r w:rsidRPr="00292246">
          <w:rPr>
            <w:rStyle w:val="Hyperlink"/>
            <w:rFonts w:cs="Arial"/>
            <w:sz w:val="24"/>
            <w:szCs w:val="24"/>
          </w:rPr>
          <w:t>https://www.cipd.org</w:t>
        </w:r>
      </w:hyperlink>
      <w:r w:rsidRPr="00292246">
        <w:rPr>
          <w:rFonts w:cs="Arial"/>
          <w:sz w:val="24"/>
          <w:szCs w:val="24"/>
        </w:rPr>
        <w:t xml:space="preserve"> (Accessed: 14 April 2026).</w:t>
      </w:r>
    </w:p>
    <w:p w14:paraId="220A0526" w14:textId="77777777" w:rsidR="00292246" w:rsidRPr="00292246" w:rsidRDefault="00292246" w:rsidP="009F4DBD">
      <w:pPr>
        <w:spacing w:line="360" w:lineRule="auto"/>
        <w:rPr>
          <w:rFonts w:cs="Arial"/>
          <w:sz w:val="24"/>
          <w:szCs w:val="24"/>
        </w:rPr>
      </w:pPr>
      <w:r w:rsidRPr="00292246">
        <w:rPr>
          <w:rFonts w:cs="Arial"/>
          <w:sz w:val="24"/>
          <w:szCs w:val="24"/>
        </w:rPr>
        <w:t xml:space="preserve">Herzberg, F. (1959) </w:t>
      </w:r>
      <w:r w:rsidRPr="00292246">
        <w:rPr>
          <w:rFonts w:cs="Arial"/>
          <w:i/>
          <w:iCs/>
          <w:sz w:val="24"/>
          <w:szCs w:val="24"/>
        </w:rPr>
        <w:t>The Motivation to Work</w:t>
      </w:r>
      <w:r w:rsidRPr="00292246">
        <w:rPr>
          <w:rFonts w:cs="Arial"/>
          <w:sz w:val="24"/>
          <w:szCs w:val="24"/>
        </w:rPr>
        <w:t>. New York: Wiley.</w:t>
      </w:r>
    </w:p>
    <w:p w14:paraId="75743F32" w14:textId="77777777" w:rsidR="00292246" w:rsidRPr="00292246" w:rsidRDefault="00292246" w:rsidP="009F4DBD">
      <w:pPr>
        <w:spacing w:line="360" w:lineRule="auto"/>
        <w:rPr>
          <w:rFonts w:cs="Arial"/>
          <w:sz w:val="24"/>
          <w:szCs w:val="24"/>
        </w:rPr>
      </w:pPr>
      <w:r w:rsidRPr="00292246">
        <w:rPr>
          <w:rFonts w:cs="Arial"/>
          <w:sz w:val="24"/>
          <w:szCs w:val="24"/>
        </w:rPr>
        <w:t xml:space="preserve">IKEA (2024) </w:t>
      </w:r>
      <w:r w:rsidRPr="00292246">
        <w:rPr>
          <w:rFonts w:cs="Arial"/>
          <w:i/>
          <w:iCs/>
          <w:sz w:val="24"/>
          <w:szCs w:val="24"/>
        </w:rPr>
        <w:t>IKEA Values and Culture</w:t>
      </w:r>
      <w:r w:rsidRPr="00292246">
        <w:rPr>
          <w:rFonts w:cs="Arial"/>
          <w:sz w:val="24"/>
          <w:szCs w:val="24"/>
        </w:rPr>
        <w:t xml:space="preserve">. Available at: </w:t>
      </w:r>
      <w:hyperlink r:id="rId10" w:history="1">
        <w:r w:rsidRPr="00292246">
          <w:rPr>
            <w:rStyle w:val="Hyperlink"/>
            <w:rFonts w:cs="Arial"/>
            <w:sz w:val="24"/>
            <w:szCs w:val="24"/>
          </w:rPr>
          <w:t>https://www.ikea.com</w:t>
        </w:r>
      </w:hyperlink>
      <w:r w:rsidRPr="00292246">
        <w:rPr>
          <w:rFonts w:cs="Arial"/>
          <w:sz w:val="24"/>
          <w:szCs w:val="24"/>
        </w:rPr>
        <w:t xml:space="preserve"> (Accessed: 10 April 2026).</w:t>
      </w:r>
    </w:p>
    <w:p w14:paraId="07A94A71" w14:textId="77777777" w:rsidR="00292246" w:rsidRPr="00292246" w:rsidRDefault="00292246" w:rsidP="009F4DBD">
      <w:pPr>
        <w:spacing w:line="360" w:lineRule="auto"/>
        <w:rPr>
          <w:rFonts w:cs="Arial"/>
          <w:sz w:val="24"/>
          <w:szCs w:val="24"/>
        </w:rPr>
      </w:pPr>
      <w:r w:rsidRPr="00292246">
        <w:rPr>
          <w:rFonts w:cs="Arial"/>
          <w:sz w:val="24"/>
          <w:szCs w:val="24"/>
        </w:rPr>
        <w:t xml:space="preserve">Maslow, A.H. (1943) ‘A Theory of Human Motivation’, </w:t>
      </w:r>
      <w:r w:rsidRPr="00292246">
        <w:rPr>
          <w:rFonts w:cs="Arial"/>
          <w:i/>
          <w:iCs/>
          <w:sz w:val="24"/>
          <w:szCs w:val="24"/>
        </w:rPr>
        <w:t>Psychological Review</w:t>
      </w:r>
      <w:r w:rsidRPr="00292246">
        <w:rPr>
          <w:rFonts w:cs="Arial"/>
          <w:sz w:val="24"/>
          <w:szCs w:val="24"/>
        </w:rPr>
        <w:t>, 50(4), pp. 370–396.</w:t>
      </w:r>
    </w:p>
    <w:p w14:paraId="04998C79" w14:textId="77777777" w:rsidR="00292246" w:rsidRPr="00292246" w:rsidRDefault="00292246" w:rsidP="009F4DBD">
      <w:pPr>
        <w:spacing w:line="360" w:lineRule="auto"/>
        <w:rPr>
          <w:rFonts w:cs="Arial"/>
          <w:sz w:val="24"/>
          <w:szCs w:val="24"/>
        </w:rPr>
      </w:pPr>
      <w:r w:rsidRPr="00292246">
        <w:rPr>
          <w:rFonts w:cs="Arial"/>
          <w:sz w:val="24"/>
          <w:szCs w:val="24"/>
        </w:rPr>
        <w:t xml:space="preserve">Mayo, E. (1933) </w:t>
      </w:r>
      <w:r w:rsidRPr="00292246">
        <w:rPr>
          <w:rFonts w:cs="Arial"/>
          <w:i/>
          <w:iCs/>
          <w:sz w:val="24"/>
          <w:szCs w:val="24"/>
        </w:rPr>
        <w:t>The Human Problems of an Industrial Civilisation</w:t>
      </w:r>
      <w:r w:rsidRPr="00292246">
        <w:rPr>
          <w:rFonts w:cs="Arial"/>
          <w:sz w:val="24"/>
          <w:szCs w:val="24"/>
        </w:rPr>
        <w:t>. Harvard University Press.</w:t>
      </w:r>
    </w:p>
    <w:p w14:paraId="11AEB302" w14:textId="77777777" w:rsidR="00292246" w:rsidRPr="00292246" w:rsidRDefault="00292246" w:rsidP="009F4DBD">
      <w:pPr>
        <w:spacing w:line="360" w:lineRule="auto"/>
        <w:rPr>
          <w:rFonts w:cs="Arial"/>
          <w:sz w:val="24"/>
          <w:szCs w:val="24"/>
        </w:rPr>
      </w:pPr>
      <w:r w:rsidRPr="00292246">
        <w:rPr>
          <w:rFonts w:cs="Arial"/>
          <w:sz w:val="24"/>
          <w:szCs w:val="24"/>
        </w:rPr>
        <w:t xml:space="preserve">Noe, R.A. (2020) </w:t>
      </w:r>
      <w:r w:rsidRPr="00292246">
        <w:rPr>
          <w:rFonts w:cs="Arial"/>
          <w:i/>
          <w:iCs/>
          <w:sz w:val="24"/>
          <w:szCs w:val="24"/>
        </w:rPr>
        <w:t>Employee Training and Development</w:t>
      </w:r>
      <w:r w:rsidRPr="00292246">
        <w:rPr>
          <w:rFonts w:cs="Arial"/>
          <w:sz w:val="24"/>
          <w:szCs w:val="24"/>
        </w:rPr>
        <w:t xml:space="preserve">. 8th </w:t>
      </w:r>
      <w:proofErr w:type="spellStart"/>
      <w:r w:rsidRPr="00292246">
        <w:rPr>
          <w:rFonts w:cs="Arial"/>
          <w:sz w:val="24"/>
          <w:szCs w:val="24"/>
        </w:rPr>
        <w:t>edn</w:t>
      </w:r>
      <w:proofErr w:type="spellEnd"/>
      <w:r w:rsidRPr="00292246">
        <w:rPr>
          <w:rFonts w:cs="Arial"/>
          <w:sz w:val="24"/>
          <w:szCs w:val="24"/>
        </w:rPr>
        <w:t>. New York: McGraw</w:t>
      </w:r>
      <w:r w:rsidRPr="00292246">
        <w:rPr>
          <w:rFonts w:cs="Arial"/>
          <w:sz w:val="24"/>
          <w:szCs w:val="24"/>
        </w:rPr>
        <w:noBreakHyphen/>
        <w:t>Hill.</w:t>
      </w:r>
    </w:p>
    <w:p w14:paraId="76161E47" w14:textId="77777777" w:rsidR="00292246" w:rsidRPr="00292246" w:rsidRDefault="00292246" w:rsidP="009F4DBD">
      <w:pPr>
        <w:spacing w:line="360" w:lineRule="auto"/>
        <w:rPr>
          <w:rFonts w:cs="Arial"/>
          <w:sz w:val="24"/>
          <w:szCs w:val="24"/>
        </w:rPr>
      </w:pPr>
      <w:r w:rsidRPr="00292246">
        <w:rPr>
          <w:rFonts w:cs="Arial"/>
          <w:sz w:val="24"/>
          <w:szCs w:val="24"/>
        </w:rPr>
        <w:t xml:space="preserve">UK Government (2023) </w:t>
      </w:r>
      <w:r w:rsidRPr="00292246">
        <w:rPr>
          <w:rFonts w:cs="Arial"/>
          <w:i/>
          <w:iCs/>
          <w:sz w:val="24"/>
          <w:szCs w:val="24"/>
        </w:rPr>
        <w:t>Equality Act 2010 Guidance</w:t>
      </w:r>
      <w:r w:rsidRPr="00292246">
        <w:rPr>
          <w:rFonts w:cs="Arial"/>
          <w:sz w:val="24"/>
          <w:szCs w:val="24"/>
        </w:rPr>
        <w:t xml:space="preserve">. Available at: </w:t>
      </w:r>
      <w:hyperlink r:id="rId11" w:history="1">
        <w:r w:rsidRPr="00292246">
          <w:rPr>
            <w:rStyle w:val="Hyperlink"/>
            <w:rFonts w:cs="Arial"/>
            <w:sz w:val="24"/>
            <w:szCs w:val="24"/>
          </w:rPr>
          <w:t>https://www.gov.uk</w:t>
        </w:r>
      </w:hyperlink>
      <w:r w:rsidRPr="00292246">
        <w:rPr>
          <w:rFonts w:cs="Arial"/>
          <w:sz w:val="24"/>
          <w:szCs w:val="24"/>
        </w:rPr>
        <w:t xml:space="preserve"> (Accessed: 12 April 2026).</w:t>
      </w:r>
    </w:p>
    <w:p w14:paraId="49947FBB" w14:textId="77777777" w:rsidR="00292246" w:rsidRPr="00292246" w:rsidRDefault="00292246" w:rsidP="009F4DBD">
      <w:pPr>
        <w:spacing w:line="360" w:lineRule="auto"/>
        <w:rPr>
          <w:rFonts w:cs="Arial"/>
          <w:sz w:val="24"/>
          <w:szCs w:val="24"/>
        </w:rPr>
      </w:pPr>
      <w:r w:rsidRPr="00292246">
        <w:rPr>
          <w:rFonts w:cs="Arial"/>
          <w:sz w:val="24"/>
          <w:szCs w:val="24"/>
        </w:rPr>
        <w:t xml:space="preserve">Vroom, V.H. (1964) </w:t>
      </w:r>
      <w:r w:rsidRPr="00292246">
        <w:rPr>
          <w:rFonts w:cs="Arial"/>
          <w:i/>
          <w:iCs/>
          <w:sz w:val="24"/>
          <w:szCs w:val="24"/>
        </w:rPr>
        <w:t>Work and Motivation</w:t>
      </w:r>
      <w:r w:rsidRPr="00292246">
        <w:rPr>
          <w:rFonts w:cs="Arial"/>
          <w:sz w:val="24"/>
          <w:szCs w:val="24"/>
        </w:rPr>
        <w:t>. New York: Wiley.</w:t>
      </w:r>
    </w:p>
    <w:p w14:paraId="60F4FF2D" w14:textId="77777777" w:rsidR="00292246" w:rsidRPr="00292246" w:rsidRDefault="00292246" w:rsidP="009F4DBD">
      <w:pPr>
        <w:spacing w:line="360" w:lineRule="auto"/>
        <w:rPr>
          <w:rFonts w:cs="Arial"/>
          <w:sz w:val="24"/>
          <w:szCs w:val="24"/>
        </w:rPr>
      </w:pPr>
      <w:r w:rsidRPr="00292246">
        <w:rPr>
          <w:rFonts w:cs="Arial"/>
          <w:sz w:val="24"/>
          <w:szCs w:val="24"/>
        </w:rPr>
        <w:t xml:space="preserve">SHRM (2023) </w:t>
      </w:r>
      <w:r w:rsidRPr="00292246">
        <w:rPr>
          <w:rFonts w:cs="Arial"/>
          <w:i/>
          <w:iCs/>
          <w:sz w:val="24"/>
          <w:szCs w:val="24"/>
        </w:rPr>
        <w:t>Diversity and Inclusion in the Workplace</w:t>
      </w:r>
      <w:r w:rsidRPr="00292246">
        <w:rPr>
          <w:rFonts w:cs="Arial"/>
          <w:sz w:val="24"/>
          <w:szCs w:val="24"/>
        </w:rPr>
        <w:t xml:space="preserve">. Available at: </w:t>
      </w:r>
      <w:hyperlink r:id="rId12" w:history="1">
        <w:r w:rsidRPr="00292246">
          <w:rPr>
            <w:rStyle w:val="Hyperlink"/>
            <w:rFonts w:cs="Arial"/>
            <w:sz w:val="24"/>
            <w:szCs w:val="24"/>
          </w:rPr>
          <w:t>https://www.shrm.org</w:t>
        </w:r>
      </w:hyperlink>
      <w:r w:rsidRPr="00292246">
        <w:rPr>
          <w:rFonts w:cs="Arial"/>
          <w:sz w:val="24"/>
          <w:szCs w:val="24"/>
        </w:rPr>
        <w:t xml:space="preserve"> (Accessed: 15 April 2026).</w:t>
      </w:r>
    </w:p>
    <w:p w14:paraId="31EE3DCF" w14:textId="77777777" w:rsidR="00292246" w:rsidRPr="00292246" w:rsidRDefault="00292246" w:rsidP="009F4DBD">
      <w:pPr>
        <w:spacing w:line="360" w:lineRule="auto"/>
        <w:rPr>
          <w:rFonts w:cs="Arial"/>
          <w:sz w:val="24"/>
          <w:szCs w:val="24"/>
        </w:rPr>
      </w:pPr>
      <w:r w:rsidRPr="00292246">
        <w:rPr>
          <w:rFonts w:cs="Arial"/>
          <w:sz w:val="24"/>
          <w:szCs w:val="24"/>
        </w:rPr>
        <w:t xml:space="preserve">Harvard Business Review (2022) </w:t>
      </w:r>
      <w:r w:rsidRPr="00292246">
        <w:rPr>
          <w:rFonts w:cs="Arial"/>
          <w:i/>
          <w:iCs/>
          <w:sz w:val="24"/>
          <w:szCs w:val="24"/>
        </w:rPr>
        <w:t>Employee Retention Strategies</w:t>
      </w:r>
      <w:r w:rsidRPr="00292246">
        <w:rPr>
          <w:rFonts w:cs="Arial"/>
          <w:sz w:val="24"/>
          <w:szCs w:val="24"/>
        </w:rPr>
        <w:t xml:space="preserve">. Available at: </w:t>
      </w:r>
      <w:hyperlink r:id="rId13" w:history="1">
        <w:r w:rsidRPr="00292246">
          <w:rPr>
            <w:rStyle w:val="Hyperlink"/>
            <w:rFonts w:cs="Arial"/>
            <w:sz w:val="24"/>
            <w:szCs w:val="24"/>
          </w:rPr>
          <w:t>https://hbr.org</w:t>
        </w:r>
      </w:hyperlink>
      <w:r w:rsidRPr="00292246">
        <w:rPr>
          <w:rFonts w:cs="Arial"/>
          <w:sz w:val="24"/>
          <w:szCs w:val="24"/>
        </w:rPr>
        <w:t xml:space="preserve"> (Accessed: 11 April 2026).</w:t>
      </w:r>
    </w:p>
    <w:p w14:paraId="4E823A8D" w14:textId="77777777" w:rsidR="00C16EF5" w:rsidRPr="00292246" w:rsidRDefault="00C16EF5" w:rsidP="009F4DBD">
      <w:pPr>
        <w:spacing w:line="360" w:lineRule="auto"/>
        <w:rPr>
          <w:rFonts w:cs="Arial"/>
          <w:sz w:val="24"/>
          <w:szCs w:val="24"/>
        </w:rPr>
      </w:pPr>
    </w:p>
    <w:p w14:paraId="1F7BE936" w14:textId="041B1616" w:rsidR="00E339D9" w:rsidRDefault="00344912">
      <w:r>
        <w:t xml:space="preserve"> </w:t>
      </w:r>
    </w:p>
    <w:sectPr w:rsidR="00E339D9" w:rsidSect="006C5B19">
      <w:headerReference w:type="even" r:id="rId14"/>
      <w:headerReference w:type="default" r:id="rId15"/>
      <w:footerReference w:type="even" r:id="rId16"/>
      <w:footerReference w:type="default" r:id="rId17"/>
      <w:headerReference w:type="first" r:id="rId18"/>
      <w:footerReference w:type="first" r:id="rId19"/>
      <w:pgSz w:w="11906" w:h="16838"/>
      <w:pgMar w:top="1134" w:right="850" w:bottom="1134" w:left="1701"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BA292" w14:textId="77777777" w:rsidR="00E05E43" w:rsidRDefault="00E05E43" w:rsidP="003D2449">
      <w:pPr>
        <w:spacing w:after="0" w:line="240" w:lineRule="auto"/>
      </w:pPr>
      <w:r>
        <w:separator/>
      </w:r>
    </w:p>
  </w:endnote>
  <w:endnote w:type="continuationSeparator" w:id="0">
    <w:p w14:paraId="32621FD5" w14:textId="77777777" w:rsidR="00E05E43" w:rsidRDefault="00E05E43" w:rsidP="003D2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54993" w14:textId="77777777" w:rsidR="00450848" w:rsidRDefault="004508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76876"/>
      <w:docPartObj>
        <w:docPartGallery w:val="Page Numbers (Bottom of Page)"/>
        <w:docPartUnique/>
      </w:docPartObj>
    </w:sdtPr>
    <w:sdtContent>
      <w:p w14:paraId="09387027" w14:textId="28D4A281" w:rsidR="003A1CB7" w:rsidRDefault="003A1CB7">
        <w:pPr>
          <w:pStyle w:val="Footer"/>
          <w:jc w:val="right"/>
        </w:pPr>
        <w:r>
          <w:fldChar w:fldCharType="begin"/>
        </w:r>
        <w:r>
          <w:instrText>PAGE   \* MERGEFORMAT</w:instrText>
        </w:r>
        <w:r>
          <w:fldChar w:fldCharType="separate"/>
        </w:r>
        <w:r>
          <w:t>2</w:t>
        </w:r>
        <w:r>
          <w:fldChar w:fldCharType="end"/>
        </w:r>
      </w:p>
    </w:sdtContent>
  </w:sdt>
  <w:p w14:paraId="4D0CE61D" w14:textId="61B5C9A9" w:rsidR="003D2449" w:rsidRDefault="003D24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355C8" w14:textId="77777777" w:rsidR="00450848" w:rsidRDefault="00450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C9BCD" w14:textId="77777777" w:rsidR="00E05E43" w:rsidRDefault="00E05E43" w:rsidP="003D2449">
      <w:pPr>
        <w:spacing w:after="0" w:line="240" w:lineRule="auto"/>
      </w:pPr>
      <w:r>
        <w:separator/>
      </w:r>
    </w:p>
  </w:footnote>
  <w:footnote w:type="continuationSeparator" w:id="0">
    <w:p w14:paraId="2B490538" w14:textId="77777777" w:rsidR="00E05E43" w:rsidRDefault="00E05E43" w:rsidP="003D24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1F44C" w14:textId="77777777" w:rsidR="00450848" w:rsidRDefault="004508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B599E" w14:textId="77777777" w:rsidR="00450848" w:rsidRDefault="004508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4178FF" w14:textId="77777777" w:rsidR="00450848" w:rsidRDefault="004508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E4335"/>
    <w:multiLevelType w:val="multilevel"/>
    <w:tmpl w:val="35E29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01DB4"/>
    <w:multiLevelType w:val="multilevel"/>
    <w:tmpl w:val="768C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8236D"/>
    <w:multiLevelType w:val="multilevel"/>
    <w:tmpl w:val="8AFE9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705B4"/>
    <w:multiLevelType w:val="multilevel"/>
    <w:tmpl w:val="DF845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E3548"/>
    <w:multiLevelType w:val="multilevel"/>
    <w:tmpl w:val="9C82C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0247BA"/>
    <w:multiLevelType w:val="multilevel"/>
    <w:tmpl w:val="C12A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674BFB"/>
    <w:multiLevelType w:val="multilevel"/>
    <w:tmpl w:val="1C041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F97A99"/>
    <w:multiLevelType w:val="multilevel"/>
    <w:tmpl w:val="16BA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186D99"/>
    <w:multiLevelType w:val="multilevel"/>
    <w:tmpl w:val="AEF2E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374841"/>
    <w:multiLevelType w:val="multilevel"/>
    <w:tmpl w:val="476AF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83E73"/>
    <w:multiLevelType w:val="multilevel"/>
    <w:tmpl w:val="2338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9B27A1"/>
    <w:multiLevelType w:val="multilevel"/>
    <w:tmpl w:val="2B0C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973235"/>
    <w:multiLevelType w:val="multilevel"/>
    <w:tmpl w:val="B650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0F1FD6"/>
    <w:multiLevelType w:val="multilevel"/>
    <w:tmpl w:val="2AD47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5691A"/>
    <w:multiLevelType w:val="multilevel"/>
    <w:tmpl w:val="AC2A4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840513"/>
    <w:multiLevelType w:val="multilevel"/>
    <w:tmpl w:val="B0A4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1E5863"/>
    <w:multiLevelType w:val="multilevel"/>
    <w:tmpl w:val="18D4D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6A5B15"/>
    <w:multiLevelType w:val="multilevel"/>
    <w:tmpl w:val="1AB6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FA04EC"/>
    <w:multiLevelType w:val="multilevel"/>
    <w:tmpl w:val="F9A6F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E816E9"/>
    <w:multiLevelType w:val="multilevel"/>
    <w:tmpl w:val="4C0E4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E56656"/>
    <w:multiLevelType w:val="multilevel"/>
    <w:tmpl w:val="5B58C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67295C"/>
    <w:multiLevelType w:val="multilevel"/>
    <w:tmpl w:val="EBE6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E74848"/>
    <w:multiLevelType w:val="multilevel"/>
    <w:tmpl w:val="8800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CD4CCD"/>
    <w:multiLevelType w:val="multilevel"/>
    <w:tmpl w:val="5030A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9173FD4"/>
    <w:multiLevelType w:val="multilevel"/>
    <w:tmpl w:val="BC16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955272">
    <w:abstractNumId w:val="23"/>
  </w:num>
  <w:num w:numId="2" w16cid:durableId="998197617">
    <w:abstractNumId w:val="6"/>
  </w:num>
  <w:num w:numId="3" w16cid:durableId="2144422120">
    <w:abstractNumId w:val="14"/>
  </w:num>
  <w:num w:numId="4" w16cid:durableId="1950356612">
    <w:abstractNumId w:val="15"/>
  </w:num>
  <w:num w:numId="5" w16cid:durableId="841505781">
    <w:abstractNumId w:val="16"/>
  </w:num>
  <w:num w:numId="6" w16cid:durableId="1134056698">
    <w:abstractNumId w:val="2"/>
  </w:num>
  <w:num w:numId="7" w16cid:durableId="593364398">
    <w:abstractNumId w:val="11"/>
  </w:num>
  <w:num w:numId="8" w16cid:durableId="612174295">
    <w:abstractNumId w:val="7"/>
  </w:num>
  <w:num w:numId="9" w16cid:durableId="55203785">
    <w:abstractNumId w:val="10"/>
  </w:num>
  <w:num w:numId="10" w16cid:durableId="1176190925">
    <w:abstractNumId w:val="3"/>
  </w:num>
  <w:num w:numId="11" w16cid:durableId="81532503">
    <w:abstractNumId w:val="18"/>
  </w:num>
  <w:num w:numId="12" w16cid:durableId="1161391697">
    <w:abstractNumId w:val="9"/>
  </w:num>
  <w:num w:numId="13" w16cid:durableId="197741013">
    <w:abstractNumId w:val="22"/>
  </w:num>
  <w:num w:numId="14" w16cid:durableId="1596935445">
    <w:abstractNumId w:val="8"/>
  </w:num>
  <w:num w:numId="15" w16cid:durableId="658853661">
    <w:abstractNumId w:val="20"/>
  </w:num>
  <w:num w:numId="16" w16cid:durableId="640035839">
    <w:abstractNumId w:val="17"/>
  </w:num>
  <w:num w:numId="17" w16cid:durableId="1094741541">
    <w:abstractNumId w:val="4"/>
  </w:num>
  <w:num w:numId="18" w16cid:durableId="1952659582">
    <w:abstractNumId w:val="19"/>
  </w:num>
  <w:num w:numId="19" w16cid:durableId="335159492">
    <w:abstractNumId w:val="13"/>
  </w:num>
  <w:num w:numId="20" w16cid:durableId="1637221591">
    <w:abstractNumId w:val="12"/>
  </w:num>
  <w:num w:numId="21" w16cid:durableId="1350990349">
    <w:abstractNumId w:val="24"/>
  </w:num>
  <w:num w:numId="22" w16cid:durableId="1806001233">
    <w:abstractNumId w:val="0"/>
  </w:num>
  <w:num w:numId="23" w16cid:durableId="913583363">
    <w:abstractNumId w:val="5"/>
  </w:num>
  <w:num w:numId="24" w16cid:durableId="329454913">
    <w:abstractNumId w:val="1"/>
  </w:num>
  <w:num w:numId="25" w16cid:durableId="15801422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E5F"/>
    <w:rsid w:val="0002647F"/>
    <w:rsid w:val="0003733B"/>
    <w:rsid w:val="000470B7"/>
    <w:rsid w:val="000A4C12"/>
    <w:rsid w:val="000D2747"/>
    <w:rsid w:val="000E68B8"/>
    <w:rsid w:val="001229F7"/>
    <w:rsid w:val="00124752"/>
    <w:rsid w:val="00134F58"/>
    <w:rsid w:val="00167AF4"/>
    <w:rsid w:val="00185599"/>
    <w:rsid w:val="001964B5"/>
    <w:rsid w:val="001B1822"/>
    <w:rsid w:val="001B483C"/>
    <w:rsid w:val="001B7256"/>
    <w:rsid w:val="001C324E"/>
    <w:rsid w:val="001F3EFF"/>
    <w:rsid w:val="00200528"/>
    <w:rsid w:val="00214BA0"/>
    <w:rsid w:val="00215335"/>
    <w:rsid w:val="0024557A"/>
    <w:rsid w:val="00286319"/>
    <w:rsid w:val="002864C9"/>
    <w:rsid w:val="00291232"/>
    <w:rsid w:val="00292246"/>
    <w:rsid w:val="002A5D8B"/>
    <w:rsid w:val="002E5152"/>
    <w:rsid w:val="002F2387"/>
    <w:rsid w:val="003067A8"/>
    <w:rsid w:val="0031091B"/>
    <w:rsid w:val="003340FE"/>
    <w:rsid w:val="00344912"/>
    <w:rsid w:val="00347B28"/>
    <w:rsid w:val="00387358"/>
    <w:rsid w:val="003A1CB7"/>
    <w:rsid w:val="003C2982"/>
    <w:rsid w:val="003D2449"/>
    <w:rsid w:val="00404948"/>
    <w:rsid w:val="00405617"/>
    <w:rsid w:val="00415F06"/>
    <w:rsid w:val="0043473A"/>
    <w:rsid w:val="004360DA"/>
    <w:rsid w:val="00450848"/>
    <w:rsid w:val="0047592E"/>
    <w:rsid w:val="004C0C63"/>
    <w:rsid w:val="004F32C9"/>
    <w:rsid w:val="00502064"/>
    <w:rsid w:val="005055DB"/>
    <w:rsid w:val="00517122"/>
    <w:rsid w:val="00526750"/>
    <w:rsid w:val="0054568F"/>
    <w:rsid w:val="00572992"/>
    <w:rsid w:val="00584E27"/>
    <w:rsid w:val="00590285"/>
    <w:rsid w:val="005934E4"/>
    <w:rsid w:val="005B5B23"/>
    <w:rsid w:val="005D1B8A"/>
    <w:rsid w:val="005D1D34"/>
    <w:rsid w:val="005E6814"/>
    <w:rsid w:val="005F7D69"/>
    <w:rsid w:val="00642999"/>
    <w:rsid w:val="006B52FD"/>
    <w:rsid w:val="006C5B19"/>
    <w:rsid w:val="006D1F8B"/>
    <w:rsid w:val="006F1CED"/>
    <w:rsid w:val="0072321E"/>
    <w:rsid w:val="00735431"/>
    <w:rsid w:val="007A3AA0"/>
    <w:rsid w:val="007C706B"/>
    <w:rsid w:val="007D6928"/>
    <w:rsid w:val="007E2934"/>
    <w:rsid w:val="00827F3B"/>
    <w:rsid w:val="00893E26"/>
    <w:rsid w:val="008B4423"/>
    <w:rsid w:val="008C4E5F"/>
    <w:rsid w:val="009024FB"/>
    <w:rsid w:val="0096265D"/>
    <w:rsid w:val="009C5277"/>
    <w:rsid w:val="009D1490"/>
    <w:rsid w:val="009D2597"/>
    <w:rsid w:val="009F4DBD"/>
    <w:rsid w:val="009F6D23"/>
    <w:rsid w:val="00A2412A"/>
    <w:rsid w:val="00A2568F"/>
    <w:rsid w:val="00A26E9C"/>
    <w:rsid w:val="00A33951"/>
    <w:rsid w:val="00A67D46"/>
    <w:rsid w:val="00A847D0"/>
    <w:rsid w:val="00A97425"/>
    <w:rsid w:val="00AD604A"/>
    <w:rsid w:val="00B60C38"/>
    <w:rsid w:val="00BA1113"/>
    <w:rsid w:val="00BA4CE8"/>
    <w:rsid w:val="00C00535"/>
    <w:rsid w:val="00C16EF5"/>
    <w:rsid w:val="00C56F8C"/>
    <w:rsid w:val="00C74145"/>
    <w:rsid w:val="00C7449A"/>
    <w:rsid w:val="00CB49E2"/>
    <w:rsid w:val="00CB64B5"/>
    <w:rsid w:val="00CF6D00"/>
    <w:rsid w:val="00D5476A"/>
    <w:rsid w:val="00D64FFE"/>
    <w:rsid w:val="00D65CEC"/>
    <w:rsid w:val="00D66F85"/>
    <w:rsid w:val="00E050EF"/>
    <w:rsid w:val="00E05E43"/>
    <w:rsid w:val="00E339D9"/>
    <w:rsid w:val="00E70739"/>
    <w:rsid w:val="00E937DF"/>
    <w:rsid w:val="00E951F0"/>
    <w:rsid w:val="00EA2835"/>
    <w:rsid w:val="00ED5D36"/>
    <w:rsid w:val="00EF2E67"/>
    <w:rsid w:val="00EF6B8C"/>
    <w:rsid w:val="00F218A0"/>
    <w:rsid w:val="00F45BB4"/>
    <w:rsid w:val="00FB6AFE"/>
    <w:rsid w:val="00FC3AAE"/>
    <w:rsid w:val="00FF39DE"/>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7D748F"/>
  <w15:chartTrackingRefBased/>
  <w15:docId w15:val="{DCEE9D60-5838-4050-90C2-D949387E1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06B"/>
    <w:rPr>
      <w:rFonts w:ascii="Arial" w:eastAsiaTheme="minorEastAsia" w:hAnsi="Arial"/>
      <w:lang w:eastAsia="zh-CN"/>
      <w14:ligatures w14:val="none"/>
    </w:rPr>
  </w:style>
  <w:style w:type="paragraph" w:styleId="Heading1">
    <w:name w:val="heading 1"/>
    <w:basedOn w:val="Normal"/>
    <w:next w:val="Normal"/>
    <w:link w:val="Heading1Char"/>
    <w:uiPriority w:val="9"/>
    <w:qFormat/>
    <w:rsid w:val="008C4E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4E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E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E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E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E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E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E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E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E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4E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E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E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E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E5F"/>
    <w:rPr>
      <w:rFonts w:eastAsiaTheme="majorEastAsia" w:cstheme="majorBidi"/>
      <w:color w:val="272727" w:themeColor="text1" w:themeTint="D8"/>
    </w:rPr>
  </w:style>
  <w:style w:type="paragraph" w:styleId="Title">
    <w:name w:val="Title"/>
    <w:basedOn w:val="Normal"/>
    <w:next w:val="Normal"/>
    <w:link w:val="TitleChar"/>
    <w:uiPriority w:val="10"/>
    <w:qFormat/>
    <w:rsid w:val="008C4E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E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E5F"/>
    <w:pPr>
      <w:spacing w:before="160"/>
      <w:jc w:val="center"/>
    </w:pPr>
    <w:rPr>
      <w:i/>
      <w:iCs/>
      <w:color w:val="404040" w:themeColor="text1" w:themeTint="BF"/>
    </w:rPr>
  </w:style>
  <w:style w:type="character" w:customStyle="1" w:styleId="QuoteChar">
    <w:name w:val="Quote Char"/>
    <w:basedOn w:val="DefaultParagraphFont"/>
    <w:link w:val="Quote"/>
    <w:uiPriority w:val="29"/>
    <w:rsid w:val="008C4E5F"/>
    <w:rPr>
      <w:i/>
      <w:iCs/>
      <w:color w:val="404040" w:themeColor="text1" w:themeTint="BF"/>
    </w:rPr>
  </w:style>
  <w:style w:type="paragraph" w:styleId="ListParagraph">
    <w:name w:val="List Paragraph"/>
    <w:basedOn w:val="Normal"/>
    <w:uiPriority w:val="34"/>
    <w:qFormat/>
    <w:rsid w:val="008C4E5F"/>
    <w:pPr>
      <w:ind w:left="720"/>
      <w:contextualSpacing/>
    </w:pPr>
  </w:style>
  <w:style w:type="character" w:styleId="IntenseEmphasis">
    <w:name w:val="Intense Emphasis"/>
    <w:basedOn w:val="DefaultParagraphFont"/>
    <w:uiPriority w:val="21"/>
    <w:qFormat/>
    <w:rsid w:val="008C4E5F"/>
    <w:rPr>
      <w:i/>
      <w:iCs/>
      <w:color w:val="0F4761" w:themeColor="accent1" w:themeShade="BF"/>
    </w:rPr>
  </w:style>
  <w:style w:type="paragraph" w:styleId="IntenseQuote">
    <w:name w:val="Intense Quote"/>
    <w:basedOn w:val="Normal"/>
    <w:next w:val="Normal"/>
    <w:link w:val="IntenseQuoteChar"/>
    <w:uiPriority w:val="30"/>
    <w:qFormat/>
    <w:rsid w:val="008C4E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E5F"/>
    <w:rPr>
      <w:i/>
      <w:iCs/>
      <w:color w:val="0F4761" w:themeColor="accent1" w:themeShade="BF"/>
    </w:rPr>
  </w:style>
  <w:style w:type="character" w:styleId="IntenseReference">
    <w:name w:val="Intense Reference"/>
    <w:basedOn w:val="DefaultParagraphFont"/>
    <w:uiPriority w:val="32"/>
    <w:qFormat/>
    <w:rsid w:val="008C4E5F"/>
    <w:rPr>
      <w:b/>
      <w:bCs/>
      <w:smallCaps/>
      <w:color w:val="0F4761" w:themeColor="accent1" w:themeShade="BF"/>
      <w:spacing w:val="5"/>
    </w:rPr>
  </w:style>
  <w:style w:type="character" w:styleId="Hyperlink">
    <w:name w:val="Hyperlink"/>
    <w:basedOn w:val="DefaultParagraphFont"/>
    <w:uiPriority w:val="99"/>
    <w:unhideWhenUsed/>
    <w:rsid w:val="009D2597"/>
    <w:rPr>
      <w:color w:val="467886" w:themeColor="hyperlink"/>
      <w:u w:val="single"/>
    </w:rPr>
  </w:style>
  <w:style w:type="character" w:styleId="UnresolvedMention">
    <w:name w:val="Unresolved Mention"/>
    <w:basedOn w:val="DefaultParagraphFont"/>
    <w:uiPriority w:val="99"/>
    <w:semiHidden/>
    <w:unhideWhenUsed/>
    <w:rsid w:val="009D2597"/>
    <w:rPr>
      <w:color w:val="605E5C"/>
      <w:shd w:val="clear" w:color="auto" w:fill="E1DFDD"/>
    </w:rPr>
  </w:style>
  <w:style w:type="paragraph" w:styleId="NormalWeb">
    <w:name w:val="Normal (Web)"/>
    <w:basedOn w:val="Normal"/>
    <w:uiPriority w:val="99"/>
    <w:semiHidden/>
    <w:unhideWhenUsed/>
    <w:rsid w:val="00CB64B5"/>
    <w:rPr>
      <w:rFonts w:ascii="Times New Roman" w:hAnsi="Times New Roman" w:cs="Times New Roman"/>
      <w:sz w:val="24"/>
      <w:szCs w:val="24"/>
    </w:rPr>
  </w:style>
  <w:style w:type="paragraph" w:styleId="TOCHeading">
    <w:name w:val="TOC Heading"/>
    <w:basedOn w:val="Heading1"/>
    <w:next w:val="Normal"/>
    <w:uiPriority w:val="39"/>
    <w:unhideWhenUsed/>
    <w:qFormat/>
    <w:rsid w:val="00590285"/>
    <w:pPr>
      <w:spacing w:before="240" w:after="0"/>
      <w:outlineLvl w:val="9"/>
    </w:pPr>
    <w:rPr>
      <w:sz w:val="32"/>
      <w:szCs w:val="32"/>
      <w:lang w:eastAsia="en-GB"/>
    </w:rPr>
  </w:style>
  <w:style w:type="paragraph" w:styleId="TOC1">
    <w:name w:val="toc 1"/>
    <w:basedOn w:val="Normal"/>
    <w:next w:val="Normal"/>
    <w:autoRedefine/>
    <w:uiPriority w:val="39"/>
    <w:unhideWhenUsed/>
    <w:rsid w:val="00590285"/>
    <w:pPr>
      <w:spacing w:after="100"/>
    </w:pPr>
  </w:style>
  <w:style w:type="paragraph" w:styleId="TOC2">
    <w:name w:val="toc 2"/>
    <w:basedOn w:val="Normal"/>
    <w:next w:val="Normal"/>
    <w:autoRedefine/>
    <w:uiPriority w:val="39"/>
    <w:unhideWhenUsed/>
    <w:rsid w:val="00590285"/>
    <w:pPr>
      <w:spacing w:after="100"/>
      <w:ind w:left="220"/>
    </w:pPr>
  </w:style>
  <w:style w:type="paragraph" w:styleId="Header">
    <w:name w:val="header"/>
    <w:basedOn w:val="Normal"/>
    <w:link w:val="HeaderChar"/>
    <w:uiPriority w:val="99"/>
    <w:unhideWhenUsed/>
    <w:rsid w:val="003D2449"/>
    <w:pPr>
      <w:tabs>
        <w:tab w:val="center" w:pos="4677"/>
        <w:tab w:val="right" w:pos="9355"/>
      </w:tabs>
      <w:spacing w:after="0" w:line="240" w:lineRule="auto"/>
    </w:pPr>
  </w:style>
  <w:style w:type="character" w:customStyle="1" w:styleId="HeaderChar">
    <w:name w:val="Header Char"/>
    <w:basedOn w:val="DefaultParagraphFont"/>
    <w:link w:val="Header"/>
    <w:uiPriority w:val="99"/>
    <w:rsid w:val="003D2449"/>
    <w:rPr>
      <w:rFonts w:ascii="Arial" w:eastAsiaTheme="minorEastAsia" w:hAnsi="Arial"/>
      <w:lang w:eastAsia="zh-CN"/>
      <w14:ligatures w14:val="none"/>
    </w:rPr>
  </w:style>
  <w:style w:type="paragraph" w:styleId="Footer">
    <w:name w:val="footer"/>
    <w:basedOn w:val="Normal"/>
    <w:link w:val="FooterChar"/>
    <w:uiPriority w:val="99"/>
    <w:unhideWhenUsed/>
    <w:rsid w:val="003D2449"/>
    <w:pPr>
      <w:tabs>
        <w:tab w:val="center" w:pos="4677"/>
        <w:tab w:val="right" w:pos="9355"/>
      </w:tabs>
      <w:spacing w:after="0" w:line="240" w:lineRule="auto"/>
    </w:pPr>
  </w:style>
  <w:style w:type="character" w:customStyle="1" w:styleId="FooterChar">
    <w:name w:val="Footer Char"/>
    <w:basedOn w:val="DefaultParagraphFont"/>
    <w:link w:val="Footer"/>
    <w:uiPriority w:val="99"/>
    <w:rsid w:val="003D2449"/>
    <w:rPr>
      <w:rFonts w:ascii="Arial" w:eastAsiaTheme="minorEastAsia" w:hAnsi="Arial"/>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hrm.org/"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ikea.com/"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cipd.org/" TargetMode="External"/><Relationship Id="rId14" Type="http://schemas.openxmlformats.org/officeDocument/2006/relationships/header" Target="head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E1C70-4DFC-4937-B75E-6BC3B2583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11</Pages>
  <Words>2937</Words>
  <Characters>16742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Taisiia Pavliukova</dc:creator>
  <cp:keywords/>
  <dc:description/>
  <cp:lastModifiedBy>Taisiia Pavliukova</cp:lastModifiedBy>
  <cp:revision>89</cp:revision>
  <dcterms:created xsi:type="dcterms:W3CDTF">2026-04-23T22:28:00Z</dcterms:created>
  <dcterms:modified xsi:type="dcterms:W3CDTF">2026-04-30T15:57:00Z</dcterms:modified>
</cp:coreProperties>
</file>