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06996929"/>
        <w:docPartObj>
          <w:docPartGallery w:val="Cover Pages"/>
          <w:docPartUnique/>
        </w:docPartObj>
      </w:sdtPr>
      <w:sdtEndPr>
        <w:rPr>
          <w:rFonts w:cstheme="minorHAnsi"/>
          <w:color w:val="000000" w:themeColor="text1"/>
        </w:rPr>
      </w:sdtEndPr>
      <w:sdtContent>
        <w:p w14:paraId="2E7EC749" w14:textId="68FC4909" w:rsidR="00E20611" w:rsidRDefault="00E20611">
          <w:r>
            <w:rPr>
              <w:noProof/>
            </w:rPr>
            <mc:AlternateContent>
              <mc:Choice Requires="wpg">
                <w:drawing>
                  <wp:anchor distT="0" distB="0" distL="114300" distR="114300" simplePos="0" relativeHeight="251660288" behindDoc="0" locked="0" layoutInCell="1" allowOverlap="1" wp14:anchorId="5A7F56A4" wp14:editId="01BEAA5B">
                    <wp:simplePos x="0" y="0"/>
                    <wp:positionH relativeFrom="page">
                      <wp:align>left</wp:align>
                    </wp:positionH>
                    <wp:positionV relativeFrom="page">
                      <wp:align>top</wp:align>
                    </wp:positionV>
                    <wp:extent cx="6382385" cy="3646967"/>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385" cy="3646967"/>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1958"/>
                                <a:ext cx="5610225" cy="2609848"/>
                              </a:xfrm>
                              <a:prstGeom prst="rect">
                                <a:avLst/>
                              </a:prstGeom>
                              <a:noFill/>
                              <a:ln w="6350">
                                <a:noFill/>
                              </a:ln>
                            </wps:spPr>
                            <wps:txbx>
                              <w:txbxContent>
                                <w:sdt>
                                  <w:sdtPr>
                                    <w:rPr>
                                      <w:rFonts w:cstheme="minorHAnsi"/>
                                      <w:color w:val="44546A" w:themeColor="text2"/>
                                      <w:spacing w:val="10"/>
                                      <w:sz w:val="32"/>
                                      <w:szCs w:val="32"/>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0B5277EB" w14:textId="069F31B7" w:rsidR="00E20611" w:rsidRPr="00E20611" w:rsidRDefault="00E20611">
                                      <w:pPr>
                                        <w:pStyle w:val="NoSpacing"/>
                                        <w:spacing w:after="240" w:line="216" w:lineRule="auto"/>
                                        <w:rPr>
                                          <w:rFonts w:cstheme="minorHAnsi"/>
                                          <w:color w:val="44546A" w:themeColor="text2"/>
                                          <w:spacing w:val="10"/>
                                          <w:sz w:val="32"/>
                                          <w:szCs w:val="32"/>
                                        </w:rPr>
                                      </w:pPr>
                                      <w:r w:rsidRPr="00E20611">
                                        <w:rPr>
                                          <w:rFonts w:cstheme="minorHAnsi"/>
                                          <w:color w:val="44546A" w:themeColor="text2"/>
                                          <w:spacing w:val="10"/>
                                          <w:sz w:val="32"/>
                                          <w:szCs w:val="32"/>
                                        </w:rPr>
                                        <w:t xml:space="preserve">     </w:t>
                                      </w:r>
                                    </w:p>
                                  </w:sdtContent>
                                </w:sdt>
                                <w:bookmarkStart w:id="0" w:name="_GoBack"/>
                                <w:p w14:paraId="75CF289E" w14:textId="00968E83" w:rsidR="00E20611" w:rsidRPr="00E20611" w:rsidRDefault="00E20611">
                                  <w:pPr>
                                    <w:pStyle w:val="NoSpacing"/>
                                    <w:spacing w:line="216" w:lineRule="auto"/>
                                    <w:rPr>
                                      <w:rFonts w:cstheme="minorHAnsi"/>
                                      <w:caps/>
                                      <w:color w:val="44546A" w:themeColor="text2"/>
                                      <w:sz w:val="40"/>
                                      <w:szCs w:val="40"/>
                                    </w:rPr>
                                  </w:pPr>
                                  <w:sdt>
                                    <w:sdtPr>
                                      <w:rPr>
                                        <w:rFonts w:cstheme="minorHAnsi"/>
                                        <w:b/>
                                        <w:bCs/>
                                        <w:sz w:val="40"/>
                                        <w:szCs w:val="4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Pr="00E20611">
                                        <w:rPr>
                                          <w:rFonts w:cstheme="minorHAnsi"/>
                                          <w:b/>
                                          <w:bCs/>
                                          <w:sz w:val="40"/>
                                          <w:szCs w:val="40"/>
                                        </w:rPr>
                                        <w:t>“</w:t>
                                      </w:r>
                                      <w:r w:rsidRPr="00E20611">
                                        <w:rPr>
                                          <w:rFonts w:cstheme="minorHAnsi"/>
                                          <w:b/>
                                          <w:bCs/>
                                          <w:sz w:val="40"/>
                                          <w:szCs w:val="40"/>
                                        </w:rPr>
                                        <w:t>Good Scrutiny makes for good government’’</w:t>
                                      </w:r>
                                    </w:sdtContent>
                                  </w:sdt>
                                  <w:bookmarkEnd w:id="0"/>
                                  <w:r w:rsidRPr="00E20611">
                                    <w:rPr>
                                      <w:rFonts w:cstheme="minorHAnsi"/>
                                      <w:b/>
                                      <w:bCs/>
                                      <w:sz w:val="40"/>
                                      <w:szCs w:val="40"/>
                                    </w:rPr>
                                    <w:t xml:space="preserve"> White (2005)</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7F56A4" id="Group 39" o:spid="_x0000_s1026" alt="Title: Title and subtitle with crop mark graphic" style="position:absolute;margin-left:0;margin-top:0;width:502.55pt;height:287.1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9;width:56102;height:2609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cstheme="minorHAnsi"/>
                                <w:color w:val="44546A" w:themeColor="text2"/>
                                <w:spacing w:val="10"/>
                                <w:sz w:val="32"/>
                                <w:szCs w:val="32"/>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0B5277EB" w14:textId="069F31B7" w:rsidR="00E20611" w:rsidRPr="00E20611" w:rsidRDefault="00E20611">
                                <w:pPr>
                                  <w:pStyle w:val="NoSpacing"/>
                                  <w:spacing w:after="240" w:line="216" w:lineRule="auto"/>
                                  <w:rPr>
                                    <w:rFonts w:cstheme="minorHAnsi"/>
                                    <w:color w:val="44546A" w:themeColor="text2"/>
                                    <w:spacing w:val="10"/>
                                    <w:sz w:val="32"/>
                                    <w:szCs w:val="32"/>
                                  </w:rPr>
                                </w:pPr>
                                <w:r w:rsidRPr="00E20611">
                                  <w:rPr>
                                    <w:rFonts w:cstheme="minorHAnsi"/>
                                    <w:color w:val="44546A" w:themeColor="text2"/>
                                    <w:spacing w:val="10"/>
                                    <w:sz w:val="32"/>
                                    <w:szCs w:val="32"/>
                                  </w:rPr>
                                  <w:t xml:space="preserve">     </w:t>
                                </w:r>
                              </w:p>
                            </w:sdtContent>
                          </w:sdt>
                          <w:bookmarkStart w:id="1" w:name="_GoBack"/>
                          <w:p w14:paraId="75CF289E" w14:textId="00968E83" w:rsidR="00E20611" w:rsidRPr="00E20611" w:rsidRDefault="00E20611">
                            <w:pPr>
                              <w:pStyle w:val="NoSpacing"/>
                              <w:spacing w:line="216" w:lineRule="auto"/>
                              <w:rPr>
                                <w:rFonts w:cstheme="minorHAnsi"/>
                                <w:caps/>
                                <w:color w:val="44546A" w:themeColor="text2"/>
                                <w:sz w:val="40"/>
                                <w:szCs w:val="40"/>
                              </w:rPr>
                            </w:pPr>
                            <w:sdt>
                              <w:sdtPr>
                                <w:rPr>
                                  <w:rFonts w:cstheme="minorHAnsi"/>
                                  <w:b/>
                                  <w:bCs/>
                                  <w:sz w:val="40"/>
                                  <w:szCs w:val="4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Pr="00E20611">
                                  <w:rPr>
                                    <w:rFonts w:cstheme="minorHAnsi"/>
                                    <w:b/>
                                    <w:bCs/>
                                    <w:sz w:val="40"/>
                                    <w:szCs w:val="40"/>
                                  </w:rPr>
                                  <w:t>“</w:t>
                                </w:r>
                                <w:r w:rsidRPr="00E20611">
                                  <w:rPr>
                                    <w:rFonts w:cstheme="minorHAnsi"/>
                                    <w:b/>
                                    <w:bCs/>
                                    <w:sz w:val="40"/>
                                    <w:szCs w:val="40"/>
                                  </w:rPr>
                                  <w:t>Good Scrutiny makes for good government’’</w:t>
                                </w:r>
                              </w:sdtContent>
                            </w:sdt>
                            <w:bookmarkEnd w:id="1"/>
                            <w:r w:rsidRPr="00E20611">
                              <w:rPr>
                                <w:rFonts w:cstheme="minorHAnsi"/>
                                <w:b/>
                                <w:bCs/>
                                <w:sz w:val="40"/>
                                <w:szCs w:val="40"/>
                              </w:rPr>
                              <w:t xml:space="preserve"> White (2005)</w:t>
                            </w:r>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50AFF836" wp14:editId="32448C65">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00000" w:themeColor="text1"/>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F99730C" w14:textId="3A1E0BB9" w:rsidR="00E20611" w:rsidRPr="00E20611" w:rsidRDefault="00E20611">
                                      <w:pPr>
                                        <w:pStyle w:val="NoSpacing"/>
                                        <w:spacing w:after="240"/>
                                        <w:jc w:val="right"/>
                                        <w:rPr>
                                          <w:color w:val="000000" w:themeColor="text1"/>
                                          <w:spacing w:val="10"/>
                                          <w:sz w:val="36"/>
                                          <w:szCs w:val="36"/>
                                        </w:rPr>
                                      </w:pPr>
                                      <w:r w:rsidRPr="00E20611">
                                        <w:rPr>
                                          <w:color w:val="000000" w:themeColor="text1"/>
                                          <w:spacing w:val="10"/>
                                          <w:sz w:val="36"/>
                                          <w:szCs w:val="36"/>
                                        </w:rPr>
                                        <w:t>Leah Thomas</w:t>
                                      </w:r>
                                    </w:p>
                                  </w:sdtContent>
                                </w:sdt>
                                <w:p w14:paraId="4CDF6867" w14:textId="6FF63FB3" w:rsidR="00E20611" w:rsidRPr="00E20611" w:rsidRDefault="00E20611">
                                  <w:pPr>
                                    <w:pStyle w:val="NoSpacing"/>
                                    <w:jc w:val="right"/>
                                    <w:rPr>
                                      <w:color w:val="000000" w:themeColor="text1"/>
                                      <w:spacing w:val="10"/>
                                      <w:sz w:val="28"/>
                                      <w:szCs w:val="28"/>
                                    </w:rPr>
                                  </w:pPr>
                                  <w:sdt>
                                    <w:sdtPr>
                                      <w:rPr>
                                        <w:color w:val="000000" w:themeColor="text1"/>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E20611">
                                        <w:rPr>
                                          <w:color w:val="000000" w:themeColor="text1"/>
                                          <w:spacing w:val="10"/>
                                          <w:sz w:val="28"/>
                                          <w:szCs w:val="28"/>
                                        </w:rPr>
                                        <w:t>BML4006</w:t>
                                      </w:r>
                                    </w:sdtContent>
                                  </w:sdt>
                                </w:p>
                                <w:p w14:paraId="54F6B5C7" w14:textId="12AA59A0" w:rsidR="00E20611" w:rsidRPr="00E20611" w:rsidRDefault="00E20611">
                                  <w:pPr>
                                    <w:pStyle w:val="NoSpacing"/>
                                    <w:jc w:val="right"/>
                                    <w:rPr>
                                      <w:color w:val="000000" w:themeColor="text1"/>
                                      <w:spacing w:val="10"/>
                                      <w:sz w:val="28"/>
                                      <w:szCs w:val="28"/>
                                    </w:rPr>
                                  </w:pPr>
                                  <w:r w:rsidRPr="00E20611">
                                    <w:rPr>
                                      <w:color w:val="000000" w:themeColor="text1"/>
                                      <w:spacing w:val="10"/>
                                      <w:sz w:val="28"/>
                                      <w:szCs w:val="28"/>
                                    </w:rPr>
                                    <w:t xml:space="preserve">Word count - </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AFF836" id="Group 38"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00000" w:themeColor="text1"/>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F99730C" w14:textId="3A1E0BB9" w:rsidR="00E20611" w:rsidRPr="00E20611" w:rsidRDefault="00E20611">
                                <w:pPr>
                                  <w:pStyle w:val="NoSpacing"/>
                                  <w:spacing w:after="240"/>
                                  <w:jc w:val="right"/>
                                  <w:rPr>
                                    <w:color w:val="000000" w:themeColor="text1"/>
                                    <w:spacing w:val="10"/>
                                    <w:sz w:val="36"/>
                                    <w:szCs w:val="36"/>
                                  </w:rPr>
                                </w:pPr>
                                <w:r w:rsidRPr="00E20611">
                                  <w:rPr>
                                    <w:color w:val="000000" w:themeColor="text1"/>
                                    <w:spacing w:val="10"/>
                                    <w:sz w:val="36"/>
                                    <w:szCs w:val="36"/>
                                  </w:rPr>
                                  <w:t>Leah Thomas</w:t>
                                </w:r>
                              </w:p>
                            </w:sdtContent>
                          </w:sdt>
                          <w:p w14:paraId="4CDF6867" w14:textId="6FF63FB3" w:rsidR="00E20611" w:rsidRPr="00E20611" w:rsidRDefault="00E20611">
                            <w:pPr>
                              <w:pStyle w:val="NoSpacing"/>
                              <w:jc w:val="right"/>
                              <w:rPr>
                                <w:color w:val="000000" w:themeColor="text1"/>
                                <w:spacing w:val="10"/>
                                <w:sz w:val="28"/>
                                <w:szCs w:val="28"/>
                              </w:rPr>
                            </w:pPr>
                            <w:sdt>
                              <w:sdtPr>
                                <w:rPr>
                                  <w:color w:val="000000" w:themeColor="text1"/>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E20611">
                                  <w:rPr>
                                    <w:color w:val="000000" w:themeColor="text1"/>
                                    <w:spacing w:val="10"/>
                                    <w:sz w:val="28"/>
                                    <w:szCs w:val="28"/>
                                  </w:rPr>
                                  <w:t>BML4006</w:t>
                                </w:r>
                              </w:sdtContent>
                            </w:sdt>
                          </w:p>
                          <w:p w14:paraId="54F6B5C7" w14:textId="12AA59A0" w:rsidR="00E20611" w:rsidRPr="00E20611" w:rsidRDefault="00E20611">
                            <w:pPr>
                              <w:pStyle w:val="NoSpacing"/>
                              <w:jc w:val="right"/>
                              <w:rPr>
                                <w:color w:val="000000" w:themeColor="text1"/>
                                <w:spacing w:val="10"/>
                                <w:sz w:val="28"/>
                                <w:szCs w:val="28"/>
                              </w:rPr>
                            </w:pPr>
                            <w:r w:rsidRPr="00E20611">
                              <w:rPr>
                                <w:color w:val="000000" w:themeColor="text1"/>
                                <w:spacing w:val="10"/>
                                <w:sz w:val="28"/>
                                <w:szCs w:val="28"/>
                              </w:rPr>
                              <w:t xml:space="preserve">Word count - </w:t>
                            </w:r>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FC68045" wp14:editId="3D33A092">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19CF871"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521CA3D3" w14:textId="03194A2F" w:rsidR="00E20611" w:rsidRDefault="00E20611">
          <w:pPr>
            <w:rPr>
              <w:rFonts w:cstheme="minorHAnsi"/>
              <w:color w:val="000000" w:themeColor="text1"/>
            </w:rPr>
          </w:pPr>
          <w:r>
            <w:rPr>
              <w:rFonts w:cstheme="minorHAnsi"/>
              <w:color w:val="000000" w:themeColor="text1"/>
            </w:rPr>
            <w:br w:type="page"/>
          </w:r>
        </w:p>
      </w:sdtContent>
    </w:sdt>
    <w:p w14:paraId="3C3646F3" w14:textId="7E3BAB04" w:rsidR="00E20611" w:rsidRPr="00E20611" w:rsidRDefault="00C7112A" w:rsidP="00E20611">
      <w:pPr>
        <w:spacing w:line="360" w:lineRule="auto"/>
        <w:rPr>
          <w:color w:val="000000" w:themeColor="text1"/>
        </w:rPr>
      </w:pPr>
      <w:r w:rsidRPr="00E20611">
        <w:rPr>
          <w:rFonts w:cstheme="minorHAnsi"/>
          <w:color w:val="000000" w:themeColor="text1"/>
        </w:rPr>
        <w:lastRenderedPageBreak/>
        <w:t>The assertion “Good scrutiny makes for good Government” by White (2015)</w:t>
      </w:r>
      <w:r w:rsidRPr="00E20611">
        <w:rPr>
          <w:rFonts w:cstheme="minorHAnsi"/>
          <w:noProof/>
          <w:color w:val="000000" w:themeColor="text1"/>
        </w:rPr>
        <w:t xml:space="preserve"> </w:t>
      </w:r>
      <w:r w:rsidRPr="00E20611">
        <w:rPr>
          <w:rFonts w:cstheme="minorHAnsi"/>
          <w:color w:val="000000" w:themeColor="text1"/>
        </w:rPr>
        <w:t xml:space="preserve">underscores the importance of accountability in ensuring effective governance. </w:t>
      </w:r>
      <w:r w:rsidR="00A12711" w:rsidRPr="00E20611">
        <w:rPr>
          <w:rFonts w:cstheme="minorHAnsi"/>
          <w:color w:val="000000" w:themeColor="text1"/>
        </w:rPr>
        <w:t>The executive, a component of the UK's democratic system alongside the legislative and judicial branches, holds significant governance responsibilities. Its duties include implementing laws, drafting policies, and enforcing legislation (UK Parliament, 2023). According to GOV (2022), Key figures within the executive branch include the Prime Minister, Cabinet ministers, and government officials. The Prime Minister, typically the leader of the majority party in the House of Commons, oversees the Cabinet and holds ultimate responsibility for governmental decisions and policies. Each minister manages specific policy areas within distinct government departments. The executive's pivotal role encompasses overseeing government operations, proposing legislation, and ensuring national security</w:t>
      </w:r>
      <w:r w:rsidR="00C1086E" w:rsidRPr="00E20611">
        <w:rPr>
          <w:rFonts w:cstheme="minorHAnsi"/>
          <w:color w:val="000000" w:themeColor="text1"/>
        </w:rPr>
        <w:t xml:space="preserve"> </w:t>
      </w:r>
      <w:r w:rsidR="00C1086E" w:rsidRPr="00E20611">
        <w:rPr>
          <w:rFonts w:eastAsia="Times New Roman" w:cstheme="minorHAnsi"/>
          <w:color w:val="000000" w:themeColor="text1"/>
          <w:lang w:eastAsia="en-GB"/>
        </w:rPr>
        <w:t xml:space="preserve">Watts (2003). </w:t>
      </w:r>
      <w:r w:rsidR="00A12711" w:rsidRPr="00E20611">
        <w:rPr>
          <w:rFonts w:cstheme="minorHAnsi"/>
          <w:color w:val="000000" w:themeColor="text1"/>
        </w:rPr>
        <w:t xml:space="preserve"> </w:t>
      </w:r>
      <w:r w:rsidR="00C1086E" w:rsidRPr="00E20611">
        <w:rPr>
          <w:rFonts w:cstheme="minorHAnsi"/>
          <w:color w:val="000000" w:themeColor="text1"/>
        </w:rPr>
        <w:t xml:space="preserve">Additionally, </w:t>
      </w:r>
      <w:r w:rsidR="00C1086E" w:rsidRPr="00E20611">
        <w:rPr>
          <w:rFonts w:cstheme="minorHAnsi"/>
          <w:noProof/>
          <w:color w:val="000000" w:themeColor="text1"/>
        </w:rPr>
        <w:t xml:space="preserve">Stanley (2024), emphasizes that </w:t>
      </w:r>
      <w:r w:rsidR="00C1086E" w:rsidRPr="00E20611">
        <w:rPr>
          <w:rFonts w:cstheme="minorHAnsi"/>
          <w:color w:val="000000" w:themeColor="text1"/>
        </w:rPr>
        <w:t xml:space="preserve">the government employ civil servants whose roles are to perform administrative tasks and provide public services, these servants are politically neutral to avoid bias and act in the best interest of the public enhancing the credibility and integrity of scrutiny processes. </w:t>
      </w:r>
      <w:r w:rsidR="00E20611" w:rsidRPr="00E20611">
        <w:rPr>
          <w:color w:val="000000" w:themeColor="text1"/>
        </w:rPr>
        <w:t>Good scrutiny makes for a good government as it ensures no one has too much power and helps promote transparency</w:t>
      </w:r>
      <w:r w:rsidR="00E20611" w:rsidRPr="00E20611">
        <w:rPr>
          <w:color w:val="000000" w:themeColor="text1"/>
        </w:rPr>
        <w:t>.</w:t>
      </w:r>
    </w:p>
    <w:p w14:paraId="3E9D1DBD" w14:textId="094C99B2" w:rsidR="00562547" w:rsidRPr="00E20611" w:rsidRDefault="00000000" w:rsidP="00C7112A">
      <w:pPr>
        <w:spacing w:line="360" w:lineRule="auto"/>
        <w:rPr>
          <w:rFonts w:eastAsia="Times New Roman" w:cstheme="minorHAnsi"/>
          <w:color w:val="000000" w:themeColor="text1"/>
          <w:lang w:eastAsia="en-GB"/>
        </w:rPr>
      </w:pPr>
    </w:p>
    <w:p w14:paraId="292F033B" w14:textId="77777777" w:rsidR="00C7112A" w:rsidRPr="00E20611" w:rsidRDefault="00C7112A" w:rsidP="00C7112A">
      <w:pPr>
        <w:spacing w:line="360" w:lineRule="auto"/>
        <w:rPr>
          <w:rFonts w:cstheme="minorHAnsi"/>
          <w:color w:val="000000" w:themeColor="text1"/>
        </w:rPr>
      </w:pPr>
    </w:p>
    <w:p w14:paraId="25545BF9" w14:textId="5E75C485" w:rsidR="004D5098" w:rsidRPr="00E20611" w:rsidRDefault="004D5098" w:rsidP="00C7112A">
      <w:pPr>
        <w:spacing w:line="360" w:lineRule="auto"/>
        <w:contextualSpacing/>
        <w:rPr>
          <w:rFonts w:eastAsia="Times New Roman" w:cstheme="minorHAnsi"/>
          <w:color w:val="000000" w:themeColor="text1"/>
          <w:lang w:eastAsia="en-GB"/>
        </w:rPr>
      </w:pPr>
      <w:r w:rsidRPr="00E20611">
        <w:rPr>
          <w:rFonts w:eastAsia="Times New Roman" w:cstheme="minorHAnsi"/>
          <w:color w:val="000000" w:themeColor="text1"/>
          <w:lang w:eastAsia="en-GB"/>
        </w:rPr>
        <w:t xml:space="preserve">Iyer (2018) explains that the separation of powers theory functions as a mechanism for holding the UK government accountable, ensuring its adherence to legal boundaries, and subjecting it to scrutiny. This principle establishes a system of checks and balances among the three branches of government, preventing any single branch from conducting unchecked authority. By dispersing power across multiple bodies, the separation of powers safeguards individual liberties and prevents the accumulation of power in the hands of a single institution or individual </w:t>
      </w:r>
      <w:r w:rsidRPr="00E20611">
        <w:rPr>
          <w:rFonts w:eastAsia="Times New Roman" w:cstheme="minorHAnsi"/>
          <w:noProof/>
          <w:color w:val="000000" w:themeColor="text1"/>
          <w:lang w:eastAsia="en-GB"/>
        </w:rPr>
        <w:t>(Saunders, 2006)</w:t>
      </w:r>
      <w:r w:rsidRPr="00E20611">
        <w:rPr>
          <w:rFonts w:eastAsia="Times New Roman" w:cstheme="minorHAnsi"/>
          <w:color w:val="000000" w:themeColor="text1"/>
          <w:lang w:eastAsia="en-GB"/>
        </w:rPr>
        <w:t>. This arrangement serves as a barrier against the emergence of dictatorship promoting governance that remains accountable and responsive to the needs and rights of citizen.</w:t>
      </w:r>
    </w:p>
    <w:p w14:paraId="670115EE" w14:textId="77777777" w:rsidR="00C7112A" w:rsidRPr="00E20611" w:rsidRDefault="00C7112A" w:rsidP="00C7112A">
      <w:pPr>
        <w:spacing w:line="360" w:lineRule="auto"/>
        <w:contextualSpacing/>
        <w:rPr>
          <w:rFonts w:eastAsia="Times New Roman" w:cstheme="minorHAnsi"/>
          <w:color w:val="000000" w:themeColor="text1"/>
          <w:lang w:eastAsia="en-GB"/>
        </w:rPr>
      </w:pPr>
    </w:p>
    <w:p w14:paraId="1EF71497" w14:textId="14101F31" w:rsidR="00C7112A" w:rsidRPr="00E20611" w:rsidRDefault="004D5098" w:rsidP="00C7112A">
      <w:pPr>
        <w:spacing w:line="360" w:lineRule="auto"/>
        <w:contextualSpacing/>
        <w:rPr>
          <w:rFonts w:eastAsia="Times New Roman" w:cstheme="minorHAnsi"/>
          <w:color w:val="000000" w:themeColor="text1"/>
          <w:lang w:eastAsia="en-GB"/>
        </w:rPr>
      </w:pPr>
      <w:r w:rsidRPr="00E20611">
        <w:rPr>
          <w:rFonts w:eastAsia="Times New Roman" w:cstheme="minorHAnsi"/>
          <w:color w:val="000000" w:themeColor="text1"/>
          <w:lang w:eastAsia="en-GB"/>
        </w:rPr>
        <w:t xml:space="preserve">Parliament, functioning as the legislative branch, holds the government accountable through various means such as debates and parliamentary questions. This enables members of parliament to scrutinize governmental actions and decisions, thereby fostering transparency and accountability. Additionally, the judiciary plays a crucial role in scrutinizing </w:t>
      </w:r>
      <w:r w:rsidRPr="00E20611">
        <w:rPr>
          <w:rFonts w:eastAsia="Times New Roman" w:cstheme="minorHAnsi"/>
          <w:color w:val="000000" w:themeColor="text1"/>
          <w:lang w:eastAsia="en-GB"/>
        </w:rPr>
        <w:lastRenderedPageBreak/>
        <w:t>the government by assessing the legality of its actions and decisions. Through these assessments, courts have the authority to invalidate government actions or policies deemed unlawful or unconstitutional, thereby enforcing adherence to the rule of law. The British Institute of Human Rights (2024) underscores the significance of accountability and oversight in promoting good governance and preventing the abuse of power within any branch of government.</w:t>
      </w:r>
    </w:p>
    <w:p w14:paraId="49894A01" w14:textId="77777777" w:rsidR="00C7112A" w:rsidRPr="00E20611" w:rsidRDefault="00C7112A" w:rsidP="00C7112A">
      <w:pPr>
        <w:spacing w:line="360" w:lineRule="auto"/>
        <w:contextualSpacing/>
        <w:rPr>
          <w:rFonts w:eastAsia="Times New Roman" w:cstheme="minorHAnsi"/>
          <w:color w:val="000000" w:themeColor="text1"/>
          <w:lang w:eastAsia="en-GB"/>
        </w:rPr>
      </w:pPr>
    </w:p>
    <w:p w14:paraId="1AE59AD3" w14:textId="76521A4D" w:rsidR="004D5098" w:rsidRPr="00E20611" w:rsidRDefault="004D5098" w:rsidP="00C7112A">
      <w:pPr>
        <w:spacing w:line="360" w:lineRule="auto"/>
        <w:contextualSpacing/>
        <w:rPr>
          <w:rFonts w:eastAsia="Times New Roman" w:cstheme="minorHAnsi"/>
          <w:color w:val="000000" w:themeColor="text1"/>
          <w:lang w:eastAsia="en-GB"/>
        </w:rPr>
      </w:pPr>
      <w:r w:rsidRPr="00E20611">
        <w:rPr>
          <w:rFonts w:eastAsia="Times New Roman" w:cstheme="minorHAnsi"/>
          <w:color w:val="000000" w:themeColor="text1"/>
          <w:lang w:eastAsia="en-GB"/>
        </w:rPr>
        <w:t>The accountability of the government, led by the Prime Minister and Cabinet, primarily relies on parliamentary mechanisms aimed at ensuring transparency and accountability as discussed above. Firstly, parliamentary questions serve as a fundamental tool for scrutiny. Members of Parliament are granted the opportunity to question executive ministers regarding their actions, policies, and decisions. These questions can be posed orally or in writing, with ministers required to respond within specified timeframes (UK Parliament, 2024). This process exemplifies how effective scrutiny contributes to good governance by empowering MPs to hold ministers accountable for their actions.</w:t>
      </w:r>
    </w:p>
    <w:p w14:paraId="16D66613" w14:textId="32E8F2D6" w:rsidR="004D5098" w:rsidRPr="00E20611" w:rsidRDefault="004D5098" w:rsidP="00C7112A">
      <w:pPr>
        <w:spacing w:line="360" w:lineRule="auto"/>
        <w:contextualSpacing/>
        <w:rPr>
          <w:rFonts w:eastAsia="Times New Roman" w:cstheme="minorHAnsi"/>
          <w:color w:val="000000" w:themeColor="text1"/>
          <w:lang w:eastAsia="en-GB"/>
        </w:rPr>
      </w:pPr>
      <w:r w:rsidRPr="00E20611">
        <w:rPr>
          <w:rFonts w:eastAsia="Times New Roman" w:cstheme="minorHAnsi"/>
          <w:color w:val="000000" w:themeColor="text1"/>
          <w:lang w:eastAsia="en-GB"/>
        </w:rPr>
        <w:t>Secondly, debates held within parliament provide another avenue for holding the executive to account. MPs can raise concerns, express their views, and challenge the government's stance on various issues during these debates. For instance, in a recent parliamentary debate on February 26, 2024, concerning knife crime (HC DEB 26 February 2024, vol 746), members of parliament were observed engaging in discussions that held ministerial members accountable for their actions, illustrating the effectiveness of parliamentary scrutiny.</w:t>
      </w:r>
    </w:p>
    <w:p w14:paraId="2345AA48" w14:textId="77777777" w:rsidR="00C7112A" w:rsidRPr="00E20611" w:rsidRDefault="004D5098" w:rsidP="00C7112A">
      <w:pPr>
        <w:spacing w:line="360" w:lineRule="auto"/>
        <w:contextualSpacing/>
        <w:rPr>
          <w:rFonts w:eastAsia="Times New Roman" w:cstheme="minorHAnsi"/>
          <w:color w:val="000000" w:themeColor="text1"/>
          <w:lang w:eastAsia="en-GB"/>
        </w:rPr>
      </w:pPr>
      <w:r w:rsidRPr="00E20611">
        <w:rPr>
          <w:rFonts w:eastAsia="Times New Roman" w:cstheme="minorHAnsi"/>
          <w:color w:val="000000" w:themeColor="text1"/>
          <w:lang w:eastAsia="en-GB"/>
        </w:rPr>
        <w:t>Lastly, the government is held accountable through the establishment of select committees by parliament. These committees are tasked with examining specific areas of government policy, spending and administration. Comprising MPs from different political parties, select committees conduct inquiries, gather evidence, and produce reports on pertinent issues. They possess the authority to summon government officials and ministers to provide answers related to their areas of responsibility (Marshall, 2020). Through the rigorous scrutiny of government actions and policies, select committees play a vital role in promoting transparency and accountability in government operations (Marsh, 2016).</w:t>
      </w:r>
      <w:r w:rsidR="00C7112A" w:rsidRPr="00E20611">
        <w:rPr>
          <w:rFonts w:eastAsia="Times New Roman" w:cstheme="minorHAnsi"/>
          <w:color w:val="000000" w:themeColor="text1"/>
          <w:lang w:eastAsia="en-GB"/>
        </w:rPr>
        <w:t xml:space="preserve"> </w:t>
      </w:r>
    </w:p>
    <w:p w14:paraId="3E06E276" w14:textId="002B0ECD" w:rsidR="00C7112A" w:rsidRPr="00E20611" w:rsidRDefault="00C7112A" w:rsidP="00C7112A">
      <w:pPr>
        <w:spacing w:line="360" w:lineRule="auto"/>
        <w:contextualSpacing/>
        <w:rPr>
          <w:rFonts w:eastAsia="Times New Roman" w:cstheme="minorHAnsi"/>
          <w:color w:val="000000" w:themeColor="text1"/>
          <w:lang w:eastAsia="en-GB"/>
        </w:rPr>
      </w:pPr>
      <w:r w:rsidRPr="00E20611">
        <w:rPr>
          <w:rFonts w:eastAsia="Times New Roman" w:cstheme="minorHAnsi"/>
          <w:color w:val="000000" w:themeColor="text1"/>
          <w:lang w:eastAsia="en-GB"/>
        </w:rPr>
        <w:t xml:space="preserve">In parliamentary debates and committees, we can see an oversight in the executive’s actions and policies demonstrating specialized knowledge by the parliamentarians which </w:t>
      </w:r>
      <w:r w:rsidRPr="00E20611">
        <w:rPr>
          <w:rFonts w:eastAsia="Times New Roman" w:cstheme="minorHAnsi"/>
          <w:color w:val="000000" w:themeColor="text1"/>
          <w:lang w:eastAsia="en-GB"/>
        </w:rPr>
        <w:lastRenderedPageBreak/>
        <w:t xml:space="preserve">can be leveraged to hold the executive to account effectively However, </w:t>
      </w:r>
      <w:r w:rsidRPr="00E20611">
        <w:rPr>
          <w:rFonts w:eastAsia="Times New Roman" w:cstheme="minorHAnsi"/>
          <w:noProof/>
          <w:color w:val="000000" w:themeColor="text1"/>
          <w:lang w:eastAsia="en-GB"/>
        </w:rPr>
        <w:t>(University College London, 2018)</w:t>
      </w:r>
      <w:r w:rsidRPr="00E20611">
        <w:rPr>
          <w:rFonts w:eastAsia="Times New Roman" w:cstheme="minorHAnsi"/>
          <w:color w:val="000000" w:themeColor="text1"/>
          <w:lang w:eastAsia="en-GB"/>
        </w:rPr>
        <w:t xml:space="preserve"> states that research on the impact and effectiveness of committees have been relatively insufficient. Committee impact can be seen as complicated and often indirect, posing challenges for assessment. The quantifiable parameter pertains to the extent of government uptake of committee recommendations. Nonetheless, employing this metric in a simplistic manner may engender false interpretations, given that committees may control influence through subtler channels</w:t>
      </w:r>
      <w:r w:rsidR="00C1086E" w:rsidRPr="00E20611">
        <w:rPr>
          <w:rFonts w:eastAsia="Times New Roman" w:cstheme="minorHAnsi"/>
          <w:color w:val="000000" w:themeColor="text1"/>
          <w:lang w:eastAsia="en-GB"/>
        </w:rPr>
        <w:t xml:space="preserve">, Committees possess the capacity to convene public hearings and inquiries, which subsequently facilitate the dissemination of information through media coverage, thereby shaping public opinion regarding specific matters under consideration which can exert influence government policies and decisions, </w:t>
      </w:r>
      <w:r w:rsidR="00C1086E" w:rsidRPr="00E20611">
        <w:rPr>
          <w:rFonts w:eastAsia="Times New Roman" w:cstheme="minorHAnsi"/>
          <w:noProof/>
          <w:color w:val="000000" w:themeColor="text1"/>
          <w:lang w:eastAsia="en-GB"/>
        </w:rPr>
        <w:t>(Borge, 2016).</w:t>
      </w:r>
    </w:p>
    <w:p w14:paraId="4C15AD9B" w14:textId="292AAC00" w:rsidR="004D5098" w:rsidRPr="00E20611" w:rsidRDefault="004D5098" w:rsidP="00C7112A">
      <w:pPr>
        <w:spacing w:line="360" w:lineRule="auto"/>
        <w:contextualSpacing/>
        <w:rPr>
          <w:rFonts w:eastAsia="Times New Roman" w:cstheme="minorHAnsi"/>
          <w:color w:val="000000" w:themeColor="text1"/>
          <w:lang w:eastAsia="en-GB"/>
        </w:rPr>
      </w:pPr>
    </w:p>
    <w:p w14:paraId="5C5592F9" w14:textId="33AD41C9" w:rsidR="000D0FC3" w:rsidRPr="00E20611" w:rsidRDefault="00941133" w:rsidP="00C7112A">
      <w:pPr>
        <w:spacing w:line="360" w:lineRule="auto"/>
        <w:contextualSpacing/>
        <w:rPr>
          <w:rFonts w:eastAsia="Times New Roman" w:cstheme="minorHAnsi"/>
          <w:color w:val="000000" w:themeColor="text1"/>
          <w:lang w:eastAsia="en-GB"/>
        </w:rPr>
      </w:pPr>
      <w:r w:rsidRPr="00E20611">
        <w:rPr>
          <w:rFonts w:eastAsia="Times New Roman" w:cstheme="minorHAnsi"/>
          <w:color w:val="000000" w:themeColor="text1"/>
          <w:lang w:eastAsia="en-GB"/>
        </w:rPr>
        <w:t xml:space="preserve">The methods used for scrutinising the government can be seen as effective, one of the forms in which the executive is held to account can include the public elections. </w:t>
      </w:r>
      <w:r w:rsidR="007518DE" w:rsidRPr="00E20611">
        <w:rPr>
          <w:rFonts w:eastAsia="Times New Roman" w:cstheme="minorHAnsi"/>
          <w:noProof/>
          <w:color w:val="000000" w:themeColor="text1"/>
          <w:lang w:eastAsia="en-GB"/>
        </w:rPr>
        <w:t>GOV.UK, (2024)</w:t>
      </w:r>
      <w:r w:rsidR="007518DE" w:rsidRPr="00E20611">
        <w:rPr>
          <w:rFonts w:eastAsia="Times New Roman" w:cstheme="minorHAnsi"/>
          <w:color w:val="000000" w:themeColor="text1"/>
          <w:lang w:eastAsia="en-GB"/>
        </w:rPr>
        <w:t xml:space="preserve"> tells us that e</w:t>
      </w:r>
      <w:r w:rsidRPr="00E20611">
        <w:rPr>
          <w:rFonts w:eastAsia="Times New Roman" w:cstheme="minorHAnsi"/>
          <w:color w:val="000000" w:themeColor="text1"/>
          <w:lang w:eastAsia="en-GB"/>
        </w:rPr>
        <w:t xml:space="preserve">lections allow members of the public to directly hold the executive to account for their actions and decisions when voting for the next prime minister, elections encourage response in MP’s as they know they will have to face re-election, </w:t>
      </w:r>
      <w:r w:rsidR="007518DE" w:rsidRPr="00E20611">
        <w:rPr>
          <w:rFonts w:eastAsia="Times New Roman" w:cstheme="minorHAnsi"/>
          <w:color w:val="000000" w:themeColor="text1"/>
          <w:lang w:eastAsia="en-GB"/>
        </w:rPr>
        <w:t>however</w:t>
      </w:r>
      <w:r w:rsidRPr="00E20611">
        <w:rPr>
          <w:rFonts w:eastAsia="Times New Roman" w:cstheme="minorHAnsi"/>
          <w:color w:val="000000" w:themeColor="text1"/>
          <w:lang w:eastAsia="en-GB"/>
        </w:rPr>
        <w:t xml:space="preserve"> elections typically occur at fixed intervals, which can allow prolonged periods of unchecked power and years of disregard</w:t>
      </w:r>
      <w:r w:rsidR="007518DE" w:rsidRPr="00E20611">
        <w:rPr>
          <w:rFonts w:eastAsia="Times New Roman" w:cstheme="minorHAnsi"/>
          <w:color w:val="000000" w:themeColor="text1"/>
          <w:lang w:eastAsia="en-GB"/>
        </w:rPr>
        <w:t xml:space="preserve">, </w:t>
      </w:r>
      <w:r w:rsidRPr="00E20611">
        <w:rPr>
          <w:rFonts w:eastAsia="Times New Roman" w:cstheme="minorHAnsi"/>
          <w:color w:val="000000" w:themeColor="text1"/>
          <w:lang w:eastAsia="en-GB"/>
        </w:rPr>
        <w:t xml:space="preserve">elections can also be easily influenced by factors such as media bias and money undermining the scrutinization of the election </w:t>
      </w:r>
      <w:r w:rsidR="00E52641" w:rsidRPr="00E20611">
        <w:rPr>
          <w:rFonts w:eastAsia="Times New Roman" w:cstheme="minorHAnsi"/>
          <w:color w:val="000000" w:themeColor="text1"/>
          <w:lang w:eastAsia="en-GB"/>
        </w:rPr>
        <w:t xml:space="preserve">whilst also leading to citizens losing trust in the UK’s electoral system supported by </w:t>
      </w:r>
      <w:r w:rsidR="00E52641" w:rsidRPr="00E20611">
        <w:rPr>
          <w:rFonts w:eastAsia="Times New Roman" w:cstheme="minorHAnsi"/>
          <w:noProof/>
          <w:color w:val="000000" w:themeColor="text1"/>
          <w:lang w:eastAsia="en-GB"/>
        </w:rPr>
        <w:t xml:space="preserve">spotlight on Corruption, (2023) enchancing that the </w:t>
      </w:r>
      <w:r w:rsidRPr="00E20611">
        <w:rPr>
          <w:rFonts w:eastAsia="Times New Roman" w:cstheme="minorHAnsi"/>
          <w:color w:val="000000" w:themeColor="text1"/>
          <w:lang w:eastAsia="en-GB"/>
        </w:rPr>
        <w:t>mechanism</w:t>
      </w:r>
      <w:r w:rsidR="00E52641" w:rsidRPr="00E20611">
        <w:rPr>
          <w:rFonts w:eastAsia="Times New Roman" w:cstheme="minorHAnsi"/>
          <w:color w:val="000000" w:themeColor="text1"/>
          <w:lang w:eastAsia="en-GB"/>
        </w:rPr>
        <w:t>s</w:t>
      </w:r>
      <w:r w:rsidRPr="00E20611">
        <w:rPr>
          <w:rFonts w:eastAsia="Times New Roman" w:cstheme="minorHAnsi"/>
          <w:color w:val="000000" w:themeColor="text1"/>
          <w:lang w:eastAsia="en-GB"/>
        </w:rPr>
        <w:t xml:space="preserve"> used for accountability may become ineffective.</w:t>
      </w:r>
    </w:p>
    <w:p w14:paraId="11B360FB" w14:textId="77777777" w:rsidR="00C1086E" w:rsidRPr="00E20611" w:rsidRDefault="00C1086E" w:rsidP="00C7112A">
      <w:pPr>
        <w:spacing w:line="360" w:lineRule="auto"/>
        <w:contextualSpacing/>
        <w:rPr>
          <w:rFonts w:eastAsia="Times New Roman" w:cstheme="minorHAnsi"/>
          <w:color w:val="000000" w:themeColor="text1"/>
          <w:lang w:eastAsia="en-GB"/>
        </w:rPr>
      </w:pPr>
    </w:p>
    <w:p w14:paraId="3B8DAAFE" w14:textId="5DB6C395" w:rsidR="00941133" w:rsidRPr="00E20611" w:rsidRDefault="00C7112A" w:rsidP="00C7112A">
      <w:pPr>
        <w:spacing w:line="360" w:lineRule="auto"/>
        <w:contextualSpacing/>
        <w:rPr>
          <w:rFonts w:eastAsia="Times New Roman" w:cstheme="minorHAnsi"/>
          <w:color w:val="000000" w:themeColor="text1"/>
          <w:lang w:eastAsia="en-GB"/>
        </w:rPr>
      </w:pPr>
      <w:r w:rsidRPr="00E20611">
        <w:rPr>
          <w:rFonts w:eastAsia="Times New Roman" w:cstheme="minorHAnsi"/>
          <w:noProof/>
          <w:color w:val="000000" w:themeColor="text1"/>
          <w:lang w:eastAsia="en-GB"/>
        </w:rPr>
        <w:t>Courts and Tribunals Judiciary, (2023)</w:t>
      </w:r>
      <w:r w:rsidRPr="00E20611">
        <w:rPr>
          <w:rFonts w:eastAsia="Times New Roman" w:cstheme="minorHAnsi"/>
          <w:color w:val="000000" w:themeColor="text1"/>
          <w:lang w:eastAsia="en-GB"/>
        </w:rPr>
        <w:t xml:space="preserve"> tell us that the judiciary</w:t>
      </w:r>
      <w:r w:rsidR="0099122A" w:rsidRPr="00E20611">
        <w:rPr>
          <w:rFonts w:eastAsia="Times New Roman" w:cstheme="minorHAnsi"/>
          <w:color w:val="000000" w:themeColor="text1"/>
          <w:lang w:eastAsia="en-GB"/>
        </w:rPr>
        <w:t xml:space="preserve"> overseen by the Lord Chancellor</w:t>
      </w:r>
      <w:r w:rsidRPr="00E20611">
        <w:rPr>
          <w:rFonts w:eastAsia="Times New Roman" w:cstheme="minorHAnsi"/>
          <w:color w:val="000000" w:themeColor="text1"/>
          <w:lang w:eastAsia="en-GB"/>
        </w:rPr>
        <w:t xml:space="preserve"> refers to the branch of government responsible for interpreting and applying the law. </w:t>
      </w:r>
      <w:r w:rsidR="00C1086E" w:rsidRPr="00E20611">
        <w:rPr>
          <w:rFonts w:eastAsia="Times New Roman" w:cstheme="minorHAnsi"/>
          <w:color w:val="000000" w:themeColor="text1"/>
          <w:lang w:eastAsia="en-GB"/>
        </w:rPr>
        <w:t>The judiciary includes various courts one of which being the privy council, the primary role of the Privy Council is to offer advice to the monarch regarding the formal enactment of Proclamations and Orders in Council, which are legal instruments created under either prerogative or statutory authority particularly as the highest appellate court</w:t>
      </w:r>
      <w:r w:rsidR="00C1086E" w:rsidRPr="00E20611">
        <w:rPr>
          <w:rFonts w:eastAsia="Times New Roman" w:cstheme="minorHAnsi"/>
          <w:noProof/>
          <w:color w:val="000000" w:themeColor="text1"/>
          <w:lang w:eastAsia="en-GB"/>
        </w:rPr>
        <w:t xml:space="preserve"> (Everett, 2016)</w:t>
      </w:r>
      <w:r w:rsidR="00C1086E" w:rsidRPr="00E20611">
        <w:rPr>
          <w:rFonts w:eastAsia="Times New Roman" w:cstheme="minorHAnsi"/>
          <w:color w:val="000000" w:themeColor="text1"/>
          <w:lang w:eastAsia="en-GB"/>
        </w:rPr>
        <w:t>. The judiciary also includes tribunals who are tasked</w:t>
      </w:r>
      <w:r w:rsidRPr="00E20611">
        <w:rPr>
          <w:rFonts w:eastAsia="Times New Roman" w:cstheme="minorHAnsi"/>
          <w:color w:val="000000" w:themeColor="text1"/>
          <w:lang w:eastAsia="en-GB"/>
        </w:rPr>
        <w:t xml:space="preserve"> with resolving legal disputes, upholding the constitution, and ensuring justice is served. The judiciary's primary role is to interpret legislation, assess its constitutionality, and apply legal principles to specific cases brought </w:t>
      </w:r>
      <w:r w:rsidRPr="00E20611">
        <w:rPr>
          <w:rFonts w:eastAsia="Times New Roman" w:cstheme="minorHAnsi"/>
          <w:color w:val="000000" w:themeColor="text1"/>
          <w:lang w:eastAsia="en-GB"/>
        </w:rPr>
        <w:lastRenderedPageBreak/>
        <w:t>before the courts. Judges, magistrates, and other judicial officers preside over court proceedings and make decisions based on the law and evidence presented. The judiciary operates independently from the executive and legislative branches to uphold the rule of law and protect individual rights and freedoms. In</w:t>
      </w:r>
      <w:r w:rsidR="00941133" w:rsidRPr="00E20611">
        <w:rPr>
          <w:rFonts w:eastAsia="Times New Roman" w:cstheme="minorHAnsi"/>
          <w:color w:val="000000" w:themeColor="text1"/>
          <w:lang w:eastAsia="en-GB"/>
        </w:rPr>
        <w:t xml:space="preserve"> recent years, the judiciary has become independent, unlike the executive and legislative who work closely. This allows the judiciary to provide independent scrutiny providing a check on the executive’s powers, The judiciary ensures that the executive actions comply with the constitution and rule of law allowing little room for bias</w:t>
      </w:r>
      <w:r w:rsidRPr="00E20611">
        <w:rPr>
          <w:rFonts w:eastAsia="Times New Roman" w:cstheme="minorHAnsi"/>
          <w:color w:val="000000" w:themeColor="text1"/>
          <w:lang w:eastAsia="en-GB"/>
        </w:rPr>
        <w:t xml:space="preserve"> </w:t>
      </w:r>
      <w:r w:rsidRPr="00E20611">
        <w:rPr>
          <w:rFonts w:eastAsia="Times New Roman" w:cstheme="minorHAnsi"/>
          <w:noProof/>
          <w:color w:val="000000" w:themeColor="text1"/>
          <w:lang w:eastAsia="en-GB"/>
        </w:rPr>
        <w:t>(Hodge, 2021)</w:t>
      </w:r>
      <w:r w:rsidR="00941133" w:rsidRPr="00E20611">
        <w:rPr>
          <w:rFonts w:eastAsia="Times New Roman" w:cstheme="minorHAnsi"/>
          <w:color w:val="000000" w:themeColor="text1"/>
          <w:lang w:eastAsia="en-GB"/>
        </w:rPr>
        <w:t>, although this may be seen as a good form of scrutin</w:t>
      </w:r>
      <w:r w:rsidRPr="00E20611">
        <w:rPr>
          <w:rFonts w:eastAsia="Times New Roman" w:cstheme="minorHAnsi"/>
          <w:color w:val="000000" w:themeColor="text1"/>
          <w:lang w:eastAsia="en-GB"/>
        </w:rPr>
        <w:t xml:space="preserve">ising the government, </w:t>
      </w:r>
      <w:r w:rsidR="00941133" w:rsidRPr="00E20611">
        <w:rPr>
          <w:rFonts w:eastAsia="Times New Roman" w:cstheme="minorHAnsi"/>
          <w:color w:val="000000" w:themeColor="text1"/>
          <w:lang w:eastAsia="en-GB"/>
        </w:rPr>
        <w:t>the judiciary may only apply to certain actions and decisions leaving other areas of the executive powers unchecked, as the judicial review is complex, legal proceedings can be inaccessible to the general public and therefore result in ineffective accountability.</w:t>
      </w:r>
    </w:p>
    <w:p w14:paraId="0E22D730" w14:textId="77777777" w:rsidR="0099122A" w:rsidRPr="00E20611" w:rsidRDefault="0099122A" w:rsidP="0099122A">
      <w:pPr>
        <w:spacing w:line="360" w:lineRule="auto"/>
        <w:contextualSpacing/>
        <w:rPr>
          <w:rFonts w:ascii="Arial" w:eastAsia="Times New Roman" w:hAnsi="Arial" w:cs="Arial"/>
          <w:color w:val="000000" w:themeColor="text1"/>
          <w:sz w:val="22"/>
          <w:szCs w:val="22"/>
          <w:lang w:eastAsia="en-GB"/>
        </w:rPr>
      </w:pPr>
    </w:p>
    <w:p w14:paraId="499BBDED" w14:textId="5CD87D2C" w:rsidR="00C7112A" w:rsidRPr="00E20611" w:rsidRDefault="00C7112A" w:rsidP="00CC4DEE">
      <w:pPr>
        <w:spacing w:line="360" w:lineRule="auto"/>
        <w:contextualSpacing/>
        <w:rPr>
          <w:rFonts w:ascii="Arial" w:eastAsia="Times New Roman" w:hAnsi="Arial" w:cs="Arial"/>
          <w:color w:val="000000" w:themeColor="text1"/>
          <w:sz w:val="22"/>
          <w:szCs w:val="22"/>
          <w:highlight w:val="yellow"/>
          <w:lang w:eastAsia="en-GB"/>
        </w:rPr>
      </w:pPr>
    </w:p>
    <w:p w14:paraId="610D8DEE" w14:textId="0B39995C" w:rsidR="0058760C" w:rsidRPr="00E20611" w:rsidRDefault="00E20611" w:rsidP="00E20611">
      <w:pPr>
        <w:spacing w:line="360" w:lineRule="auto"/>
        <w:contextualSpacing/>
        <w:rPr>
          <w:rFonts w:eastAsia="Times New Roman" w:cstheme="minorHAnsi"/>
          <w:color w:val="000000" w:themeColor="text1"/>
          <w:highlight w:val="yellow"/>
          <w:lang w:eastAsia="en-GB"/>
        </w:rPr>
      </w:pPr>
      <w:r w:rsidRPr="00E20611">
        <w:rPr>
          <w:rFonts w:eastAsia="Times New Roman" w:cstheme="minorHAnsi"/>
          <w:color w:val="000000" w:themeColor="text1"/>
          <w:lang w:eastAsia="en-GB"/>
        </w:rPr>
        <w:t>T</w:t>
      </w:r>
      <w:r w:rsidR="00C3617E" w:rsidRPr="00E20611">
        <w:rPr>
          <w:rFonts w:eastAsia="Times New Roman" w:cstheme="minorHAnsi"/>
          <w:color w:val="000000" w:themeColor="text1"/>
          <w:lang w:eastAsia="en-GB"/>
        </w:rPr>
        <w:t>he need for reform is often considered vital when examining government scrutiny. As governance evolves and societal expectations change, existing mechanisms for oversight and accountability may become inadequate or outdated. Reform becomes necessary to address shortcomings, enhance the effectiveness of scrutiny processes, and ensure that government actions remain transparent, accountable, and responsive to the needs of society. Without ongoing reform efforts, scrutiny mechanisms may fail to keep pace with evolving challenges, potentially undermining public trust in the government and the democratic process. Therefore, regular assessment and adaptation of scrutiny mechanisms through reform are essential for maintaining the integrity and effi</w:t>
      </w:r>
      <w:r w:rsidRPr="00E20611">
        <w:rPr>
          <w:rFonts w:eastAsia="Times New Roman" w:cstheme="minorHAnsi"/>
          <w:color w:val="000000" w:themeColor="text1"/>
          <w:lang w:eastAsia="en-GB"/>
        </w:rPr>
        <w:t xml:space="preserve">ciency </w:t>
      </w:r>
      <w:r w:rsidR="00C3617E" w:rsidRPr="00E20611">
        <w:rPr>
          <w:rFonts w:eastAsia="Times New Roman" w:cstheme="minorHAnsi"/>
          <w:color w:val="000000" w:themeColor="text1"/>
          <w:lang w:eastAsia="en-GB"/>
        </w:rPr>
        <w:t xml:space="preserve">of government </w:t>
      </w:r>
      <w:r w:rsidRPr="00E20611">
        <w:rPr>
          <w:rFonts w:eastAsia="Times New Roman" w:cstheme="minorHAnsi"/>
          <w:color w:val="000000" w:themeColor="text1"/>
          <w:lang w:eastAsia="en-GB"/>
        </w:rPr>
        <w:t>scrutiny. An example of reform needed could be the e</w:t>
      </w:r>
      <w:r w:rsidR="0099122A" w:rsidRPr="00E20611">
        <w:rPr>
          <w:rFonts w:eastAsia="Times New Roman" w:cstheme="minorHAnsi"/>
          <w:color w:val="000000" w:themeColor="text1"/>
          <w:lang w:eastAsia="en-GB"/>
        </w:rPr>
        <w:t>nhanc</w:t>
      </w:r>
      <w:r w:rsidRPr="00E20611">
        <w:rPr>
          <w:rFonts w:eastAsia="Times New Roman" w:cstheme="minorHAnsi"/>
          <w:color w:val="000000" w:themeColor="text1"/>
          <w:lang w:eastAsia="en-GB"/>
        </w:rPr>
        <w:t>ement of</w:t>
      </w:r>
      <w:r w:rsidR="0099122A" w:rsidRPr="00E20611">
        <w:rPr>
          <w:rFonts w:eastAsia="Times New Roman" w:cstheme="minorHAnsi"/>
          <w:color w:val="000000" w:themeColor="text1"/>
          <w:lang w:eastAsia="en-GB"/>
        </w:rPr>
        <w:t xml:space="preserve"> powers and resources of parliamentary committees to scrutini</w:t>
      </w:r>
      <w:r w:rsidRPr="00E20611">
        <w:rPr>
          <w:rFonts w:eastAsia="Times New Roman" w:cstheme="minorHAnsi"/>
          <w:color w:val="000000" w:themeColor="text1"/>
          <w:lang w:eastAsia="en-GB"/>
        </w:rPr>
        <w:t>z</w:t>
      </w:r>
      <w:r w:rsidR="0099122A" w:rsidRPr="00E20611">
        <w:rPr>
          <w:rFonts w:eastAsia="Times New Roman" w:cstheme="minorHAnsi"/>
          <w:color w:val="000000" w:themeColor="text1"/>
          <w:lang w:eastAsia="en-GB"/>
        </w:rPr>
        <w:t xml:space="preserve">e government actions more effectively. This could involve providing committees with greater authority to summon witnesses, access information, and enforce </w:t>
      </w:r>
      <w:r w:rsidRPr="00E20611">
        <w:rPr>
          <w:rFonts w:eastAsia="Times New Roman" w:cstheme="minorHAnsi"/>
          <w:color w:val="000000" w:themeColor="text1"/>
          <w:lang w:eastAsia="en-GB"/>
        </w:rPr>
        <w:t xml:space="preserve">recommendations. Another reform suggestion supported by </w:t>
      </w:r>
      <w:r w:rsidRPr="00E20611">
        <w:rPr>
          <w:rFonts w:eastAsia="Times New Roman" w:cstheme="minorHAnsi"/>
          <w:noProof/>
          <w:color w:val="000000" w:themeColor="text1"/>
          <w:lang w:eastAsia="en-GB"/>
        </w:rPr>
        <w:t>Florini (2002)</w:t>
      </w:r>
      <w:r w:rsidRPr="00E20611">
        <w:rPr>
          <w:rFonts w:eastAsia="Times New Roman" w:cstheme="minorHAnsi"/>
          <w:color w:val="000000" w:themeColor="text1"/>
          <w:lang w:eastAsia="en-GB"/>
        </w:rPr>
        <w:t xml:space="preserve"> could be the </w:t>
      </w:r>
      <w:r w:rsidR="0099122A" w:rsidRPr="00E20611">
        <w:rPr>
          <w:rFonts w:eastAsia="Times New Roman" w:cstheme="minorHAnsi"/>
          <w:color w:val="000000" w:themeColor="text1"/>
          <w:lang w:eastAsia="en-GB"/>
        </w:rPr>
        <w:t>Implement</w:t>
      </w:r>
      <w:r w:rsidRPr="00E20611">
        <w:rPr>
          <w:rFonts w:eastAsia="Times New Roman" w:cstheme="minorHAnsi"/>
          <w:color w:val="000000" w:themeColor="text1"/>
          <w:lang w:eastAsia="en-GB"/>
        </w:rPr>
        <w:t xml:space="preserve">ation of </w:t>
      </w:r>
      <w:r w:rsidR="0099122A" w:rsidRPr="00E20611">
        <w:rPr>
          <w:rFonts w:eastAsia="Times New Roman" w:cstheme="minorHAnsi"/>
          <w:color w:val="000000" w:themeColor="text1"/>
          <w:lang w:eastAsia="en-GB"/>
        </w:rPr>
        <w:t>measures to increase transparency in government decision-making processes, such as mandatory disclosure of activities, public access to government documents, and the publication of detailed expenditure reports.</w:t>
      </w:r>
      <w:r w:rsidRPr="00E20611">
        <w:rPr>
          <w:rFonts w:eastAsia="Times New Roman" w:cstheme="minorHAnsi"/>
          <w:color w:val="000000" w:themeColor="text1"/>
          <w:lang w:eastAsia="en-GB"/>
        </w:rPr>
        <w:t xml:space="preserve"> Lastly e</w:t>
      </w:r>
      <w:r w:rsidR="0099122A" w:rsidRPr="00E20611">
        <w:rPr>
          <w:rFonts w:eastAsia="Times New Roman" w:cstheme="minorHAnsi"/>
          <w:color w:val="000000" w:themeColor="text1"/>
          <w:lang w:eastAsia="en-GB"/>
        </w:rPr>
        <w:t xml:space="preserve">nsuring that the judiciary has sufficient independence and resources to conduct thorough reviews of government actions for compliance with the law and constitutional </w:t>
      </w:r>
      <w:r w:rsidR="0099122A" w:rsidRPr="00E20611">
        <w:rPr>
          <w:rFonts w:eastAsia="Times New Roman" w:cstheme="minorHAnsi"/>
          <w:color w:val="000000" w:themeColor="text1"/>
          <w:lang w:eastAsia="en-GB"/>
        </w:rPr>
        <w:lastRenderedPageBreak/>
        <w:t>principles</w:t>
      </w:r>
      <w:r w:rsidRPr="00E20611">
        <w:rPr>
          <w:rFonts w:eastAsia="Times New Roman" w:cstheme="minorHAnsi"/>
          <w:color w:val="000000" w:themeColor="text1"/>
          <w:lang w:eastAsia="en-GB"/>
        </w:rPr>
        <w:t xml:space="preserve"> could be seen as a reform suggestion</w:t>
      </w:r>
      <w:r w:rsidR="0099122A" w:rsidRPr="00E20611">
        <w:rPr>
          <w:rFonts w:eastAsia="Times New Roman" w:cstheme="minorHAnsi"/>
          <w:color w:val="000000" w:themeColor="text1"/>
          <w:lang w:eastAsia="en-GB"/>
        </w:rPr>
        <w:t>. This could involve measures to protect judicial independence and enhance public access to legal proceedings</w:t>
      </w:r>
      <w:r w:rsidRPr="00E20611">
        <w:rPr>
          <w:rFonts w:eastAsia="Times New Roman" w:cstheme="minorHAnsi"/>
          <w:noProof/>
          <w:color w:val="000000" w:themeColor="text1"/>
          <w:lang w:eastAsia="en-GB"/>
        </w:rPr>
        <w:t xml:space="preserve"> (Ministry Of Justice, 2013)</w:t>
      </w:r>
      <w:r w:rsidRPr="00E20611">
        <w:rPr>
          <w:rFonts w:eastAsia="Times New Roman" w:cstheme="minorHAnsi"/>
          <w:color w:val="000000" w:themeColor="text1"/>
          <w:lang w:eastAsia="en-GB"/>
        </w:rPr>
        <w:t>.</w:t>
      </w:r>
    </w:p>
    <w:p w14:paraId="3BB7829C" w14:textId="77777777" w:rsidR="0058760C" w:rsidRPr="00E20611" w:rsidRDefault="0058760C" w:rsidP="00E20611">
      <w:pPr>
        <w:spacing w:line="360" w:lineRule="auto"/>
        <w:ind w:left="360"/>
        <w:rPr>
          <w:rFonts w:eastAsia="Times New Roman" w:cstheme="minorHAnsi"/>
          <w:color w:val="000000" w:themeColor="text1"/>
          <w:lang w:eastAsia="en-GB"/>
        </w:rPr>
      </w:pPr>
    </w:p>
    <w:p w14:paraId="73B1B998" w14:textId="47ECE27B" w:rsidR="00117908" w:rsidRPr="00E20611" w:rsidRDefault="00CF0C4A" w:rsidP="00E20611">
      <w:pPr>
        <w:spacing w:line="360" w:lineRule="auto"/>
        <w:rPr>
          <w:rFonts w:cstheme="minorHAnsi"/>
          <w:color w:val="000000" w:themeColor="text1"/>
        </w:rPr>
      </w:pPr>
      <w:r w:rsidRPr="00E20611">
        <w:rPr>
          <w:rFonts w:cstheme="minorHAnsi"/>
          <w:color w:val="000000" w:themeColor="text1"/>
        </w:rPr>
        <w:t>In conclusion, the assertion that "scrutiny makes for good government" underscores the fundamental role of accountability in ensuring effective governance. Through mechanisms such as parliamentary questions, debates, and select committees, the UK government is held to account for its actions and decisions, promoting transparency and accountability. However, challenges exist, including limited research on committee effectiveness and the potential for indirect impact. Nonetheless, reforms aimed at strengthening scrutiny mechanisms, increasing transparency, and improving electoral processes are necessary to uphold accountability and promote good governance. By continuously evaluating and refining governance structures and mechanisms, the UK can ensure that scrutiny remains a cornerstone of effective government, ultimately serving the needs and rights of its citizens.</w:t>
      </w:r>
    </w:p>
    <w:p w14:paraId="2CD77826" w14:textId="31E4511A" w:rsidR="00117908" w:rsidRPr="00E20611" w:rsidRDefault="00AE17AA" w:rsidP="00E20611">
      <w:pPr>
        <w:spacing w:line="360" w:lineRule="auto"/>
        <w:rPr>
          <w:rFonts w:cstheme="minorHAnsi"/>
          <w:color w:val="000000" w:themeColor="text1"/>
        </w:rPr>
      </w:pPr>
      <w:r w:rsidRPr="00E20611">
        <w:rPr>
          <w:rFonts w:cstheme="minorHAnsi"/>
          <w:color w:val="000000" w:themeColor="text1"/>
        </w:rPr>
        <w:t xml:space="preserve">Good </w:t>
      </w:r>
      <w:r w:rsidR="00714386" w:rsidRPr="00E20611">
        <w:rPr>
          <w:rFonts w:cstheme="minorHAnsi"/>
          <w:color w:val="000000" w:themeColor="text1"/>
        </w:rPr>
        <w:t>scrutiny</w:t>
      </w:r>
      <w:r w:rsidRPr="00E20611">
        <w:rPr>
          <w:rFonts w:cstheme="minorHAnsi"/>
          <w:color w:val="000000" w:themeColor="text1"/>
        </w:rPr>
        <w:t xml:space="preserve"> makes for a good government as it ensures no one has too much power and helps promote transparency</w:t>
      </w:r>
      <w:r w:rsidR="00E20611" w:rsidRPr="00E20611">
        <w:rPr>
          <w:rFonts w:cstheme="minorHAnsi"/>
          <w:color w:val="000000" w:themeColor="text1"/>
        </w:rPr>
        <w:t>.</w:t>
      </w:r>
    </w:p>
    <w:p w14:paraId="00AE351C" w14:textId="67F334E8" w:rsidR="00117908" w:rsidRDefault="00117908" w:rsidP="00CC4DEE">
      <w:pPr>
        <w:spacing w:line="360" w:lineRule="auto"/>
      </w:pPr>
    </w:p>
    <w:p w14:paraId="7841A376" w14:textId="0928D763" w:rsidR="00C7112A" w:rsidRDefault="00C7112A" w:rsidP="00CC4DEE">
      <w:pPr>
        <w:spacing w:line="360" w:lineRule="auto"/>
      </w:pPr>
    </w:p>
    <w:p w14:paraId="253208D5" w14:textId="0B89891B" w:rsidR="00117908" w:rsidRDefault="00117908" w:rsidP="00CC4DEE">
      <w:pPr>
        <w:spacing w:line="360" w:lineRule="auto"/>
      </w:pPr>
    </w:p>
    <w:p w14:paraId="365D8D5A" w14:textId="3E04868B" w:rsidR="00117908" w:rsidRDefault="00117908" w:rsidP="00CC4DEE">
      <w:pPr>
        <w:spacing w:line="360" w:lineRule="auto"/>
      </w:pPr>
    </w:p>
    <w:p w14:paraId="4EAA5BF6" w14:textId="7896C18F" w:rsidR="00117908" w:rsidRDefault="00117908" w:rsidP="00CC4DEE">
      <w:pPr>
        <w:spacing w:line="360" w:lineRule="auto"/>
      </w:pPr>
    </w:p>
    <w:p w14:paraId="4A8C78F2" w14:textId="0A08A845" w:rsidR="00117908" w:rsidRDefault="00117908"/>
    <w:p w14:paraId="092C1611" w14:textId="7B574A16" w:rsidR="00117908" w:rsidRDefault="00117908"/>
    <w:p w14:paraId="5EC22BDF" w14:textId="5A19E9D8" w:rsidR="00117908" w:rsidRDefault="00117908"/>
    <w:p w14:paraId="2F2CE986" w14:textId="69077C4A" w:rsidR="00117908" w:rsidRDefault="00117908"/>
    <w:p w14:paraId="5F380F14" w14:textId="04A75733" w:rsidR="00117908" w:rsidRDefault="00117908"/>
    <w:p w14:paraId="22C8E658" w14:textId="103974E5" w:rsidR="00117908" w:rsidRDefault="00117908"/>
    <w:p w14:paraId="07462E24" w14:textId="2A64D05B" w:rsidR="00117908" w:rsidRDefault="00117908"/>
    <w:p w14:paraId="7899EC27" w14:textId="44057DBE" w:rsidR="00117908" w:rsidRDefault="00117908"/>
    <w:p w14:paraId="21B5B951" w14:textId="5393235A" w:rsidR="00117908" w:rsidRDefault="00117908"/>
    <w:p w14:paraId="3C59DEA9" w14:textId="77777777" w:rsidR="00AE17AA" w:rsidRDefault="00AE17AA"/>
    <w:p w14:paraId="156A1749" w14:textId="77777777" w:rsidR="00E20611" w:rsidRDefault="00E20611"/>
    <w:p w14:paraId="404559B1" w14:textId="77777777" w:rsidR="00E20611" w:rsidRDefault="00E20611"/>
    <w:p w14:paraId="5D91DCBC" w14:textId="77777777" w:rsidR="00E20611" w:rsidRDefault="00E20611"/>
    <w:p w14:paraId="5EE54B4F" w14:textId="77777777" w:rsidR="00E20611" w:rsidRDefault="00E20611"/>
    <w:p w14:paraId="61B95817" w14:textId="77777777" w:rsidR="00E20611" w:rsidRDefault="00E20611"/>
    <w:p w14:paraId="1507F55B" w14:textId="77777777" w:rsidR="00E20611" w:rsidRDefault="00E20611"/>
    <w:p w14:paraId="0A57B74A" w14:textId="77777777" w:rsidR="00E20611" w:rsidRDefault="00E20611"/>
    <w:p w14:paraId="66BA14D0" w14:textId="77777777" w:rsidR="00E20611" w:rsidRDefault="00E20611"/>
    <w:sdt>
      <w:sdtPr>
        <w:id w:val="162746953"/>
        <w:docPartObj>
          <w:docPartGallery w:val="Bibliographies"/>
          <w:docPartUnique/>
        </w:docPartObj>
      </w:sdtPr>
      <w:sdtEndPr>
        <w:rPr>
          <w:b/>
          <w:bCs/>
        </w:rPr>
      </w:sdtEndPr>
      <w:sdtContent>
        <w:p w14:paraId="5670C127" w14:textId="0317F602" w:rsidR="00E20611" w:rsidRDefault="00E20611" w:rsidP="00E20611">
          <w:r>
            <w:t>Reference List</w:t>
          </w:r>
        </w:p>
        <w:p w14:paraId="2E5D804F" w14:textId="24C90081" w:rsidR="00E20611" w:rsidRDefault="00E20611" w:rsidP="00E20611">
          <w:pPr>
            <w:pStyle w:val="Bibliography"/>
            <w:rPr>
              <w:noProof/>
              <w:lang w:val="en-US"/>
            </w:rPr>
          </w:pPr>
          <w:r>
            <w:rPr>
              <w:noProof/>
              <w:lang w:val="en-US"/>
            </w:rPr>
            <w:t xml:space="preserve">Borge, M., (2016). </w:t>
          </w:r>
          <w:r>
            <w:rPr>
              <w:i/>
              <w:iCs/>
              <w:noProof/>
              <w:lang w:val="en-US"/>
            </w:rPr>
            <w:t xml:space="preserve">Media Influence on Laws and Government. </w:t>
          </w:r>
          <w:r>
            <w:rPr>
              <w:noProof/>
              <w:lang w:val="en-US"/>
            </w:rPr>
            <w:t>1 ed. s.l.:University of Minnesota Libraries .</w:t>
          </w:r>
        </w:p>
        <w:p w14:paraId="05F0DA6C" w14:textId="5E36E7AF" w:rsidR="00E20611" w:rsidRPr="00E20611" w:rsidRDefault="00E20611" w:rsidP="00E20611">
          <w:r w:rsidRPr="00117908">
            <w:t xml:space="preserve">commons HC DEB </w:t>
          </w:r>
          <w:r>
            <w:t>(</w:t>
          </w:r>
          <w:r w:rsidRPr="00117908">
            <w:t>26 February 2024</w:t>
          </w:r>
          <w:r>
            <w:t>)</w:t>
          </w:r>
          <w:r w:rsidRPr="00117908">
            <w:t>, vol 746</w:t>
          </w:r>
          <w:r>
            <w:t xml:space="preserve">. Available at: </w:t>
          </w:r>
          <w:hyperlink r:id="rId6" w:history="1">
            <w:r w:rsidRPr="004134BF">
              <w:rPr>
                <w:rStyle w:val="Hyperlink"/>
              </w:rPr>
              <w:t>https://hansard.parliamen</w:t>
            </w:r>
            <w:r w:rsidRPr="004134BF">
              <w:rPr>
                <w:rStyle w:val="Hyperlink"/>
              </w:rPr>
              <w:t>t</w:t>
            </w:r>
            <w:r w:rsidRPr="004134BF">
              <w:rPr>
                <w:rStyle w:val="Hyperlink"/>
              </w:rPr>
              <w:t>.uk/Commons/2024-02-26/debates/236AFD8A-36EE-4A64-9137-555A1B888993/OralAnswersToQuestions</w:t>
            </w:r>
          </w:hyperlink>
          <w:r>
            <w:t xml:space="preserve"> (Accessed:02 March 2024)</w:t>
          </w:r>
        </w:p>
        <w:p w14:paraId="54102C1E" w14:textId="7E30BE1A" w:rsidR="00E20611" w:rsidRDefault="00E20611" w:rsidP="00E20611">
          <w:pPr>
            <w:pStyle w:val="Bibliography"/>
            <w:rPr>
              <w:noProof/>
              <w:lang w:val="en-US"/>
            </w:rPr>
          </w:pPr>
          <w:r>
            <w:rPr>
              <w:noProof/>
              <w:lang w:val="en-US"/>
            </w:rPr>
            <w:t xml:space="preserve">Courts and Tribunals Judiciary, (2023). </w:t>
          </w:r>
          <w:r>
            <w:rPr>
              <w:i/>
              <w:iCs/>
              <w:noProof/>
              <w:lang w:val="en-US"/>
            </w:rPr>
            <w:t xml:space="preserve">Three Is: Independence, Impartiality and Integrity. </w:t>
          </w:r>
          <w:r>
            <w:rPr>
              <w:noProof/>
              <w:lang w:val="en-US"/>
            </w:rPr>
            <w:t xml:space="preserve">[Online] </w:t>
          </w:r>
          <w:r>
            <w:rPr>
              <w:noProof/>
              <w:lang w:val="en-US"/>
            </w:rPr>
            <w:br/>
            <w:t xml:space="preserve">Available at: </w:t>
          </w:r>
          <w:r>
            <w:rPr>
              <w:noProof/>
              <w:u w:val="single"/>
              <w:lang w:val="en-US"/>
            </w:rPr>
            <w:t>https://www.judiciary.uk/about-the-judiciary/our-justice-system/three-is/</w:t>
          </w:r>
          <w:r>
            <w:rPr>
              <w:noProof/>
              <w:lang w:val="en-US"/>
            </w:rPr>
            <w:br/>
            <w:t>[Accessed 11 03 2024].</w:t>
          </w:r>
        </w:p>
        <w:p w14:paraId="0B795770" w14:textId="430BE57C" w:rsidR="00E20611" w:rsidRDefault="00E20611" w:rsidP="00E20611">
          <w:pPr>
            <w:pStyle w:val="Bibliography"/>
            <w:rPr>
              <w:noProof/>
              <w:lang w:val="en-US"/>
            </w:rPr>
          </w:pPr>
          <w:r>
            <w:rPr>
              <w:noProof/>
              <w:lang w:val="en-US"/>
            </w:rPr>
            <w:t xml:space="preserve">Everett, M., (2016). The role and powers of the Privy Council. </w:t>
          </w:r>
          <w:r>
            <w:rPr>
              <w:i/>
              <w:iCs/>
              <w:noProof/>
              <w:lang w:val="en-US"/>
            </w:rPr>
            <w:t>House of Commons Library.</w:t>
          </w:r>
        </w:p>
        <w:p w14:paraId="491C23AD" w14:textId="68276FB2" w:rsidR="00E20611" w:rsidRDefault="00E20611" w:rsidP="00E20611">
          <w:pPr>
            <w:pStyle w:val="Bibliography"/>
            <w:rPr>
              <w:noProof/>
              <w:lang w:val="en-US"/>
            </w:rPr>
          </w:pPr>
          <w:r>
            <w:rPr>
              <w:noProof/>
              <w:lang w:val="en-US"/>
            </w:rPr>
            <w:t xml:space="preserve">Florini, A., (2002). INCREASING TRANSPARENCY IN GOVERNMENT. </w:t>
          </w:r>
          <w:r>
            <w:rPr>
              <w:i/>
              <w:iCs/>
              <w:noProof/>
              <w:lang w:val="en-US"/>
            </w:rPr>
            <w:t xml:space="preserve">International Journal on World Peace, </w:t>
          </w:r>
          <w:r>
            <w:rPr>
              <w:noProof/>
              <w:lang w:val="en-US"/>
            </w:rPr>
            <w:t>19(3), pp. 3-37.</w:t>
          </w:r>
        </w:p>
        <w:p w14:paraId="57918255" w14:textId="0C2091D7" w:rsidR="00E20611" w:rsidRDefault="00E20611" w:rsidP="00E20611">
          <w:pPr>
            <w:pStyle w:val="Bibliography"/>
            <w:rPr>
              <w:noProof/>
              <w:lang w:val="en-US"/>
            </w:rPr>
          </w:pPr>
          <w:r>
            <w:rPr>
              <w:noProof/>
              <w:lang w:val="en-US"/>
            </w:rPr>
            <w:t xml:space="preserve">gov.uk, (2024). </w:t>
          </w:r>
          <w:r>
            <w:rPr>
              <w:i/>
              <w:iCs/>
              <w:noProof/>
              <w:lang w:val="en-US"/>
            </w:rPr>
            <w:t xml:space="preserve">General election. </w:t>
          </w:r>
          <w:r>
            <w:rPr>
              <w:noProof/>
              <w:lang w:val="en-US"/>
            </w:rPr>
            <w:t xml:space="preserve">[Online] </w:t>
          </w:r>
          <w:r>
            <w:rPr>
              <w:noProof/>
              <w:lang w:val="en-US"/>
            </w:rPr>
            <w:br/>
            <w:t xml:space="preserve">Available at: </w:t>
          </w:r>
          <w:r>
            <w:rPr>
              <w:noProof/>
              <w:u w:val="single"/>
              <w:lang w:val="en-US"/>
            </w:rPr>
            <w:t>https://www.gov.uk/elections-in-the-uk/general-election</w:t>
          </w:r>
          <w:r>
            <w:rPr>
              <w:noProof/>
              <w:lang w:val="en-US"/>
            </w:rPr>
            <w:br/>
            <w:t>[Accessed 11 03 2024].</w:t>
          </w:r>
        </w:p>
        <w:p w14:paraId="0441D298" w14:textId="6490C253" w:rsidR="00E20611" w:rsidRDefault="00E20611" w:rsidP="00E20611">
          <w:pPr>
            <w:pStyle w:val="Bibliography"/>
            <w:rPr>
              <w:noProof/>
              <w:lang w:val="en-US"/>
            </w:rPr>
          </w:pPr>
          <w:r>
            <w:rPr>
              <w:noProof/>
              <w:lang w:val="en-US"/>
            </w:rPr>
            <w:t xml:space="preserve">GOV, (2022). </w:t>
          </w:r>
          <w:r>
            <w:rPr>
              <w:i/>
              <w:iCs/>
              <w:noProof/>
              <w:lang w:val="en-US"/>
            </w:rPr>
            <w:t xml:space="preserve">Government of the UK. </w:t>
          </w:r>
          <w:r>
            <w:rPr>
              <w:noProof/>
              <w:lang w:val="en-US"/>
            </w:rPr>
            <w:t xml:space="preserve">[Online] </w:t>
          </w:r>
          <w:r>
            <w:rPr>
              <w:noProof/>
              <w:lang w:val="en-US"/>
            </w:rPr>
            <w:br/>
            <w:t xml:space="preserve">Available at: </w:t>
          </w:r>
          <w:r>
            <w:rPr>
              <w:noProof/>
              <w:u w:val="single"/>
              <w:lang w:val="en-US"/>
            </w:rPr>
            <w:t>https://www.gov.uk/government/how-government-works</w:t>
          </w:r>
          <w:r>
            <w:rPr>
              <w:noProof/>
              <w:lang w:val="en-US"/>
            </w:rPr>
            <w:br/>
            <w:t>[Accessed 04 03 2024].</w:t>
          </w:r>
        </w:p>
        <w:p w14:paraId="6C38D148" w14:textId="4B67A76A" w:rsidR="00E20611" w:rsidRDefault="00E20611" w:rsidP="00E20611">
          <w:pPr>
            <w:pStyle w:val="Bibliography"/>
            <w:rPr>
              <w:noProof/>
              <w:lang w:val="en-US"/>
            </w:rPr>
          </w:pPr>
          <w:r>
            <w:rPr>
              <w:noProof/>
              <w:lang w:val="en-US"/>
            </w:rPr>
            <w:t xml:space="preserve">Hodge, p., (2021). The scope of judicial law-making in constitutional law and public law. </w:t>
          </w:r>
          <w:r>
            <w:rPr>
              <w:i/>
              <w:iCs/>
              <w:noProof/>
              <w:lang w:val="en-US"/>
            </w:rPr>
            <w:t xml:space="preserve">Judicial Review, </w:t>
          </w:r>
          <w:r>
            <w:rPr>
              <w:noProof/>
              <w:lang w:val="en-US"/>
            </w:rPr>
            <w:t>1(1), pp. 1-32.</w:t>
          </w:r>
        </w:p>
        <w:p w14:paraId="5AC19C9C" w14:textId="0B3C7D39" w:rsidR="00E20611" w:rsidRDefault="00E20611" w:rsidP="00E20611">
          <w:pPr>
            <w:pStyle w:val="Bibliography"/>
            <w:rPr>
              <w:noProof/>
              <w:lang w:val="en-US"/>
            </w:rPr>
          </w:pPr>
          <w:r>
            <w:rPr>
              <w:noProof/>
              <w:lang w:val="en-US"/>
            </w:rPr>
            <w:t xml:space="preserve">Iyer, V., (2018). SEPARATION OF POWERS: THE UK EXPERIENCE. </w:t>
          </w:r>
          <w:r>
            <w:rPr>
              <w:i/>
              <w:iCs/>
              <w:noProof/>
              <w:lang w:val="en-US"/>
            </w:rPr>
            <w:t xml:space="preserve">Journal of International and Comparative Law, </w:t>
          </w:r>
          <w:r>
            <w:rPr>
              <w:noProof/>
              <w:lang w:val="en-US"/>
            </w:rPr>
            <w:t>5(2), pp. 507-527.</w:t>
          </w:r>
        </w:p>
        <w:p w14:paraId="50A1E46A" w14:textId="59810852" w:rsidR="00E20611" w:rsidRDefault="00E20611" w:rsidP="00E20611">
          <w:pPr>
            <w:pStyle w:val="Bibliography"/>
            <w:rPr>
              <w:noProof/>
              <w:lang w:val="en-US"/>
            </w:rPr>
          </w:pPr>
          <w:r>
            <w:rPr>
              <w:noProof/>
              <w:lang w:val="en-US"/>
            </w:rPr>
            <w:t xml:space="preserve">Marshall, J., (2020). </w:t>
          </w:r>
          <w:r>
            <w:rPr>
              <w:i/>
              <w:iCs/>
              <w:noProof/>
              <w:lang w:val="en-US"/>
            </w:rPr>
            <w:t xml:space="preserve">Institute for Government. </w:t>
          </w:r>
          <w:r>
            <w:rPr>
              <w:noProof/>
              <w:lang w:val="en-US"/>
            </w:rPr>
            <w:t xml:space="preserve">[Online] </w:t>
          </w:r>
          <w:r>
            <w:rPr>
              <w:noProof/>
              <w:lang w:val="en-US"/>
            </w:rPr>
            <w:br/>
            <w:t xml:space="preserve">Available at: </w:t>
          </w:r>
          <w:r>
            <w:rPr>
              <w:noProof/>
              <w:u w:val="single"/>
              <w:lang w:val="en-US"/>
            </w:rPr>
            <w:t>https://www.instituteforgovernment.org.uk/article/explainer/select-committees</w:t>
          </w:r>
          <w:r>
            <w:rPr>
              <w:noProof/>
              <w:lang w:val="en-US"/>
            </w:rPr>
            <w:br/>
            <w:t>[Accessed 08 03 2024].</w:t>
          </w:r>
        </w:p>
        <w:p w14:paraId="6DC484E1" w14:textId="0EC28994" w:rsidR="00E20611" w:rsidRDefault="00E20611" w:rsidP="00E20611">
          <w:pPr>
            <w:pStyle w:val="Bibliography"/>
            <w:rPr>
              <w:noProof/>
              <w:lang w:val="en-US"/>
            </w:rPr>
          </w:pPr>
          <w:r>
            <w:rPr>
              <w:noProof/>
              <w:lang w:val="en-US"/>
            </w:rPr>
            <w:t xml:space="preserve">Marsh, I.,(2016). The Commons Select Committee System in the 2015-20 Parliament. </w:t>
          </w:r>
          <w:r>
            <w:rPr>
              <w:i/>
              <w:iCs/>
              <w:noProof/>
              <w:lang w:val="en-US"/>
            </w:rPr>
            <w:t xml:space="preserve">The Political Quarterly, </w:t>
          </w:r>
          <w:r>
            <w:rPr>
              <w:noProof/>
              <w:lang w:val="en-US"/>
            </w:rPr>
            <w:t>87(1).</w:t>
          </w:r>
        </w:p>
        <w:p w14:paraId="272AABCB" w14:textId="12C7F627" w:rsidR="00E20611" w:rsidRDefault="00E20611" w:rsidP="00E20611">
          <w:pPr>
            <w:pStyle w:val="Bibliography"/>
            <w:rPr>
              <w:noProof/>
              <w:lang w:val="en-US"/>
            </w:rPr>
          </w:pPr>
          <w:r>
            <w:rPr>
              <w:noProof/>
              <w:lang w:val="en-US"/>
            </w:rPr>
            <w:t xml:space="preserve">Ministry Of Justice, (2013). Proposals for further reform. </w:t>
          </w:r>
          <w:r>
            <w:rPr>
              <w:i/>
              <w:iCs/>
              <w:noProof/>
              <w:lang w:val="en-US"/>
            </w:rPr>
            <w:t xml:space="preserve">Judicial Review, </w:t>
          </w:r>
          <w:r>
            <w:rPr>
              <w:noProof/>
              <w:lang w:val="en-US"/>
            </w:rPr>
            <w:t>1(1).</w:t>
          </w:r>
        </w:p>
        <w:p w14:paraId="2B0D4E8F" w14:textId="1D137A3E" w:rsidR="00E20611" w:rsidRDefault="00E20611" w:rsidP="00E20611">
          <w:pPr>
            <w:pStyle w:val="Bibliography"/>
            <w:rPr>
              <w:noProof/>
              <w:lang w:val="en-US"/>
            </w:rPr>
          </w:pPr>
          <w:r>
            <w:rPr>
              <w:noProof/>
              <w:lang w:val="en-US"/>
            </w:rPr>
            <w:t xml:space="preserve">Saunders, C., (2006). Separation of Powers and the Judicial Branch. </w:t>
          </w:r>
          <w:r>
            <w:rPr>
              <w:i/>
              <w:iCs/>
              <w:noProof/>
              <w:lang w:val="en-US"/>
            </w:rPr>
            <w:t xml:space="preserve">Judicial Review, </w:t>
          </w:r>
          <w:r>
            <w:rPr>
              <w:noProof/>
              <w:lang w:val="en-US"/>
            </w:rPr>
            <w:t>11(4), pp. 337-347.</w:t>
          </w:r>
        </w:p>
        <w:p w14:paraId="388B8630" w14:textId="736DE6E6" w:rsidR="00E20611" w:rsidRDefault="00E20611" w:rsidP="00E20611">
          <w:pPr>
            <w:pStyle w:val="Bibliography"/>
            <w:rPr>
              <w:noProof/>
              <w:lang w:val="en-US"/>
            </w:rPr>
          </w:pPr>
          <w:r>
            <w:rPr>
              <w:noProof/>
              <w:lang w:val="en-US"/>
            </w:rPr>
            <w:t xml:space="preserve">Spotlight on Corruption, (2023). </w:t>
          </w:r>
          <w:r>
            <w:rPr>
              <w:i/>
              <w:iCs/>
              <w:noProof/>
              <w:lang w:val="en-US"/>
            </w:rPr>
            <w:t xml:space="preserve">The integrity of the UK’s next election is at serious risk from rogue actors overseas. </w:t>
          </w:r>
          <w:r>
            <w:rPr>
              <w:noProof/>
              <w:lang w:val="en-US"/>
            </w:rPr>
            <w:t xml:space="preserve">[Online] </w:t>
          </w:r>
          <w:r>
            <w:rPr>
              <w:noProof/>
              <w:lang w:val="en-US"/>
            </w:rPr>
            <w:br/>
            <w:t xml:space="preserve">Available at: </w:t>
          </w:r>
          <w:r>
            <w:rPr>
              <w:noProof/>
              <w:u w:val="single"/>
              <w:lang w:val="en-US"/>
            </w:rPr>
            <w:t>https://www.spotlightcorruption.org/enforcement-electoral-finance-laws/</w:t>
          </w:r>
          <w:r>
            <w:rPr>
              <w:noProof/>
              <w:lang w:val="en-US"/>
            </w:rPr>
            <w:br/>
            <w:t>[Accessed 11 03 2024].</w:t>
          </w:r>
        </w:p>
        <w:p w14:paraId="5BA7A8CA" w14:textId="63BCA592" w:rsidR="00E20611" w:rsidRDefault="00E20611" w:rsidP="00E20611">
          <w:pPr>
            <w:pStyle w:val="Bibliography"/>
            <w:rPr>
              <w:noProof/>
              <w:lang w:val="en-US"/>
            </w:rPr>
          </w:pPr>
          <w:r>
            <w:rPr>
              <w:noProof/>
              <w:lang w:val="en-US"/>
            </w:rPr>
            <w:t xml:space="preserve">Stanley, M., (2024). </w:t>
          </w:r>
          <w:r>
            <w:rPr>
              <w:i/>
              <w:iCs/>
              <w:noProof/>
              <w:lang w:val="en-US"/>
            </w:rPr>
            <w:t xml:space="preserve">UK Civil Service - Definitions - What Is a Civil Servant?. </w:t>
          </w:r>
          <w:r>
            <w:rPr>
              <w:noProof/>
              <w:lang w:val="en-US"/>
            </w:rPr>
            <w:t xml:space="preserve">[Online] </w:t>
          </w:r>
          <w:r>
            <w:rPr>
              <w:noProof/>
              <w:lang w:val="en-US"/>
            </w:rPr>
            <w:br/>
            <w:t xml:space="preserve">Available at: </w:t>
          </w:r>
          <w:r>
            <w:rPr>
              <w:noProof/>
              <w:u w:val="single"/>
              <w:lang w:val="en-US"/>
            </w:rPr>
            <w:t>https://www.civilservant.org.uk/information-definitions.html</w:t>
          </w:r>
          <w:r>
            <w:rPr>
              <w:noProof/>
              <w:lang w:val="en-US"/>
            </w:rPr>
            <w:br/>
            <w:t>[Accessed 11 03 2024].</w:t>
          </w:r>
        </w:p>
        <w:p w14:paraId="4A0346EB" w14:textId="51F71EA3" w:rsidR="00E20611" w:rsidRDefault="00E20611" w:rsidP="00E20611">
          <w:pPr>
            <w:pStyle w:val="Bibliography"/>
            <w:rPr>
              <w:noProof/>
              <w:lang w:val="en-US"/>
            </w:rPr>
          </w:pPr>
          <w:r>
            <w:rPr>
              <w:noProof/>
              <w:lang w:val="en-US"/>
            </w:rPr>
            <w:t xml:space="preserve">The British Institute Of Human Rights, (2024). </w:t>
          </w:r>
          <w:r>
            <w:rPr>
              <w:i/>
              <w:iCs/>
              <w:noProof/>
              <w:lang w:val="en-US"/>
            </w:rPr>
            <w:t xml:space="preserve">Separation of Powers, Parliamentary Sovereignty &amp; the Rule of Law. </w:t>
          </w:r>
          <w:r>
            <w:rPr>
              <w:noProof/>
              <w:lang w:val="en-US"/>
            </w:rPr>
            <w:t xml:space="preserve">[Online] </w:t>
          </w:r>
          <w:r>
            <w:rPr>
              <w:noProof/>
              <w:lang w:val="en-US"/>
            </w:rPr>
            <w:br/>
            <w:t xml:space="preserve">Available at: </w:t>
          </w:r>
          <w:r>
            <w:rPr>
              <w:noProof/>
              <w:u w:val="single"/>
              <w:lang w:val="en-US"/>
            </w:rPr>
            <w:t>https://www.bihr.org.uk/get-informed/legislation-explainers/separation-of-powers-parliamentary-sovereignty-the-rule-of-law</w:t>
          </w:r>
          <w:r>
            <w:rPr>
              <w:noProof/>
              <w:lang w:val="en-US"/>
            </w:rPr>
            <w:br/>
            <w:t>[Accessed 02 03 2024].</w:t>
          </w:r>
        </w:p>
        <w:p w14:paraId="7AC470AC" w14:textId="2FFC907D" w:rsidR="00E20611" w:rsidRDefault="00E20611" w:rsidP="00E20611">
          <w:pPr>
            <w:pStyle w:val="Bibliography"/>
            <w:rPr>
              <w:noProof/>
              <w:lang w:val="en-US"/>
            </w:rPr>
          </w:pPr>
          <w:r>
            <w:rPr>
              <w:noProof/>
              <w:lang w:val="en-US"/>
            </w:rPr>
            <w:lastRenderedPageBreak/>
            <w:t xml:space="preserve">UK Parliament, (2024). </w:t>
          </w:r>
          <w:r>
            <w:rPr>
              <w:i/>
              <w:iCs/>
              <w:noProof/>
              <w:lang w:val="en-US"/>
            </w:rPr>
            <w:t xml:space="preserve">Written questions, answers and statements. </w:t>
          </w:r>
          <w:r>
            <w:rPr>
              <w:noProof/>
              <w:lang w:val="en-US"/>
            </w:rPr>
            <w:t xml:space="preserve">[Online] </w:t>
          </w:r>
          <w:r>
            <w:rPr>
              <w:noProof/>
              <w:lang w:val="en-US"/>
            </w:rPr>
            <w:br/>
            <w:t xml:space="preserve">Available at: </w:t>
          </w:r>
          <w:r>
            <w:rPr>
              <w:noProof/>
              <w:u w:val="single"/>
              <w:lang w:val="en-US"/>
            </w:rPr>
            <w:t>https://questions-statements.parliament.uk</w:t>
          </w:r>
          <w:r>
            <w:rPr>
              <w:noProof/>
              <w:lang w:val="en-US"/>
            </w:rPr>
            <w:br/>
            <w:t>[Accessed 02 03 2024].</w:t>
          </w:r>
        </w:p>
        <w:p w14:paraId="5D236560" w14:textId="3930BB16" w:rsidR="00E20611" w:rsidRDefault="00E20611" w:rsidP="00E20611">
          <w:pPr>
            <w:pStyle w:val="Bibliography"/>
            <w:rPr>
              <w:noProof/>
              <w:lang w:val="en-US"/>
            </w:rPr>
          </w:pPr>
          <w:r>
            <w:rPr>
              <w:noProof/>
              <w:lang w:val="en-US"/>
            </w:rPr>
            <w:t xml:space="preserve">UK Parliment, (2023). </w:t>
          </w:r>
          <w:r>
            <w:rPr>
              <w:i/>
              <w:iCs/>
              <w:noProof/>
              <w:lang w:val="en-US"/>
            </w:rPr>
            <w:t xml:space="preserve">Government. </w:t>
          </w:r>
          <w:r>
            <w:rPr>
              <w:noProof/>
              <w:lang w:val="en-US"/>
            </w:rPr>
            <w:t xml:space="preserve">[Online] </w:t>
          </w:r>
          <w:r>
            <w:rPr>
              <w:noProof/>
              <w:lang w:val="en-US"/>
            </w:rPr>
            <w:br/>
            <w:t xml:space="preserve">Available at: </w:t>
          </w:r>
          <w:r>
            <w:rPr>
              <w:noProof/>
              <w:u w:val="single"/>
              <w:lang w:val="en-US"/>
            </w:rPr>
            <w:t>https://www.parliament.uk/site-information/glossary/government/</w:t>
          </w:r>
          <w:r>
            <w:rPr>
              <w:noProof/>
              <w:lang w:val="en-US"/>
            </w:rPr>
            <w:br/>
            <w:t>[Accessed 04 03 2024].</w:t>
          </w:r>
        </w:p>
        <w:p w14:paraId="31F50D7C" w14:textId="3B97E407" w:rsidR="00E20611" w:rsidRDefault="00E20611" w:rsidP="00E20611">
          <w:pPr>
            <w:pStyle w:val="Bibliography"/>
            <w:rPr>
              <w:noProof/>
              <w:lang w:val="en-US"/>
            </w:rPr>
          </w:pPr>
          <w:r>
            <w:rPr>
              <w:noProof/>
              <w:lang w:val="en-US"/>
            </w:rPr>
            <w:t xml:space="preserve">University College London, (2018). </w:t>
          </w:r>
          <w:r>
            <w:rPr>
              <w:i/>
              <w:iCs/>
              <w:noProof/>
              <w:lang w:val="en-US"/>
            </w:rPr>
            <w:t xml:space="preserve">The Impact of House of Commons Select Committees. </w:t>
          </w:r>
          <w:r>
            <w:rPr>
              <w:noProof/>
              <w:lang w:val="en-US"/>
            </w:rPr>
            <w:t xml:space="preserve">[Online] </w:t>
          </w:r>
          <w:r>
            <w:rPr>
              <w:noProof/>
              <w:lang w:val="en-US"/>
            </w:rPr>
            <w:br/>
            <w:t xml:space="preserve">Available at: </w:t>
          </w:r>
          <w:r>
            <w:rPr>
              <w:noProof/>
              <w:u w:val="single"/>
              <w:lang w:val="en-US"/>
            </w:rPr>
            <w:t>https://www.ucl.ac.uk/constitution-unit/research/parliament/impact-house-commons-select-committees</w:t>
          </w:r>
          <w:r>
            <w:rPr>
              <w:noProof/>
              <w:lang w:val="en-US"/>
            </w:rPr>
            <w:br/>
            <w:t>[Accessed 02 03 2024].</w:t>
          </w:r>
        </w:p>
        <w:p w14:paraId="21132052" w14:textId="05C5D71A" w:rsidR="00E20611" w:rsidRDefault="00E20611" w:rsidP="00E20611">
          <w:pPr>
            <w:pStyle w:val="Bibliography"/>
            <w:rPr>
              <w:noProof/>
              <w:lang w:val="en-US"/>
            </w:rPr>
          </w:pPr>
          <w:r>
            <w:rPr>
              <w:noProof/>
              <w:lang w:val="en-US"/>
            </w:rPr>
            <w:t xml:space="preserve">Watts, D., (2003). </w:t>
          </w:r>
          <w:r>
            <w:rPr>
              <w:i/>
              <w:iCs/>
              <w:noProof/>
              <w:lang w:val="en-US"/>
            </w:rPr>
            <w:t xml:space="preserve">Understanding US/UK government and politics. </w:t>
          </w:r>
          <w:r>
            <w:rPr>
              <w:noProof/>
              <w:lang w:val="en-US"/>
            </w:rPr>
            <w:t>1 ed. s.l.:Manchester University Press.</w:t>
          </w:r>
        </w:p>
        <w:p w14:paraId="75CBAE32" w14:textId="665FA759" w:rsidR="00E20611" w:rsidRDefault="00E20611" w:rsidP="00E20611">
          <w:pPr>
            <w:pStyle w:val="Bibliography"/>
            <w:rPr>
              <w:noProof/>
              <w:lang w:val="en-US"/>
            </w:rPr>
          </w:pPr>
          <w:r>
            <w:rPr>
              <w:noProof/>
              <w:lang w:val="en-US"/>
            </w:rPr>
            <w:t xml:space="preserve">White, H., (2015). </w:t>
          </w:r>
          <w:r>
            <w:rPr>
              <w:i/>
              <w:iCs/>
              <w:noProof/>
              <w:lang w:val="en-US"/>
            </w:rPr>
            <w:t xml:space="preserve">Parliamentary Scrutiny of Government. </w:t>
          </w:r>
          <w:r>
            <w:rPr>
              <w:noProof/>
              <w:lang w:val="en-US"/>
            </w:rPr>
            <w:t xml:space="preserve">[Online] </w:t>
          </w:r>
          <w:r>
            <w:rPr>
              <w:noProof/>
              <w:lang w:val="en-US"/>
            </w:rPr>
            <w:br/>
            <w:t xml:space="preserve">Available at: </w:t>
          </w:r>
          <w:r>
            <w:rPr>
              <w:noProof/>
              <w:u w:val="single"/>
              <w:lang w:val="en-US"/>
            </w:rPr>
            <w:t>https://www.instituteforgovernment.org.uk/sites/default/files/publications/Parliamentary%20scrutiny%20briefing%20note%20final.pdf</w:t>
          </w:r>
          <w:r>
            <w:rPr>
              <w:noProof/>
              <w:lang w:val="en-US"/>
            </w:rPr>
            <w:br/>
            <w:t>[Accessed 9 03 2024].</w:t>
          </w:r>
        </w:p>
        <w:p w14:paraId="3EAED4A1" w14:textId="11492280" w:rsidR="00E20611" w:rsidRDefault="00E20611" w:rsidP="00E20611"/>
      </w:sdtContent>
    </w:sdt>
    <w:p w14:paraId="43F20058" w14:textId="77777777" w:rsidR="001276D7" w:rsidRDefault="001276D7"/>
    <w:sectPr w:rsidR="001276D7" w:rsidSect="00E206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D4B6C"/>
    <w:multiLevelType w:val="multilevel"/>
    <w:tmpl w:val="5BE25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CE3F2C"/>
    <w:multiLevelType w:val="hybridMultilevel"/>
    <w:tmpl w:val="7980918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424670"/>
    <w:multiLevelType w:val="hybridMultilevel"/>
    <w:tmpl w:val="DF06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6901279">
    <w:abstractNumId w:val="1"/>
  </w:num>
  <w:num w:numId="2" w16cid:durableId="1233589685">
    <w:abstractNumId w:val="0"/>
  </w:num>
  <w:num w:numId="3" w16cid:durableId="13149939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603"/>
    <w:rsid w:val="00067818"/>
    <w:rsid w:val="000D0FC3"/>
    <w:rsid w:val="00117908"/>
    <w:rsid w:val="001276D7"/>
    <w:rsid w:val="00235603"/>
    <w:rsid w:val="00441CC9"/>
    <w:rsid w:val="004618AE"/>
    <w:rsid w:val="004D5098"/>
    <w:rsid w:val="0058760C"/>
    <w:rsid w:val="00604C87"/>
    <w:rsid w:val="006549B2"/>
    <w:rsid w:val="00685891"/>
    <w:rsid w:val="00714386"/>
    <w:rsid w:val="007518DE"/>
    <w:rsid w:val="00815F10"/>
    <w:rsid w:val="00851B7F"/>
    <w:rsid w:val="0089096D"/>
    <w:rsid w:val="0091644B"/>
    <w:rsid w:val="00941133"/>
    <w:rsid w:val="0099122A"/>
    <w:rsid w:val="00A12711"/>
    <w:rsid w:val="00A23621"/>
    <w:rsid w:val="00A74282"/>
    <w:rsid w:val="00A80FD1"/>
    <w:rsid w:val="00AE17AA"/>
    <w:rsid w:val="00B7001C"/>
    <w:rsid w:val="00B97186"/>
    <w:rsid w:val="00C1086E"/>
    <w:rsid w:val="00C3617E"/>
    <w:rsid w:val="00C7112A"/>
    <w:rsid w:val="00CC4DEE"/>
    <w:rsid w:val="00CF0C4A"/>
    <w:rsid w:val="00DC499E"/>
    <w:rsid w:val="00E20611"/>
    <w:rsid w:val="00E36E97"/>
    <w:rsid w:val="00E52641"/>
    <w:rsid w:val="00EF0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D1525"/>
  <w15:chartTrackingRefBased/>
  <w15:docId w15:val="{E44AA7A2-3A28-A34A-B2AB-B732EC28C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9B2"/>
  </w:style>
  <w:style w:type="paragraph" w:styleId="Heading1">
    <w:name w:val="heading 1"/>
    <w:basedOn w:val="Normal"/>
    <w:next w:val="Normal"/>
    <w:link w:val="Heading1Char"/>
    <w:uiPriority w:val="9"/>
    <w:qFormat/>
    <w:rsid w:val="00B7001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3">
    <w:name w:val="heading 3"/>
    <w:basedOn w:val="Normal"/>
    <w:next w:val="Normal"/>
    <w:link w:val="Heading3Char"/>
    <w:uiPriority w:val="9"/>
    <w:semiHidden/>
    <w:unhideWhenUsed/>
    <w:qFormat/>
    <w:rsid w:val="00A2362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001C"/>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B7001C"/>
    <w:rPr>
      <w:rFonts w:asciiTheme="majorHAnsi" w:eastAsiaTheme="majorEastAsia" w:hAnsiTheme="majorHAnsi" w:cstheme="majorBidi"/>
      <w:b/>
      <w:bCs/>
      <w:color w:val="2F5496" w:themeColor="accent1" w:themeShade="BF"/>
      <w:sz w:val="28"/>
      <w:szCs w:val="28"/>
      <w:lang w:val="en-US" w:bidi="en-US"/>
    </w:rPr>
  </w:style>
  <w:style w:type="character" w:styleId="Hyperlink">
    <w:name w:val="Hyperlink"/>
    <w:basedOn w:val="DefaultParagraphFont"/>
    <w:uiPriority w:val="99"/>
    <w:unhideWhenUsed/>
    <w:rsid w:val="00441CC9"/>
    <w:rPr>
      <w:color w:val="0563C1" w:themeColor="hyperlink"/>
      <w:u w:val="single"/>
    </w:rPr>
  </w:style>
  <w:style w:type="character" w:styleId="UnresolvedMention">
    <w:name w:val="Unresolved Mention"/>
    <w:basedOn w:val="DefaultParagraphFont"/>
    <w:uiPriority w:val="99"/>
    <w:semiHidden/>
    <w:unhideWhenUsed/>
    <w:rsid w:val="00441CC9"/>
    <w:rPr>
      <w:color w:val="605E5C"/>
      <w:shd w:val="clear" w:color="auto" w:fill="E1DFDD"/>
    </w:rPr>
  </w:style>
  <w:style w:type="character" w:customStyle="1" w:styleId="Heading3Char">
    <w:name w:val="Heading 3 Char"/>
    <w:basedOn w:val="DefaultParagraphFont"/>
    <w:link w:val="Heading3"/>
    <w:uiPriority w:val="9"/>
    <w:semiHidden/>
    <w:rsid w:val="00A23621"/>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A23621"/>
  </w:style>
  <w:style w:type="paragraph" w:styleId="ListParagraph">
    <w:name w:val="List Paragraph"/>
    <w:basedOn w:val="Normal"/>
    <w:uiPriority w:val="34"/>
    <w:qFormat/>
    <w:rsid w:val="00851B7F"/>
    <w:pPr>
      <w:ind w:left="720"/>
      <w:contextualSpacing/>
    </w:pPr>
  </w:style>
  <w:style w:type="character" w:styleId="FollowedHyperlink">
    <w:name w:val="FollowedHyperlink"/>
    <w:basedOn w:val="DefaultParagraphFont"/>
    <w:uiPriority w:val="99"/>
    <w:semiHidden/>
    <w:unhideWhenUsed/>
    <w:rsid w:val="00A74282"/>
    <w:rPr>
      <w:color w:val="954F72" w:themeColor="followedHyperlink"/>
      <w:u w:val="single"/>
    </w:rPr>
  </w:style>
  <w:style w:type="character" w:styleId="CommentReference">
    <w:name w:val="annotation reference"/>
    <w:basedOn w:val="DefaultParagraphFont"/>
    <w:uiPriority w:val="99"/>
    <w:semiHidden/>
    <w:unhideWhenUsed/>
    <w:rsid w:val="00CC4DEE"/>
    <w:rPr>
      <w:sz w:val="16"/>
      <w:szCs w:val="16"/>
    </w:rPr>
  </w:style>
  <w:style w:type="paragraph" w:styleId="CommentText">
    <w:name w:val="annotation text"/>
    <w:basedOn w:val="Normal"/>
    <w:link w:val="CommentTextChar"/>
    <w:uiPriority w:val="99"/>
    <w:semiHidden/>
    <w:unhideWhenUsed/>
    <w:rsid w:val="00CC4DEE"/>
    <w:rPr>
      <w:sz w:val="20"/>
      <w:szCs w:val="20"/>
    </w:rPr>
  </w:style>
  <w:style w:type="character" w:customStyle="1" w:styleId="CommentTextChar">
    <w:name w:val="Comment Text Char"/>
    <w:basedOn w:val="DefaultParagraphFont"/>
    <w:link w:val="CommentText"/>
    <w:uiPriority w:val="99"/>
    <w:semiHidden/>
    <w:rsid w:val="00CC4DEE"/>
    <w:rPr>
      <w:sz w:val="20"/>
      <w:szCs w:val="20"/>
    </w:rPr>
  </w:style>
  <w:style w:type="paragraph" w:styleId="CommentSubject">
    <w:name w:val="annotation subject"/>
    <w:basedOn w:val="CommentText"/>
    <w:next w:val="CommentText"/>
    <w:link w:val="CommentSubjectChar"/>
    <w:uiPriority w:val="99"/>
    <w:semiHidden/>
    <w:unhideWhenUsed/>
    <w:rsid w:val="00CC4DEE"/>
    <w:rPr>
      <w:b/>
      <w:bCs/>
    </w:rPr>
  </w:style>
  <w:style w:type="character" w:customStyle="1" w:styleId="CommentSubjectChar">
    <w:name w:val="Comment Subject Char"/>
    <w:basedOn w:val="CommentTextChar"/>
    <w:link w:val="CommentSubject"/>
    <w:uiPriority w:val="99"/>
    <w:semiHidden/>
    <w:rsid w:val="00CC4DEE"/>
    <w:rPr>
      <w:b/>
      <w:bCs/>
      <w:sz w:val="20"/>
      <w:szCs w:val="20"/>
    </w:rPr>
  </w:style>
  <w:style w:type="paragraph" w:styleId="Bibliography">
    <w:name w:val="Bibliography"/>
    <w:basedOn w:val="Normal"/>
    <w:next w:val="Normal"/>
    <w:uiPriority w:val="37"/>
    <w:unhideWhenUsed/>
    <w:rsid w:val="001276D7"/>
  </w:style>
  <w:style w:type="paragraph" w:styleId="NoSpacing">
    <w:name w:val="No Spacing"/>
    <w:link w:val="NoSpacingChar"/>
    <w:uiPriority w:val="1"/>
    <w:qFormat/>
    <w:rsid w:val="00E20611"/>
    <w:rPr>
      <w:rFonts w:eastAsiaTheme="minorEastAsia"/>
      <w:sz w:val="22"/>
      <w:szCs w:val="22"/>
      <w:lang w:val="en-US" w:eastAsia="zh-CN"/>
    </w:rPr>
  </w:style>
  <w:style w:type="character" w:customStyle="1" w:styleId="NoSpacingChar">
    <w:name w:val="No Spacing Char"/>
    <w:basedOn w:val="DefaultParagraphFont"/>
    <w:link w:val="NoSpacing"/>
    <w:uiPriority w:val="1"/>
    <w:rsid w:val="00E20611"/>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13018">
      <w:bodyDiv w:val="1"/>
      <w:marLeft w:val="0"/>
      <w:marRight w:val="0"/>
      <w:marTop w:val="0"/>
      <w:marBottom w:val="0"/>
      <w:divBdr>
        <w:top w:val="none" w:sz="0" w:space="0" w:color="auto"/>
        <w:left w:val="none" w:sz="0" w:space="0" w:color="auto"/>
        <w:bottom w:val="none" w:sz="0" w:space="0" w:color="auto"/>
        <w:right w:val="none" w:sz="0" w:space="0" w:color="auto"/>
      </w:divBdr>
    </w:div>
    <w:div w:id="119962806">
      <w:bodyDiv w:val="1"/>
      <w:marLeft w:val="0"/>
      <w:marRight w:val="0"/>
      <w:marTop w:val="0"/>
      <w:marBottom w:val="0"/>
      <w:divBdr>
        <w:top w:val="none" w:sz="0" w:space="0" w:color="auto"/>
        <w:left w:val="none" w:sz="0" w:space="0" w:color="auto"/>
        <w:bottom w:val="none" w:sz="0" w:space="0" w:color="auto"/>
        <w:right w:val="none" w:sz="0" w:space="0" w:color="auto"/>
      </w:divBdr>
    </w:div>
    <w:div w:id="183710767">
      <w:bodyDiv w:val="1"/>
      <w:marLeft w:val="0"/>
      <w:marRight w:val="0"/>
      <w:marTop w:val="0"/>
      <w:marBottom w:val="0"/>
      <w:divBdr>
        <w:top w:val="none" w:sz="0" w:space="0" w:color="auto"/>
        <w:left w:val="none" w:sz="0" w:space="0" w:color="auto"/>
        <w:bottom w:val="none" w:sz="0" w:space="0" w:color="auto"/>
        <w:right w:val="none" w:sz="0" w:space="0" w:color="auto"/>
      </w:divBdr>
    </w:div>
    <w:div w:id="219750031">
      <w:bodyDiv w:val="1"/>
      <w:marLeft w:val="0"/>
      <w:marRight w:val="0"/>
      <w:marTop w:val="0"/>
      <w:marBottom w:val="0"/>
      <w:divBdr>
        <w:top w:val="none" w:sz="0" w:space="0" w:color="auto"/>
        <w:left w:val="none" w:sz="0" w:space="0" w:color="auto"/>
        <w:bottom w:val="none" w:sz="0" w:space="0" w:color="auto"/>
        <w:right w:val="none" w:sz="0" w:space="0" w:color="auto"/>
      </w:divBdr>
    </w:div>
    <w:div w:id="273173168">
      <w:bodyDiv w:val="1"/>
      <w:marLeft w:val="0"/>
      <w:marRight w:val="0"/>
      <w:marTop w:val="0"/>
      <w:marBottom w:val="0"/>
      <w:divBdr>
        <w:top w:val="none" w:sz="0" w:space="0" w:color="auto"/>
        <w:left w:val="none" w:sz="0" w:space="0" w:color="auto"/>
        <w:bottom w:val="none" w:sz="0" w:space="0" w:color="auto"/>
        <w:right w:val="none" w:sz="0" w:space="0" w:color="auto"/>
      </w:divBdr>
    </w:div>
    <w:div w:id="389572248">
      <w:bodyDiv w:val="1"/>
      <w:marLeft w:val="0"/>
      <w:marRight w:val="0"/>
      <w:marTop w:val="0"/>
      <w:marBottom w:val="0"/>
      <w:divBdr>
        <w:top w:val="none" w:sz="0" w:space="0" w:color="auto"/>
        <w:left w:val="none" w:sz="0" w:space="0" w:color="auto"/>
        <w:bottom w:val="none" w:sz="0" w:space="0" w:color="auto"/>
        <w:right w:val="none" w:sz="0" w:space="0" w:color="auto"/>
      </w:divBdr>
    </w:div>
    <w:div w:id="466243422">
      <w:bodyDiv w:val="1"/>
      <w:marLeft w:val="0"/>
      <w:marRight w:val="0"/>
      <w:marTop w:val="0"/>
      <w:marBottom w:val="0"/>
      <w:divBdr>
        <w:top w:val="none" w:sz="0" w:space="0" w:color="auto"/>
        <w:left w:val="none" w:sz="0" w:space="0" w:color="auto"/>
        <w:bottom w:val="none" w:sz="0" w:space="0" w:color="auto"/>
        <w:right w:val="none" w:sz="0" w:space="0" w:color="auto"/>
      </w:divBdr>
    </w:div>
    <w:div w:id="523136532">
      <w:bodyDiv w:val="1"/>
      <w:marLeft w:val="0"/>
      <w:marRight w:val="0"/>
      <w:marTop w:val="0"/>
      <w:marBottom w:val="0"/>
      <w:divBdr>
        <w:top w:val="none" w:sz="0" w:space="0" w:color="auto"/>
        <w:left w:val="none" w:sz="0" w:space="0" w:color="auto"/>
        <w:bottom w:val="none" w:sz="0" w:space="0" w:color="auto"/>
        <w:right w:val="none" w:sz="0" w:space="0" w:color="auto"/>
      </w:divBdr>
    </w:div>
    <w:div w:id="597252137">
      <w:bodyDiv w:val="1"/>
      <w:marLeft w:val="0"/>
      <w:marRight w:val="0"/>
      <w:marTop w:val="0"/>
      <w:marBottom w:val="0"/>
      <w:divBdr>
        <w:top w:val="none" w:sz="0" w:space="0" w:color="auto"/>
        <w:left w:val="none" w:sz="0" w:space="0" w:color="auto"/>
        <w:bottom w:val="none" w:sz="0" w:space="0" w:color="auto"/>
        <w:right w:val="none" w:sz="0" w:space="0" w:color="auto"/>
      </w:divBdr>
    </w:div>
    <w:div w:id="702874619">
      <w:bodyDiv w:val="1"/>
      <w:marLeft w:val="0"/>
      <w:marRight w:val="0"/>
      <w:marTop w:val="0"/>
      <w:marBottom w:val="0"/>
      <w:divBdr>
        <w:top w:val="none" w:sz="0" w:space="0" w:color="auto"/>
        <w:left w:val="none" w:sz="0" w:space="0" w:color="auto"/>
        <w:bottom w:val="none" w:sz="0" w:space="0" w:color="auto"/>
        <w:right w:val="none" w:sz="0" w:space="0" w:color="auto"/>
      </w:divBdr>
    </w:div>
    <w:div w:id="901406731">
      <w:bodyDiv w:val="1"/>
      <w:marLeft w:val="0"/>
      <w:marRight w:val="0"/>
      <w:marTop w:val="0"/>
      <w:marBottom w:val="0"/>
      <w:divBdr>
        <w:top w:val="none" w:sz="0" w:space="0" w:color="auto"/>
        <w:left w:val="none" w:sz="0" w:space="0" w:color="auto"/>
        <w:bottom w:val="none" w:sz="0" w:space="0" w:color="auto"/>
        <w:right w:val="none" w:sz="0" w:space="0" w:color="auto"/>
      </w:divBdr>
    </w:div>
    <w:div w:id="906458062">
      <w:bodyDiv w:val="1"/>
      <w:marLeft w:val="0"/>
      <w:marRight w:val="0"/>
      <w:marTop w:val="0"/>
      <w:marBottom w:val="0"/>
      <w:divBdr>
        <w:top w:val="none" w:sz="0" w:space="0" w:color="auto"/>
        <w:left w:val="none" w:sz="0" w:space="0" w:color="auto"/>
        <w:bottom w:val="none" w:sz="0" w:space="0" w:color="auto"/>
        <w:right w:val="none" w:sz="0" w:space="0" w:color="auto"/>
      </w:divBdr>
    </w:div>
    <w:div w:id="930701354">
      <w:bodyDiv w:val="1"/>
      <w:marLeft w:val="0"/>
      <w:marRight w:val="0"/>
      <w:marTop w:val="0"/>
      <w:marBottom w:val="0"/>
      <w:divBdr>
        <w:top w:val="none" w:sz="0" w:space="0" w:color="auto"/>
        <w:left w:val="none" w:sz="0" w:space="0" w:color="auto"/>
        <w:bottom w:val="none" w:sz="0" w:space="0" w:color="auto"/>
        <w:right w:val="none" w:sz="0" w:space="0" w:color="auto"/>
      </w:divBdr>
    </w:div>
    <w:div w:id="1086271886">
      <w:bodyDiv w:val="1"/>
      <w:marLeft w:val="0"/>
      <w:marRight w:val="0"/>
      <w:marTop w:val="0"/>
      <w:marBottom w:val="0"/>
      <w:divBdr>
        <w:top w:val="none" w:sz="0" w:space="0" w:color="auto"/>
        <w:left w:val="none" w:sz="0" w:space="0" w:color="auto"/>
        <w:bottom w:val="none" w:sz="0" w:space="0" w:color="auto"/>
        <w:right w:val="none" w:sz="0" w:space="0" w:color="auto"/>
      </w:divBdr>
    </w:div>
    <w:div w:id="1116602789">
      <w:bodyDiv w:val="1"/>
      <w:marLeft w:val="0"/>
      <w:marRight w:val="0"/>
      <w:marTop w:val="0"/>
      <w:marBottom w:val="0"/>
      <w:divBdr>
        <w:top w:val="none" w:sz="0" w:space="0" w:color="auto"/>
        <w:left w:val="none" w:sz="0" w:space="0" w:color="auto"/>
        <w:bottom w:val="none" w:sz="0" w:space="0" w:color="auto"/>
        <w:right w:val="none" w:sz="0" w:space="0" w:color="auto"/>
      </w:divBdr>
    </w:div>
    <w:div w:id="1216891357">
      <w:bodyDiv w:val="1"/>
      <w:marLeft w:val="0"/>
      <w:marRight w:val="0"/>
      <w:marTop w:val="0"/>
      <w:marBottom w:val="0"/>
      <w:divBdr>
        <w:top w:val="none" w:sz="0" w:space="0" w:color="auto"/>
        <w:left w:val="none" w:sz="0" w:space="0" w:color="auto"/>
        <w:bottom w:val="none" w:sz="0" w:space="0" w:color="auto"/>
        <w:right w:val="none" w:sz="0" w:space="0" w:color="auto"/>
      </w:divBdr>
    </w:div>
    <w:div w:id="1261645904">
      <w:bodyDiv w:val="1"/>
      <w:marLeft w:val="0"/>
      <w:marRight w:val="0"/>
      <w:marTop w:val="0"/>
      <w:marBottom w:val="0"/>
      <w:divBdr>
        <w:top w:val="none" w:sz="0" w:space="0" w:color="auto"/>
        <w:left w:val="none" w:sz="0" w:space="0" w:color="auto"/>
        <w:bottom w:val="none" w:sz="0" w:space="0" w:color="auto"/>
        <w:right w:val="none" w:sz="0" w:space="0" w:color="auto"/>
      </w:divBdr>
    </w:div>
    <w:div w:id="1272588315">
      <w:bodyDiv w:val="1"/>
      <w:marLeft w:val="0"/>
      <w:marRight w:val="0"/>
      <w:marTop w:val="0"/>
      <w:marBottom w:val="0"/>
      <w:divBdr>
        <w:top w:val="none" w:sz="0" w:space="0" w:color="auto"/>
        <w:left w:val="none" w:sz="0" w:space="0" w:color="auto"/>
        <w:bottom w:val="none" w:sz="0" w:space="0" w:color="auto"/>
        <w:right w:val="none" w:sz="0" w:space="0" w:color="auto"/>
      </w:divBdr>
    </w:div>
    <w:div w:id="1284574531">
      <w:bodyDiv w:val="1"/>
      <w:marLeft w:val="0"/>
      <w:marRight w:val="0"/>
      <w:marTop w:val="0"/>
      <w:marBottom w:val="0"/>
      <w:divBdr>
        <w:top w:val="none" w:sz="0" w:space="0" w:color="auto"/>
        <w:left w:val="none" w:sz="0" w:space="0" w:color="auto"/>
        <w:bottom w:val="none" w:sz="0" w:space="0" w:color="auto"/>
        <w:right w:val="none" w:sz="0" w:space="0" w:color="auto"/>
      </w:divBdr>
    </w:div>
    <w:div w:id="1410226265">
      <w:bodyDiv w:val="1"/>
      <w:marLeft w:val="0"/>
      <w:marRight w:val="0"/>
      <w:marTop w:val="0"/>
      <w:marBottom w:val="0"/>
      <w:divBdr>
        <w:top w:val="none" w:sz="0" w:space="0" w:color="auto"/>
        <w:left w:val="none" w:sz="0" w:space="0" w:color="auto"/>
        <w:bottom w:val="none" w:sz="0" w:space="0" w:color="auto"/>
        <w:right w:val="none" w:sz="0" w:space="0" w:color="auto"/>
      </w:divBdr>
    </w:div>
    <w:div w:id="1435636825">
      <w:bodyDiv w:val="1"/>
      <w:marLeft w:val="0"/>
      <w:marRight w:val="0"/>
      <w:marTop w:val="0"/>
      <w:marBottom w:val="0"/>
      <w:divBdr>
        <w:top w:val="none" w:sz="0" w:space="0" w:color="auto"/>
        <w:left w:val="none" w:sz="0" w:space="0" w:color="auto"/>
        <w:bottom w:val="none" w:sz="0" w:space="0" w:color="auto"/>
        <w:right w:val="none" w:sz="0" w:space="0" w:color="auto"/>
      </w:divBdr>
    </w:div>
    <w:div w:id="1499036061">
      <w:bodyDiv w:val="1"/>
      <w:marLeft w:val="0"/>
      <w:marRight w:val="0"/>
      <w:marTop w:val="0"/>
      <w:marBottom w:val="0"/>
      <w:divBdr>
        <w:top w:val="none" w:sz="0" w:space="0" w:color="auto"/>
        <w:left w:val="none" w:sz="0" w:space="0" w:color="auto"/>
        <w:bottom w:val="none" w:sz="0" w:space="0" w:color="auto"/>
        <w:right w:val="none" w:sz="0" w:space="0" w:color="auto"/>
      </w:divBdr>
    </w:div>
    <w:div w:id="1501391995">
      <w:bodyDiv w:val="1"/>
      <w:marLeft w:val="0"/>
      <w:marRight w:val="0"/>
      <w:marTop w:val="0"/>
      <w:marBottom w:val="0"/>
      <w:divBdr>
        <w:top w:val="none" w:sz="0" w:space="0" w:color="auto"/>
        <w:left w:val="none" w:sz="0" w:space="0" w:color="auto"/>
        <w:bottom w:val="none" w:sz="0" w:space="0" w:color="auto"/>
        <w:right w:val="none" w:sz="0" w:space="0" w:color="auto"/>
      </w:divBdr>
    </w:div>
    <w:div w:id="1522010341">
      <w:bodyDiv w:val="1"/>
      <w:marLeft w:val="0"/>
      <w:marRight w:val="0"/>
      <w:marTop w:val="0"/>
      <w:marBottom w:val="0"/>
      <w:divBdr>
        <w:top w:val="none" w:sz="0" w:space="0" w:color="auto"/>
        <w:left w:val="none" w:sz="0" w:space="0" w:color="auto"/>
        <w:bottom w:val="none" w:sz="0" w:space="0" w:color="auto"/>
        <w:right w:val="none" w:sz="0" w:space="0" w:color="auto"/>
      </w:divBdr>
    </w:div>
    <w:div w:id="1568609627">
      <w:bodyDiv w:val="1"/>
      <w:marLeft w:val="0"/>
      <w:marRight w:val="0"/>
      <w:marTop w:val="0"/>
      <w:marBottom w:val="0"/>
      <w:divBdr>
        <w:top w:val="none" w:sz="0" w:space="0" w:color="auto"/>
        <w:left w:val="none" w:sz="0" w:space="0" w:color="auto"/>
        <w:bottom w:val="none" w:sz="0" w:space="0" w:color="auto"/>
        <w:right w:val="none" w:sz="0" w:space="0" w:color="auto"/>
      </w:divBdr>
    </w:div>
    <w:div w:id="1654407422">
      <w:bodyDiv w:val="1"/>
      <w:marLeft w:val="0"/>
      <w:marRight w:val="0"/>
      <w:marTop w:val="0"/>
      <w:marBottom w:val="0"/>
      <w:divBdr>
        <w:top w:val="none" w:sz="0" w:space="0" w:color="auto"/>
        <w:left w:val="none" w:sz="0" w:space="0" w:color="auto"/>
        <w:bottom w:val="none" w:sz="0" w:space="0" w:color="auto"/>
        <w:right w:val="none" w:sz="0" w:space="0" w:color="auto"/>
      </w:divBdr>
    </w:div>
    <w:div w:id="1775902475">
      <w:bodyDiv w:val="1"/>
      <w:marLeft w:val="0"/>
      <w:marRight w:val="0"/>
      <w:marTop w:val="0"/>
      <w:marBottom w:val="0"/>
      <w:divBdr>
        <w:top w:val="none" w:sz="0" w:space="0" w:color="auto"/>
        <w:left w:val="none" w:sz="0" w:space="0" w:color="auto"/>
        <w:bottom w:val="none" w:sz="0" w:space="0" w:color="auto"/>
        <w:right w:val="none" w:sz="0" w:space="0" w:color="auto"/>
      </w:divBdr>
    </w:div>
    <w:div w:id="1847868052">
      <w:bodyDiv w:val="1"/>
      <w:marLeft w:val="0"/>
      <w:marRight w:val="0"/>
      <w:marTop w:val="0"/>
      <w:marBottom w:val="0"/>
      <w:divBdr>
        <w:top w:val="none" w:sz="0" w:space="0" w:color="auto"/>
        <w:left w:val="none" w:sz="0" w:space="0" w:color="auto"/>
        <w:bottom w:val="none" w:sz="0" w:space="0" w:color="auto"/>
        <w:right w:val="none" w:sz="0" w:space="0" w:color="auto"/>
      </w:divBdr>
    </w:div>
    <w:div w:id="1907566066">
      <w:bodyDiv w:val="1"/>
      <w:marLeft w:val="0"/>
      <w:marRight w:val="0"/>
      <w:marTop w:val="0"/>
      <w:marBottom w:val="0"/>
      <w:divBdr>
        <w:top w:val="none" w:sz="0" w:space="0" w:color="auto"/>
        <w:left w:val="none" w:sz="0" w:space="0" w:color="auto"/>
        <w:bottom w:val="none" w:sz="0" w:space="0" w:color="auto"/>
        <w:right w:val="none" w:sz="0" w:space="0" w:color="auto"/>
      </w:divBdr>
    </w:div>
    <w:div w:id="1937402763">
      <w:bodyDiv w:val="1"/>
      <w:marLeft w:val="0"/>
      <w:marRight w:val="0"/>
      <w:marTop w:val="0"/>
      <w:marBottom w:val="0"/>
      <w:divBdr>
        <w:top w:val="none" w:sz="0" w:space="0" w:color="auto"/>
        <w:left w:val="none" w:sz="0" w:space="0" w:color="auto"/>
        <w:bottom w:val="none" w:sz="0" w:space="0" w:color="auto"/>
        <w:right w:val="none" w:sz="0" w:space="0" w:color="auto"/>
      </w:divBdr>
    </w:div>
    <w:div w:id="2029326437">
      <w:bodyDiv w:val="1"/>
      <w:marLeft w:val="0"/>
      <w:marRight w:val="0"/>
      <w:marTop w:val="0"/>
      <w:marBottom w:val="0"/>
      <w:divBdr>
        <w:top w:val="none" w:sz="0" w:space="0" w:color="auto"/>
        <w:left w:val="none" w:sz="0" w:space="0" w:color="auto"/>
        <w:bottom w:val="none" w:sz="0" w:space="0" w:color="auto"/>
        <w:right w:val="none" w:sz="0" w:space="0" w:color="auto"/>
      </w:divBdr>
    </w:div>
    <w:div w:id="2058700877">
      <w:bodyDiv w:val="1"/>
      <w:marLeft w:val="0"/>
      <w:marRight w:val="0"/>
      <w:marTop w:val="0"/>
      <w:marBottom w:val="0"/>
      <w:divBdr>
        <w:top w:val="none" w:sz="0" w:space="0" w:color="auto"/>
        <w:left w:val="none" w:sz="0" w:space="0" w:color="auto"/>
        <w:bottom w:val="none" w:sz="0" w:space="0" w:color="auto"/>
        <w:right w:val="none" w:sz="0" w:space="0" w:color="auto"/>
      </w:divBdr>
    </w:div>
    <w:div w:id="206059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ansard.parliament.uk/Commons/2024-02-26/debates/236AFD8A-36EE-4A64-9137-555A1B888993/OralAnswersToQuestion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Iye18</b:Tag>
    <b:SourceType>JournalArticle</b:SourceType>
    <b:Guid>{E920C45C-1A4C-2F4C-A511-C65B7C497032}</b:Guid>
    <b:Title>SEPARATION OF POWERS: THE UK EXPERIENCE</b:Title>
    <b:Year>2018</b:Year>
    <b:JournalName>Journal of International and Comparative Law</b:JournalName>
    <b:Volume>5</b:Volume>
    <b:Issue>2</b:Issue>
    <b:Pages>507-527</b:Pages>
    <b:Author>
      <b:Author>
        <b:NameList>
          <b:Person>
            <b:Last>Iyer</b:Last>
            <b:First>V</b:First>
          </b:Person>
        </b:NameList>
      </b:Author>
    </b:Author>
    <b:RefOrder>1</b:RefOrder>
  </b:Source>
  <b:Source>
    <b:Tag>UKP23</b:Tag>
    <b:SourceType>InternetSite</b:SourceType>
    <b:Guid>{12FFDF22-D4F5-CE4A-9664-AF65E292CFB4}</b:Guid>
    <b:Author>
      <b:Author>
        <b:Corporate>UK Parliment</b:Corporate>
      </b:Author>
    </b:Author>
    <b:Title>Government</b:Title>
    <b:Year>2023</b:Year>
    <b:URL>https://www.parliament.uk/site-information/glossary/government/</b:URL>
    <b:YearAccessed>2024</b:YearAccessed>
    <b:MonthAccessed>03</b:MonthAccessed>
    <b:DayAccessed>04</b:DayAccessed>
    <b:RefOrder>2</b:RefOrder>
  </b:Source>
  <b:Source>
    <b:Tag>GOV22</b:Tag>
    <b:SourceType>InternetSite</b:SourceType>
    <b:Guid>{E34EE8B2-5653-034E-896F-554F4B6A2535}</b:Guid>
    <b:Author>
      <b:Author>
        <b:NameList>
          <b:Person>
            <b:Last>GOV</b:Last>
          </b:Person>
        </b:NameList>
      </b:Author>
    </b:Author>
    <b:Title>Government of the UK</b:Title>
    <b:URL>https://www.gov.uk/government/how-government-works</b:URL>
    <b:Year>2022</b:Year>
    <b:YearAccessed>2024</b:YearAccessed>
    <b:MonthAccessed>03</b:MonthAccessed>
    <b:DayAccessed>04</b:DayAccessed>
    <b:RefOrder>3</b:RefOrder>
  </b:Source>
  <b:Source>
    <b:Tag>Wat03</b:Tag>
    <b:SourceType>Book</b:SourceType>
    <b:Guid>{A54D1E45-B4D6-7342-BB65-20C24E5F35F8}</b:Guid>
    <b:Title>Understanding US/UK government and politics</b:Title>
    <b:Year>2003</b:Year>
    <b:Author>
      <b:Author>
        <b:NameList>
          <b:Person>
            <b:Last>Watts</b:Last>
            <b:First>Duncan</b:First>
          </b:Person>
        </b:NameList>
      </b:Author>
    </b:Author>
    <b:Publisher>Manchester University Press</b:Publisher>
    <b:Edition>1</b:Edition>
    <b:RefOrder>4</b:RefOrder>
  </b:Source>
  <b:Source>
    <b:Tag>The24</b:Tag>
    <b:SourceType>InternetSite</b:SourceType>
    <b:Guid>{CBC32E85-7050-F34E-8CA2-F6790D947E9D}</b:Guid>
    <b:Title>Separation of Powers, Parliamentary Sovereignty &amp; the Rule of Law</b:Title>
    <b:Year>2024</b:Year>
    <b:Author>
      <b:Author>
        <b:Corporate>The British Institute Of Human Rights</b:Corporate>
      </b:Author>
    </b:Author>
    <b:URL>https://www.bihr.org.uk/get-informed/legislation-explainers/separation-of-powers-parliamentary-sovereignty-the-rule-of-law</b:URL>
    <b:YearAccessed>2024</b:YearAccessed>
    <b:MonthAccessed>03</b:MonthAccessed>
    <b:DayAccessed>02</b:DayAccessed>
    <b:RefOrder>5</b:RefOrder>
  </b:Source>
  <b:Source>
    <b:Tag>UKP24</b:Tag>
    <b:SourceType>InternetSite</b:SourceType>
    <b:Guid>{D5E9F313-9592-0C4E-8C3B-81539918E6E5}</b:Guid>
    <b:Author>
      <b:Author>
        <b:Corporate>UK Parliament</b:Corporate>
      </b:Author>
    </b:Author>
    <b:Title>Written questions, answers and statements</b:Title>
    <b:URL>https://questions-statements.parliament.uk</b:URL>
    <b:Year>2024</b:Year>
    <b:YearAccessed>2024</b:YearAccessed>
    <b:MonthAccessed>03</b:MonthAccessed>
    <b:DayAccessed>02</b:DayAccessed>
    <b:RefOrder>6</b:RefOrder>
  </b:Source>
  <b:Source>
    <b:Tag>Mar20</b:Tag>
    <b:SourceType>InternetSite</b:SourceType>
    <b:Guid>{47B5244C-645B-E94E-B51E-67667DA6489A}</b:Guid>
    <b:Title>Institute for Government</b:Title>
    <b:URL>https://www.instituteforgovernment.org.uk/article/explainer/select-committees</b:URL>
    <b:Year>2020</b:Year>
    <b:YearAccessed>2024</b:YearAccessed>
    <b:MonthAccessed>03</b:MonthAccessed>
    <b:DayAccessed>08</b:DayAccessed>
    <b:Author>
      <b:Author>
        <b:NameList>
          <b:Person>
            <b:Last>Marshall</b:Last>
            <b:First>Joe</b:First>
          </b:Person>
        </b:NameList>
      </b:Author>
    </b:Author>
    <b:RefOrder>7</b:RefOrder>
  </b:Source>
  <b:Source>
    <b:Tag>Mar16</b:Tag>
    <b:SourceType>JournalArticle</b:SourceType>
    <b:Guid>{3AFBC40A-F940-AD40-AEC1-95710664B3BA}</b:Guid>
    <b:Title>The Commons Select Committee System in the 2015-20 Parliament</b:Title>
    <b:Year>2016</b:Year>
    <b:JournalName>The Political Quarterly</b:JournalName>
    <b:Volume>87</b:Volume>
    <b:Issue>1</b:Issue>
    <b:Author>
      <b:Author>
        <b:NameList>
          <b:Person>
            <b:Last>Marsh</b:Last>
            <b:First>Ian</b:First>
          </b:Person>
        </b:NameList>
      </b:Author>
    </b:Author>
    <b:RefOrder>8</b:RefOrder>
  </b:Source>
  <b:Source>
    <b:Tag>Sau06</b:Tag>
    <b:SourceType>JournalArticle</b:SourceType>
    <b:Guid>{8752B401-47AD-FE42-9D35-2CCC1816F183}</b:Guid>
    <b:Title>Separation of Powers and the Judicial Branch</b:Title>
    <b:JournalName> Judicial Review</b:JournalName>
    <b:Year>2006</b:Year>
    <b:Volume>11</b:Volume>
    <b:Issue>4</b:Issue>
    <b:Pages>337-347</b:Pages>
    <b:Author>
      <b:Author>
        <b:NameList>
          <b:Person>
            <b:Last>Saunders</b:Last>
            <b:First>Cheryl</b:First>
          </b:Person>
        </b:NameList>
      </b:Author>
    </b:Author>
    <b:RefOrder>9</b:RefOrder>
  </b:Source>
  <b:Source>
    <b:Tag>Uni18</b:Tag>
    <b:SourceType>DocumentFromInternetSite</b:SourceType>
    <b:Guid>{7DAC6D94-2A02-C549-968D-B088CF12260F}</b:Guid>
    <b:Author>
      <b:Author>
        <b:Corporate>University College London</b:Corporate>
      </b:Author>
    </b:Author>
    <b:Title>The Impact of House of Commons Select Committees</b:Title>
    <b:Year>2018</b:Year>
    <b:URL>https://www.ucl.ac.uk/constitution-unit/research/parliament/impact-house-commons-select-committees</b:URL>
    <b:YearAccessed>2024</b:YearAccessed>
    <b:MonthAccessed>03</b:MonthAccessed>
    <b:DayAccessed>02</b:DayAccessed>
    <b:RefOrder>10</b:RefOrder>
  </b:Source>
  <b:Source>
    <b:Tag>Whi15</b:Tag>
    <b:SourceType>InternetSite</b:SourceType>
    <b:Guid>{39774218-C771-D942-A3CE-186D698E3AC9}</b:Guid>
    <b:Title>Parliamentary Scrutiny of Government</b:Title>
    <b:URL>https://www.instituteforgovernment.org.uk/sites/default/files/publications/Parliamentary%20scrutiny%20briefing%20note%20final.pdf</b:URL>
    <b:Year>2015</b:Year>
    <b:YearAccessed>2024</b:YearAccessed>
    <b:MonthAccessed>03</b:MonthAccessed>
    <b:DayAccessed>9</b:DayAccessed>
    <b:Author>
      <b:Author>
        <b:NameList>
          <b:Person>
            <b:Last>White</b:Last>
            <b:First>Hannah</b:First>
          </b:Person>
        </b:NameList>
      </b:Author>
    </b:Author>
    <b:RefOrder>11</b:RefOrder>
  </b:Source>
  <b:Source>
    <b:Tag>Cou231</b:Tag>
    <b:SourceType>InternetSite</b:SourceType>
    <b:Guid>{F8DD116F-7CDB-6D40-88F9-32C5B44CE611}</b:Guid>
    <b:Author>
      <b:Author>
        <b:Corporate>Courts and Tribunals Judiciary</b:Corporate>
      </b:Author>
    </b:Author>
    <b:Title>Three Is: Independence, Impartiality and Integrity</b:Title>
    <b:URL>https://www.judiciary.uk/about-the-judiciary/our-justice-system/three-is/</b:URL>
    <b:Year>2023</b:Year>
    <b:YearAccessed>2024</b:YearAccessed>
    <b:MonthAccessed>03</b:MonthAccessed>
    <b:DayAccessed>11</b:DayAccessed>
    <b:RefOrder>12</b:RefOrder>
  </b:Source>
  <b:Source>
    <b:Tag>Hod21</b:Tag>
    <b:SourceType>JournalArticle</b:SourceType>
    <b:Guid>{2D36FC02-C443-744C-8170-611FCD9D9FB8}</b:Guid>
    <b:Author>
      <b:Author>
        <b:NameList>
          <b:Person>
            <b:Last>Hodge</b:Last>
            <b:First>patrick</b:First>
          </b:Person>
        </b:NameList>
      </b:Author>
    </b:Author>
    <b:Title>The scope of judicial law-making in constitutional law and public law</b:Title>
    <b:Year>2021</b:Year>
    <b:JournalName>Judicial Review</b:JournalName>
    <b:Volume>1</b:Volume>
    <b:Issue>1</b:Issue>
    <b:Pages>1-32</b:Pages>
    <b:RefOrder>13</b:RefOrder>
  </b:Source>
  <b:Source>
    <b:Tag>gov24</b:Tag>
    <b:SourceType>InternetSite</b:SourceType>
    <b:Guid>{C7F07942-3081-9C4C-88A9-FF4B3E3D1E20}</b:Guid>
    <b:Title>General election</b:Title>
    <b:Year>2024</b:Year>
    <b:URL>https://www.gov.uk/elections-in-the-uk/general-election</b:URL>
    <b:YearAccessed>2024</b:YearAccessed>
    <b:MonthAccessed>03</b:MonthAccessed>
    <b:DayAccessed>11</b:DayAccessed>
    <b:Author>
      <b:Author>
        <b:Corporate>gov.uk</b:Corporate>
      </b:Author>
    </b:Author>
    <b:RefOrder>14</b:RefOrder>
  </b:Source>
  <b:Source>
    <b:Tag>Spo23</b:Tag>
    <b:SourceType>InternetSite</b:SourceType>
    <b:Guid>{831BA5D1-9BCE-9B45-96B7-C97E98294B32}</b:Guid>
    <b:Author>
      <b:Author>
        <b:Corporate>Spotlight on Corruption</b:Corporate>
      </b:Author>
    </b:Author>
    <b:Title>The integrity of the UK’s next election is at serious risk from rogue actors overseas</b:Title>
    <b:URL>https://www.spotlightcorruption.org/enforcement-electoral-finance-laws/</b:URL>
    <b:Year>2023</b:Year>
    <b:YearAccessed>2024</b:YearAccessed>
    <b:MonthAccessed>03</b:MonthAccessed>
    <b:DayAccessed>11</b:DayAccessed>
    <b:RefOrder>15</b:RefOrder>
  </b:Source>
  <b:Source>
    <b:Tag>Bor16</b:Tag>
    <b:SourceType>Book</b:SourceType>
    <b:Guid>{904B6F5E-8645-0446-BE8E-15FD933124A4}</b:Guid>
    <b:Title>Media Influence on Laws and Government</b:Title>
    <b:Year>2016</b:Year>
    <b:Publisher>University of Minnesota Libraries </b:Publisher>
    <b:Author>
      <b:Author>
        <b:NameList>
          <b:Person>
            <b:Last>Borge</b:Last>
            <b:First>Max</b:First>
          </b:Person>
        </b:NameList>
      </b:Author>
    </b:Author>
    <b:Edition>1</b:Edition>
    <b:RefOrder>16</b:RefOrder>
  </b:Source>
  <b:Source>
    <b:Tag>Eve16</b:Tag>
    <b:SourceType>JournalArticle</b:SourceType>
    <b:Guid>{97D05C25-2884-0F44-BD93-5DF33BC18EB7}</b:Guid>
    <b:Title>The role and powers of the Privy Council</b:Title>
    <b:Year>2016</b:Year>
    <b:JournalName>House of Commons Library</b:JournalName>
    <b:Author>
      <b:Author>
        <b:NameList>
          <b:Person>
            <b:Last>Everett</b:Last>
            <b:First>Michael</b:First>
          </b:Person>
        </b:NameList>
      </b:Author>
    </b:Author>
    <b:RefOrder>17</b:RefOrder>
  </b:Source>
  <b:Source>
    <b:Tag>Stawn</b:Tag>
    <b:SourceType>InternetSite</b:SourceType>
    <b:Guid>{3B68612D-DDC2-4B40-9FEC-0C3536C6F9D6}</b:Guid>
    <b:Title>UK Civil Service - Definitions - What Is a Civil Servant?</b:Title>
    <b:Year>2024</b:Year>
    <b:URL>https://www.civilservant.org.uk/information-definitions.html</b:URL>
    <b:YearAccessed>2024</b:YearAccessed>
    <b:MonthAccessed>03</b:MonthAccessed>
    <b:DayAccessed>11</b:DayAccessed>
    <b:Author>
      <b:Author>
        <b:NameList>
          <b:Person>
            <b:Last>Stanley</b:Last>
            <b:First>Martin</b:First>
          </b:Person>
        </b:NameList>
      </b:Author>
    </b:Author>
    <b:RefOrder>18</b:RefOrder>
  </b:Source>
  <b:Source>
    <b:Tag>Min13</b:Tag>
    <b:SourceType>JournalArticle</b:SourceType>
    <b:Guid>{A781ABC4-0A8D-3A40-BF44-B122CC183DF0}</b:Guid>
    <b:Title>Proposals for further reform</b:Title>
    <b:Year>2013</b:Year>
    <b:Author>
      <b:Author>
        <b:Corporate>Ministry Of Justice</b:Corporate>
      </b:Author>
    </b:Author>
    <b:JournalName>Judicial Review</b:JournalName>
    <b:Volume>1</b:Volume>
    <b:Issue>1</b:Issue>
    <b:RefOrder>19</b:RefOrder>
  </b:Source>
  <b:Source>
    <b:Tag>Flo02</b:Tag>
    <b:SourceType>JournalArticle</b:SourceType>
    <b:Guid>{07861388-D86F-4448-B6D8-5AE3C72EF2DE}</b:Guid>
    <b:Title>INCREASING TRANSPARENCY IN GOVERNMENT</b:Title>
    <b:JournalName>International Journal on World Peace</b:JournalName>
    <b:Year>2002</b:Year>
    <b:Volume>19</b:Volume>
    <b:Issue>3</b:Issue>
    <b:Pages>3-37</b:Pages>
    <b:Author>
      <b:Author>
        <b:NameList>
          <b:Person>
            <b:Last>Florini</b:Last>
            <b:First>Ann</b:First>
          </b:Person>
        </b:NameList>
      </b:Author>
    </b:Author>
    <b:RefOrder>20</b:RefOrder>
  </b:Source>
</b:Sources>
</file>

<file path=customXml/itemProps1.xml><?xml version="1.0" encoding="utf-8"?>
<ds:datastoreItem xmlns:ds="http://schemas.openxmlformats.org/officeDocument/2006/customXml" ds:itemID="{BCE16AAC-8023-6642-97E7-80404A060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8</Pages>
  <Words>2214</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BML4006</Company>
  <LinksUpToDate>false</LinksUpToDate>
  <CharactersWithSpaces>14811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“Good Scrutiny makes for good government’’</dc:title>
  <dc:subject/>
  <dc:creator>Leah Thomas</dc:creator>
  <cp:keywords/>
  <dc:description/>
  <cp:lastModifiedBy>Leah Thomas</cp:lastModifiedBy>
  <cp:revision>35</cp:revision>
  <dcterms:created xsi:type="dcterms:W3CDTF">2024-03-05T14:56:00Z</dcterms:created>
  <dcterms:modified xsi:type="dcterms:W3CDTF">2024-03-14T21:25:00Z</dcterms:modified>
</cp:coreProperties>
</file>