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3B2A37" w14:textId="77777777" w:rsidR="00B902BF" w:rsidRPr="00B902BF" w:rsidRDefault="00B902BF" w:rsidP="00B902BF">
      <w:pPr>
        <w:jc w:val="both"/>
        <w:rPr>
          <w:rFonts w:ascii="Arial" w:hAnsi="Arial" w:cs="Arial"/>
          <w:b/>
          <w:bCs/>
          <w:sz w:val="22"/>
          <w:szCs w:val="22"/>
          <w:lang w:val="nl-NL"/>
        </w:rPr>
      </w:pPr>
    </w:p>
    <w:p w14:paraId="14CF66EF" w14:textId="77777777" w:rsidR="00B902BF" w:rsidRPr="004D31F1" w:rsidRDefault="00B902BF" w:rsidP="00B902BF">
      <w:pPr>
        <w:jc w:val="both"/>
        <w:rPr>
          <w:rFonts w:ascii="Arial" w:hAnsi="Arial" w:cs="Arial"/>
          <w:b/>
          <w:bCs/>
          <w:sz w:val="22"/>
          <w:szCs w:val="22"/>
        </w:rPr>
      </w:pPr>
      <w:r w:rsidRPr="004D31F1">
        <w:rPr>
          <w:rFonts w:ascii="Arial" w:hAnsi="Arial" w:cs="Arial"/>
          <w:b/>
          <w:bCs/>
          <w:sz w:val="22"/>
          <w:szCs w:val="22"/>
        </w:rPr>
        <w:t>STUDENT NAME:</w:t>
      </w:r>
      <w:r w:rsidR="004D31F1" w:rsidRPr="004D31F1">
        <w:rPr>
          <w:rFonts w:ascii="Arial" w:hAnsi="Arial" w:cs="Arial"/>
          <w:b/>
          <w:bCs/>
          <w:sz w:val="22"/>
          <w:szCs w:val="22"/>
        </w:rPr>
        <w:t xml:space="preserve"> </w:t>
      </w:r>
      <w:r w:rsidR="004D31F1" w:rsidRPr="004D31F1">
        <w:rPr>
          <w:rFonts w:ascii="Arial" w:hAnsi="Arial" w:cs="Arial"/>
          <w:sz w:val="22"/>
          <w:szCs w:val="22"/>
        </w:rPr>
        <w:t>FATOUMATA MALIKA DOSSO</w:t>
      </w:r>
    </w:p>
    <w:p w14:paraId="73ACA853" w14:textId="77777777" w:rsidR="00B902BF" w:rsidRPr="004D31F1" w:rsidRDefault="00B902BF" w:rsidP="00B902BF">
      <w:pPr>
        <w:jc w:val="both"/>
        <w:rPr>
          <w:rFonts w:ascii="Arial" w:hAnsi="Arial" w:cs="Arial"/>
          <w:b/>
          <w:bCs/>
          <w:sz w:val="22"/>
          <w:szCs w:val="22"/>
        </w:rPr>
      </w:pPr>
    </w:p>
    <w:p w14:paraId="41C27F9F" w14:textId="77777777" w:rsidR="00B902BF" w:rsidRPr="00B902BF" w:rsidRDefault="00B902BF" w:rsidP="00B902BF">
      <w:pPr>
        <w:jc w:val="both"/>
        <w:rPr>
          <w:rFonts w:ascii="Arial" w:hAnsi="Arial" w:cs="Arial"/>
          <w:b/>
          <w:bCs/>
          <w:sz w:val="22"/>
          <w:szCs w:val="22"/>
          <w:lang w:val="nl-NL"/>
        </w:rPr>
      </w:pPr>
      <w:r w:rsidRPr="00B902BF">
        <w:rPr>
          <w:rFonts w:ascii="Arial" w:hAnsi="Arial" w:cs="Arial"/>
          <w:b/>
          <w:bCs/>
          <w:sz w:val="22"/>
          <w:szCs w:val="22"/>
          <w:lang w:val="nl-NL"/>
        </w:rPr>
        <w:t>STUDENT ID:</w:t>
      </w:r>
      <w:r w:rsidR="004D31F1">
        <w:rPr>
          <w:rFonts w:ascii="Arial" w:hAnsi="Arial" w:cs="Arial"/>
          <w:b/>
          <w:bCs/>
          <w:sz w:val="22"/>
          <w:szCs w:val="22"/>
          <w:lang w:val="nl-NL"/>
        </w:rPr>
        <w:t xml:space="preserve"> </w:t>
      </w:r>
      <w:r w:rsidR="004D31F1" w:rsidRPr="004D31F1">
        <w:rPr>
          <w:rFonts w:ascii="Arial" w:hAnsi="Arial" w:cs="Arial"/>
          <w:sz w:val="22"/>
          <w:szCs w:val="22"/>
          <w:lang w:val="nl-NL"/>
        </w:rPr>
        <w:t>2514002</w:t>
      </w:r>
    </w:p>
    <w:p w14:paraId="5DA6E02F" w14:textId="77777777" w:rsidR="00B902BF" w:rsidRPr="00B902BF" w:rsidRDefault="00B902BF" w:rsidP="00B902BF">
      <w:pPr>
        <w:jc w:val="both"/>
        <w:rPr>
          <w:rFonts w:ascii="Arial" w:hAnsi="Arial" w:cs="Arial"/>
          <w:sz w:val="22"/>
          <w:szCs w:val="22"/>
          <w:lang w:val="nl-NL"/>
        </w:rPr>
      </w:pPr>
    </w:p>
    <w:p w14:paraId="65F35AB7" w14:textId="77777777" w:rsidR="00B902BF" w:rsidRDefault="00B902BF" w:rsidP="00B902BF">
      <w:pPr>
        <w:jc w:val="both"/>
        <w:rPr>
          <w:rFonts w:ascii="Arial" w:hAnsi="Arial" w:cs="Arial"/>
          <w:sz w:val="22"/>
          <w:szCs w:val="22"/>
        </w:rPr>
      </w:pPr>
      <w:r w:rsidRPr="00B902BF">
        <w:rPr>
          <w:rFonts w:ascii="Arial" w:hAnsi="Arial" w:cs="Arial"/>
          <w:b/>
          <w:bCs/>
          <w:sz w:val="22"/>
          <w:szCs w:val="22"/>
        </w:rPr>
        <w:t>PROGRAMME</w:t>
      </w:r>
      <w:r w:rsidRPr="00B902BF">
        <w:rPr>
          <w:rFonts w:ascii="Arial" w:hAnsi="Arial" w:cs="Arial"/>
          <w:sz w:val="22"/>
          <w:szCs w:val="22"/>
        </w:rPr>
        <w:t>: Certificate of Higher Education Skills for the Workplace (Health &amp; Social Care)</w:t>
      </w:r>
    </w:p>
    <w:p w14:paraId="43EC110C" w14:textId="77777777" w:rsidR="00B902BF" w:rsidRDefault="00B902BF" w:rsidP="00B902BF">
      <w:pPr>
        <w:jc w:val="both"/>
        <w:rPr>
          <w:rFonts w:ascii="Arial" w:hAnsi="Arial" w:cs="Arial"/>
          <w:sz w:val="22"/>
          <w:szCs w:val="22"/>
        </w:rPr>
      </w:pPr>
      <w:r w:rsidRPr="00B902BF">
        <w:rPr>
          <w:rFonts w:ascii="Arial" w:hAnsi="Arial" w:cs="Arial"/>
          <w:b/>
          <w:bCs/>
          <w:sz w:val="22"/>
          <w:szCs w:val="22"/>
        </w:rPr>
        <w:br/>
        <w:t>MODULE CODE</w:t>
      </w:r>
      <w:r w:rsidRPr="00B902BF">
        <w:rPr>
          <w:rFonts w:ascii="Arial" w:hAnsi="Arial" w:cs="Arial"/>
          <w:sz w:val="22"/>
          <w:szCs w:val="22"/>
        </w:rPr>
        <w:t>: CHS4003</w:t>
      </w:r>
    </w:p>
    <w:p w14:paraId="5256C8C8" w14:textId="77777777" w:rsidR="00B902BF" w:rsidRDefault="00B902BF" w:rsidP="00B902BF">
      <w:pPr>
        <w:jc w:val="both"/>
        <w:rPr>
          <w:rFonts w:ascii="Arial" w:hAnsi="Arial" w:cs="Arial"/>
          <w:sz w:val="22"/>
          <w:szCs w:val="22"/>
        </w:rPr>
      </w:pPr>
    </w:p>
    <w:p w14:paraId="66618F2C" w14:textId="77777777" w:rsidR="00B902BF" w:rsidRDefault="00B902BF" w:rsidP="00B902BF">
      <w:pPr>
        <w:jc w:val="both"/>
        <w:rPr>
          <w:rFonts w:ascii="Arial" w:hAnsi="Arial" w:cs="Arial"/>
          <w:sz w:val="22"/>
          <w:szCs w:val="22"/>
        </w:rPr>
      </w:pPr>
      <w:r w:rsidRPr="00B902BF">
        <w:rPr>
          <w:rFonts w:ascii="Arial" w:hAnsi="Arial" w:cs="Arial"/>
          <w:b/>
          <w:bCs/>
          <w:sz w:val="22"/>
          <w:szCs w:val="22"/>
        </w:rPr>
        <w:t>MODULE TITLE:</w:t>
      </w:r>
      <w:r w:rsidRPr="00B902BF">
        <w:rPr>
          <w:rFonts w:ascii="Arial" w:hAnsi="Arial" w:cs="Arial"/>
          <w:sz w:val="22"/>
          <w:szCs w:val="22"/>
        </w:rPr>
        <w:t xml:space="preserve"> Introduction to Health and Social Care</w:t>
      </w:r>
    </w:p>
    <w:p w14:paraId="47BE881D" w14:textId="77777777" w:rsidR="00B902BF" w:rsidRDefault="00B902BF" w:rsidP="00B902BF">
      <w:pPr>
        <w:jc w:val="both"/>
        <w:rPr>
          <w:rFonts w:ascii="Arial" w:hAnsi="Arial" w:cs="Arial"/>
          <w:sz w:val="22"/>
          <w:szCs w:val="22"/>
        </w:rPr>
      </w:pPr>
    </w:p>
    <w:p w14:paraId="7378A769" w14:textId="141B623D" w:rsidR="00B902BF" w:rsidRPr="00B902BF" w:rsidRDefault="00B902BF" w:rsidP="00B902BF">
      <w:pPr>
        <w:jc w:val="both"/>
        <w:rPr>
          <w:rFonts w:ascii="Arial" w:hAnsi="Arial" w:cs="Arial"/>
          <w:sz w:val="22"/>
          <w:szCs w:val="22"/>
        </w:rPr>
      </w:pPr>
      <w:r w:rsidRPr="00B902BF">
        <w:rPr>
          <w:rFonts w:ascii="Arial" w:hAnsi="Arial" w:cs="Arial"/>
          <w:b/>
          <w:bCs/>
          <w:sz w:val="22"/>
          <w:szCs w:val="22"/>
        </w:rPr>
        <w:t>LECTURER</w:t>
      </w:r>
      <w:r w:rsidRPr="00B902BF">
        <w:rPr>
          <w:rFonts w:ascii="Arial" w:hAnsi="Arial" w:cs="Arial"/>
          <w:sz w:val="22"/>
          <w:szCs w:val="22"/>
        </w:rPr>
        <w:t>:</w:t>
      </w:r>
      <w:r w:rsidR="00820431">
        <w:rPr>
          <w:rFonts w:ascii="Arial" w:hAnsi="Arial" w:cs="Arial"/>
          <w:sz w:val="22"/>
          <w:szCs w:val="22"/>
        </w:rPr>
        <w:t xml:space="preserve"> DR</w:t>
      </w:r>
      <w:r w:rsidRPr="00B902BF">
        <w:rPr>
          <w:rFonts w:ascii="Arial" w:hAnsi="Arial" w:cs="Arial"/>
          <w:sz w:val="22"/>
          <w:szCs w:val="22"/>
        </w:rPr>
        <w:t xml:space="preserve"> </w:t>
      </w:r>
      <w:r w:rsidR="00820431">
        <w:rPr>
          <w:rFonts w:ascii="Arial" w:hAnsi="Arial" w:cs="Arial"/>
          <w:sz w:val="22"/>
          <w:szCs w:val="22"/>
        </w:rPr>
        <w:t xml:space="preserve">ELENI </w:t>
      </w:r>
      <w:r w:rsidR="00820431" w:rsidRPr="00820431">
        <w:rPr>
          <w:rFonts w:ascii="Arial" w:hAnsi="Arial" w:cs="Arial"/>
          <w:sz w:val="22"/>
          <w:szCs w:val="22"/>
        </w:rPr>
        <w:t>KOUTSOGEORGOU-ANDREOU</w:t>
      </w:r>
    </w:p>
    <w:p w14:paraId="76BB500B" w14:textId="77777777" w:rsidR="00B902BF" w:rsidRPr="00B902BF" w:rsidRDefault="00B902BF" w:rsidP="00B902BF">
      <w:pPr>
        <w:jc w:val="both"/>
        <w:rPr>
          <w:rFonts w:ascii="Arial" w:hAnsi="Arial" w:cs="Arial"/>
          <w:sz w:val="22"/>
          <w:szCs w:val="22"/>
        </w:rPr>
      </w:pPr>
    </w:p>
    <w:p w14:paraId="0AFA9B3A" w14:textId="77777777" w:rsidR="00B902BF" w:rsidRPr="00B902BF" w:rsidRDefault="00B902BF" w:rsidP="00B902BF">
      <w:pPr>
        <w:jc w:val="both"/>
        <w:rPr>
          <w:rFonts w:ascii="Arial" w:hAnsi="Arial" w:cs="Arial"/>
          <w:sz w:val="22"/>
          <w:szCs w:val="22"/>
        </w:rPr>
      </w:pPr>
      <w:r w:rsidRPr="00B902BF">
        <w:rPr>
          <w:rFonts w:ascii="Arial" w:hAnsi="Arial" w:cs="Arial"/>
          <w:b/>
          <w:bCs/>
          <w:sz w:val="22"/>
          <w:szCs w:val="22"/>
        </w:rPr>
        <w:t>ASSIGNMENT TITLE:</w:t>
      </w:r>
      <w:r w:rsidRPr="00B902BF">
        <w:rPr>
          <w:rFonts w:ascii="Arial" w:hAnsi="Arial" w:cs="Arial"/>
          <w:sz w:val="22"/>
          <w:szCs w:val="22"/>
        </w:rPr>
        <w:t xml:space="preserve"> Communication, Record-Keeping and Collaborative Working in Health and Social Care: Case Study of </w:t>
      </w:r>
      <w:proofErr w:type="spellStart"/>
      <w:r w:rsidRPr="00B902BF">
        <w:rPr>
          <w:rFonts w:ascii="Arial" w:hAnsi="Arial" w:cs="Arial"/>
          <w:sz w:val="22"/>
          <w:szCs w:val="22"/>
        </w:rPr>
        <w:t>Mr</w:t>
      </w:r>
      <w:proofErr w:type="spellEnd"/>
      <w:r w:rsidRPr="00B902BF">
        <w:rPr>
          <w:rFonts w:ascii="Arial" w:hAnsi="Arial" w:cs="Arial"/>
          <w:sz w:val="22"/>
          <w:szCs w:val="22"/>
        </w:rPr>
        <w:t xml:space="preserve"> Ahmed</w:t>
      </w:r>
    </w:p>
    <w:p w14:paraId="4B21C2D5" w14:textId="77777777" w:rsidR="00B902BF" w:rsidRPr="00B902BF" w:rsidRDefault="00B902BF" w:rsidP="00B902BF">
      <w:pPr>
        <w:jc w:val="both"/>
        <w:rPr>
          <w:rFonts w:ascii="Arial" w:hAnsi="Arial" w:cs="Arial"/>
          <w:sz w:val="22"/>
          <w:szCs w:val="22"/>
        </w:rPr>
      </w:pPr>
      <w:r w:rsidRPr="00B902BF">
        <w:rPr>
          <w:rFonts w:ascii="Arial" w:hAnsi="Arial" w:cs="Arial"/>
          <w:sz w:val="22"/>
          <w:szCs w:val="22"/>
        </w:rPr>
        <w:br/>
      </w:r>
      <w:r w:rsidRPr="00B902BF">
        <w:rPr>
          <w:rFonts w:ascii="Arial" w:hAnsi="Arial" w:cs="Arial"/>
          <w:b/>
          <w:bCs/>
          <w:sz w:val="22"/>
          <w:szCs w:val="22"/>
        </w:rPr>
        <w:t>WORD COUNTS:</w:t>
      </w:r>
      <w:r w:rsidRPr="00B902BF">
        <w:rPr>
          <w:rFonts w:ascii="Arial" w:hAnsi="Arial" w:cs="Arial"/>
          <w:sz w:val="22"/>
          <w:szCs w:val="22"/>
        </w:rPr>
        <w:t xml:space="preserve"> 1500</w:t>
      </w:r>
    </w:p>
    <w:p w14:paraId="693C3926" w14:textId="77777777" w:rsidR="00B902BF" w:rsidRDefault="00B902BF" w:rsidP="00B902BF"/>
    <w:p w14:paraId="4669437E" w14:textId="77777777" w:rsidR="00B902BF" w:rsidRDefault="00B902BF" w:rsidP="00B902BF"/>
    <w:p w14:paraId="4F4F06B3" w14:textId="77777777" w:rsidR="00B902BF" w:rsidRDefault="00B902BF" w:rsidP="00B902BF"/>
    <w:p w14:paraId="25C0D746" w14:textId="77777777" w:rsidR="00B902BF" w:rsidRDefault="00B902BF" w:rsidP="00B902BF"/>
    <w:p w14:paraId="720F4E86" w14:textId="77777777" w:rsidR="00B902BF" w:rsidRDefault="00B902BF" w:rsidP="00B902BF"/>
    <w:p w14:paraId="5044706D" w14:textId="77777777" w:rsidR="00B902BF" w:rsidRDefault="00B902BF" w:rsidP="00B902BF"/>
    <w:p w14:paraId="6C99E847" w14:textId="77777777" w:rsidR="00B902BF" w:rsidRDefault="00B902BF" w:rsidP="00B902BF"/>
    <w:p w14:paraId="6770CE19" w14:textId="77777777" w:rsidR="00B902BF" w:rsidRDefault="00B902BF" w:rsidP="00B902BF"/>
    <w:p w14:paraId="6D9F7AE8" w14:textId="77777777" w:rsidR="00B902BF" w:rsidRDefault="00B902BF" w:rsidP="00B902BF"/>
    <w:p w14:paraId="1A3B10B7" w14:textId="77777777" w:rsidR="00B902BF" w:rsidRDefault="00B902BF" w:rsidP="00B902BF"/>
    <w:p w14:paraId="4DCA180B" w14:textId="77777777" w:rsidR="00820431" w:rsidRDefault="00820431" w:rsidP="00B902BF">
      <w:pPr>
        <w:rPr>
          <w:b/>
          <w:bCs/>
        </w:rPr>
      </w:pPr>
    </w:p>
    <w:p w14:paraId="66FD0ED3" w14:textId="79946A97" w:rsidR="00B902BF" w:rsidRPr="005E606D" w:rsidRDefault="005E606D" w:rsidP="00B902BF">
      <w:pPr>
        <w:rPr>
          <w:b/>
          <w:bCs/>
        </w:rPr>
      </w:pPr>
      <w:r w:rsidRPr="005E606D">
        <w:rPr>
          <w:b/>
          <w:bCs/>
        </w:rPr>
        <w:lastRenderedPageBreak/>
        <w:t>CONTENTS PAGE</w:t>
      </w:r>
    </w:p>
    <w:p w14:paraId="152EA665" w14:textId="77777777" w:rsidR="003024B1" w:rsidRDefault="003024B1" w:rsidP="003024B1">
      <w:proofErr w:type="spellStart"/>
      <w:r>
        <w:t>i</w:t>
      </w:r>
      <w:proofErr w:type="spellEnd"/>
      <w:r>
        <w:t>.</w:t>
      </w:r>
      <w:r>
        <w:tab/>
      </w:r>
      <w:r w:rsidRPr="00163D68">
        <w:t>Title Page</w:t>
      </w:r>
      <w:r w:rsidRPr="00163D68">
        <w:tab/>
      </w:r>
      <w:r>
        <w:tab/>
      </w:r>
      <w:r>
        <w:tab/>
      </w:r>
      <w:r>
        <w:tab/>
      </w:r>
      <w:r>
        <w:tab/>
      </w:r>
      <w:r>
        <w:tab/>
      </w:r>
      <w:r>
        <w:tab/>
      </w:r>
      <w:proofErr w:type="gramStart"/>
      <w:r>
        <w:tab/>
        <w:t xml:space="preserve">  </w:t>
      </w:r>
      <w:r>
        <w:tab/>
      </w:r>
      <w:proofErr w:type="gramEnd"/>
      <w:r>
        <w:t xml:space="preserve">                      1</w:t>
      </w:r>
    </w:p>
    <w:p w14:paraId="39B24031" w14:textId="77777777" w:rsidR="003024B1" w:rsidRPr="00163D68" w:rsidRDefault="003024B1" w:rsidP="003024B1">
      <w:r>
        <w:t>ii.</w:t>
      </w:r>
      <w:r>
        <w:tab/>
      </w:r>
      <w:r w:rsidRPr="00163D68">
        <w:t>Contents Page</w:t>
      </w:r>
      <w:r w:rsidRPr="00163D68">
        <w:tab/>
      </w:r>
      <w:r w:rsidRPr="00163D68">
        <w:tab/>
      </w:r>
      <w:r w:rsidRPr="00163D68">
        <w:tab/>
      </w:r>
      <w:r w:rsidRPr="00163D68">
        <w:tab/>
      </w:r>
      <w:r w:rsidRPr="00163D68">
        <w:tab/>
      </w:r>
      <w:r w:rsidRPr="00163D68">
        <w:tab/>
      </w:r>
      <w:r w:rsidRPr="00163D68">
        <w:tab/>
      </w:r>
      <w:r w:rsidRPr="00163D68">
        <w:tab/>
      </w:r>
      <w:r w:rsidRPr="00163D68">
        <w:tab/>
      </w:r>
      <w:r w:rsidRPr="00163D68">
        <w:tab/>
        <w:t xml:space="preserve">          2</w:t>
      </w:r>
    </w:p>
    <w:p w14:paraId="065566EE" w14:textId="77777777" w:rsidR="003024B1" w:rsidRPr="00163D68" w:rsidRDefault="003024B1" w:rsidP="003024B1">
      <w:pPr>
        <w:pStyle w:val="ListParagraph"/>
        <w:numPr>
          <w:ilvl w:val="0"/>
          <w:numId w:val="1"/>
        </w:num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Overview</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3</w:t>
      </w:r>
    </w:p>
    <w:p w14:paraId="155A64BF"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1.1</w:t>
      </w:r>
      <w:r w:rsidRPr="00163D68">
        <w:rPr>
          <w:rFonts w:ascii="Arial" w:hAnsi="Arial" w:cs="Arial"/>
          <w:color w:val="000000" w:themeColor="text1"/>
          <w:sz w:val="22"/>
          <w:szCs w:val="22"/>
        </w:rPr>
        <w:tab/>
        <w:t>Importance of Effective Communication in Mr. Ahmed’s Care</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3</w:t>
      </w:r>
    </w:p>
    <w:p w14:paraId="47D7B446"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2.0</w:t>
      </w:r>
      <w:r w:rsidRPr="00163D68">
        <w:rPr>
          <w:rFonts w:ascii="Arial" w:hAnsi="Arial" w:cs="Arial"/>
          <w:color w:val="000000" w:themeColor="text1"/>
          <w:sz w:val="22"/>
          <w:szCs w:val="22"/>
        </w:rPr>
        <w:tab/>
        <w:t xml:space="preserve">Importance of Administrative Skills and Record-Keeping in Professional Practice </w:t>
      </w:r>
      <w:r>
        <w:rPr>
          <w:rFonts w:ascii="Arial" w:hAnsi="Arial" w:cs="Arial"/>
          <w:color w:val="000000" w:themeColor="text1"/>
          <w:sz w:val="22"/>
          <w:szCs w:val="22"/>
        </w:rPr>
        <w:tab/>
        <w:t xml:space="preserve">         </w:t>
      </w:r>
      <w:r w:rsidRPr="00163D68">
        <w:rPr>
          <w:rFonts w:ascii="Arial" w:hAnsi="Arial" w:cs="Arial"/>
          <w:color w:val="000000" w:themeColor="text1"/>
          <w:sz w:val="22"/>
          <w:szCs w:val="22"/>
        </w:rPr>
        <w:t>4</w:t>
      </w:r>
    </w:p>
    <w:p w14:paraId="392BC6CF"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3.0</w:t>
      </w:r>
      <w:r w:rsidRPr="00163D68">
        <w:rPr>
          <w:rFonts w:ascii="Arial" w:hAnsi="Arial" w:cs="Arial"/>
          <w:color w:val="000000" w:themeColor="text1"/>
          <w:sz w:val="22"/>
          <w:szCs w:val="22"/>
        </w:rPr>
        <w:tab/>
      </w:r>
      <w:r w:rsidRPr="00B902BF">
        <w:rPr>
          <w:rFonts w:ascii="Arial" w:hAnsi="Arial" w:cs="Arial"/>
          <w:color w:val="000000" w:themeColor="text1"/>
          <w:sz w:val="22"/>
          <w:szCs w:val="22"/>
        </w:rPr>
        <w:t>Importance of Collaborative Working in Mr</w:t>
      </w:r>
      <w:r w:rsidRPr="00163D68">
        <w:rPr>
          <w:rFonts w:ascii="Arial" w:hAnsi="Arial" w:cs="Arial"/>
          <w:color w:val="000000" w:themeColor="text1"/>
          <w:sz w:val="22"/>
          <w:szCs w:val="22"/>
        </w:rPr>
        <w:t>.</w:t>
      </w:r>
      <w:r w:rsidRPr="00B902BF">
        <w:rPr>
          <w:rFonts w:ascii="Arial" w:hAnsi="Arial" w:cs="Arial"/>
          <w:color w:val="000000" w:themeColor="text1"/>
          <w:sz w:val="22"/>
          <w:szCs w:val="22"/>
        </w:rPr>
        <w:t xml:space="preserve"> Ahmed’s Care</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w:t>
      </w:r>
      <w:r w:rsidRPr="00163D68">
        <w:rPr>
          <w:rFonts w:ascii="Arial" w:hAnsi="Arial" w:cs="Arial"/>
          <w:color w:val="000000" w:themeColor="text1"/>
          <w:sz w:val="22"/>
          <w:szCs w:val="22"/>
        </w:rPr>
        <w:tab/>
        <w:t xml:space="preserve">       </w:t>
      </w:r>
      <w:r>
        <w:rPr>
          <w:rFonts w:ascii="Arial" w:hAnsi="Arial" w:cs="Arial"/>
          <w:color w:val="000000" w:themeColor="text1"/>
          <w:sz w:val="22"/>
          <w:szCs w:val="22"/>
        </w:rPr>
        <w:t xml:space="preserve">           </w:t>
      </w:r>
      <w:r w:rsidRPr="00163D68">
        <w:rPr>
          <w:rFonts w:ascii="Arial" w:hAnsi="Arial" w:cs="Arial"/>
          <w:color w:val="000000" w:themeColor="text1"/>
          <w:sz w:val="22"/>
          <w:szCs w:val="22"/>
        </w:rPr>
        <w:t xml:space="preserve">  5</w:t>
      </w:r>
    </w:p>
    <w:p w14:paraId="5F76C3D2"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4.0</w:t>
      </w:r>
      <w:r w:rsidRPr="00163D68">
        <w:rPr>
          <w:rFonts w:ascii="Arial" w:hAnsi="Arial" w:cs="Arial"/>
          <w:color w:val="000000" w:themeColor="text1"/>
          <w:sz w:val="22"/>
          <w:szCs w:val="22"/>
        </w:rPr>
        <w:tab/>
        <w:t>Conclusion</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6</w:t>
      </w:r>
    </w:p>
    <w:p w14:paraId="6A433A36"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5.0</w:t>
      </w:r>
      <w:r w:rsidRPr="00163D68">
        <w:rPr>
          <w:rFonts w:ascii="Arial" w:hAnsi="Arial" w:cs="Arial"/>
          <w:color w:val="000000" w:themeColor="text1"/>
          <w:sz w:val="22"/>
          <w:szCs w:val="22"/>
        </w:rPr>
        <w:tab/>
        <w:t>References</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7</w:t>
      </w:r>
    </w:p>
    <w:p w14:paraId="301D0B2D" w14:textId="77777777" w:rsidR="003024B1" w:rsidRPr="00163D68" w:rsidRDefault="003024B1" w:rsidP="003024B1">
      <w:pPr>
        <w:spacing w:line="360" w:lineRule="auto"/>
        <w:jc w:val="both"/>
        <w:rPr>
          <w:rFonts w:ascii="Arial" w:hAnsi="Arial" w:cs="Arial"/>
          <w:color w:val="000000" w:themeColor="text1"/>
          <w:sz w:val="22"/>
          <w:szCs w:val="22"/>
        </w:rPr>
      </w:pPr>
      <w:r w:rsidRPr="00163D68">
        <w:rPr>
          <w:rFonts w:ascii="Arial" w:hAnsi="Arial" w:cs="Arial"/>
          <w:color w:val="000000" w:themeColor="text1"/>
          <w:sz w:val="22"/>
          <w:szCs w:val="22"/>
        </w:rPr>
        <w:t>6.0</w:t>
      </w:r>
      <w:r w:rsidRPr="00163D68">
        <w:rPr>
          <w:rFonts w:ascii="Arial" w:hAnsi="Arial" w:cs="Arial"/>
          <w:color w:val="000000" w:themeColor="text1"/>
          <w:sz w:val="22"/>
          <w:szCs w:val="22"/>
        </w:rPr>
        <w:tab/>
        <w:t>Appendix</w:t>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r>
      <w:r w:rsidRPr="00163D68">
        <w:rPr>
          <w:rFonts w:ascii="Arial" w:hAnsi="Arial" w:cs="Arial"/>
          <w:color w:val="000000" w:themeColor="text1"/>
          <w:sz w:val="22"/>
          <w:szCs w:val="22"/>
        </w:rPr>
        <w:tab/>
        <w:t xml:space="preserve">         8</w:t>
      </w:r>
    </w:p>
    <w:p w14:paraId="654283DA" w14:textId="77777777" w:rsidR="00B902BF" w:rsidRDefault="00B902BF" w:rsidP="00B902BF"/>
    <w:p w14:paraId="43C93F7A" w14:textId="77777777" w:rsidR="00B902BF" w:rsidRDefault="00B902BF" w:rsidP="00B902BF"/>
    <w:p w14:paraId="1A94F9C6" w14:textId="77777777" w:rsidR="00B902BF" w:rsidRDefault="00B902BF" w:rsidP="00B902BF"/>
    <w:p w14:paraId="603EDB39" w14:textId="77777777" w:rsidR="00B902BF" w:rsidRDefault="00B902BF" w:rsidP="00B902BF"/>
    <w:p w14:paraId="666CFFAF" w14:textId="77777777" w:rsidR="00B902BF" w:rsidRDefault="00B902BF" w:rsidP="00B902BF"/>
    <w:p w14:paraId="7E99BE94" w14:textId="77777777" w:rsidR="00B902BF" w:rsidRDefault="00B902BF" w:rsidP="00B902BF"/>
    <w:p w14:paraId="6B312415" w14:textId="77777777" w:rsidR="00B902BF" w:rsidRDefault="00B902BF" w:rsidP="00B902BF"/>
    <w:p w14:paraId="57421E42" w14:textId="77777777" w:rsidR="00B902BF" w:rsidRDefault="00B902BF" w:rsidP="00B902BF"/>
    <w:p w14:paraId="1E8FA1B8" w14:textId="77777777" w:rsidR="00B902BF" w:rsidRDefault="00B902BF" w:rsidP="00B902BF"/>
    <w:p w14:paraId="073BDE39" w14:textId="77777777" w:rsidR="00B902BF" w:rsidRDefault="00B902BF" w:rsidP="00B902BF"/>
    <w:p w14:paraId="1EC8E409" w14:textId="77777777" w:rsidR="00B902BF" w:rsidRDefault="00B902BF" w:rsidP="00B902BF"/>
    <w:p w14:paraId="1BE0F102" w14:textId="77777777" w:rsidR="00B902BF" w:rsidRDefault="00B902BF" w:rsidP="00B902BF"/>
    <w:p w14:paraId="1F8A94FF" w14:textId="77777777" w:rsidR="00B902BF" w:rsidRDefault="00B902BF" w:rsidP="00B902BF"/>
    <w:p w14:paraId="2282C81D" w14:textId="77777777" w:rsidR="00B902BF" w:rsidRDefault="00B902BF" w:rsidP="00B902BF"/>
    <w:p w14:paraId="0E43D356" w14:textId="77777777" w:rsidR="00B902BF" w:rsidRPr="00B902BF" w:rsidRDefault="00B902BF" w:rsidP="00B902BF"/>
    <w:p w14:paraId="5B0F32B4" w14:textId="77777777" w:rsidR="00B902BF" w:rsidRPr="003024B1" w:rsidRDefault="003024B1" w:rsidP="003024B1">
      <w:pPr>
        <w:pStyle w:val="ListParagraph"/>
        <w:numPr>
          <w:ilvl w:val="0"/>
          <w:numId w:val="2"/>
        </w:numPr>
        <w:spacing w:line="360" w:lineRule="auto"/>
        <w:jc w:val="both"/>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    </w:t>
      </w:r>
      <w:r w:rsidR="00B902BF" w:rsidRPr="003024B1">
        <w:rPr>
          <w:rFonts w:ascii="Arial" w:hAnsi="Arial" w:cs="Arial"/>
          <w:b/>
          <w:bCs/>
          <w:color w:val="000000" w:themeColor="text1"/>
          <w:sz w:val="22"/>
          <w:szCs w:val="22"/>
        </w:rPr>
        <w:t>Overview</w:t>
      </w:r>
    </w:p>
    <w:p w14:paraId="71190086" w14:textId="77777777" w:rsidR="00B902BF" w:rsidRPr="005E606D" w:rsidRDefault="00B902BF"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Effective communication, correct administrative procedures, and collaborative working are critical aspects of safe and person-centered care in the UK health and social care system. These characteristics are especially crucial when it comes to helping people who have complex health requirements after being discharged from the hospital, including stroke survivors. The case of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 a 68-year-old man receiving domiciliary care following a stroke, demonstrates the difficulties associated with language barriers, multidisciplinary involvement, medication administration, and service coordination. Failures such as missing care visits highlight how faults in communication and record-keeping can put vulnerable people in danger. </w:t>
      </w:r>
    </w:p>
    <w:p w14:paraId="67360C6A" w14:textId="77777777" w:rsidR="00B902BF" w:rsidRPr="00B902BF" w:rsidRDefault="00B902BF"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This report reviews three primary topics in the context of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care: the importance of effective communication guided by equality principles and communication models; the role of administrative skills such as keeping records and data protection legislation; and the value of collaborative working among professionals. The debate uses applicable UK legislation, policy frameworks, and current academic literature to demonstrate a comprehension of professional obligations in health and social care practice.</w:t>
      </w:r>
    </w:p>
    <w:p w14:paraId="1F87228A" w14:textId="77777777" w:rsidR="00B902BF" w:rsidRPr="005E606D" w:rsidRDefault="00B902BF" w:rsidP="005E606D">
      <w:pPr>
        <w:spacing w:line="360" w:lineRule="auto"/>
        <w:jc w:val="both"/>
        <w:rPr>
          <w:rFonts w:ascii="Arial" w:hAnsi="Arial" w:cs="Arial"/>
          <w:b/>
          <w:bCs/>
          <w:color w:val="000000" w:themeColor="text1"/>
          <w:sz w:val="22"/>
          <w:szCs w:val="22"/>
        </w:rPr>
      </w:pPr>
      <w:r w:rsidRPr="005E606D">
        <w:rPr>
          <w:rFonts w:ascii="Arial" w:hAnsi="Arial" w:cs="Arial"/>
          <w:b/>
          <w:bCs/>
          <w:color w:val="000000" w:themeColor="text1"/>
          <w:sz w:val="22"/>
          <w:szCs w:val="22"/>
        </w:rPr>
        <w:t>1.1</w:t>
      </w:r>
      <w:r w:rsidRPr="005E606D">
        <w:rPr>
          <w:rFonts w:ascii="Arial" w:hAnsi="Arial" w:cs="Arial"/>
          <w:b/>
          <w:bCs/>
          <w:color w:val="000000" w:themeColor="text1"/>
          <w:sz w:val="22"/>
          <w:szCs w:val="22"/>
        </w:rPr>
        <w:tab/>
        <w:t>Importance of Effective Communication in Mr. Ahmed’s Care</w:t>
      </w:r>
    </w:p>
    <w:p w14:paraId="1E44CE6B"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Effective communication is necessary for providing safe, person-centered, and culturally competent care, especially for those with language problems and complicated health needs.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 faces communication issues because Bengali is his native language, and he suffers with complex English interactions. As a result, health practitioners must tailor communication approaches to his specific needs, assuring knowledge and engagement in decision-making. The National Health Service's core principles of dignity, respect, and patient involvement are reinforced by equality legislation that requires services to make reasonable adjustments for people with communication difficulties (NHS England, 2021; Department of Health and Social Care, 2022; Ali, 2020; Kings Fund, 2021).</w:t>
      </w:r>
    </w:p>
    <w:p w14:paraId="50AFA0E2"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Furthermore, the Equal Treatment Act of 2010 encourages non-discrimination, accessibility, and inclusive communication, which means that professionals should use translation services, simplified phrases, and visual aids where necessary. Failure to communicate effectively can result in errors in medicine, less adherence to medication, and poorer health outcomes, which is especially concerning in stroke recovery, where quick responses are important.</w:t>
      </w:r>
    </w:p>
    <w:p w14:paraId="7CBBD8E9"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lastRenderedPageBreak/>
        <w:t xml:space="preserve">The Shannon and Weaver communication model is a valuable paradigm for studying communication in healthcare because it emphasizes the process of message transmission, potential impediments (noise), and feedback. In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situation, linguistic issues, cognitive disability after a stroke, and reliance on his wife as an intermediary all indicate potential "noise" that could distort information interaction. Healthcare workers should employ feedback strategies including teach-back approaches to ensure comprehension and avoid making assumptions (O'Hagan et al., 2021; Silverman et al., 2022; NICE, 2023). </w:t>
      </w:r>
    </w:p>
    <w:p w14:paraId="4D7D688A"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Communication with family members is also essential, as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wife provides supportive care; nevertheless, clinicians must maintain confidentiality and acquire agreement before disclosing information. Using culturally sensitive techniques and incorporating family caregivers effectively can boost trust, treatment adherence, and emotional well-being (Ali, 2020; Kings Fund, 2021; O'Hagan et al., 2021). Particularly, relying on family members for translation might lead to misunderstandings or omissions of information, so professional interpreters should be utilized when addressing complex medical matters. Therefore, effective communication in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care requires equality-based adjustments, organized communication models, and patient-centered approaches to promote safe and inclusive healthcare delivery.</w:t>
      </w:r>
    </w:p>
    <w:p w14:paraId="5F2066C0" w14:textId="77777777" w:rsidR="005E606D" w:rsidRPr="005E606D" w:rsidRDefault="005E606D" w:rsidP="005E606D">
      <w:pPr>
        <w:spacing w:line="360" w:lineRule="auto"/>
        <w:jc w:val="both"/>
        <w:rPr>
          <w:rFonts w:ascii="Arial" w:hAnsi="Arial" w:cs="Arial"/>
          <w:b/>
          <w:bCs/>
          <w:color w:val="000000" w:themeColor="text1"/>
          <w:sz w:val="22"/>
          <w:szCs w:val="22"/>
        </w:rPr>
      </w:pPr>
      <w:r w:rsidRPr="005E606D">
        <w:rPr>
          <w:rFonts w:ascii="Arial" w:hAnsi="Arial" w:cs="Arial"/>
          <w:b/>
          <w:bCs/>
          <w:color w:val="000000" w:themeColor="text1"/>
          <w:sz w:val="22"/>
          <w:szCs w:val="22"/>
        </w:rPr>
        <w:t>2.0</w:t>
      </w:r>
      <w:r w:rsidRPr="005E606D">
        <w:rPr>
          <w:rFonts w:ascii="Arial" w:hAnsi="Arial" w:cs="Arial"/>
          <w:color w:val="000000" w:themeColor="text1"/>
          <w:sz w:val="22"/>
          <w:szCs w:val="22"/>
        </w:rPr>
        <w:tab/>
      </w:r>
      <w:r w:rsidRPr="00B902BF">
        <w:rPr>
          <w:rFonts w:ascii="Arial" w:hAnsi="Arial" w:cs="Arial"/>
          <w:b/>
          <w:bCs/>
          <w:color w:val="000000" w:themeColor="text1"/>
          <w:sz w:val="22"/>
          <w:szCs w:val="22"/>
        </w:rPr>
        <w:t xml:space="preserve">Importance of Administrative Skills and Record-Keeping in Professional Practice </w:t>
      </w:r>
    </w:p>
    <w:p w14:paraId="7912ADD0"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Good managerial skills are vital in health and social care since proper documentation supports treatment continuity, accountability, and security for patients. In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instance, the missed residential visit and delayed medicine administration highlight how administrative errors can lead to clinical hazards. Record-keeping enables practitioners to maintain track of care delivery, medication schedules, risk assessments, and medical observations such as the district nurse's blood pressure measurement. </w:t>
      </w:r>
    </w:p>
    <w:p w14:paraId="5CA2EB23"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The Care Quality Commission emphasizes the importance of accurate and timely records as a legal requirement and a critical indication of service quality and safeguarding compliance (CQC, 2023; NHS England, 2021; Skills for Care, 2022; Griffith and </w:t>
      </w:r>
      <w:proofErr w:type="spellStart"/>
      <w:r w:rsidRPr="005E606D">
        <w:rPr>
          <w:rFonts w:ascii="Arial" w:hAnsi="Arial" w:cs="Arial"/>
          <w:color w:val="000000" w:themeColor="text1"/>
          <w:sz w:val="22"/>
          <w:szCs w:val="22"/>
        </w:rPr>
        <w:t>Tengnah</w:t>
      </w:r>
      <w:proofErr w:type="spellEnd"/>
      <w:r w:rsidRPr="005E606D">
        <w:rPr>
          <w:rFonts w:ascii="Arial" w:hAnsi="Arial" w:cs="Arial"/>
          <w:color w:val="000000" w:themeColor="text1"/>
          <w:sz w:val="22"/>
          <w:szCs w:val="22"/>
        </w:rPr>
        <w:t xml:space="preserve">, 2021). Complete documentation facilitates interaction among diverse specialists, lowering the risk of duplicate or omission of care duties. Poor record-keeping has been highlighted as a common contributor to serious healthcare incidents, emphasizing the significance of administrative competence among practitioners (Griffith and </w:t>
      </w:r>
      <w:proofErr w:type="spellStart"/>
      <w:r w:rsidRPr="005E606D">
        <w:rPr>
          <w:rFonts w:ascii="Arial" w:hAnsi="Arial" w:cs="Arial"/>
          <w:color w:val="000000" w:themeColor="text1"/>
          <w:sz w:val="22"/>
          <w:szCs w:val="22"/>
        </w:rPr>
        <w:t>Tengnah</w:t>
      </w:r>
      <w:proofErr w:type="spellEnd"/>
      <w:r w:rsidRPr="005E606D">
        <w:rPr>
          <w:rFonts w:ascii="Arial" w:hAnsi="Arial" w:cs="Arial"/>
          <w:color w:val="000000" w:themeColor="text1"/>
          <w:sz w:val="22"/>
          <w:szCs w:val="22"/>
        </w:rPr>
        <w:t>, 2021; Skills for Care, 2022).</w:t>
      </w:r>
    </w:p>
    <w:p w14:paraId="7123912D"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The Data Protection Act of 2018 and the UK GDPR principles control how personal health information is acquired, kept, and disseminated. These principles include anonymity, legitimate </w:t>
      </w:r>
      <w:r w:rsidRPr="005E606D">
        <w:rPr>
          <w:rFonts w:ascii="Arial" w:hAnsi="Arial" w:cs="Arial"/>
          <w:color w:val="000000" w:themeColor="text1"/>
          <w:sz w:val="22"/>
          <w:szCs w:val="22"/>
        </w:rPr>
        <w:lastRenderedPageBreak/>
        <w:t xml:space="preserve">processing, data minimization, accuracy, and secure storage. Professionals must ensure that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information is only shared with </w:t>
      </w:r>
      <w:proofErr w:type="spellStart"/>
      <w:r w:rsidRPr="005E606D">
        <w:rPr>
          <w:rFonts w:ascii="Arial" w:hAnsi="Arial" w:cs="Arial"/>
          <w:color w:val="000000" w:themeColor="text1"/>
          <w:sz w:val="22"/>
          <w:szCs w:val="22"/>
        </w:rPr>
        <w:t>authorised</w:t>
      </w:r>
      <w:proofErr w:type="spellEnd"/>
      <w:r w:rsidRPr="005E606D">
        <w:rPr>
          <w:rFonts w:ascii="Arial" w:hAnsi="Arial" w:cs="Arial"/>
          <w:color w:val="000000" w:themeColor="text1"/>
          <w:sz w:val="22"/>
          <w:szCs w:val="22"/>
        </w:rPr>
        <w:t xml:space="preserve"> individuals involved in his care, such as the GP, district nurse, and speech therapist, while maintaining his privacy (Information Commissioners Office, 2023; Department of Health and Social Care, 2022; Griffith and </w:t>
      </w:r>
      <w:proofErr w:type="spellStart"/>
      <w:r w:rsidRPr="005E606D">
        <w:rPr>
          <w:rFonts w:ascii="Arial" w:hAnsi="Arial" w:cs="Arial"/>
          <w:color w:val="000000" w:themeColor="text1"/>
          <w:sz w:val="22"/>
          <w:szCs w:val="22"/>
        </w:rPr>
        <w:t>Tengnah</w:t>
      </w:r>
      <w:proofErr w:type="spellEnd"/>
      <w:r w:rsidRPr="005E606D">
        <w:rPr>
          <w:rFonts w:ascii="Arial" w:hAnsi="Arial" w:cs="Arial"/>
          <w:color w:val="000000" w:themeColor="text1"/>
          <w:sz w:val="22"/>
          <w:szCs w:val="22"/>
        </w:rPr>
        <w:t xml:space="preserve">, 2021). The Information Commissioner's Office offers advice on protecting sensitive data, such as electronic records and care plans. In reality, this entails securing secure digital systems, password protection, and limiting access to records. </w:t>
      </w:r>
    </w:p>
    <w:p w14:paraId="7C856806"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Nevertheless, excessive concern for secrecy can occasionally create hurdles to information sharing among experts, potentially jeopardizing patient safety. As a result, regulation encourages balanced information exchange when essential for care provision (ICO, 2023; NHS England, 2021). In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instance, thorough documenting of prescription schedules, visit times, and incident reporting is critical for investigating and preventing such errors. Strong administrative abilities help to ensure safe care delivery, legal compliance, and </w:t>
      </w:r>
      <w:proofErr w:type="spellStart"/>
      <w:r w:rsidRPr="005E606D">
        <w:rPr>
          <w:rFonts w:ascii="Arial" w:hAnsi="Arial" w:cs="Arial"/>
          <w:color w:val="000000" w:themeColor="text1"/>
          <w:sz w:val="22"/>
          <w:szCs w:val="22"/>
        </w:rPr>
        <w:t>organisational</w:t>
      </w:r>
      <w:proofErr w:type="spellEnd"/>
      <w:r w:rsidRPr="005E606D">
        <w:rPr>
          <w:rFonts w:ascii="Arial" w:hAnsi="Arial" w:cs="Arial"/>
          <w:color w:val="000000" w:themeColor="text1"/>
          <w:sz w:val="22"/>
          <w:szCs w:val="22"/>
        </w:rPr>
        <w:t xml:space="preserve"> accountability in health and social care environments.</w:t>
      </w:r>
    </w:p>
    <w:p w14:paraId="24F4B7FA" w14:textId="77777777" w:rsidR="005E606D" w:rsidRPr="00B902BF" w:rsidRDefault="005E606D" w:rsidP="005E606D">
      <w:pPr>
        <w:spacing w:line="360" w:lineRule="auto"/>
        <w:jc w:val="both"/>
        <w:rPr>
          <w:rFonts w:ascii="Arial" w:hAnsi="Arial" w:cs="Arial"/>
          <w:b/>
          <w:bCs/>
          <w:color w:val="000000" w:themeColor="text1"/>
          <w:sz w:val="22"/>
          <w:szCs w:val="22"/>
        </w:rPr>
      </w:pPr>
      <w:r w:rsidRPr="005E606D">
        <w:rPr>
          <w:rFonts w:ascii="Arial" w:hAnsi="Arial" w:cs="Arial"/>
          <w:b/>
          <w:bCs/>
          <w:color w:val="000000" w:themeColor="text1"/>
          <w:sz w:val="22"/>
          <w:szCs w:val="22"/>
        </w:rPr>
        <w:t>3.0</w:t>
      </w:r>
      <w:r w:rsidRPr="005E606D">
        <w:rPr>
          <w:rFonts w:ascii="Arial" w:hAnsi="Arial" w:cs="Arial"/>
          <w:color w:val="000000" w:themeColor="text1"/>
          <w:sz w:val="22"/>
          <w:szCs w:val="22"/>
        </w:rPr>
        <w:tab/>
      </w:r>
      <w:r w:rsidRPr="00B902BF">
        <w:rPr>
          <w:rFonts w:ascii="Arial" w:hAnsi="Arial" w:cs="Arial"/>
          <w:b/>
          <w:bCs/>
          <w:color w:val="000000" w:themeColor="text1"/>
          <w:sz w:val="22"/>
          <w:szCs w:val="22"/>
        </w:rPr>
        <w:t>Importance of Collaborative Working in Mr</w:t>
      </w:r>
      <w:r w:rsidR="00BE7A01">
        <w:rPr>
          <w:rFonts w:ascii="Arial" w:hAnsi="Arial" w:cs="Arial"/>
          <w:b/>
          <w:bCs/>
          <w:color w:val="000000" w:themeColor="text1"/>
          <w:sz w:val="22"/>
          <w:szCs w:val="22"/>
        </w:rPr>
        <w:t>.</w:t>
      </w:r>
      <w:r w:rsidRPr="00B902BF">
        <w:rPr>
          <w:rFonts w:ascii="Arial" w:hAnsi="Arial" w:cs="Arial"/>
          <w:b/>
          <w:bCs/>
          <w:color w:val="000000" w:themeColor="text1"/>
          <w:sz w:val="22"/>
          <w:szCs w:val="22"/>
        </w:rPr>
        <w:t xml:space="preserve"> Ahmed’s Care</w:t>
      </w:r>
    </w:p>
    <w:p w14:paraId="5B42A6CB"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When people have complicated health and social care needs, collaboration or multidisciplinary work is essential.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 receives treatment from a variety of professionals, including his general practitioner, district nurse, speech and language therapist, and domiciliary care workers. Collaboration improves care coordination, reduces hospital readmissions, and improves patient outcomes by using shared expertise along with collaborative decision-making (NICE, 2023; Kings Fund, 2021; NHS England, 2021). Regular multidisciplinary meetings, shared electronic care records, clear role definitions, and good communication routes are all examples of effective collaboration strategies. Person-centered care planning, in which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 and his wife actively participate in decision-making, improves collaboration and encourages empowerment (Skills for Care, 2022; Kings Fund, 2021).</w:t>
      </w:r>
    </w:p>
    <w:p w14:paraId="2705A3B2"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Despite its well-known benefits, multi-agency collaboration frequently faces challenges such as communication breakdowns, unclear position boundaries, professional hierarchies, and organizational variations in priorities, policies, or funding arrangements. If these problems are not adequately addressed, they can have a severe impact on care continuity and safety. In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Ahmed's case, the missed domiciliary care visit indicates a possible breakdown in coordination, scheduling, or information transfer between the care agency and other professionals in his support network. To detect risks and implement improvements, such challenges require structured </w:t>
      </w:r>
      <w:r w:rsidRPr="005E606D">
        <w:rPr>
          <w:rFonts w:ascii="Arial" w:hAnsi="Arial" w:cs="Arial"/>
          <w:color w:val="000000" w:themeColor="text1"/>
          <w:sz w:val="22"/>
          <w:szCs w:val="22"/>
        </w:rPr>
        <w:lastRenderedPageBreak/>
        <w:t xml:space="preserve">approaches such as defined referral pathways, </w:t>
      </w:r>
      <w:proofErr w:type="spellStart"/>
      <w:r w:rsidRPr="005E606D">
        <w:rPr>
          <w:rFonts w:ascii="Arial" w:hAnsi="Arial" w:cs="Arial"/>
          <w:color w:val="000000" w:themeColor="text1"/>
          <w:sz w:val="22"/>
          <w:szCs w:val="22"/>
        </w:rPr>
        <w:t>standardised</w:t>
      </w:r>
      <w:proofErr w:type="spellEnd"/>
      <w:r w:rsidRPr="005E606D">
        <w:rPr>
          <w:rFonts w:ascii="Arial" w:hAnsi="Arial" w:cs="Arial"/>
          <w:color w:val="000000" w:themeColor="text1"/>
          <w:sz w:val="22"/>
          <w:szCs w:val="22"/>
        </w:rPr>
        <w:t xml:space="preserve"> handover protocols, shared care plans, and effective event reporting systems (NICE, 2023; Reeves et al., 2020; NHS England, 2021). </w:t>
      </w:r>
    </w:p>
    <w:p w14:paraId="1E65B75D" w14:textId="77777777" w:rsidR="005E606D" w:rsidRPr="005E606D" w:rsidRDefault="005E606D" w:rsidP="005E606D">
      <w:pPr>
        <w:spacing w:line="360" w:lineRule="auto"/>
        <w:jc w:val="both"/>
        <w:rPr>
          <w:rFonts w:ascii="Arial" w:hAnsi="Arial" w:cs="Arial"/>
          <w:color w:val="000000" w:themeColor="text1"/>
          <w:sz w:val="22"/>
          <w:szCs w:val="22"/>
        </w:rPr>
      </w:pPr>
      <w:r w:rsidRPr="005E606D">
        <w:rPr>
          <w:rFonts w:ascii="Arial" w:hAnsi="Arial" w:cs="Arial"/>
          <w:color w:val="000000" w:themeColor="text1"/>
          <w:sz w:val="22"/>
          <w:szCs w:val="22"/>
        </w:rPr>
        <w:t xml:space="preserve">Leadership development and interprofessional education foster mutual respect, role clarity, and collaborative problem-solving among professionals from various disciplines. Furthermore, digital advances like integrated care records and shared electronic communication platforms can improve timely information exchange while reducing service duplication. Importantly, cooperation in practice must emphasize accountability and a learning culture over blame, ensuring that errors are constructively evaluated to prevent repetition. As a result, strong teamwork and coordinated professional connections are critical for providing safe, person-centered, and high-quality care to persons like </w:t>
      </w:r>
      <w:proofErr w:type="spellStart"/>
      <w:r w:rsidRPr="005E606D">
        <w:rPr>
          <w:rFonts w:ascii="Arial" w:hAnsi="Arial" w:cs="Arial"/>
          <w:color w:val="000000" w:themeColor="text1"/>
          <w:sz w:val="22"/>
          <w:szCs w:val="22"/>
        </w:rPr>
        <w:t>Mr</w:t>
      </w:r>
      <w:proofErr w:type="spellEnd"/>
      <w:r w:rsidRPr="005E606D">
        <w:rPr>
          <w:rFonts w:ascii="Arial" w:hAnsi="Arial" w:cs="Arial"/>
          <w:color w:val="000000" w:themeColor="text1"/>
          <w:sz w:val="22"/>
          <w:szCs w:val="22"/>
        </w:rPr>
        <w:t xml:space="preserve"> Ahmed.</w:t>
      </w:r>
    </w:p>
    <w:p w14:paraId="3F381A24" w14:textId="77777777" w:rsidR="005E606D" w:rsidRPr="005E606D" w:rsidRDefault="005E606D" w:rsidP="005E606D">
      <w:pPr>
        <w:spacing w:line="360" w:lineRule="auto"/>
        <w:jc w:val="both"/>
        <w:rPr>
          <w:rFonts w:ascii="Arial" w:hAnsi="Arial" w:cs="Arial"/>
          <w:b/>
          <w:bCs/>
          <w:color w:val="000000" w:themeColor="text1"/>
          <w:sz w:val="22"/>
          <w:szCs w:val="22"/>
        </w:rPr>
      </w:pPr>
      <w:r w:rsidRPr="005E606D">
        <w:rPr>
          <w:rFonts w:ascii="Arial" w:hAnsi="Arial" w:cs="Arial"/>
          <w:b/>
          <w:bCs/>
          <w:color w:val="000000" w:themeColor="text1"/>
          <w:sz w:val="22"/>
          <w:szCs w:val="22"/>
        </w:rPr>
        <w:t>4.0</w:t>
      </w:r>
      <w:r w:rsidRPr="005E606D">
        <w:rPr>
          <w:rFonts w:ascii="Arial" w:hAnsi="Arial" w:cs="Arial"/>
          <w:b/>
          <w:bCs/>
          <w:color w:val="000000" w:themeColor="text1"/>
          <w:sz w:val="22"/>
          <w:szCs w:val="22"/>
        </w:rPr>
        <w:tab/>
        <w:t>Conclusion</w:t>
      </w:r>
    </w:p>
    <w:p w14:paraId="664FA91F" w14:textId="77777777" w:rsidR="005E606D" w:rsidRPr="005E606D" w:rsidRDefault="00B902BF" w:rsidP="005E606D">
      <w:pPr>
        <w:spacing w:line="360" w:lineRule="auto"/>
        <w:jc w:val="both"/>
        <w:rPr>
          <w:rFonts w:ascii="Arial" w:hAnsi="Arial" w:cs="Arial"/>
          <w:color w:val="000000" w:themeColor="text1"/>
          <w:sz w:val="22"/>
          <w:szCs w:val="22"/>
        </w:rPr>
      </w:pPr>
      <w:r w:rsidRPr="00B902BF">
        <w:rPr>
          <w:rFonts w:ascii="Arial" w:hAnsi="Arial" w:cs="Arial"/>
          <w:color w:val="000000" w:themeColor="text1"/>
          <w:sz w:val="22"/>
          <w:szCs w:val="22"/>
        </w:rPr>
        <w:t xml:space="preserve">This report has </w:t>
      </w:r>
      <w:r w:rsidR="005E606D" w:rsidRPr="005E606D">
        <w:rPr>
          <w:rFonts w:ascii="Arial" w:hAnsi="Arial" w:cs="Arial"/>
          <w:color w:val="000000" w:themeColor="text1"/>
          <w:sz w:val="22"/>
          <w:szCs w:val="22"/>
        </w:rPr>
        <w:t xml:space="preserve">shown </w:t>
      </w:r>
      <w:r w:rsidRPr="00B902BF">
        <w:rPr>
          <w:rFonts w:ascii="Arial" w:hAnsi="Arial" w:cs="Arial"/>
          <w:color w:val="000000" w:themeColor="text1"/>
          <w:sz w:val="22"/>
          <w:szCs w:val="22"/>
        </w:rPr>
        <w:t xml:space="preserve">that effective communication, strong administrative practice, and collaborative working are </w:t>
      </w:r>
      <w:r w:rsidR="005E606D" w:rsidRPr="005E606D">
        <w:rPr>
          <w:rFonts w:ascii="Arial" w:hAnsi="Arial" w:cs="Arial"/>
          <w:color w:val="000000" w:themeColor="text1"/>
          <w:sz w:val="22"/>
          <w:szCs w:val="22"/>
        </w:rPr>
        <w:t>vital</w:t>
      </w:r>
      <w:r w:rsidRPr="00B902BF">
        <w:rPr>
          <w:rFonts w:ascii="Arial" w:hAnsi="Arial" w:cs="Arial"/>
          <w:color w:val="000000" w:themeColor="text1"/>
          <w:sz w:val="22"/>
          <w:szCs w:val="22"/>
        </w:rPr>
        <w:t xml:space="preserve"> components of safe and person-</w:t>
      </w:r>
      <w:proofErr w:type="spellStart"/>
      <w:r w:rsidRPr="00B902BF">
        <w:rPr>
          <w:rFonts w:ascii="Arial" w:hAnsi="Arial" w:cs="Arial"/>
          <w:color w:val="000000" w:themeColor="text1"/>
          <w:sz w:val="22"/>
          <w:szCs w:val="22"/>
        </w:rPr>
        <w:t>centred</w:t>
      </w:r>
      <w:proofErr w:type="spellEnd"/>
      <w:r w:rsidRPr="00B902BF">
        <w:rPr>
          <w:rFonts w:ascii="Arial" w:hAnsi="Arial" w:cs="Arial"/>
          <w:color w:val="000000" w:themeColor="text1"/>
          <w:sz w:val="22"/>
          <w:szCs w:val="22"/>
        </w:rPr>
        <w:t xml:space="preserve"> health and social care. </w:t>
      </w:r>
      <w:r w:rsidR="005E606D" w:rsidRPr="005E606D">
        <w:rPr>
          <w:rFonts w:ascii="Arial" w:hAnsi="Arial" w:cs="Arial"/>
          <w:color w:val="000000" w:themeColor="text1"/>
          <w:sz w:val="22"/>
          <w:szCs w:val="22"/>
        </w:rPr>
        <w:t xml:space="preserve">In </w:t>
      </w:r>
      <w:proofErr w:type="spellStart"/>
      <w:r w:rsidR="005E606D" w:rsidRPr="005E606D">
        <w:rPr>
          <w:rFonts w:ascii="Arial" w:hAnsi="Arial" w:cs="Arial"/>
          <w:color w:val="000000" w:themeColor="text1"/>
          <w:sz w:val="22"/>
          <w:szCs w:val="22"/>
        </w:rPr>
        <w:t>Mr</w:t>
      </w:r>
      <w:proofErr w:type="spellEnd"/>
      <w:r w:rsidR="005E606D" w:rsidRPr="005E606D">
        <w:rPr>
          <w:rFonts w:ascii="Arial" w:hAnsi="Arial" w:cs="Arial"/>
          <w:color w:val="000000" w:themeColor="text1"/>
          <w:sz w:val="22"/>
          <w:szCs w:val="22"/>
        </w:rPr>
        <w:t xml:space="preserve"> Ahmed's instance, communication changes based on equity principles and organized models are required to overcome language hurdles and facilitate informed decision-making. Accurate record-keeping and adherence to data protection legislation ensure continuity of treatment, legal compliance, and patient safety, especially during events. Furthermore, collaboration among multidisciplinary specialists increases coordinated therapies, lowers risks, and improves stroke recovery outcomes. However, if these issues are not addressed, they might have a negative impact on care delivery. To provide high-quality care, health and social care providers must follow legislation, professional standards, and evidence-based techniques. Improving these key behaviors leads to better patient outcomes, greater corporate responsibility, and safer healthcare systems.</w:t>
      </w:r>
    </w:p>
    <w:p w14:paraId="1918067F" w14:textId="77777777" w:rsidR="00B902BF" w:rsidRDefault="00B902BF"/>
    <w:p w14:paraId="49BDEFC2" w14:textId="77777777" w:rsidR="00BE7A01" w:rsidRDefault="00BE7A01"/>
    <w:p w14:paraId="16A3B31B" w14:textId="77777777" w:rsidR="00BE7A01" w:rsidRDefault="00BE7A01"/>
    <w:p w14:paraId="211ACD2E" w14:textId="77777777" w:rsidR="00BE7A01" w:rsidRDefault="00BE7A01"/>
    <w:p w14:paraId="1C3E244C" w14:textId="77777777" w:rsidR="00BE7A01" w:rsidRDefault="00BE7A01"/>
    <w:p w14:paraId="17032F22" w14:textId="77777777" w:rsidR="00BE7A01" w:rsidRDefault="00BE7A01"/>
    <w:p w14:paraId="7033F5AE" w14:textId="77777777" w:rsidR="00BE7A01" w:rsidRDefault="00EB3296">
      <w:r>
        <w:rPr>
          <w:b/>
          <w:bCs/>
        </w:rPr>
        <w:lastRenderedPageBreak/>
        <w:t>5.0</w:t>
      </w:r>
      <w:r>
        <w:rPr>
          <w:b/>
          <w:bCs/>
        </w:rPr>
        <w:tab/>
      </w:r>
      <w:r w:rsidR="00BE7A01" w:rsidRPr="00EB3296">
        <w:rPr>
          <w:b/>
          <w:bCs/>
        </w:rPr>
        <w:t>References</w:t>
      </w:r>
    </w:p>
    <w:p w14:paraId="1464F53F"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Ali, P.A. (2020) </w:t>
      </w:r>
      <w:r w:rsidRPr="00EB3296">
        <w:rPr>
          <w:rFonts w:ascii="Arial" w:hAnsi="Arial" w:cs="Arial"/>
          <w:i/>
          <w:iCs/>
          <w:color w:val="000000" w:themeColor="text1"/>
          <w:sz w:val="22"/>
          <w:szCs w:val="22"/>
        </w:rPr>
        <w:t>Cultural competence in healthcare practice</w:t>
      </w:r>
      <w:r w:rsidRPr="00EB3296">
        <w:rPr>
          <w:rFonts w:ascii="Arial" w:hAnsi="Arial" w:cs="Arial"/>
          <w:color w:val="000000" w:themeColor="text1"/>
          <w:sz w:val="22"/>
          <w:szCs w:val="22"/>
        </w:rPr>
        <w:t xml:space="preserve">. London: Routledge. Available at: </w:t>
      </w:r>
      <w:hyperlink r:id="rId7" w:tgtFrame="_new" w:history="1">
        <w:r w:rsidRPr="00EB3296">
          <w:rPr>
            <w:rStyle w:val="Hyperlink"/>
            <w:rFonts w:ascii="Arial" w:hAnsi="Arial" w:cs="Arial"/>
            <w:color w:val="000000" w:themeColor="text1"/>
            <w:sz w:val="22"/>
            <w:szCs w:val="22"/>
            <w:u w:val="none"/>
          </w:rPr>
          <w:t>https://www.routledge.com</w:t>
        </w:r>
      </w:hyperlink>
      <w:r w:rsidRPr="00EB3296">
        <w:rPr>
          <w:rFonts w:ascii="Arial" w:hAnsi="Arial" w:cs="Arial"/>
          <w:color w:val="000000" w:themeColor="text1"/>
          <w:sz w:val="22"/>
          <w:szCs w:val="22"/>
        </w:rPr>
        <w:t xml:space="preserve"> </w:t>
      </w:r>
    </w:p>
    <w:p w14:paraId="00212E0F"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Care Quality Commission (2023) </w:t>
      </w:r>
      <w:r w:rsidRPr="00EB3296">
        <w:rPr>
          <w:rFonts w:ascii="Arial" w:hAnsi="Arial" w:cs="Arial"/>
          <w:i/>
          <w:iCs/>
          <w:color w:val="000000" w:themeColor="text1"/>
          <w:sz w:val="22"/>
          <w:szCs w:val="22"/>
        </w:rPr>
        <w:t>Regulation 17: Good governance and record keeping guidance</w:t>
      </w:r>
      <w:r w:rsidRPr="00EB3296">
        <w:rPr>
          <w:rFonts w:ascii="Arial" w:hAnsi="Arial" w:cs="Arial"/>
          <w:color w:val="000000" w:themeColor="text1"/>
          <w:sz w:val="22"/>
          <w:szCs w:val="22"/>
        </w:rPr>
        <w:t>.</w:t>
      </w:r>
      <w:r w:rsidRPr="00EB3296">
        <w:rPr>
          <w:rFonts w:ascii="Arial" w:hAnsi="Arial" w:cs="Arial"/>
          <w:color w:val="000000" w:themeColor="text1"/>
          <w:sz w:val="22"/>
          <w:szCs w:val="22"/>
        </w:rPr>
        <w:br/>
        <w:t>Available at: https://www.cqc.org.uk/guidance-providers/regulations-enforcement/regulation-17-good-governance</w:t>
      </w:r>
    </w:p>
    <w:p w14:paraId="13F0A375"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Department of Health and Social Care (2022) </w:t>
      </w:r>
      <w:r w:rsidRPr="00EB3296">
        <w:rPr>
          <w:rFonts w:ascii="Arial" w:hAnsi="Arial" w:cs="Arial"/>
          <w:i/>
          <w:iCs/>
          <w:color w:val="000000" w:themeColor="text1"/>
          <w:sz w:val="22"/>
          <w:szCs w:val="22"/>
        </w:rPr>
        <w:t>Health and social care integration: Policy framework</w:t>
      </w:r>
      <w:r w:rsidRPr="00EB3296">
        <w:rPr>
          <w:rFonts w:ascii="Arial" w:hAnsi="Arial" w:cs="Arial"/>
          <w:color w:val="000000" w:themeColor="text1"/>
          <w:sz w:val="22"/>
          <w:szCs w:val="22"/>
        </w:rPr>
        <w:t xml:space="preserve">. London: DHSC. Available at: </w:t>
      </w:r>
      <w:hyperlink r:id="rId8" w:tgtFrame="_new" w:history="1">
        <w:r w:rsidRPr="00EB3296">
          <w:rPr>
            <w:rStyle w:val="Hyperlink"/>
            <w:rFonts w:ascii="Arial" w:hAnsi="Arial" w:cs="Arial"/>
            <w:color w:val="000000" w:themeColor="text1"/>
            <w:sz w:val="22"/>
            <w:szCs w:val="22"/>
            <w:u w:val="none"/>
          </w:rPr>
          <w:t>https://www.gov.uk/government/organisations/department-of-health-and-social-care</w:t>
        </w:r>
      </w:hyperlink>
    </w:p>
    <w:p w14:paraId="11BB8737"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Griffith, R. and </w:t>
      </w:r>
      <w:proofErr w:type="spellStart"/>
      <w:r w:rsidRPr="00EB3296">
        <w:rPr>
          <w:rFonts w:ascii="Arial" w:hAnsi="Arial" w:cs="Arial"/>
          <w:color w:val="000000" w:themeColor="text1"/>
          <w:sz w:val="22"/>
          <w:szCs w:val="22"/>
        </w:rPr>
        <w:t>Tengnah</w:t>
      </w:r>
      <w:proofErr w:type="spellEnd"/>
      <w:r w:rsidRPr="00EB3296">
        <w:rPr>
          <w:rFonts w:ascii="Arial" w:hAnsi="Arial" w:cs="Arial"/>
          <w:color w:val="000000" w:themeColor="text1"/>
          <w:sz w:val="22"/>
          <w:szCs w:val="22"/>
        </w:rPr>
        <w:t xml:space="preserve">, C. (2021) </w:t>
      </w:r>
      <w:r w:rsidRPr="00EB3296">
        <w:rPr>
          <w:rFonts w:ascii="Arial" w:hAnsi="Arial" w:cs="Arial"/>
          <w:i/>
          <w:iCs/>
          <w:color w:val="000000" w:themeColor="text1"/>
          <w:sz w:val="22"/>
          <w:szCs w:val="22"/>
        </w:rPr>
        <w:t>Law and professional issues in nursing</w:t>
      </w:r>
      <w:r w:rsidRPr="00EB3296">
        <w:rPr>
          <w:rFonts w:ascii="Arial" w:hAnsi="Arial" w:cs="Arial"/>
          <w:color w:val="000000" w:themeColor="text1"/>
          <w:sz w:val="22"/>
          <w:szCs w:val="22"/>
        </w:rPr>
        <w:t xml:space="preserve">. 5th </w:t>
      </w:r>
      <w:proofErr w:type="spellStart"/>
      <w:r w:rsidRPr="00EB3296">
        <w:rPr>
          <w:rFonts w:ascii="Arial" w:hAnsi="Arial" w:cs="Arial"/>
          <w:color w:val="000000" w:themeColor="text1"/>
          <w:sz w:val="22"/>
          <w:szCs w:val="22"/>
        </w:rPr>
        <w:t>edn</w:t>
      </w:r>
      <w:proofErr w:type="spellEnd"/>
      <w:r w:rsidRPr="00EB3296">
        <w:rPr>
          <w:rFonts w:ascii="Arial" w:hAnsi="Arial" w:cs="Arial"/>
          <w:color w:val="000000" w:themeColor="text1"/>
          <w:sz w:val="22"/>
          <w:szCs w:val="22"/>
        </w:rPr>
        <w:t xml:space="preserve">. London: Sage. Available at: </w:t>
      </w:r>
      <w:hyperlink r:id="rId9" w:tgtFrame="_new" w:history="1">
        <w:r w:rsidRPr="00EB3296">
          <w:rPr>
            <w:rStyle w:val="Hyperlink"/>
            <w:rFonts w:ascii="Arial" w:hAnsi="Arial" w:cs="Arial"/>
            <w:color w:val="000000" w:themeColor="text1"/>
            <w:sz w:val="22"/>
            <w:szCs w:val="22"/>
            <w:u w:val="none"/>
          </w:rPr>
          <w:t>https://uk.sagepub.com</w:t>
        </w:r>
      </w:hyperlink>
      <w:r w:rsidRPr="00EB3296">
        <w:rPr>
          <w:rFonts w:ascii="Arial" w:hAnsi="Arial" w:cs="Arial"/>
          <w:color w:val="000000" w:themeColor="text1"/>
          <w:sz w:val="22"/>
          <w:szCs w:val="22"/>
        </w:rPr>
        <w:t xml:space="preserve"> </w:t>
      </w:r>
    </w:p>
    <w:p w14:paraId="623F044E"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Information Commissioner's Office (2023) </w:t>
      </w:r>
      <w:r w:rsidRPr="00EB3296">
        <w:rPr>
          <w:rFonts w:ascii="Arial" w:hAnsi="Arial" w:cs="Arial"/>
          <w:i/>
          <w:iCs/>
          <w:color w:val="000000" w:themeColor="text1"/>
          <w:sz w:val="22"/>
          <w:szCs w:val="22"/>
        </w:rPr>
        <w:t>Guide to the UK General Data Protection Regulation (UK GDPR)</w:t>
      </w:r>
      <w:r w:rsidRPr="00EB3296">
        <w:rPr>
          <w:rFonts w:ascii="Arial" w:hAnsi="Arial" w:cs="Arial"/>
          <w:color w:val="000000" w:themeColor="text1"/>
          <w:sz w:val="22"/>
          <w:szCs w:val="22"/>
        </w:rPr>
        <w:t>. Available at: https://ico.org.uk/for-organisations/guide-to-data-protection/guide-to-the-uk-gdpr</w:t>
      </w:r>
    </w:p>
    <w:p w14:paraId="269500A1"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The King's Fund (2021) </w:t>
      </w:r>
      <w:r w:rsidRPr="00EB3296">
        <w:rPr>
          <w:rFonts w:ascii="Arial" w:hAnsi="Arial" w:cs="Arial"/>
          <w:i/>
          <w:iCs/>
          <w:color w:val="000000" w:themeColor="text1"/>
          <w:sz w:val="22"/>
          <w:szCs w:val="22"/>
        </w:rPr>
        <w:t xml:space="preserve">Integrated care systems explained: Making sense of systems, places and </w:t>
      </w:r>
      <w:proofErr w:type="spellStart"/>
      <w:r w:rsidRPr="00EB3296">
        <w:rPr>
          <w:rFonts w:ascii="Arial" w:hAnsi="Arial" w:cs="Arial"/>
          <w:i/>
          <w:iCs/>
          <w:color w:val="000000" w:themeColor="text1"/>
          <w:sz w:val="22"/>
          <w:szCs w:val="22"/>
        </w:rPr>
        <w:t>neighbourhoods</w:t>
      </w:r>
      <w:proofErr w:type="spellEnd"/>
      <w:r w:rsidRPr="00EB3296">
        <w:rPr>
          <w:rFonts w:ascii="Arial" w:hAnsi="Arial" w:cs="Arial"/>
          <w:color w:val="000000" w:themeColor="text1"/>
          <w:sz w:val="22"/>
          <w:szCs w:val="22"/>
        </w:rPr>
        <w:t>. Available at: https://www.kingsfund.org.uk/publications/integrated-care-systems-explained</w:t>
      </w:r>
    </w:p>
    <w:p w14:paraId="3D45F9CE"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National Institute for Health and Care Excellence (2023) </w:t>
      </w:r>
      <w:r w:rsidRPr="00EB3296">
        <w:rPr>
          <w:rFonts w:ascii="Arial" w:hAnsi="Arial" w:cs="Arial"/>
          <w:i/>
          <w:iCs/>
          <w:color w:val="000000" w:themeColor="text1"/>
          <w:sz w:val="22"/>
          <w:szCs w:val="22"/>
        </w:rPr>
        <w:t>Patient experience in adult NHS services: Improving the experience of care for people using adult NHS services</w:t>
      </w:r>
      <w:r w:rsidRPr="00EB3296">
        <w:rPr>
          <w:rFonts w:ascii="Arial" w:hAnsi="Arial" w:cs="Arial"/>
          <w:color w:val="000000" w:themeColor="text1"/>
          <w:sz w:val="22"/>
          <w:szCs w:val="22"/>
        </w:rPr>
        <w:t xml:space="preserve">. Available at: </w:t>
      </w:r>
      <w:hyperlink r:id="rId10" w:tgtFrame="_new" w:history="1">
        <w:r w:rsidRPr="00EB3296">
          <w:rPr>
            <w:rStyle w:val="Hyperlink"/>
            <w:rFonts w:ascii="Arial" w:hAnsi="Arial" w:cs="Arial"/>
            <w:color w:val="000000" w:themeColor="text1"/>
            <w:sz w:val="22"/>
            <w:szCs w:val="22"/>
            <w:u w:val="none"/>
          </w:rPr>
          <w:t>https://www.nice.org.uk/guidance/cg138</w:t>
        </w:r>
      </w:hyperlink>
    </w:p>
    <w:p w14:paraId="408D1B18"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NHS England (2021) </w:t>
      </w:r>
      <w:r w:rsidRPr="00EB3296">
        <w:rPr>
          <w:rFonts w:ascii="Arial" w:hAnsi="Arial" w:cs="Arial"/>
          <w:i/>
          <w:iCs/>
          <w:color w:val="000000" w:themeColor="text1"/>
          <w:sz w:val="22"/>
          <w:szCs w:val="22"/>
        </w:rPr>
        <w:t>Integrated care systems: Design framework</w:t>
      </w:r>
      <w:r w:rsidRPr="00EB3296">
        <w:rPr>
          <w:rFonts w:ascii="Arial" w:hAnsi="Arial" w:cs="Arial"/>
          <w:color w:val="000000" w:themeColor="text1"/>
          <w:sz w:val="22"/>
          <w:szCs w:val="22"/>
        </w:rPr>
        <w:t>. Available at: https://www.england.nhs.uk/publication/integrated-care-systems-design-framework</w:t>
      </w:r>
    </w:p>
    <w:p w14:paraId="00553799"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O’Hagan, S., Manias, E., Elder, C. and Pill, J. (2021) ‘What counts as effective communication in nursing? Evidence from literature’, </w:t>
      </w:r>
      <w:r w:rsidRPr="00EB3296">
        <w:rPr>
          <w:rFonts w:ascii="Arial" w:hAnsi="Arial" w:cs="Arial"/>
          <w:i/>
          <w:iCs/>
          <w:color w:val="000000" w:themeColor="text1"/>
          <w:sz w:val="22"/>
          <w:szCs w:val="22"/>
        </w:rPr>
        <w:t>Journal of Clinical Nursing</w:t>
      </w:r>
      <w:r w:rsidRPr="00EB3296">
        <w:rPr>
          <w:rFonts w:ascii="Arial" w:hAnsi="Arial" w:cs="Arial"/>
          <w:color w:val="000000" w:themeColor="text1"/>
          <w:sz w:val="22"/>
          <w:szCs w:val="22"/>
        </w:rPr>
        <w:t>, 30(3–4), pp. 389–401. DOI: https://doi.org/10.1111/jocn.15563</w:t>
      </w:r>
    </w:p>
    <w:p w14:paraId="60428DD2"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Reeves, S., </w:t>
      </w:r>
      <w:proofErr w:type="spellStart"/>
      <w:r w:rsidRPr="00EB3296">
        <w:rPr>
          <w:rFonts w:ascii="Arial" w:hAnsi="Arial" w:cs="Arial"/>
          <w:color w:val="000000" w:themeColor="text1"/>
          <w:sz w:val="22"/>
          <w:szCs w:val="22"/>
        </w:rPr>
        <w:t>Pelone</w:t>
      </w:r>
      <w:proofErr w:type="spellEnd"/>
      <w:r w:rsidRPr="00EB3296">
        <w:rPr>
          <w:rFonts w:ascii="Arial" w:hAnsi="Arial" w:cs="Arial"/>
          <w:color w:val="000000" w:themeColor="text1"/>
          <w:sz w:val="22"/>
          <w:szCs w:val="22"/>
        </w:rPr>
        <w:t xml:space="preserve">, F., Harrison, R., Goldman, J. and </w:t>
      </w:r>
      <w:proofErr w:type="spellStart"/>
      <w:r w:rsidRPr="00EB3296">
        <w:rPr>
          <w:rFonts w:ascii="Arial" w:hAnsi="Arial" w:cs="Arial"/>
          <w:color w:val="000000" w:themeColor="text1"/>
          <w:sz w:val="22"/>
          <w:szCs w:val="22"/>
        </w:rPr>
        <w:t>Zwarenstein</w:t>
      </w:r>
      <w:proofErr w:type="spellEnd"/>
      <w:r w:rsidRPr="00EB3296">
        <w:rPr>
          <w:rFonts w:ascii="Arial" w:hAnsi="Arial" w:cs="Arial"/>
          <w:color w:val="000000" w:themeColor="text1"/>
          <w:sz w:val="22"/>
          <w:szCs w:val="22"/>
        </w:rPr>
        <w:t xml:space="preserve">, M. (2020) ‘Interprofessional collaboration to improve professional practice and healthcare outcomes’, </w:t>
      </w:r>
      <w:r w:rsidRPr="00EB3296">
        <w:rPr>
          <w:rFonts w:ascii="Arial" w:hAnsi="Arial" w:cs="Arial"/>
          <w:i/>
          <w:iCs/>
          <w:color w:val="000000" w:themeColor="text1"/>
          <w:sz w:val="22"/>
          <w:szCs w:val="22"/>
        </w:rPr>
        <w:t>Cochrane Database of Systematic Reviews</w:t>
      </w:r>
      <w:r w:rsidRPr="00EB3296">
        <w:rPr>
          <w:rFonts w:ascii="Arial" w:hAnsi="Arial" w:cs="Arial"/>
          <w:color w:val="000000" w:themeColor="text1"/>
          <w:sz w:val="22"/>
          <w:szCs w:val="22"/>
        </w:rPr>
        <w:t xml:space="preserve">, 2020(6). DOI: </w:t>
      </w:r>
      <w:hyperlink r:id="rId11" w:tgtFrame="_new" w:history="1">
        <w:r w:rsidRPr="00EB3296">
          <w:rPr>
            <w:rStyle w:val="Hyperlink"/>
            <w:rFonts w:ascii="Arial" w:hAnsi="Arial" w:cs="Arial"/>
            <w:color w:val="000000" w:themeColor="text1"/>
            <w:sz w:val="22"/>
            <w:szCs w:val="22"/>
            <w:u w:val="none"/>
          </w:rPr>
          <w:t>https://doi.org/10.1002/14651858.CD000072.pub3</w:t>
        </w:r>
      </w:hyperlink>
    </w:p>
    <w:p w14:paraId="744795B1" w14:textId="77777777" w:rsidR="00EB3296"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Silverman, J., Kurtz, S. and Draper, J. (2022) </w:t>
      </w:r>
      <w:r w:rsidRPr="00EB3296">
        <w:rPr>
          <w:rFonts w:ascii="Arial" w:hAnsi="Arial" w:cs="Arial"/>
          <w:i/>
          <w:iCs/>
          <w:color w:val="000000" w:themeColor="text1"/>
          <w:sz w:val="22"/>
          <w:szCs w:val="22"/>
        </w:rPr>
        <w:t>Skills for communicating with patients</w:t>
      </w:r>
      <w:r w:rsidRPr="00EB3296">
        <w:rPr>
          <w:rFonts w:ascii="Arial" w:hAnsi="Arial" w:cs="Arial"/>
          <w:color w:val="000000" w:themeColor="text1"/>
          <w:sz w:val="22"/>
          <w:szCs w:val="22"/>
        </w:rPr>
        <w:t xml:space="preserve">. 4th </w:t>
      </w:r>
      <w:proofErr w:type="spellStart"/>
      <w:r w:rsidRPr="00EB3296">
        <w:rPr>
          <w:rFonts w:ascii="Arial" w:hAnsi="Arial" w:cs="Arial"/>
          <w:color w:val="000000" w:themeColor="text1"/>
          <w:sz w:val="22"/>
          <w:szCs w:val="22"/>
        </w:rPr>
        <w:t>edn</w:t>
      </w:r>
      <w:proofErr w:type="spellEnd"/>
      <w:r w:rsidRPr="00EB3296">
        <w:rPr>
          <w:rFonts w:ascii="Arial" w:hAnsi="Arial" w:cs="Arial"/>
          <w:color w:val="000000" w:themeColor="text1"/>
          <w:sz w:val="22"/>
          <w:szCs w:val="22"/>
        </w:rPr>
        <w:t xml:space="preserve">. Boca Raton: CRC Press. Available at: </w:t>
      </w:r>
      <w:hyperlink r:id="rId12" w:tgtFrame="_new" w:history="1">
        <w:r w:rsidRPr="00EB3296">
          <w:rPr>
            <w:rStyle w:val="Hyperlink"/>
            <w:rFonts w:ascii="Arial" w:hAnsi="Arial" w:cs="Arial"/>
            <w:color w:val="000000" w:themeColor="text1"/>
            <w:sz w:val="22"/>
            <w:szCs w:val="22"/>
            <w:u w:val="none"/>
          </w:rPr>
          <w:t>https://www.routledge.com</w:t>
        </w:r>
      </w:hyperlink>
      <w:r w:rsidRPr="00EB3296">
        <w:rPr>
          <w:rFonts w:ascii="Arial" w:hAnsi="Arial" w:cs="Arial"/>
          <w:color w:val="000000" w:themeColor="text1"/>
          <w:sz w:val="22"/>
          <w:szCs w:val="22"/>
        </w:rPr>
        <w:t xml:space="preserve"> </w:t>
      </w:r>
    </w:p>
    <w:p w14:paraId="79469ECF" w14:textId="77777777" w:rsidR="00BE7A01" w:rsidRPr="00EB3296" w:rsidRDefault="00EB3296" w:rsidP="00EB3296">
      <w:pPr>
        <w:jc w:val="both"/>
        <w:rPr>
          <w:rFonts w:ascii="Arial" w:hAnsi="Arial" w:cs="Arial"/>
          <w:color w:val="000000" w:themeColor="text1"/>
          <w:sz w:val="22"/>
          <w:szCs w:val="22"/>
        </w:rPr>
      </w:pPr>
      <w:r w:rsidRPr="00EB3296">
        <w:rPr>
          <w:rFonts w:ascii="Arial" w:hAnsi="Arial" w:cs="Arial"/>
          <w:color w:val="000000" w:themeColor="text1"/>
          <w:sz w:val="22"/>
          <w:szCs w:val="22"/>
        </w:rPr>
        <w:t xml:space="preserve">Skills for Care (2022) </w:t>
      </w:r>
      <w:r w:rsidRPr="00EB3296">
        <w:rPr>
          <w:rFonts w:ascii="Arial" w:hAnsi="Arial" w:cs="Arial"/>
          <w:i/>
          <w:iCs/>
          <w:color w:val="000000" w:themeColor="text1"/>
          <w:sz w:val="22"/>
          <w:szCs w:val="22"/>
        </w:rPr>
        <w:t>Good record keeping for care workers</w:t>
      </w:r>
      <w:r w:rsidRPr="00EB3296">
        <w:rPr>
          <w:rFonts w:ascii="Arial" w:hAnsi="Arial" w:cs="Arial"/>
          <w:color w:val="000000" w:themeColor="text1"/>
          <w:sz w:val="22"/>
          <w:szCs w:val="22"/>
        </w:rPr>
        <w:t>. Available at: https://www.skillsforcare.org.uk/resources/documents/Support-for-leaders-and-managers/Good-record-keeping.pdf</w:t>
      </w:r>
      <w:r w:rsidRPr="00EB3296">
        <w:rPr>
          <w:rFonts w:ascii="Arial" w:hAnsi="Arial" w:cs="Arial"/>
          <w:color w:val="000000" w:themeColor="text1"/>
          <w:sz w:val="22"/>
          <w:szCs w:val="22"/>
        </w:rPr>
        <w:br/>
      </w:r>
    </w:p>
    <w:p w14:paraId="2547609D" w14:textId="77777777" w:rsidR="00BE7A01" w:rsidRPr="00EB3296" w:rsidRDefault="00BE7A01" w:rsidP="00EB3296">
      <w:pPr>
        <w:jc w:val="both"/>
        <w:rPr>
          <w:rFonts w:ascii="Arial" w:hAnsi="Arial" w:cs="Arial"/>
          <w:color w:val="000000" w:themeColor="text1"/>
          <w:sz w:val="22"/>
          <w:szCs w:val="22"/>
        </w:rPr>
      </w:pPr>
    </w:p>
    <w:p w14:paraId="3E5232CA" w14:textId="77777777" w:rsidR="00BE7A01" w:rsidRDefault="00BE7A01"/>
    <w:p w14:paraId="72733B5B" w14:textId="77777777" w:rsidR="00BE7A01" w:rsidRPr="00BE7A01" w:rsidRDefault="00EB3296">
      <w:pPr>
        <w:rPr>
          <w:b/>
          <w:bCs/>
        </w:rPr>
      </w:pPr>
      <w:r>
        <w:rPr>
          <w:b/>
          <w:bCs/>
        </w:rPr>
        <w:lastRenderedPageBreak/>
        <w:t>6.0</w:t>
      </w:r>
      <w:r>
        <w:rPr>
          <w:b/>
          <w:bCs/>
        </w:rPr>
        <w:tab/>
      </w:r>
      <w:r w:rsidR="00BE7A01" w:rsidRPr="00BE7A01">
        <w:rPr>
          <w:b/>
          <w:bCs/>
        </w:rPr>
        <w:t>APPENDIX</w:t>
      </w:r>
    </w:p>
    <w:p w14:paraId="49B9194E" w14:textId="77777777" w:rsidR="00BE7A01" w:rsidRPr="00BE7A01" w:rsidRDefault="00BE7A01">
      <w:pPr>
        <w:rPr>
          <w:b/>
          <w:bCs/>
        </w:rPr>
      </w:pPr>
      <w:r w:rsidRPr="00BE7A01">
        <w:rPr>
          <w:b/>
          <w:bCs/>
        </w:rPr>
        <w:t>Table</w:t>
      </w:r>
      <w:r>
        <w:rPr>
          <w:b/>
          <w:bCs/>
        </w:rPr>
        <w:t xml:space="preserve"> 1</w:t>
      </w:r>
      <w:r w:rsidRPr="00BE7A01">
        <w:rPr>
          <w:b/>
          <w:bCs/>
        </w:rPr>
        <w:t>: Summary of Key Professional Practices in Mr</w:t>
      </w:r>
      <w:r>
        <w:rPr>
          <w:b/>
          <w:bCs/>
        </w:rPr>
        <w:t>.</w:t>
      </w:r>
      <w:r w:rsidRPr="00BE7A01">
        <w:rPr>
          <w:b/>
          <w:bCs/>
        </w:rPr>
        <w:t xml:space="preserve"> Ahmed’s Care</w:t>
      </w:r>
    </w:p>
    <w:tbl>
      <w:tblPr>
        <w:tblStyle w:val="TableGrid"/>
        <w:tblW w:w="0" w:type="auto"/>
        <w:tblLook w:val="04A0" w:firstRow="1" w:lastRow="0" w:firstColumn="1" w:lastColumn="0" w:noHBand="0" w:noVBand="1"/>
      </w:tblPr>
      <w:tblGrid>
        <w:gridCol w:w="2337"/>
        <w:gridCol w:w="2337"/>
        <w:gridCol w:w="2338"/>
        <w:gridCol w:w="2338"/>
      </w:tblGrid>
      <w:tr w:rsidR="00BE7A01" w:rsidRPr="00BE7A01" w14:paraId="0FD2799C" w14:textId="77777777" w:rsidTr="00BE7A01">
        <w:tc>
          <w:tcPr>
            <w:tcW w:w="2337" w:type="dxa"/>
            <w:vAlign w:val="center"/>
          </w:tcPr>
          <w:p w14:paraId="5D0C99EE" w14:textId="77777777" w:rsidR="00BE7A01" w:rsidRPr="00BE7A01" w:rsidRDefault="00BE7A01" w:rsidP="00BE7A01">
            <w:pPr>
              <w:spacing w:line="278" w:lineRule="auto"/>
              <w:rPr>
                <w:rFonts w:ascii="Arial" w:hAnsi="Arial" w:cs="Arial"/>
                <w:b/>
                <w:bCs/>
                <w:sz w:val="22"/>
                <w:szCs w:val="22"/>
              </w:rPr>
            </w:pPr>
            <w:r w:rsidRPr="00BE7A01">
              <w:rPr>
                <w:rFonts w:ascii="Arial" w:hAnsi="Arial" w:cs="Arial"/>
                <w:b/>
                <w:bCs/>
                <w:sz w:val="22"/>
                <w:szCs w:val="22"/>
              </w:rPr>
              <w:t>Care Aspect</w:t>
            </w:r>
          </w:p>
        </w:tc>
        <w:tc>
          <w:tcPr>
            <w:tcW w:w="2337" w:type="dxa"/>
            <w:vAlign w:val="center"/>
          </w:tcPr>
          <w:p w14:paraId="477A1C12" w14:textId="77777777" w:rsidR="00BE7A01" w:rsidRPr="00BE7A01" w:rsidRDefault="003024B1" w:rsidP="00BE7A01">
            <w:pPr>
              <w:spacing w:line="278" w:lineRule="auto"/>
              <w:rPr>
                <w:rFonts w:ascii="Arial" w:hAnsi="Arial" w:cs="Arial"/>
                <w:b/>
                <w:bCs/>
                <w:sz w:val="22"/>
                <w:szCs w:val="22"/>
              </w:rPr>
            </w:pPr>
            <w:r>
              <w:rPr>
                <w:rFonts w:ascii="Arial" w:hAnsi="Arial" w:cs="Arial"/>
                <w:b/>
                <w:bCs/>
                <w:sz w:val="22"/>
                <w:szCs w:val="22"/>
              </w:rPr>
              <w:t>Main</w:t>
            </w:r>
            <w:r w:rsidR="00BE7A01" w:rsidRPr="00BE7A01">
              <w:rPr>
                <w:rFonts w:ascii="Arial" w:hAnsi="Arial" w:cs="Arial"/>
                <w:b/>
                <w:bCs/>
                <w:sz w:val="22"/>
                <w:szCs w:val="22"/>
              </w:rPr>
              <w:t xml:space="preserve"> Actions Required</w:t>
            </w:r>
          </w:p>
        </w:tc>
        <w:tc>
          <w:tcPr>
            <w:tcW w:w="2338" w:type="dxa"/>
            <w:vAlign w:val="center"/>
          </w:tcPr>
          <w:p w14:paraId="3293CBDC" w14:textId="77777777" w:rsidR="00BE7A01" w:rsidRPr="00BE7A01" w:rsidRDefault="00BE7A01" w:rsidP="00BE7A01">
            <w:pPr>
              <w:spacing w:line="278" w:lineRule="auto"/>
              <w:rPr>
                <w:rFonts w:ascii="Arial" w:hAnsi="Arial" w:cs="Arial"/>
                <w:b/>
                <w:bCs/>
                <w:sz w:val="22"/>
                <w:szCs w:val="22"/>
              </w:rPr>
            </w:pPr>
            <w:r w:rsidRPr="00BE7A01">
              <w:rPr>
                <w:rFonts w:ascii="Arial" w:hAnsi="Arial" w:cs="Arial"/>
                <w:b/>
                <w:bCs/>
                <w:sz w:val="22"/>
                <w:szCs w:val="22"/>
              </w:rPr>
              <w:t>Relevant UK Legislation/Policy</w:t>
            </w:r>
          </w:p>
        </w:tc>
        <w:tc>
          <w:tcPr>
            <w:tcW w:w="2338" w:type="dxa"/>
            <w:vAlign w:val="center"/>
          </w:tcPr>
          <w:p w14:paraId="6B009148" w14:textId="77777777" w:rsidR="00BE7A01" w:rsidRPr="00BE7A01" w:rsidRDefault="00BE7A01" w:rsidP="00BE7A01">
            <w:pPr>
              <w:spacing w:line="278" w:lineRule="auto"/>
              <w:rPr>
                <w:rFonts w:ascii="Arial" w:hAnsi="Arial" w:cs="Arial"/>
                <w:b/>
                <w:bCs/>
                <w:sz w:val="22"/>
                <w:szCs w:val="22"/>
              </w:rPr>
            </w:pPr>
            <w:r w:rsidRPr="00BE7A01">
              <w:rPr>
                <w:rFonts w:ascii="Arial" w:hAnsi="Arial" w:cs="Arial"/>
                <w:b/>
                <w:bCs/>
                <w:sz w:val="22"/>
                <w:szCs w:val="22"/>
              </w:rPr>
              <w:t xml:space="preserve">Application to </w:t>
            </w:r>
            <w:proofErr w:type="spellStart"/>
            <w:r w:rsidRPr="00BE7A01">
              <w:rPr>
                <w:rFonts w:ascii="Arial" w:hAnsi="Arial" w:cs="Arial"/>
                <w:b/>
                <w:bCs/>
                <w:sz w:val="22"/>
                <w:szCs w:val="22"/>
              </w:rPr>
              <w:t>Mr</w:t>
            </w:r>
            <w:proofErr w:type="spellEnd"/>
            <w:r w:rsidRPr="00BE7A01">
              <w:rPr>
                <w:rFonts w:ascii="Arial" w:hAnsi="Arial" w:cs="Arial"/>
                <w:b/>
                <w:bCs/>
                <w:sz w:val="22"/>
                <w:szCs w:val="22"/>
              </w:rPr>
              <w:t xml:space="preserve"> Ahmed’s Case</w:t>
            </w:r>
          </w:p>
        </w:tc>
      </w:tr>
      <w:tr w:rsidR="00BE7A01" w:rsidRPr="00BE7A01" w14:paraId="1200B3BE" w14:textId="77777777" w:rsidTr="00BE7A01">
        <w:tc>
          <w:tcPr>
            <w:tcW w:w="2337" w:type="dxa"/>
            <w:vAlign w:val="center"/>
          </w:tcPr>
          <w:p w14:paraId="1890124B"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Effective Communication</w:t>
            </w:r>
          </w:p>
        </w:tc>
        <w:tc>
          <w:tcPr>
            <w:tcW w:w="2337" w:type="dxa"/>
            <w:vAlign w:val="center"/>
          </w:tcPr>
          <w:p w14:paraId="6A1A78B2"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 xml:space="preserve">Use simple language, </w:t>
            </w:r>
            <w:r w:rsidR="003024B1" w:rsidRPr="00BE7A01">
              <w:rPr>
                <w:rFonts w:ascii="Arial" w:hAnsi="Arial" w:cs="Arial"/>
                <w:sz w:val="22"/>
                <w:szCs w:val="22"/>
              </w:rPr>
              <w:t>transcriber</w:t>
            </w:r>
            <w:r w:rsidRPr="00BE7A01">
              <w:rPr>
                <w:rFonts w:ascii="Arial" w:hAnsi="Arial" w:cs="Arial"/>
                <w:sz w:val="22"/>
                <w:szCs w:val="22"/>
              </w:rPr>
              <w:t xml:space="preserve"> services, visual aids, and feedback </w:t>
            </w:r>
            <w:r w:rsidR="003024B1" w:rsidRPr="00BE7A01">
              <w:rPr>
                <w:rFonts w:ascii="Arial" w:hAnsi="Arial" w:cs="Arial"/>
                <w:sz w:val="22"/>
                <w:szCs w:val="22"/>
              </w:rPr>
              <w:t>methods</w:t>
            </w:r>
            <w:r w:rsidRPr="00BE7A01">
              <w:rPr>
                <w:rFonts w:ascii="Arial" w:hAnsi="Arial" w:cs="Arial"/>
                <w:sz w:val="22"/>
                <w:szCs w:val="22"/>
              </w:rPr>
              <w:t xml:space="preserve"> (e.g., teach-back). Involve family with consent while </w:t>
            </w:r>
            <w:r w:rsidR="003024B1" w:rsidRPr="00BE7A01">
              <w:rPr>
                <w:rFonts w:ascii="Arial" w:hAnsi="Arial" w:cs="Arial"/>
                <w:sz w:val="22"/>
                <w:szCs w:val="22"/>
              </w:rPr>
              <w:t>upholding</w:t>
            </w:r>
            <w:r w:rsidRPr="00BE7A01">
              <w:rPr>
                <w:rFonts w:ascii="Arial" w:hAnsi="Arial" w:cs="Arial"/>
                <w:sz w:val="22"/>
                <w:szCs w:val="22"/>
              </w:rPr>
              <w:t xml:space="preserve"> confidentiality.</w:t>
            </w:r>
          </w:p>
        </w:tc>
        <w:tc>
          <w:tcPr>
            <w:tcW w:w="2338" w:type="dxa"/>
            <w:vAlign w:val="center"/>
          </w:tcPr>
          <w:p w14:paraId="14954060"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Equality Act 2010; National Health Service Communication Guidance; NICE Stroke Rehabilitation Guidelines (2023).</w:t>
            </w:r>
          </w:p>
        </w:tc>
        <w:tc>
          <w:tcPr>
            <w:tcW w:w="2338" w:type="dxa"/>
            <w:vAlign w:val="center"/>
          </w:tcPr>
          <w:p w14:paraId="3CD35215"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 xml:space="preserve">Supports understanding despite language barrier and post-stroke communication </w:t>
            </w:r>
            <w:r w:rsidR="003024B1" w:rsidRPr="00BE7A01">
              <w:rPr>
                <w:rFonts w:ascii="Arial" w:hAnsi="Arial" w:cs="Arial"/>
                <w:sz w:val="22"/>
                <w:szCs w:val="22"/>
              </w:rPr>
              <w:t>complications</w:t>
            </w:r>
            <w:r w:rsidRPr="00BE7A01">
              <w:rPr>
                <w:rFonts w:ascii="Arial" w:hAnsi="Arial" w:cs="Arial"/>
                <w:sz w:val="22"/>
                <w:szCs w:val="22"/>
              </w:rPr>
              <w:t>, ensuring safe medication use and participation in decisions.</w:t>
            </w:r>
          </w:p>
        </w:tc>
      </w:tr>
      <w:tr w:rsidR="00BE7A01" w:rsidRPr="00BE7A01" w14:paraId="7FC2CE3A" w14:textId="77777777" w:rsidTr="00BE7A01">
        <w:tc>
          <w:tcPr>
            <w:tcW w:w="2337" w:type="dxa"/>
            <w:vAlign w:val="center"/>
          </w:tcPr>
          <w:p w14:paraId="3FFC37C5"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Administrative Skills &amp; Record-Keeping</w:t>
            </w:r>
          </w:p>
        </w:tc>
        <w:tc>
          <w:tcPr>
            <w:tcW w:w="2337" w:type="dxa"/>
            <w:vAlign w:val="center"/>
          </w:tcPr>
          <w:p w14:paraId="49F45FCD"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Accurate documentation of care visits, medication administration, risk assessments, and incident reporting. Secure storage of records and restricted access.</w:t>
            </w:r>
          </w:p>
        </w:tc>
        <w:tc>
          <w:tcPr>
            <w:tcW w:w="2338" w:type="dxa"/>
            <w:vAlign w:val="center"/>
          </w:tcPr>
          <w:p w14:paraId="3F0C1024"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Data Protection Act 2018; UK GDPR; Care Quality Commission Fundamental Standards (2023).</w:t>
            </w:r>
          </w:p>
        </w:tc>
        <w:tc>
          <w:tcPr>
            <w:tcW w:w="2338" w:type="dxa"/>
            <w:vAlign w:val="center"/>
          </w:tcPr>
          <w:p w14:paraId="4CD418A8" w14:textId="77777777" w:rsidR="00BE7A01" w:rsidRPr="00BE7A01" w:rsidRDefault="003024B1" w:rsidP="00BE7A01">
            <w:pPr>
              <w:spacing w:line="278" w:lineRule="auto"/>
              <w:rPr>
                <w:rFonts w:ascii="Arial" w:hAnsi="Arial" w:cs="Arial"/>
                <w:sz w:val="22"/>
                <w:szCs w:val="22"/>
              </w:rPr>
            </w:pPr>
            <w:r w:rsidRPr="00BE7A01">
              <w:rPr>
                <w:rFonts w:ascii="Arial" w:hAnsi="Arial" w:cs="Arial"/>
                <w:sz w:val="22"/>
                <w:szCs w:val="22"/>
              </w:rPr>
              <w:t>Stops</w:t>
            </w:r>
            <w:r w:rsidR="00BE7A01" w:rsidRPr="00BE7A01">
              <w:rPr>
                <w:rFonts w:ascii="Arial" w:hAnsi="Arial" w:cs="Arial"/>
                <w:sz w:val="22"/>
                <w:szCs w:val="22"/>
              </w:rPr>
              <w:t xml:space="preserve"> missed visits, supports investigation of incidents, and </w:t>
            </w:r>
            <w:r w:rsidRPr="00BE7A01">
              <w:rPr>
                <w:rFonts w:ascii="Arial" w:hAnsi="Arial" w:cs="Arial"/>
                <w:sz w:val="22"/>
                <w:szCs w:val="22"/>
              </w:rPr>
              <w:t>guarantees</w:t>
            </w:r>
            <w:r w:rsidR="00BE7A01" w:rsidRPr="00BE7A01">
              <w:rPr>
                <w:rFonts w:ascii="Arial" w:hAnsi="Arial" w:cs="Arial"/>
                <w:sz w:val="22"/>
                <w:szCs w:val="22"/>
              </w:rPr>
              <w:t xml:space="preserve"> continuity between domiciliary carers and healthcare professionals.</w:t>
            </w:r>
          </w:p>
        </w:tc>
      </w:tr>
      <w:tr w:rsidR="00BE7A01" w:rsidRPr="00BE7A01" w14:paraId="6EDD9B3C" w14:textId="77777777" w:rsidTr="00BE7A01">
        <w:tc>
          <w:tcPr>
            <w:tcW w:w="2337" w:type="dxa"/>
            <w:vAlign w:val="center"/>
          </w:tcPr>
          <w:p w14:paraId="6F6E882B"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Collaborative Working</w:t>
            </w:r>
          </w:p>
        </w:tc>
        <w:tc>
          <w:tcPr>
            <w:tcW w:w="2337" w:type="dxa"/>
            <w:vAlign w:val="center"/>
          </w:tcPr>
          <w:p w14:paraId="7E6AD89F"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 xml:space="preserve">Multidisciplinary meetings, shared electronic records, clear role </w:t>
            </w:r>
            <w:r w:rsidR="003024B1" w:rsidRPr="00BE7A01">
              <w:rPr>
                <w:rFonts w:ascii="Arial" w:hAnsi="Arial" w:cs="Arial"/>
                <w:sz w:val="22"/>
                <w:szCs w:val="22"/>
              </w:rPr>
              <w:t>tasks</w:t>
            </w:r>
            <w:r w:rsidRPr="00BE7A01">
              <w:rPr>
                <w:rFonts w:ascii="Arial" w:hAnsi="Arial" w:cs="Arial"/>
                <w:sz w:val="22"/>
                <w:szCs w:val="22"/>
              </w:rPr>
              <w:t>, coordinated care plans, and leadership support.</w:t>
            </w:r>
          </w:p>
        </w:tc>
        <w:tc>
          <w:tcPr>
            <w:tcW w:w="2338" w:type="dxa"/>
            <w:vAlign w:val="center"/>
          </w:tcPr>
          <w:p w14:paraId="64054777" w14:textId="77777777" w:rsidR="00BE7A01" w:rsidRPr="00BE7A01" w:rsidRDefault="00BE7A01" w:rsidP="00BE7A01">
            <w:pPr>
              <w:spacing w:line="278" w:lineRule="auto"/>
              <w:rPr>
                <w:rFonts w:ascii="Arial" w:hAnsi="Arial" w:cs="Arial"/>
                <w:sz w:val="22"/>
                <w:szCs w:val="22"/>
              </w:rPr>
            </w:pPr>
            <w:r w:rsidRPr="00BE7A01">
              <w:rPr>
                <w:rFonts w:ascii="Arial" w:hAnsi="Arial" w:cs="Arial"/>
                <w:sz w:val="22"/>
                <w:szCs w:val="22"/>
              </w:rPr>
              <w:t>NICE Integrated Care Guidance (2023); NHS England Integrated Care Systems Policy (2021).</w:t>
            </w:r>
          </w:p>
        </w:tc>
        <w:tc>
          <w:tcPr>
            <w:tcW w:w="2338" w:type="dxa"/>
            <w:vAlign w:val="center"/>
          </w:tcPr>
          <w:p w14:paraId="39939C3D" w14:textId="77777777" w:rsidR="00BE7A01" w:rsidRPr="00BE7A01" w:rsidRDefault="003024B1" w:rsidP="00BE7A01">
            <w:pPr>
              <w:spacing w:line="278" w:lineRule="auto"/>
              <w:rPr>
                <w:rFonts w:ascii="Arial" w:hAnsi="Arial" w:cs="Arial"/>
                <w:sz w:val="22"/>
                <w:szCs w:val="22"/>
              </w:rPr>
            </w:pPr>
            <w:r w:rsidRPr="00BE7A01">
              <w:rPr>
                <w:rFonts w:ascii="Arial" w:hAnsi="Arial" w:cs="Arial"/>
                <w:sz w:val="22"/>
                <w:szCs w:val="22"/>
              </w:rPr>
              <w:t>Advances</w:t>
            </w:r>
            <w:r w:rsidR="00BE7A01" w:rsidRPr="00BE7A01">
              <w:rPr>
                <w:rFonts w:ascii="Arial" w:hAnsi="Arial" w:cs="Arial"/>
                <w:sz w:val="22"/>
                <w:szCs w:val="22"/>
              </w:rPr>
              <w:t xml:space="preserve"> </w:t>
            </w:r>
            <w:r w:rsidRPr="00BE7A01">
              <w:rPr>
                <w:rFonts w:ascii="Arial" w:hAnsi="Arial" w:cs="Arial"/>
                <w:sz w:val="22"/>
                <w:szCs w:val="22"/>
              </w:rPr>
              <w:t>harmonization</w:t>
            </w:r>
            <w:r w:rsidR="00BE7A01" w:rsidRPr="00BE7A01">
              <w:rPr>
                <w:rFonts w:ascii="Arial" w:hAnsi="Arial" w:cs="Arial"/>
                <w:sz w:val="22"/>
                <w:szCs w:val="22"/>
              </w:rPr>
              <w:t xml:space="preserve"> between GP, district nurse, speech therapist, and care agency, reducing risks such as delayed medication.</w:t>
            </w:r>
          </w:p>
        </w:tc>
      </w:tr>
    </w:tbl>
    <w:p w14:paraId="46994D26" w14:textId="77777777" w:rsidR="00BE7A01" w:rsidRPr="00BE7A01" w:rsidRDefault="00BE7A01" w:rsidP="00BE7A01">
      <w:r w:rsidRPr="00BE7A01">
        <w:rPr>
          <w:b/>
          <w:bCs/>
        </w:rPr>
        <w:t>Sources:</w:t>
      </w:r>
      <w:r w:rsidRPr="00BE7A01">
        <w:t xml:space="preserve"> </w:t>
      </w:r>
      <w:r>
        <w:t>(</w:t>
      </w:r>
      <w:r w:rsidRPr="00BE7A01">
        <w:t>NICE</w:t>
      </w:r>
      <w:r>
        <w:t xml:space="preserve">, </w:t>
      </w:r>
      <w:r w:rsidRPr="00BE7A01">
        <w:t>2023; NHS England</w:t>
      </w:r>
      <w:r>
        <w:t xml:space="preserve">, </w:t>
      </w:r>
      <w:r w:rsidRPr="00BE7A01">
        <w:t>2021; Care Quality Commission</w:t>
      </w:r>
      <w:r>
        <w:t xml:space="preserve">, </w:t>
      </w:r>
      <w:r w:rsidRPr="00BE7A01">
        <w:t>2023; Department of Health and Social Care</w:t>
      </w:r>
      <w:r>
        <w:t xml:space="preserve">, </w:t>
      </w:r>
      <w:r w:rsidRPr="00BE7A01">
        <w:t>2022</w:t>
      </w:r>
      <w:r>
        <w:t xml:space="preserve"> and </w:t>
      </w:r>
      <w:r w:rsidRPr="00BE7A01">
        <w:t>Skills for Care</w:t>
      </w:r>
      <w:r>
        <w:t xml:space="preserve">, </w:t>
      </w:r>
      <w:r w:rsidRPr="00BE7A01">
        <w:t>2022).</w:t>
      </w:r>
    </w:p>
    <w:p w14:paraId="02318A7E" w14:textId="77777777" w:rsidR="00BE7A01" w:rsidRDefault="00BE7A01"/>
    <w:p w14:paraId="419AB587" w14:textId="77777777" w:rsidR="003024B1" w:rsidRDefault="003024B1"/>
    <w:p w14:paraId="6732C6E6" w14:textId="77777777" w:rsidR="003024B1" w:rsidRDefault="003024B1"/>
    <w:p w14:paraId="220541A5" w14:textId="77777777" w:rsidR="003024B1" w:rsidRDefault="003024B1"/>
    <w:p w14:paraId="3EB4137C" w14:textId="77777777" w:rsidR="003024B1" w:rsidRPr="003024B1" w:rsidRDefault="003024B1">
      <w:pPr>
        <w:rPr>
          <w:b/>
          <w:bCs/>
        </w:rPr>
      </w:pPr>
      <w:r w:rsidRPr="003024B1">
        <w:rPr>
          <w:b/>
          <w:bCs/>
        </w:rPr>
        <w:lastRenderedPageBreak/>
        <w:t xml:space="preserve">Diagram 1: Pathway Diagram for </w:t>
      </w:r>
      <w:proofErr w:type="spellStart"/>
      <w:r w:rsidRPr="003024B1">
        <w:rPr>
          <w:b/>
          <w:bCs/>
        </w:rPr>
        <w:t>Mr</w:t>
      </w:r>
      <w:proofErr w:type="spellEnd"/>
      <w:r w:rsidRPr="003024B1">
        <w:rPr>
          <w:b/>
          <w:bCs/>
        </w:rPr>
        <w:t xml:space="preserve"> Ahmed (Post-Stroke Community Care)</w:t>
      </w:r>
    </w:p>
    <w:p w14:paraId="1D5C4CE6" w14:textId="77777777" w:rsidR="003024B1" w:rsidRDefault="003024B1">
      <w:r w:rsidRPr="003024B1">
        <w:rPr>
          <w:noProof/>
        </w:rPr>
        <w:drawing>
          <wp:inline distT="0" distB="0" distL="0" distR="0" wp14:anchorId="256DD290" wp14:editId="110E94F2">
            <wp:extent cx="5943600" cy="4829175"/>
            <wp:effectExtent l="0" t="0" r="0" b="9525"/>
            <wp:docPr id="849644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644473" name=""/>
                    <pic:cNvPicPr/>
                  </pic:nvPicPr>
                  <pic:blipFill>
                    <a:blip r:embed="rId13"/>
                    <a:stretch>
                      <a:fillRect/>
                    </a:stretch>
                  </pic:blipFill>
                  <pic:spPr>
                    <a:xfrm>
                      <a:off x="0" y="0"/>
                      <a:ext cx="5943600" cy="4829175"/>
                    </a:xfrm>
                    <a:prstGeom prst="rect">
                      <a:avLst/>
                    </a:prstGeom>
                  </pic:spPr>
                </pic:pic>
              </a:graphicData>
            </a:graphic>
          </wp:inline>
        </w:drawing>
      </w:r>
    </w:p>
    <w:sectPr w:rsidR="003024B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023E40" w14:textId="77777777" w:rsidR="00E7385E" w:rsidRDefault="00E7385E" w:rsidP="005E606D">
      <w:pPr>
        <w:spacing w:after="0" w:line="240" w:lineRule="auto"/>
      </w:pPr>
      <w:r>
        <w:separator/>
      </w:r>
    </w:p>
  </w:endnote>
  <w:endnote w:type="continuationSeparator" w:id="0">
    <w:p w14:paraId="0589616F" w14:textId="77777777" w:rsidR="00E7385E" w:rsidRDefault="00E7385E" w:rsidP="005E6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2171782"/>
      <w:docPartObj>
        <w:docPartGallery w:val="Page Numbers (Bottom of Page)"/>
        <w:docPartUnique/>
      </w:docPartObj>
    </w:sdtPr>
    <w:sdtEndPr>
      <w:rPr>
        <w:noProof/>
      </w:rPr>
    </w:sdtEndPr>
    <w:sdtContent>
      <w:p w14:paraId="3BCEF221" w14:textId="77777777" w:rsidR="005E606D" w:rsidRDefault="005E60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2BADE3" w14:textId="77777777" w:rsidR="005E606D" w:rsidRDefault="005E60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1470A5" w14:textId="77777777" w:rsidR="00E7385E" w:rsidRDefault="00E7385E" w:rsidP="005E606D">
      <w:pPr>
        <w:spacing w:after="0" w:line="240" w:lineRule="auto"/>
      </w:pPr>
      <w:r>
        <w:separator/>
      </w:r>
    </w:p>
  </w:footnote>
  <w:footnote w:type="continuationSeparator" w:id="0">
    <w:p w14:paraId="15B3001C" w14:textId="77777777" w:rsidR="00E7385E" w:rsidRDefault="00E7385E" w:rsidP="005E6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6712CC"/>
    <w:multiLevelType w:val="multilevel"/>
    <w:tmpl w:val="AEFECA8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E3667BA"/>
    <w:multiLevelType w:val="multilevel"/>
    <w:tmpl w:val="49AA6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DD4CF1"/>
    <w:multiLevelType w:val="multilevel"/>
    <w:tmpl w:val="1252467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274703919">
    <w:abstractNumId w:val="0"/>
  </w:num>
  <w:num w:numId="2" w16cid:durableId="363486131">
    <w:abstractNumId w:val="2"/>
  </w:num>
  <w:num w:numId="3" w16cid:durableId="11713390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2BF"/>
    <w:rsid w:val="000A1AF8"/>
    <w:rsid w:val="00114384"/>
    <w:rsid w:val="001E7C2F"/>
    <w:rsid w:val="00254916"/>
    <w:rsid w:val="003024B1"/>
    <w:rsid w:val="004D31F1"/>
    <w:rsid w:val="005E606D"/>
    <w:rsid w:val="00820431"/>
    <w:rsid w:val="0086185C"/>
    <w:rsid w:val="00A879DE"/>
    <w:rsid w:val="00B74E6D"/>
    <w:rsid w:val="00B902BF"/>
    <w:rsid w:val="00BE7A01"/>
    <w:rsid w:val="00C558E0"/>
    <w:rsid w:val="00E7385E"/>
    <w:rsid w:val="00EB32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2DFAA"/>
  <w15:chartTrackingRefBased/>
  <w15:docId w15:val="{537BBC17-506E-4C3A-8562-A0C63E145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2B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902B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02B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02B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02B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02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02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02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02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02B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02B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02B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02B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02B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02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02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02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02BF"/>
    <w:rPr>
      <w:rFonts w:eastAsiaTheme="majorEastAsia" w:cstheme="majorBidi"/>
      <w:color w:val="272727" w:themeColor="text1" w:themeTint="D8"/>
    </w:rPr>
  </w:style>
  <w:style w:type="paragraph" w:styleId="Title">
    <w:name w:val="Title"/>
    <w:basedOn w:val="Normal"/>
    <w:next w:val="Normal"/>
    <w:link w:val="TitleChar"/>
    <w:uiPriority w:val="10"/>
    <w:qFormat/>
    <w:rsid w:val="00B902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02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02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02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02BF"/>
    <w:pPr>
      <w:spacing w:before="160"/>
      <w:jc w:val="center"/>
    </w:pPr>
    <w:rPr>
      <w:i/>
      <w:iCs/>
      <w:color w:val="404040" w:themeColor="text1" w:themeTint="BF"/>
    </w:rPr>
  </w:style>
  <w:style w:type="character" w:customStyle="1" w:styleId="QuoteChar">
    <w:name w:val="Quote Char"/>
    <w:basedOn w:val="DefaultParagraphFont"/>
    <w:link w:val="Quote"/>
    <w:uiPriority w:val="29"/>
    <w:rsid w:val="00B902BF"/>
    <w:rPr>
      <w:i/>
      <w:iCs/>
      <w:color w:val="404040" w:themeColor="text1" w:themeTint="BF"/>
    </w:rPr>
  </w:style>
  <w:style w:type="paragraph" w:styleId="ListParagraph">
    <w:name w:val="List Paragraph"/>
    <w:basedOn w:val="Normal"/>
    <w:uiPriority w:val="34"/>
    <w:qFormat/>
    <w:rsid w:val="00B902BF"/>
    <w:pPr>
      <w:ind w:left="720"/>
      <w:contextualSpacing/>
    </w:pPr>
  </w:style>
  <w:style w:type="character" w:styleId="IntenseEmphasis">
    <w:name w:val="Intense Emphasis"/>
    <w:basedOn w:val="DefaultParagraphFont"/>
    <w:uiPriority w:val="21"/>
    <w:qFormat/>
    <w:rsid w:val="00B902BF"/>
    <w:rPr>
      <w:i/>
      <w:iCs/>
      <w:color w:val="2F5496" w:themeColor="accent1" w:themeShade="BF"/>
    </w:rPr>
  </w:style>
  <w:style w:type="paragraph" w:styleId="IntenseQuote">
    <w:name w:val="Intense Quote"/>
    <w:basedOn w:val="Normal"/>
    <w:next w:val="Normal"/>
    <w:link w:val="IntenseQuoteChar"/>
    <w:uiPriority w:val="30"/>
    <w:qFormat/>
    <w:rsid w:val="00B902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02BF"/>
    <w:rPr>
      <w:i/>
      <w:iCs/>
      <w:color w:val="2F5496" w:themeColor="accent1" w:themeShade="BF"/>
    </w:rPr>
  </w:style>
  <w:style w:type="character" w:styleId="IntenseReference">
    <w:name w:val="Intense Reference"/>
    <w:basedOn w:val="DefaultParagraphFont"/>
    <w:uiPriority w:val="32"/>
    <w:qFormat/>
    <w:rsid w:val="00B902BF"/>
    <w:rPr>
      <w:b/>
      <w:bCs/>
      <w:smallCaps/>
      <w:color w:val="2F5496" w:themeColor="accent1" w:themeShade="BF"/>
      <w:spacing w:val="5"/>
    </w:rPr>
  </w:style>
  <w:style w:type="paragraph" w:styleId="Header">
    <w:name w:val="header"/>
    <w:basedOn w:val="Normal"/>
    <w:link w:val="HeaderChar"/>
    <w:uiPriority w:val="99"/>
    <w:unhideWhenUsed/>
    <w:rsid w:val="005E60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606D"/>
  </w:style>
  <w:style w:type="paragraph" w:styleId="Footer">
    <w:name w:val="footer"/>
    <w:basedOn w:val="Normal"/>
    <w:link w:val="FooterChar"/>
    <w:uiPriority w:val="99"/>
    <w:unhideWhenUsed/>
    <w:rsid w:val="005E60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606D"/>
  </w:style>
  <w:style w:type="table" w:styleId="TableGrid">
    <w:name w:val="Table Grid"/>
    <w:basedOn w:val="TableNormal"/>
    <w:uiPriority w:val="39"/>
    <w:rsid w:val="00BE7A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B3296"/>
    <w:rPr>
      <w:color w:val="0563C1" w:themeColor="hyperlink"/>
      <w:u w:val="single"/>
    </w:rPr>
  </w:style>
  <w:style w:type="character" w:styleId="UnresolvedMention">
    <w:name w:val="Unresolved Mention"/>
    <w:basedOn w:val="DefaultParagraphFont"/>
    <w:uiPriority w:val="99"/>
    <w:semiHidden/>
    <w:unhideWhenUsed/>
    <w:rsid w:val="00EB32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department-of-health-and-social-care" TargetMode="Externa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routledge.com" TargetMode="External"/><Relationship Id="rId12" Type="http://schemas.openxmlformats.org/officeDocument/2006/relationships/hyperlink" Target="https://www.routledge.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14651858.CD000072.pub3"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ice.org.uk/guidance/cg138" TargetMode="External"/><Relationship Id="rId4" Type="http://schemas.openxmlformats.org/officeDocument/2006/relationships/webSettings" Target="webSettings.xml"/><Relationship Id="rId9" Type="http://schemas.openxmlformats.org/officeDocument/2006/relationships/hyperlink" Target="https://uk.sagepub.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2300</Words>
  <Characters>13114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Fatoumata Malika Dosso (2514002)</cp:lastModifiedBy>
  <cp:revision>2</cp:revision>
  <dcterms:created xsi:type="dcterms:W3CDTF">2026-04-20T11:35:00Z</dcterms:created>
  <dcterms:modified xsi:type="dcterms:W3CDTF">2026-04-20T11:35:00Z</dcterms:modified>
</cp:coreProperties>
</file>