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F2641" w14:textId="77777777" w:rsidR="00F92763" w:rsidRDefault="00F92763" w:rsidP="00F92763">
      <w:pPr>
        <w:spacing w:line="360" w:lineRule="auto"/>
        <w:rPr>
          <w:rFonts w:ascii="Times New Roman" w:hAnsi="Times New Roman" w:cs="Times New Roman"/>
          <w:b/>
          <w:bCs/>
          <w:color w:val="1D2125"/>
          <w:sz w:val="24"/>
          <w:szCs w:val="24"/>
          <w:shd w:val="clear" w:color="auto" w:fill="FFFFFF"/>
        </w:rPr>
      </w:pPr>
      <w:r w:rsidRPr="00D92632">
        <w:rPr>
          <w:rFonts w:ascii="Times New Roman" w:hAnsi="Times New Roman" w:cs="Times New Roman"/>
          <w:b/>
          <w:bCs/>
          <w:color w:val="1D2125"/>
          <w:sz w:val="24"/>
          <w:szCs w:val="24"/>
          <w:shd w:val="clear" w:color="auto" w:fill="FFFFFF"/>
        </w:rPr>
        <w:t>Compile a portrait of any ‘real’ medieval woman from the Celtic regions. What sources can be used, and how reliable are these sources?</w:t>
      </w:r>
    </w:p>
    <w:p w14:paraId="38CB3C78" w14:textId="4CEBDC16" w:rsidR="00F92763" w:rsidRPr="002C0D3B" w:rsidRDefault="00C02C20" w:rsidP="00214A43">
      <w:pPr>
        <w:spacing w:before="100" w:beforeAutospacing="1" w:after="100" w:afterAutospacing="1" w:line="36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Nest ferch Rhys is unusual in medieval Welsh history because she appears both as a historical figure and as someone who is later reworked by storytelling and myth</w:t>
      </w:r>
      <w:r w:rsidR="00F92763" w:rsidRPr="002C0D3B">
        <w:rPr>
          <w:rFonts w:ascii="Times New Roman" w:eastAsia="Times New Roman" w:hAnsi="Times New Roman" w:cs="Times New Roman"/>
          <w:kern w:val="0"/>
          <w:sz w:val="24"/>
          <w:szCs w:val="24"/>
          <w:lang w:eastAsia="en-GB"/>
          <w14:ligatures w14:val="none"/>
        </w:rPr>
        <w:t xml:space="preserve">. The daughter of Rhys ap Tewdwr, the last independent ruler of Deheubarth, she belonged to a major Welsh royal dynasty at a time when political authority in Wales was undergoing profound </w:t>
      </w:r>
      <w:r w:rsidR="005B0D52">
        <w:rPr>
          <w:rFonts w:ascii="Times New Roman" w:eastAsia="Times New Roman" w:hAnsi="Times New Roman" w:cs="Times New Roman"/>
          <w:kern w:val="0"/>
          <w:sz w:val="24"/>
          <w:szCs w:val="24"/>
          <w:lang w:eastAsia="en-GB"/>
          <w14:ligatures w14:val="none"/>
        </w:rPr>
        <w:t>ch</w:t>
      </w:r>
      <w:r w:rsidR="006C3938">
        <w:rPr>
          <w:rFonts w:ascii="Times New Roman" w:eastAsia="Times New Roman" w:hAnsi="Times New Roman" w:cs="Times New Roman"/>
          <w:kern w:val="0"/>
          <w:sz w:val="24"/>
          <w:szCs w:val="24"/>
          <w:lang w:eastAsia="en-GB"/>
          <w14:ligatures w14:val="none"/>
        </w:rPr>
        <w:t>ange</w:t>
      </w:r>
      <w:r w:rsidR="00F92763" w:rsidRPr="002C0D3B">
        <w:rPr>
          <w:rFonts w:ascii="Times New Roman" w:eastAsia="Times New Roman" w:hAnsi="Times New Roman" w:cs="Times New Roman"/>
          <w:kern w:val="0"/>
          <w:sz w:val="24"/>
          <w:szCs w:val="24"/>
          <w:lang w:eastAsia="en-GB"/>
          <w14:ligatures w14:val="none"/>
        </w:rPr>
        <w:t>. Following the Norman Conquest of England in 1066, increasing Anglo-Norman expansion into Wales intensified existing patterns of fragmentation, warfare, and shifting lordship along the Anglo-Welsh border.</w:t>
      </w:r>
      <w:r w:rsidR="00F92763">
        <w:rPr>
          <w:rStyle w:val="FootnoteReference"/>
          <w:rFonts w:ascii="Times New Roman" w:eastAsia="Times New Roman" w:hAnsi="Times New Roman" w:cs="Times New Roman"/>
          <w:kern w:val="0"/>
          <w:sz w:val="24"/>
          <w:szCs w:val="24"/>
          <w:lang w:eastAsia="en-GB"/>
          <w14:ligatures w14:val="none"/>
        </w:rPr>
        <w:footnoteReference w:id="1"/>
      </w:r>
      <w:r w:rsidR="00F92763" w:rsidRPr="002C0D3B">
        <w:rPr>
          <w:rFonts w:ascii="Times New Roman" w:eastAsia="Times New Roman" w:hAnsi="Times New Roman" w:cs="Times New Roman"/>
          <w:kern w:val="0"/>
          <w:sz w:val="24"/>
          <w:szCs w:val="24"/>
          <w:lang w:eastAsia="en-GB"/>
          <w14:ligatures w14:val="none"/>
        </w:rPr>
        <w:t xml:space="preserve"> Nest’s life—</w:t>
      </w:r>
      <w:r w:rsidR="0050271F">
        <w:rPr>
          <w:rFonts w:ascii="Times New Roman" w:eastAsia="Times New Roman" w:hAnsi="Times New Roman" w:cs="Times New Roman"/>
          <w:kern w:val="0"/>
          <w:sz w:val="24"/>
          <w:szCs w:val="24"/>
          <w:lang w:eastAsia="en-GB"/>
          <w14:ligatures w14:val="none"/>
        </w:rPr>
        <w:t>influenced</w:t>
      </w:r>
      <w:r w:rsidR="00F92763" w:rsidRPr="002C0D3B">
        <w:rPr>
          <w:rFonts w:ascii="Times New Roman" w:eastAsia="Times New Roman" w:hAnsi="Times New Roman" w:cs="Times New Roman"/>
          <w:kern w:val="0"/>
          <w:sz w:val="24"/>
          <w:szCs w:val="24"/>
          <w:lang w:eastAsia="en-GB"/>
          <w14:ligatures w14:val="none"/>
        </w:rPr>
        <w:t xml:space="preserve"> by dynastic significance, political displacement, and integration into Anglo-Norman society—provides a valuable case study for understanding</w:t>
      </w:r>
      <w:r w:rsidR="00CC2489">
        <w:rPr>
          <w:rFonts w:ascii="Times New Roman" w:eastAsia="Times New Roman" w:hAnsi="Times New Roman" w:cs="Times New Roman"/>
          <w:kern w:val="0"/>
          <w:sz w:val="24"/>
          <w:szCs w:val="24"/>
          <w:lang w:eastAsia="en-GB"/>
          <w14:ligatures w14:val="none"/>
        </w:rPr>
        <w:t xml:space="preserve"> </w:t>
      </w:r>
      <w:r w:rsidR="00B874D5">
        <w:rPr>
          <w:rFonts w:ascii="Times New Roman" w:eastAsia="Times New Roman" w:hAnsi="Times New Roman" w:cs="Times New Roman"/>
          <w:kern w:val="0"/>
          <w:sz w:val="24"/>
          <w:szCs w:val="24"/>
          <w:lang w:eastAsia="en-GB"/>
          <w14:ligatures w14:val="none"/>
        </w:rPr>
        <w:t xml:space="preserve">how Welsh and Anglo-Norman </w:t>
      </w:r>
      <w:r w:rsidR="00564C6D">
        <w:rPr>
          <w:rFonts w:ascii="Times New Roman" w:eastAsia="Times New Roman" w:hAnsi="Times New Roman" w:cs="Times New Roman"/>
          <w:kern w:val="0"/>
          <w:sz w:val="24"/>
          <w:szCs w:val="24"/>
          <w:lang w:eastAsia="en-GB"/>
          <w14:ligatures w14:val="none"/>
        </w:rPr>
        <w:t>societies interacted wit</w:t>
      </w:r>
      <w:r w:rsidR="00E408BE">
        <w:rPr>
          <w:rFonts w:ascii="Times New Roman" w:eastAsia="Times New Roman" w:hAnsi="Times New Roman" w:cs="Times New Roman"/>
          <w:kern w:val="0"/>
          <w:sz w:val="24"/>
          <w:szCs w:val="24"/>
          <w:lang w:eastAsia="en-GB"/>
          <w14:ligatures w14:val="none"/>
        </w:rPr>
        <w:t>h each other</w:t>
      </w:r>
      <w:r w:rsidR="00956D3B">
        <w:rPr>
          <w:rFonts w:ascii="Times New Roman" w:eastAsia="Times New Roman" w:hAnsi="Times New Roman" w:cs="Times New Roman"/>
          <w:kern w:val="0"/>
          <w:sz w:val="24"/>
          <w:szCs w:val="24"/>
          <w:lang w:eastAsia="en-GB"/>
          <w14:ligatures w14:val="none"/>
        </w:rPr>
        <w:t>.</w:t>
      </w:r>
      <w:r w:rsidR="00F92763">
        <w:rPr>
          <w:rFonts w:ascii="Times New Roman" w:eastAsia="Times New Roman" w:hAnsi="Times New Roman" w:cs="Times New Roman"/>
          <w:kern w:val="0"/>
          <w:sz w:val="24"/>
          <w:szCs w:val="24"/>
          <w:lang w:eastAsia="en-GB"/>
          <w14:ligatures w14:val="none"/>
        </w:rPr>
        <w:t xml:space="preserve"> </w:t>
      </w:r>
      <w:r w:rsidR="00B372BE">
        <w:rPr>
          <w:rFonts w:ascii="Times New Roman" w:eastAsia="Times New Roman" w:hAnsi="Times New Roman" w:cs="Times New Roman"/>
          <w:kern w:val="0"/>
          <w:sz w:val="24"/>
          <w:szCs w:val="24"/>
          <w:lang w:eastAsia="en-GB"/>
          <w14:ligatures w14:val="none"/>
        </w:rPr>
        <w:t>R</w:t>
      </w:r>
      <w:r w:rsidR="00F92763" w:rsidRPr="002C0D3B">
        <w:rPr>
          <w:rFonts w:ascii="Times New Roman" w:eastAsia="Times New Roman" w:hAnsi="Times New Roman" w:cs="Times New Roman"/>
          <w:kern w:val="0"/>
          <w:sz w:val="24"/>
          <w:szCs w:val="24"/>
          <w:lang w:eastAsia="en-GB"/>
          <w14:ligatures w14:val="none"/>
        </w:rPr>
        <w:t xml:space="preserve">econstructing Nest ferch Rhys’s life presents significant historiographical challenges. Like many women of the medieval period, </w:t>
      </w:r>
      <w:r w:rsidR="00214A43">
        <w:rPr>
          <w:rFonts w:ascii="Times New Roman" w:eastAsia="Times New Roman" w:hAnsi="Times New Roman" w:cs="Times New Roman"/>
          <w:kern w:val="0"/>
          <w:sz w:val="24"/>
          <w:szCs w:val="24"/>
          <w:lang w:eastAsia="en-GB"/>
          <w14:ligatures w14:val="none"/>
        </w:rPr>
        <w:t>much of her life</w:t>
      </w:r>
      <w:r w:rsidR="00F92763" w:rsidRPr="002C0D3B">
        <w:rPr>
          <w:rFonts w:ascii="Times New Roman" w:eastAsia="Times New Roman" w:hAnsi="Times New Roman" w:cs="Times New Roman"/>
          <w:kern w:val="0"/>
          <w:sz w:val="24"/>
          <w:szCs w:val="24"/>
          <w:lang w:eastAsia="en-GB"/>
          <w14:ligatures w14:val="none"/>
        </w:rPr>
        <w:t xml:space="preserve"> is </w:t>
      </w:r>
      <w:r w:rsidR="00521791">
        <w:rPr>
          <w:rFonts w:ascii="Times New Roman" w:eastAsia="Times New Roman" w:hAnsi="Times New Roman" w:cs="Times New Roman"/>
          <w:kern w:val="0"/>
          <w:sz w:val="24"/>
          <w:szCs w:val="24"/>
          <w:lang w:eastAsia="en-GB"/>
          <w14:ligatures w14:val="none"/>
        </w:rPr>
        <w:t>rarely</w:t>
      </w:r>
      <w:r w:rsidR="00F92763" w:rsidRPr="002C0D3B">
        <w:rPr>
          <w:rFonts w:ascii="Times New Roman" w:eastAsia="Times New Roman" w:hAnsi="Times New Roman" w:cs="Times New Roman"/>
          <w:kern w:val="0"/>
          <w:sz w:val="24"/>
          <w:szCs w:val="24"/>
          <w:lang w:eastAsia="en-GB"/>
          <w14:ligatures w14:val="none"/>
        </w:rPr>
        <w:t xml:space="preserve"> documented in contemporary sources, and much of what is known about her derives from later narrative </w:t>
      </w:r>
      <w:r w:rsidR="009A2F4A">
        <w:rPr>
          <w:rFonts w:ascii="Times New Roman" w:eastAsia="Times New Roman" w:hAnsi="Times New Roman" w:cs="Times New Roman"/>
          <w:kern w:val="0"/>
          <w:sz w:val="24"/>
          <w:szCs w:val="24"/>
          <w:lang w:eastAsia="en-GB"/>
          <w14:ligatures w14:val="none"/>
        </w:rPr>
        <w:t>works influenced</w:t>
      </w:r>
      <w:r w:rsidR="00F92763" w:rsidRPr="002C0D3B">
        <w:rPr>
          <w:rFonts w:ascii="Times New Roman" w:eastAsia="Times New Roman" w:hAnsi="Times New Roman" w:cs="Times New Roman"/>
          <w:kern w:val="0"/>
          <w:sz w:val="24"/>
          <w:szCs w:val="24"/>
          <w:lang w:eastAsia="en-GB"/>
          <w14:ligatures w14:val="none"/>
        </w:rPr>
        <w:t xml:space="preserve"> by literary, moral, and political concerns.</w:t>
      </w:r>
      <w:r w:rsidR="00F92763">
        <w:rPr>
          <w:rStyle w:val="FootnoteReference"/>
          <w:rFonts w:ascii="Times New Roman" w:eastAsia="Times New Roman" w:hAnsi="Times New Roman" w:cs="Times New Roman"/>
          <w:kern w:val="0"/>
          <w:sz w:val="24"/>
          <w:szCs w:val="24"/>
          <w:lang w:eastAsia="en-GB"/>
          <w14:ligatures w14:val="none"/>
        </w:rPr>
        <w:footnoteReference w:id="2"/>
      </w:r>
      <w:r w:rsidR="00F92763" w:rsidRPr="002C0D3B">
        <w:rPr>
          <w:rFonts w:ascii="Times New Roman" w:eastAsia="Times New Roman" w:hAnsi="Times New Roman" w:cs="Times New Roman"/>
          <w:kern w:val="0"/>
          <w:sz w:val="24"/>
          <w:szCs w:val="24"/>
          <w:lang w:eastAsia="en-GB"/>
          <w14:ligatures w14:val="none"/>
        </w:rPr>
        <w:t xml:space="preserve"> As a result, any reconstruction of her life must account not only for the events attributed to her but also for the </w:t>
      </w:r>
      <w:r w:rsidR="00214A43">
        <w:rPr>
          <w:rFonts w:ascii="Times New Roman" w:eastAsia="Times New Roman" w:hAnsi="Times New Roman" w:cs="Times New Roman"/>
          <w:kern w:val="0"/>
          <w:sz w:val="24"/>
          <w:szCs w:val="24"/>
          <w:lang w:eastAsia="en-GB"/>
          <w14:ligatures w14:val="none"/>
        </w:rPr>
        <w:t>influences</w:t>
      </w:r>
      <w:r w:rsidR="00F92763" w:rsidRPr="002C0D3B">
        <w:rPr>
          <w:rFonts w:ascii="Times New Roman" w:eastAsia="Times New Roman" w:hAnsi="Times New Roman" w:cs="Times New Roman"/>
          <w:kern w:val="0"/>
          <w:sz w:val="24"/>
          <w:szCs w:val="24"/>
          <w:lang w:eastAsia="en-GB"/>
          <w14:ligatures w14:val="none"/>
        </w:rPr>
        <w:t xml:space="preserve"> through which those events were recorded, transmitted, and reinterpreted. Her historical identity is therefore inseparable from the nature of the sources that preserve her story.</w:t>
      </w:r>
      <w:r w:rsidR="00F92763">
        <w:rPr>
          <w:rFonts w:ascii="Times New Roman" w:eastAsia="Times New Roman" w:hAnsi="Times New Roman" w:cs="Times New Roman"/>
          <w:kern w:val="0"/>
          <w:sz w:val="24"/>
          <w:szCs w:val="24"/>
          <w:lang w:eastAsia="en-GB"/>
          <w14:ligatures w14:val="none"/>
        </w:rPr>
        <w:t xml:space="preserve"> </w:t>
      </w:r>
      <w:r w:rsidR="00F92763" w:rsidRPr="002C0D3B">
        <w:rPr>
          <w:rFonts w:ascii="Times New Roman" w:eastAsia="Times New Roman" w:hAnsi="Times New Roman" w:cs="Times New Roman"/>
          <w:kern w:val="0"/>
          <w:sz w:val="24"/>
          <w:szCs w:val="24"/>
          <w:lang w:eastAsia="en-GB"/>
          <w14:ligatures w14:val="none"/>
        </w:rPr>
        <w:t xml:space="preserve">The most important narrative source for Nest is the </w:t>
      </w:r>
      <w:r w:rsidR="00F92763" w:rsidRPr="002C0D3B">
        <w:rPr>
          <w:rFonts w:ascii="Times New Roman" w:eastAsia="Times New Roman" w:hAnsi="Times New Roman" w:cs="Times New Roman"/>
          <w:i/>
          <w:iCs/>
          <w:kern w:val="0"/>
          <w:sz w:val="24"/>
          <w:szCs w:val="24"/>
          <w:lang w:eastAsia="en-GB"/>
          <w14:ligatures w14:val="none"/>
        </w:rPr>
        <w:t>Brut y Tywysogion</w:t>
      </w:r>
      <w:r w:rsidR="00F92763" w:rsidRPr="002C0D3B">
        <w:rPr>
          <w:rFonts w:ascii="Times New Roman" w:eastAsia="Times New Roman" w:hAnsi="Times New Roman" w:cs="Times New Roman"/>
          <w:kern w:val="0"/>
          <w:sz w:val="24"/>
          <w:szCs w:val="24"/>
          <w:lang w:eastAsia="en-GB"/>
          <w14:ligatures w14:val="none"/>
        </w:rPr>
        <w:t xml:space="preserve"> (Chronicle of the Princes), which provides the most detailed account of her </w:t>
      </w:r>
      <w:r w:rsidR="00F92763" w:rsidRPr="00C02C20">
        <w:rPr>
          <w:rFonts w:ascii="Times New Roman" w:eastAsia="Times New Roman" w:hAnsi="Times New Roman" w:cs="Times New Roman"/>
          <w:kern w:val="0"/>
          <w:sz w:val="24"/>
          <w:szCs w:val="24"/>
          <w:lang w:eastAsia="en-GB"/>
          <w14:ligatures w14:val="none"/>
        </w:rPr>
        <w:t xml:space="preserve">abduction in 1109, an episode that has profoundly </w:t>
      </w:r>
      <w:r w:rsidR="009A2F4A" w:rsidRPr="00C02C20">
        <w:rPr>
          <w:rFonts w:ascii="Times New Roman" w:eastAsia="Times New Roman" w:hAnsi="Times New Roman" w:cs="Times New Roman"/>
          <w:kern w:val="0"/>
          <w:sz w:val="24"/>
          <w:szCs w:val="24"/>
          <w:lang w:eastAsia="en-GB"/>
          <w14:ligatures w14:val="none"/>
        </w:rPr>
        <w:t>influenced</w:t>
      </w:r>
      <w:r w:rsidR="00F92763" w:rsidRPr="00C02C20">
        <w:rPr>
          <w:rFonts w:ascii="Times New Roman" w:eastAsia="Times New Roman" w:hAnsi="Times New Roman" w:cs="Times New Roman"/>
          <w:kern w:val="0"/>
          <w:sz w:val="24"/>
          <w:szCs w:val="24"/>
          <w:lang w:eastAsia="en-GB"/>
          <w14:ligatures w14:val="none"/>
        </w:rPr>
        <w:t xml:space="preserve"> her later historiographical reputation.</w:t>
      </w:r>
      <w:r w:rsidR="00372FD2" w:rsidRPr="00C02C20">
        <w:rPr>
          <w:rStyle w:val="FootnoteReference"/>
          <w:rFonts w:ascii="Times New Roman" w:eastAsia="Times New Roman" w:hAnsi="Times New Roman" w:cs="Times New Roman"/>
          <w:kern w:val="0"/>
          <w:sz w:val="24"/>
          <w:szCs w:val="24"/>
          <w:lang w:eastAsia="en-GB"/>
          <w14:ligatures w14:val="none"/>
        </w:rPr>
        <w:footnoteReference w:id="3"/>
      </w:r>
      <w:r w:rsidR="00F92763" w:rsidRPr="00C02C20">
        <w:rPr>
          <w:rFonts w:ascii="Times New Roman" w:eastAsia="Times New Roman" w:hAnsi="Times New Roman" w:cs="Times New Roman"/>
          <w:kern w:val="0"/>
          <w:sz w:val="24"/>
          <w:szCs w:val="24"/>
          <w:lang w:eastAsia="en-GB"/>
          <w14:ligatures w14:val="none"/>
        </w:rPr>
        <w:t xml:space="preserve"> </w:t>
      </w:r>
      <w:r w:rsidRPr="00C02C20">
        <w:rPr>
          <w:rFonts w:ascii="Times New Roman" w:hAnsi="Times New Roman" w:cs="Times New Roman"/>
          <w:sz w:val="24"/>
          <w:szCs w:val="24"/>
        </w:rPr>
        <w:t>The chronicle does not give a single consistent version of events across its manuscripts</w:t>
      </w:r>
      <w:r w:rsidR="00F92763" w:rsidRPr="00C02C20">
        <w:rPr>
          <w:rFonts w:ascii="Times New Roman" w:eastAsia="Times New Roman" w:hAnsi="Times New Roman" w:cs="Times New Roman"/>
          <w:kern w:val="0"/>
          <w:sz w:val="24"/>
          <w:szCs w:val="24"/>
          <w:lang w:eastAsia="en-GB"/>
          <w14:ligatures w14:val="none"/>
        </w:rPr>
        <w:t xml:space="preserve">. Variations </w:t>
      </w:r>
      <w:r w:rsidR="00F92763" w:rsidRPr="002C0D3B">
        <w:rPr>
          <w:rFonts w:ascii="Times New Roman" w:eastAsia="Times New Roman" w:hAnsi="Times New Roman" w:cs="Times New Roman"/>
          <w:kern w:val="0"/>
          <w:sz w:val="24"/>
          <w:szCs w:val="24"/>
          <w:lang w:eastAsia="en-GB"/>
          <w14:ligatures w14:val="none"/>
        </w:rPr>
        <w:t xml:space="preserve">in emphasis, phrasing, and narrative detail suggest that the text was </w:t>
      </w:r>
      <w:r w:rsidR="009A2F4A">
        <w:rPr>
          <w:rFonts w:ascii="Times New Roman" w:eastAsia="Times New Roman" w:hAnsi="Times New Roman" w:cs="Times New Roman"/>
          <w:kern w:val="0"/>
          <w:sz w:val="24"/>
          <w:szCs w:val="24"/>
          <w:lang w:eastAsia="en-GB"/>
          <w14:ligatures w14:val="none"/>
        </w:rPr>
        <w:t>influenced</w:t>
      </w:r>
      <w:r w:rsidR="00F92763" w:rsidRPr="002C0D3B">
        <w:rPr>
          <w:rFonts w:ascii="Times New Roman" w:eastAsia="Times New Roman" w:hAnsi="Times New Roman" w:cs="Times New Roman"/>
          <w:kern w:val="0"/>
          <w:sz w:val="24"/>
          <w:szCs w:val="24"/>
          <w:lang w:eastAsia="en-GB"/>
          <w14:ligatures w14:val="none"/>
        </w:rPr>
        <w:t xml:space="preserve"> through processes of compilation and literary adaptation. In particular, its presentation of abduction narratives reflects stylistic conventions associated with Welsh bardic culture and prose </w:t>
      </w:r>
      <w:r w:rsidR="009A2F4A">
        <w:rPr>
          <w:rFonts w:ascii="Times New Roman" w:eastAsia="Times New Roman" w:hAnsi="Times New Roman" w:cs="Times New Roman"/>
          <w:kern w:val="0"/>
          <w:sz w:val="24"/>
          <w:szCs w:val="24"/>
          <w:lang w:eastAsia="en-GB"/>
          <w14:ligatures w14:val="none"/>
        </w:rPr>
        <w:t>work</w:t>
      </w:r>
      <w:r w:rsidR="00F92763" w:rsidRPr="002C0D3B">
        <w:rPr>
          <w:rFonts w:ascii="Times New Roman" w:eastAsia="Times New Roman" w:hAnsi="Times New Roman" w:cs="Times New Roman"/>
          <w:kern w:val="0"/>
          <w:sz w:val="24"/>
          <w:szCs w:val="24"/>
          <w:lang w:eastAsia="en-GB"/>
          <w14:ligatures w14:val="none"/>
        </w:rPr>
        <w:t xml:space="preserve"> such as the </w:t>
      </w:r>
      <w:r w:rsidR="00F92763" w:rsidRPr="002C0D3B">
        <w:rPr>
          <w:rFonts w:ascii="Times New Roman" w:eastAsia="Times New Roman" w:hAnsi="Times New Roman" w:cs="Times New Roman"/>
          <w:i/>
          <w:iCs/>
          <w:kern w:val="0"/>
          <w:sz w:val="24"/>
          <w:szCs w:val="24"/>
          <w:lang w:eastAsia="en-GB"/>
          <w14:ligatures w14:val="none"/>
        </w:rPr>
        <w:t>Mabinogion</w:t>
      </w:r>
      <w:r w:rsidR="00F92763" w:rsidRPr="002C0D3B">
        <w:rPr>
          <w:rFonts w:ascii="Times New Roman" w:eastAsia="Times New Roman" w:hAnsi="Times New Roman" w:cs="Times New Roman"/>
          <w:kern w:val="0"/>
          <w:sz w:val="24"/>
          <w:szCs w:val="24"/>
          <w:lang w:eastAsia="en-GB"/>
          <w14:ligatures w14:val="none"/>
        </w:rPr>
        <w:t>, where episodes of disruption often carry symbolic and moral significance.</w:t>
      </w:r>
      <w:r w:rsidR="00F92763">
        <w:rPr>
          <w:rStyle w:val="FootnoteReference"/>
          <w:rFonts w:ascii="Times New Roman" w:eastAsia="Times New Roman" w:hAnsi="Times New Roman" w:cs="Times New Roman"/>
          <w:kern w:val="0"/>
          <w:sz w:val="24"/>
          <w:szCs w:val="24"/>
          <w:lang w:eastAsia="en-GB"/>
          <w14:ligatures w14:val="none"/>
        </w:rPr>
        <w:footnoteReference w:id="4"/>
      </w:r>
      <w:r w:rsidR="00F92763" w:rsidRPr="002C0D3B">
        <w:rPr>
          <w:rFonts w:ascii="Times New Roman" w:eastAsia="Times New Roman" w:hAnsi="Times New Roman" w:cs="Times New Roman"/>
          <w:kern w:val="0"/>
          <w:sz w:val="24"/>
          <w:szCs w:val="24"/>
          <w:lang w:eastAsia="en-GB"/>
          <w14:ligatures w14:val="none"/>
        </w:rPr>
        <w:t xml:space="preserve"> </w:t>
      </w:r>
      <w:r w:rsidR="00214A43">
        <w:rPr>
          <w:rFonts w:ascii="Times New Roman" w:eastAsia="Times New Roman" w:hAnsi="Times New Roman" w:cs="Times New Roman"/>
          <w:kern w:val="0"/>
          <w:sz w:val="24"/>
          <w:szCs w:val="24"/>
          <w:lang w:eastAsia="en-GB"/>
          <w14:ligatures w14:val="none"/>
        </w:rPr>
        <w:t>W</w:t>
      </w:r>
      <w:r w:rsidR="00F92763" w:rsidRPr="002C0D3B">
        <w:rPr>
          <w:rFonts w:ascii="Times New Roman" w:eastAsia="Times New Roman" w:hAnsi="Times New Roman" w:cs="Times New Roman"/>
          <w:kern w:val="0"/>
          <w:sz w:val="24"/>
          <w:szCs w:val="24"/>
          <w:lang w:eastAsia="en-GB"/>
          <w14:ligatures w14:val="none"/>
        </w:rPr>
        <w:t xml:space="preserve">hile the </w:t>
      </w:r>
      <w:r w:rsidR="00F92763" w:rsidRPr="002C0D3B">
        <w:rPr>
          <w:rFonts w:ascii="Times New Roman" w:eastAsia="Times New Roman" w:hAnsi="Times New Roman" w:cs="Times New Roman"/>
          <w:i/>
          <w:iCs/>
          <w:kern w:val="0"/>
          <w:sz w:val="24"/>
          <w:szCs w:val="24"/>
          <w:lang w:eastAsia="en-GB"/>
          <w14:ligatures w14:val="none"/>
        </w:rPr>
        <w:t>Brut</w:t>
      </w:r>
      <w:r w:rsidR="00F92763" w:rsidRPr="002C0D3B">
        <w:rPr>
          <w:rFonts w:ascii="Times New Roman" w:eastAsia="Times New Roman" w:hAnsi="Times New Roman" w:cs="Times New Roman"/>
          <w:kern w:val="0"/>
          <w:sz w:val="24"/>
          <w:szCs w:val="24"/>
          <w:lang w:eastAsia="en-GB"/>
          <w14:ligatures w14:val="none"/>
        </w:rPr>
        <w:t xml:space="preserve"> preserves a broadly consistent sequence of events, its narrative form complicates its use as a straightforward factual record.</w:t>
      </w:r>
      <w:r w:rsidR="00F92763">
        <w:rPr>
          <w:rFonts w:ascii="Times New Roman" w:eastAsia="Times New Roman" w:hAnsi="Times New Roman" w:cs="Times New Roman"/>
          <w:kern w:val="0"/>
          <w:sz w:val="24"/>
          <w:szCs w:val="24"/>
          <w:lang w:eastAsia="en-GB"/>
          <w14:ligatures w14:val="none"/>
        </w:rPr>
        <w:t xml:space="preserve"> </w:t>
      </w:r>
      <w:r w:rsidR="00F92763" w:rsidRPr="002C0D3B">
        <w:rPr>
          <w:rFonts w:ascii="Times New Roman" w:eastAsia="Times New Roman" w:hAnsi="Times New Roman" w:cs="Times New Roman"/>
          <w:kern w:val="0"/>
          <w:sz w:val="24"/>
          <w:szCs w:val="24"/>
          <w:lang w:eastAsia="en-GB"/>
          <w14:ligatures w14:val="none"/>
        </w:rPr>
        <w:t xml:space="preserve">Alongside this chronicle tradition, the writings of Gerald of </w:t>
      </w:r>
      <w:r w:rsidR="00F92763" w:rsidRPr="002C0D3B">
        <w:rPr>
          <w:rFonts w:ascii="Times New Roman" w:eastAsia="Times New Roman" w:hAnsi="Times New Roman" w:cs="Times New Roman"/>
          <w:kern w:val="0"/>
          <w:sz w:val="24"/>
          <w:szCs w:val="24"/>
          <w:lang w:eastAsia="en-GB"/>
          <w14:ligatures w14:val="none"/>
        </w:rPr>
        <w:lastRenderedPageBreak/>
        <w:t>Wales (</w:t>
      </w:r>
      <w:r w:rsidR="00F92763" w:rsidRPr="002C0D3B">
        <w:rPr>
          <w:rFonts w:ascii="Times New Roman" w:eastAsia="Times New Roman" w:hAnsi="Times New Roman" w:cs="Times New Roman"/>
          <w:i/>
          <w:iCs/>
          <w:kern w:val="0"/>
          <w:sz w:val="24"/>
          <w:szCs w:val="24"/>
          <w:lang w:eastAsia="en-GB"/>
          <w14:ligatures w14:val="none"/>
        </w:rPr>
        <w:t>Descriptio Kambriae</w:t>
      </w:r>
      <w:r w:rsidR="00F92763" w:rsidRPr="002C0D3B">
        <w:rPr>
          <w:rFonts w:ascii="Times New Roman" w:eastAsia="Times New Roman" w:hAnsi="Times New Roman" w:cs="Times New Roman"/>
          <w:kern w:val="0"/>
          <w:sz w:val="24"/>
          <w:szCs w:val="24"/>
          <w:lang w:eastAsia="en-GB"/>
          <w14:ligatures w14:val="none"/>
        </w:rPr>
        <w:t xml:space="preserve"> and</w:t>
      </w:r>
      <w:r w:rsidR="00F92763">
        <w:rPr>
          <w:rFonts w:ascii="Times New Roman" w:eastAsia="Times New Roman" w:hAnsi="Times New Roman" w:cs="Times New Roman"/>
          <w:kern w:val="0"/>
          <w:sz w:val="24"/>
          <w:szCs w:val="24"/>
          <w:lang w:eastAsia="en-GB"/>
          <w14:ligatures w14:val="none"/>
        </w:rPr>
        <w:t xml:space="preserve"> </w:t>
      </w:r>
      <w:r w:rsidR="00F92763" w:rsidRPr="002C0D3B">
        <w:rPr>
          <w:rFonts w:ascii="Times New Roman" w:eastAsia="Times New Roman" w:hAnsi="Times New Roman" w:cs="Times New Roman"/>
          <w:i/>
          <w:iCs/>
          <w:kern w:val="0"/>
          <w:sz w:val="24"/>
          <w:szCs w:val="24"/>
          <w:lang w:eastAsia="en-GB"/>
          <w14:ligatures w14:val="none"/>
        </w:rPr>
        <w:t>Itinerarium Kambriae</w:t>
      </w:r>
      <w:r w:rsidR="00F92763" w:rsidRPr="002C0D3B">
        <w:rPr>
          <w:rFonts w:ascii="Times New Roman" w:eastAsia="Times New Roman" w:hAnsi="Times New Roman" w:cs="Times New Roman"/>
          <w:kern w:val="0"/>
          <w:sz w:val="24"/>
          <w:szCs w:val="24"/>
          <w:lang w:eastAsia="en-GB"/>
          <w14:ligatures w14:val="none"/>
        </w:rPr>
        <w:t xml:space="preserve">) provide a </w:t>
      </w:r>
      <w:r w:rsidR="00B372BE">
        <w:rPr>
          <w:rFonts w:ascii="Times New Roman" w:eastAsia="Times New Roman" w:hAnsi="Times New Roman" w:cs="Times New Roman"/>
          <w:kern w:val="0"/>
          <w:sz w:val="24"/>
          <w:szCs w:val="24"/>
          <w:lang w:eastAsia="en-GB"/>
          <w14:ligatures w14:val="none"/>
        </w:rPr>
        <w:t>different</w:t>
      </w:r>
      <w:r w:rsidR="00F92763" w:rsidRPr="002C0D3B">
        <w:rPr>
          <w:rFonts w:ascii="Times New Roman" w:eastAsia="Times New Roman" w:hAnsi="Times New Roman" w:cs="Times New Roman"/>
          <w:kern w:val="0"/>
          <w:sz w:val="24"/>
          <w:szCs w:val="24"/>
          <w:lang w:eastAsia="en-GB"/>
          <w14:ligatures w14:val="none"/>
        </w:rPr>
        <w:t xml:space="preserve"> perspective. As Nest’s grandson through her daughter Angharad, Gerald occupies a unique position that connects him to both Welsh and Anglo-Norman elite.</w:t>
      </w:r>
      <w:r w:rsidR="00050401">
        <w:rPr>
          <w:rStyle w:val="FootnoteReference"/>
          <w:rFonts w:ascii="Times New Roman" w:eastAsia="Times New Roman" w:hAnsi="Times New Roman" w:cs="Times New Roman"/>
          <w:kern w:val="0"/>
          <w:sz w:val="24"/>
          <w:szCs w:val="24"/>
          <w:lang w:eastAsia="en-GB"/>
          <w14:ligatures w14:val="none"/>
        </w:rPr>
        <w:footnoteReference w:id="5"/>
      </w:r>
      <w:r w:rsidR="00F92763" w:rsidRPr="002C0D3B">
        <w:rPr>
          <w:rFonts w:ascii="Times New Roman" w:eastAsia="Times New Roman" w:hAnsi="Times New Roman" w:cs="Times New Roman"/>
          <w:kern w:val="0"/>
          <w:sz w:val="24"/>
          <w:szCs w:val="24"/>
          <w:lang w:eastAsia="en-GB"/>
          <w14:ligatures w14:val="none"/>
        </w:rPr>
        <w:t xml:space="preserve"> His works are valuable for their genealogical detail and insight into Welsh societ</w:t>
      </w:r>
      <w:r w:rsidR="00B372BE">
        <w:rPr>
          <w:rFonts w:ascii="Times New Roman" w:eastAsia="Times New Roman" w:hAnsi="Times New Roman" w:cs="Times New Roman"/>
          <w:kern w:val="0"/>
          <w:sz w:val="24"/>
          <w:szCs w:val="24"/>
          <w:lang w:eastAsia="en-GB"/>
          <w14:ligatures w14:val="none"/>
        </w:rPr>
        <w:t xml:space="preserve">y; </w:t>
      </w:r>
      <w:r w:rsidR="00F92763" w:rsidRPr="002C0D3B">
        <w:rPr>
          <w:rFonts w:ascii="Times New Roman" w:eastAsia="Times New Roman" w:hAnsi="Times New Roman" w:cs="Times New Roman"/>
          <w:kern w:val="0"/>
          <w:sz w:val="24"/>
          <w:szCs w:val="24"/>
          <w:lang w:eastAsia="en-GB"/>
          <w14:ligatures w14:val="none"/>
        </w:rPr>
        <w:t xml:space="preserve">they are also </w:t>
      </w:r>
      <w:r w:rsidR="009A2F4A">
        <w:rPr>
          <w:rFonts w:ascii="Times New Roman" w:eastAsia="Times New Roman" w:hAnsi="Times New Roman" w:cs="Times New Roman"/>
          <w:kern w:val="0"/>
          <w:sz w:val="24"/>
          <w:szCs w:val="24"/>
          <w:lang w:eastAsia="en-GB"/>
          <w14:ligatures w14:val="none"/>
        </w:rPr>
        <w:t>influenced</w:t>
      </w:r>
      <w:r w:rsidR="00F92763" w:rsidRPr="002C0D3B">
        <w:rPr>
          <w:rFonts w:ascii="Times New Roman" w:eastAsia="Times New Roman" w:hAnsi="Times New Roman" w:cs="Times New Roman"/>
          <w:kern w:val="0"/>
          <w:sz w:val="24"/>
          <w:szCs w:val="24"/>
          <w:lang w:eastAsia="en-GB"/>
          <w14:ligatures w14:val="none"/>
        </w:rPr>
        <w:t xml:space="preserve"> by explicit moral and </w:t>
      </w:r>
      <w:r w:rsidR="00214A43">
        <w:rPr>
          <w:rFonts w:ascii="Times New Roman" w:eastAsia="Times New Roman" w:hAnsi="Times New Roman" w:cs="Times New Roman"/>
          <w:kern w:val="0"/>
          <w:sz w:val="24"/>
          <w:szCs w:val="24"/>
          <w:lang w:eastAsia="en-GB"/>
          <w14:ligatures w14:val="none"/>
        </w:rPr>
        <w:t>informative</w:t>
      </w:r>
      <w:r w:rsidR="00F92763" w:rsidRPr="002C0D3B">
        <w:rPr>
          <w:rFonts w:ascii="Times New Roman" w:eastAsia="Times New Roman" w:hAnsi="Times New Roman" w:cs="Times New Roman"/>
          <w:kern w:val="0"/>
          <w:sz w:val="24"/>
          <w:szCs w:val="24"/>
          <w:lang w:eastAsia="en-GB"/>
          <w14:ligatures w14:val="none"/>
        </w:rPr>
        <w:t xml:space="preserve"> aims.</w:t>
      </w:r>
      <w:r w:rsidR="009A2F4A" w:rsidRPr="009A2F4A">
        <w:rPr>
          <w:rStyle w:val="FootnoteReference"/>
          <w:rFonts w:ascii="Times New Roman" w:eastAsia="Times New Roman" w:hAnsi="Times New Roman" w:cs="Times New Roman"/>
          <w:kern w:val="0"/>
          <w:sz w:val="24"/>
          <w:szCs w:val="24"/>
          <w:lang w:eastAsia="en-GB"/>
          <w14:ligatures w14:val="none"/>
        </w:rPr>
        <w:t xml:space="preserve"> </w:t>
      </w:r>
      <w:r w:rsidR="009A2F4A">
        <w:rPr>
          <w:rStyle w:val="FootnoteReference"/>
          <w:rFonts w:ascii="Times New Roman" w:eastAsia="Times New Roman" w:hAnsi="Times New Roman" w:cs="Times New Roman"/>
          <w:kern w:val="0"/>
          <w:sz w:val="24"/>
          <w:szCs w:val="24"/>
          <w:lang w:eastAsia="en-GB"/>
          <w14:ligatures w14:val="none"/>
        </w:rPr>
        <w:footnoteReference w:id="6"/>
      </w:r>
      <w:r w:rsidR="00F92763" w:rsidRPr="002C0D3B">
        <w:rPr>
          <w:rFonts w:ascii="Times New Roman" w:eastAsia="Times New Roman" w:hAnsi="Times New Roman" w:cs="Times New Roman"/>
          <w:kern w:val="0"/>
          <w:sz w:val="24"/>
          <w:szCs w:val="24"/>
          <w:lang w:eastAsia="en-GB"/>
          <w14:ligatures w14:val="none"/>
        </w:rPr>
        <w:t xml:space="preserve"> Gerald frequently frames historical material to illustrate ethical lessons, and his treatment of women elsewhere in his writings reflects a tendency to present them as moral </w:t>
      </w:r>
      <w:r w:rsidR="000332E3">
        <w:rPr>
          <w:rFonts w:ascii="Times New Roman" w:eastAsia="Times New Roman" w:hAnsi="Times New Roman" w:cs="Times New Roman"/>
          <w:kern w:val="0"/>
          <w:sz w:val="24"/>
          <w:szCs w:val="24"/>
          <w:lang w:eastAsia="en-GB"/>
          <w14:ligatures w14:val="none"/>
        </w:rPr>
        <w:t>examples</w:t>
      </w:r>
      <w:r w:rsidR="00F92763" w:rsidRPr="002C0D3B">
        <w:rPr>
          <w:rFonts w:ascii="Times New Roman" w:eastAsia="Times New Roman" w:hAnsi="Times New Roman" w:cs="Times New Roman"/>
          <w:kern w:val="0"/>
          <w:sz w:val="24"/>
          <w:szCs w:val="24"/>
          <w:lang w:eastAsia="en-GB"/>
          <w14:ligatures w14:val="none"/>
        </w:rPr>
        <w:t xml:space="preserve"> </w:t>
      </w:r>
      <w:r w:rsidR="000332E3">
        <w:rPr>
          <w:rFonts w:ascii="Times New Roman" w:eastAsia="Times New Roman" w:hAnsi="Times New Roman" w:cs="Times New Roman"/>
          <w:kern w:val="0"/>
          <w:sz w:val="24"/>
          <w:szCs w:val="24"/>
          <w:lang w:eastAsia="en-GB"/>
          <w14:ligatures w14:val="none"/>
        </w:rPr>
        <w:t>instead of</w:t>
      </w:r>
      <w:r w:rsidR="00F92763" w:rsidRPr="002C0D3B">
        <w:rPr>
          <w:rFonts w:ascii="Times New Roman" w:eastAsia="Times New Roman" w:hAnsi="Times New Roman" w:cs="Times New Roman"/>
          <w:kern w:val="0"/>
          <w:sz w:val="24"/>
          <w:szCs w:val="24"/>
          <w:lang w:eastAsia="en-GB"/>
          <w14:ligatures w14:val="none"/>
        </w:rPr>
        <w:t xml:space="preserve"> fully autonomous historical actors. </w:t>
      </w:r>
      <w:r w:rsidR="00D7222D">
        <w:rPr>
          <w:rFonts w:ascii="Times New Roman" w:eastAsia="Times New Roman" w:hAnsi="Times New Roman" w:cs="Times New Roman"/>
          <w:kern w:val="0"/>
          <w:sz w:val="24"/>
          <w:szCs w:val="24"/>
          <w:lang w:eastAsia="en-GB"/>
          <w14:ligatures w14:val="none"/>
        </w:rPr>
        <w:t>H</w:t>
      </w:r>
      <w:r w:rsidR="00F92763" w:rsidRPr="002C0D3B">
        <w:rPr>
          <w:rFonts w:ascii="Times New Roman" w:eastAsia="Times New Roman" w:hAnsi="Times New Roman" w:cs="Times New Roman"/>
          <w:kern w:val="0"/>
          <w:sz w:val="24"/>
          <w:szCs w:val="24"/>
          <w:lang w:eastAsia="en-GB"/>
          <w14:ligatures w14:val="none"/>
        </w:rPr>
        <w:t xml:space="preserve">e </w:t>
      </w:r>
      <w:r w:rsidR="00B7230B">
        <w:rPr>
          <w:rFonts w:ascii="Times New Roman" w:eastAsia="Times New Roman" w:hAnsi="Times New Roman" w:cs="Times New Roman"/>
          <w:kern w:val="0"/>
          <w:sz w:val="24"/>
          <w:szCs w:val="24"/>
          <w:lang w:eastAsia="en-GB"/>
          <w14:ligatures w14:val="none"/>
        </w:rPr>
        <w:t>does not refer</w:t>
      </w:r>
      <w:r w:rsidR="00F92763" w:rsidRPr="002C0D3B">
        <w:rPr>
          <w:rFonts w:ascii="Times New Roman" w:eastAsia="Times New Roman" w:hAnsi="Times New Roman" w:cs="Times New Roman"/>
          <w:kern w:val="0"/>
          <w:sz w:val="24"/>
          <w:szCs w:val="24"/>
          <w:lang w:eastAsia="en-GB"/>
          <w14:ligatures w14:val="none"/>
        </w:rPr>
        <w:t xml:space="preserve"> to Nest’s abduction, a</w:t>
      </w:r>
      <w:r w:rsidR="00D7222D">
        <w:rPr>
          <w:rFonts w:ascii="Times New Roman" w:eastAsia="Times New Roman" w:hAnsi="Times New Roman" w:cs="Times New Roman"/>
          <w:kern w:val="0"/>
          <w:sz w:val="24"/>
          <w:szCs w:val="24"/>
          <w:lang w:eastAsia="en-GB"/>
          <w14:ligatures w14:val="none"/>
        </w:rPr>
        <w:t xml:space="preserve"> significant</w:t>
      </w:r>
      <w:r w:rsidR="00F92763" w:rsidRPr="002C0D3B">
        <w:rPr>
          <w:rFonts w:ascii="Times New Roman" w:eastAsia="Times New Roman" w:hAnsi="Times New Roman" w:cs="Times New Roman"/>
          <w:kern w:val="0"/>
          <w:sz w:val="24"/>
          <w:szCs w:val="24"/>
          <w:lang w:eastAsia="en-GB"/>
          <w14:ligatures w14:val="none"/>
        </w:rPr>
        <w:t xml:space="preserve"> omission that highlights the selective nature of his narrative priorities and the influence of familial and ideological concerns.</w:t>
      </w:r>
      <w:r w:rsidR="00F92763">
        <w:rPr>
          <w:rFonts w:ascii="Times New Roman" w:eastAsia="Times New Roman" w:hAnsi="Times New Roman" w:cs="Times New Roman"/>
          <w:kern w:val="0"/>
          <w:sz w:val="24"/>
          <w:szCs w:val="24"/>
          <w:lang w:eastAsia="en-GB"/>
          <w14:ligatures w14:val="none"/>
        </w:rPr>
        <w:t xml:space="preserve"> </w:t>
      </w:r>
      <w:r w:rsidR="00F92763" w:rsidRPr="002C0D3B">
        <w:rPr>
          <w:rFonts w:ascii="Times New Roman" w:eastAsia="Times New Roman" w:hAnsi="Times New Roman" w:cs="Times New Roman"/>
          <w:kern w:val="0"/>
          <w:sz w:val="24"/>
          <w:szCs w:val="24"/>
          <w:lang w:eastAsia="en-GB"/>
          <w14:ligatures w14:val="none"/>
        </w:rPr>
        <w:t xml:space="preserve">This essay </w:t>
      </w:r>
      <w:r w:rsidR="00D7222D">
        <w:rPr>
          <w:rFonts w:ascii="Times New Roman" w:eastAsia="Times New Roman" w:hAnsi="Times New Roman" w:cs="Times New Roman"/>
          <w:kern w:val="0"/>
          <w:sz w:val="24"/>
          <w:szCs w:val="24"/>
          <w:lang w:eastAsia="en-GB"/>
          <w14:ligatures w14:val="none"/>
        </w:rPr>
        <w:t>will show</w:t>
      </w:r>
      <w:r w:rsidR="00F92763" w:rsidRPr="002C0D3B">
        <w:rPr>
          <w:rFonts w:ascii="Times New Roman" w:eastAsia="Times New Roman" w:hAnsi="Times New Roman" w:cs="Times New Roman"/>
          <w:kern w:val="0"/>
          <w:sz w:val="24"/>
          <w:szCs w:val="24"/>
          <w:lang w:eastAsia="en-GB"/>
          <w14:ligatures w14:val="none"/>
        </w:rPr>
        <w:t xml:space="preserve"> that while the surviving sources for Nest ferch Rhys are fragmentary, mediated, and </w:t>
      </w:r>
      <w:r w:rsidR="009A2F4A">
        <w:rPr>
          <w:rFonts w:ascii="Times New Roman" w:eastAsia="Times New Roman" w:hAnsi="Times New Roman" w:cs="Times New Roman"/>
          <w:kern w:val="0"/>
          <w:sz w:val="24"/>
          <w:szCs w:val="24"/>
          <w:lang w:eastAsia="en-GB"/>
          <w14:ligatures w14:val="none"/>
        </w:rPr>
        <w:t>influenced</w:t>
      </w:r>
      <w:r w:rsidR="00F92763" w:rsidRPr="002C0D3B">
        <w:rPr>
          <w:rFonts w:ascii="Times New Roman" w:eastAsia="Times New Roman" w:hAnsi="Times New Roman" w:cs="Times New Roman"/>
          <w:kern w:val="0"/>
          <w:sz w:val="24"/>
          <w:szCs w:val="24"/>
          <w:lang w:eastAsia="en-GB"/>
          <w14:ligatures w14:val="none"/>
        </w:rPr>
        <w:t xml:space="preserve"> by literary and moral frameworks, they nevertheless allow for a historically meaningful reconstruction of her life when read critically. </w:t>
      </w:r>
      <w:r w:rsidR="00F52ED4">
        <w:rPr>
          <w:rFonts w:ascii="Times New Roman" w:eastAsia="Times New Roman" w:hAnsi="Times New Roman" w:cs="Times New Roman"/>
          <w:kern w:val="0"/>
          <w:sz w:val="24"/>
          <w:szCs w:val="24"/>
          <w:lang w:eastAsia="en-GB"/>
          <w14:ligatures w14:val="none"/>
        </w:rPr>
        <w:t>By analysing the political context in which she lived alongside the narrative manuscripts and later historiography</w:t>
      </w:r>
      <w:r w:rsidR="00F92763" w:rsidRPr="002C0D3B">
        <w:rPr>
          <w:rFonts w:ascii="Times New Roman" w:eastAsia="Times New Roman" w:hAnsi="Times New Roman" w:cs="Times New Roman"/>
          <w:kern w:val="0"/>
          <w:sz w:val="24"/>
          <w:szCs w:val="24"/>
          <w:lang w:eastAsia="en-GB"/>
          <w14:ligatures w14:val="none"/>
        </w:rPr>
        <w:t xml:space="preserve"> through which she has been represented, it is possible to understand not only the contours of her experience but also the </w:t>
      </w:r>
      <w:r w:rsidR="00214A43">
        <w:rPr>
          <w:rFonts w:ascii="Times New Roman" w:eastAsia="Times New Roman" w:hAnsi="Times New Roman" w:cs="Times New Roman"/>
          <w:kern w:val="0"/>
          <w:sz w:val="24"/>
          <w:szCs w:val="24"/>
          <w:lang w:eastAsia="en-GB"/>
          <w14:ligatures w14:val="none"/>
        </w:rPr>
        <w:t>wider</w:t>
      </w:r>
      <w:r w:rsidR="00F92763" w:rsidRPr="002C0D3B">
        <w:rPr>
          <w:rFonts w:ascii="Times New Roman" w:eastAsia="Times New Roman" w:hAnsi="Times New Roman" w:cs="Times New Roman"/>
          <w:kern w:val="0"/>
          <w:sz w:val="24"/>
          <w:szCs w:val="24"/>
          <w:lang w:eastAsia="en-GB"/>
          <w14:ligatures w14:val="none"/>
        </w:rPr>
        <w:t xml:space="preserve"> cultural processes that </w:t>
      </w:r>
      <w:r w:rsidR="009A2F4A">
        <w:rPr>
          <w:rFonts w:ascii="Times New Roman" w:eastAsia="Times New Roman" w:hAnsi="Times New Roman" w:cs="Times New Roman"/>
          <w:kern w:val="0"/>
          <w:sz w:val="24"/>
          <w:szCs w:val="24"/>
          <w:lang w:eastAsia="en-GB"/>
          <w14:ligatures w14:val="none"/>
        </w:rPr>
        <w:t>influenced</w:t>
      </w:r>
      <w:r w:rsidR="00F92763" w:rsidRPr="002C0D3B">
        <w:rPr>
          <w:rFonts w:ascii="Times New Roman" w:eastAsia="Times New Roman" w:hAnsi="Times New Roman" w:cs="Times New Roman"/>
          <w:kern w:val="0"/>
          <w:sz w:val="24"/>
          <w:szCs w:val="24"/>
          <w:lang w:eastAsia="en-GB"/>
          <w14:ligatures w14:val="none"/>
        </w:rPr>
        <w:t xml:space="preserve"> her posthumous identity as a figure at the intersection of history, genealogy, and literary </w:t>
      </w:r>
      <w:r w:rsidR="00214A43">
        <w:rPr>
          <w:rFonts w:ascii="Times New Roman" w:eastAsia="Times New Roman" w:hAnsi="Times New Roman" w:cs="Times New Roman"/>
          <w:kern w:val="0"/>
          <w:sz w:val="24"/>
          <w:szCs w:val="24"/>
          <w:lang w:eastAsia="en-GB"/>
          <w14:ligatures w14:val="none"/>
        </w:rPr>
        <w:t>convention</w:t>
      </w:r>
      <w:r w:rsidR="00F92763" w:rsidRPr="002C0D3B">
        <w:rPr>
          <w:rFonts w:ascii="Times New Roman" w:eastAsia="Times New Roman" w:hAnsi="Times New Roman" w:cs="Times New Roman"/>
          <w:kern w:val="0"/>
          <w:sz w:val="24"/>
          <w:szCs w:val="24"/>
          <w:lang w:eastAsia="en-GB"/>
          <w14:ligatures w14:val="none"/>
        </w:rPr>
        <w:t>.</w:t>
      </w:r>
    </w:p>
    <w:p w14:paraId="67DB8B8D" w14:textId="78F5169B" w:rsidR="00F92763" w:rsidRDefault="00F92763" w:rsidP="00F92763">
      <w:pPr>
        <w:pStyle w:val="NormalWeb"/>
        <w:spacing w:line="360" w:lineRule="auto"/>
        <w:ind w:firstLine="720"/>
        <w:rPr>
          <w14:ligatures w14:val="none"/>
        </w:rPr>
      </w:pPr>
      <w:r w:rsidRPr="00C56A42">
        <w:t xml:space="preserve">To construct a portrait of </w:t>
      </w:r>
      <w:r w:rsidRPr="00C56A42">
        <w:rPr>
          <w:rStyle w:val="whitespace-normal"/>
        </w:rPr>
        <w:t>Nest ferch Rhys</w:t>
      </w:r>
      <w:r w:rsidRPr="00C56A42">
        <w:t xml:space="preserve">, it is necessary to examine the political conditions preceding her birth, particularly the instability that followed the death of </w:t>
      </w:r>
      <w:r w:rsidRPr="00C56A42">
        <w:rPr>
          <w:rStyle w:val="whitespace-normal"/>
        </w:rPr>
        <w:t>Gruffudd ap Llywelyn</w:t>
      </w:r>
      <w:r w:rsidRPr="00C56A42">
        <w:t xml:space="preserve"> in 1063. The collapse of the unity he had imposed on Wales created the conditions that would later shape Nest’s precarious position.</w:t>
      </w:r>
      <w:r w:rsidRPr="00C56A42">
        <w:rPr>
          <w:rStyle w:val="FootnoteReference"/>
        </w:rPr>
        <w:footnoteReference w:id="7"/>
      </w:r>
      <w:r w:rsidRPr="00C56A42">
        <w:t xml:space="preserve"> </w:t>
      </w:r>
      <w:r>
        <w:t>Having first gained power in 1039, Gruffudd consolidated his authority across much of Wales through the elimination of rival rulers.</w:t>
      </w:r>
      <w:r>
        <w:rPr>
          <w:rStyle w:val="FootnoteReference"/>
        </w:rPr>
        <w:footnoteReference w:id="8"/>
      </w:r>
      <w:r>
        <w:t xml:space="preserve"> His death at the hands of his own men created a power vacuum that fractured political authority within Wales and altered the balance of power along the Anglo-Welsh border.</w:t>
      </w:r>
      <w:r>
        <w:rPr>
          <w:rStyle w:val="FootnoteReference"/>
        </w:rPr>
        <w:footnoteReference w:id="9"/>
      </w:r>
      <w:r>
        <w:t xml:space="preserve"> The repercussions of this fragmentation became evident following the Norman Conquest of England in 1066, as the Normans sought to expand their authority into Wales. It was into this unstable political landscape that Nest ferch Rhys ap Tewdwr was born around the year 1085, as the daughter of Rhys ap Tewdwr, the last independent king of Deheubarth, and Gwladus ferch Rhiwallon, herself the daughter of Rhiwallon ap Cynfyn of Powys, </w:t>
      </w:r>
      <w:r>
        <w:lastRenderedPageBreak/>
        <w:t>thereby placing her at the intersection of two significant Welsh dynastic lineages.</w:t>
      </w:r>
      <w:r>
        <w:rPr>
          <w:rStyle w:val="FootnoteReference"/>
        </w:rPr>
        <w:footnoteReference w:id="10"/>
      </w:r>
      <w:r>
        <w:t xml:space="preserve"> Her early years were influenced by continued military incursions from Norman forces and competing Welsh princes, reflecting the ongoing fragmentation of post-Gruffudd Wales. This sustained instability culminated in 1093 with the death of </w:t>
      </w:r>
      <w:r>
        <w:rPr>
          <w:rStyle w:val="whitespace-normal"/>
        </w:rPr>
        <w:t>Rhys ap Tewdwr</w:t>
      </w:r>
      <w:r>
        <w:t xml:space="preserve"> at the hands of </w:t>
      </w:r>
      <w:r>
        <w:rPr>
          <w:rStyle w:val="whitespace-normal"/>
        </w:rPr>
        <w:t>Bernard of Neufmarché</w:t>
      </w:r>
      <w:r>
        <w:t>, a turning point that brought an end to native rule in Deheubarth and accelerated the advance of Norman power in south Wales.</w:t>
      </w:r>
      <w:r w:rsidRPr="00690448">
        <w:rPr>
          <w:rStyle w:val="FootnoteReference"/>
        </w:rPr>
        <w:footnoteReference w:id="11"/>
      </w:r>
      <w:r>
        <w:t xml:space="preserve"> </w:t>
      </w:r>
      <w:r w:rsidRPr="0094506B">
        <w:rPr>
          <w14:ligatures w14:val="none"/>
        </w:rPr>
        <w:t>In the aftermath, Nest ferch Rhys and members of her family were taken captive by the Normans</w:t>
      </w:r>
      <w:r>
        <w:rPr>
          <w14:ligatures w14:val="none"/>
        </w:rPr>
        <w:t>: s</w:t>
      </w:r>
      <w:r w:rsidRPr="0094506B">
        <w:rPr>
          <w14:ligatures w14:val="none"/>
        </w:rPr>
        <w:t>he was brought as a hostage to the court of William II of England</w:t>
      </w:r>
      <w:r>
        <w:rPr>
          <w14:ligatures w14:val="none"/>
        </w:rPr>
        <w:t xml:space="preserve"> with her mother</w:t>
      </w:r>
      <w:r w:rsidRPr="0094506B">
        <w:rPr>
          <w14:ligatures w14:val="none"/>
        </w:rPr>
        <w:t>, while her brother Gruff</w:t>
      </w:r>
      <w:r>
        <w:rPr>
          <w14:ligatures w14:val="none"/>
        </w:rPr>
        <w:t>y</w:t>
      </w:r>
      <w:r w:rsidRPr="0094506B">
        <w:rPr>
          <w14:ligatures w14:val="none"/>
        </w:rPr>
        <w:t>dd ap Rhys fled to Ireland</w:t>
      </w:r>
      <w:r>
        <w:rPr>
          <w14:ligatures w14:val="none"/>
        </w:rPr>
        <w:t xml:space="preserve"> for safety.</w:t>
      </w:r>
      <w:r>
        <w:rPr>
          <w:rStyle w:val="FootnoteReference"/>
          <w14:ligatures w14:val="none"/>
        </w:rPr>
        <w:footnoteReference w:id="12"/>
      </w:r>
      <w:r>
        <w:rPr>
          <w14:ligatures w14:val="none"/>
        </w:rPr>
        <w:t xml:space="preserve"> </w:t>
      </w:r>
      <w:r w:rsidRPr="00596FD9">
        <w:rPr>
          <w14:ligatures w14:val="none"/>
        </w:rPr>
        <w:t>Given the repeated shifts in power</w:t>
      </w:r>
      <w:r w:rsidRPr="00EE2D1A">
        <w:rPr>
          <w14:ligatures w14:val="none"/>
        </w:rPr>
        <w:t xml:space="preserve">, conflict, and displacement that </w:t>
      </w:r>
      <w:r w:rsidR="009A2F4A">
        <w:rPr>
          <w14:ligatures w14:val="none"/>
        </w:rPr>
        <w:t>influenced</w:t>
      </w:r>
      <w:r w:rsidRPr="00EE2D1A">
        <w:rPr>
          <w14:ligatures w14:val="none"/>
        </w:rPr>
        <w:t xml:space="preserve"> her early life and family background, insecurity and instability can </w:t>
      </w:r>
      <w:r w:rsidRPr="003F1C44">
        <w:rPr>
          <w14:ligatures w14:val="none"/>
        </w:rPr>
        <w:t xml:space="preserve">be seen as </w:t>
      </w:r>
      <w:r>
        <w:rPr>
          <w14:ligatures w14:val="none"/>
        </w:rPr>
        <w:t>recurring</w:t>
      </w:r>
      <w:r w:rsidRPr="003F1C44">
        <w:rPr>
          <w14:ligatures w14:val="none"/>
        </w:rPr>
        <w:t xml:space="preserve"> features of</w:t>
      </w:r>
      <w:r>
        <w:rPr>
          <w14:ligatures w14:val="none"/>
        </w:rPr>
        <w:t xml:space="preserve"> Nest ferch Rhys’s </w:t>
      </w:r>
      <w:r w:rsidRPr="003F1C44">
        <w:rPr>
          <w14:ligatures w14:val="none"/>
        </w:rPr>
        <w:t xml:space="preserve">circumstances. Born into a period of intensified </w:t>
      </w:r>
      <w:r>
        <w:rPr>
          <w14:ligatures w14:val="none"/>
        </w:rPr>
        <w:t>Anglo-Welsh</w:t>
      </w:r>
      <w:r w:rsidRPr="003F1C44">
        <w:rPr>
          <w14:ligatures w14:val="none"/>
        </w:rPr>
        <w:t xml:space="preserve"> conflict</w:t>
      </w:r>
      <w:r w:rsidRPr="003969BE">
        <w:rPr>
          <w14:ligatures w14:val="none"/>
        </w:rPr>
        <w:t xml:space="preserve"> and dynastic fragmentation, her position within elite Welsh society was closely </w:t>
      </w:r>
      <w:r>
        <w:rPr>
          <w14:ligatures w14:val="none"/>
        </w:rPr>
        <w:t>tied</w:t>
      </w:r>
      <w:r w:rsidRPr="003969BE">
        <w:rPr>
          <w14:ligatures w14:val="none"/>
        </w:rPr>
        <w:t xml:space="preserve"> to wider patterns of political vulnerability</w:t>
      </w:r>
      <w:r w:rsidRPr="002648D6">
        <w:rPr>
          <w14:ligatures w14:val="none"/>
        </w:rPr>
        <w:t>. These conditions did not end with the collapse of</w:t>
      </w:r>
      <w:r>
        <w:rPr>
          <w14:ligatures w14:val="none"/>
        </w:rPr>
        <w:t xml:space="preserve"> Deheubarth in 1093;</w:t>
      </w:r>
      <w:r w:rsidRPr="00485822">
        <w:rPr>
          <w14:ligatures w14:val="none"/>
        </w:rPr>
        <w:t xml:space="preserve"> </w:t>
      </w:r>
      <w:r>
        <w:rPr>
          <w14:ligatures w14:val="none"/>
        </w:rPr>
        <w:t>r</w:t>
      </w:r>
      <w:r w:rsidRPr="00485822">
        <w:rPr>
          <w14:ligatures w14:val="none"/>
        </w:rPr>
        <w:t xml:space="preserve">ather, they continued to shape her experiences in the aftermath. </w:t>
      </w:r>
    </w:p>
    <w:p w14:paraId="6C8596C2" w14:textId="7A2A2349" w:rsidR="00F92763" w:rsidRDefault="00F92763" w:rsidP="00F92763">
      <w:pPr>
        <w:pStyle w:val="NormalWeb"/>
        <w:spacing w:line="360" w:lineRule="auto"/>
        <w:ind w:firstLine="720"/>
        <w:rPr>
          <w14:ligatures w14:val="none"/>
        </w:rPr>
      </w:pPr>
      <w:r>
        <w:rPr>
          <w14:ligatures w14:val="none"/>
        </w:rPr>
        <w:t>Following the collapse of Deheubarth in 1093, Nest ferch Rhys was taken into the household of William II of England as a political hostage, a status that reflected both her dynastic significance and the wider Norman strategy of controlling defeated Welsh elites after the Norman Conquest of England</w:t>
      </w:r>
      <w:r w:rsidR="00D7222D">
        <w:rPr>
          <w14:ligatures w14:val="none"/>
        </w:rPr>
        <w:t>.</w:t>
      </w:r>
      <w:r>
        <w:rPr>
          <w14:ligatures w14:val="none"/>
        </w:rPr>
        <w:t xml:space="preserve"> </w:t>
      </w:r>
      <w:r w:rsidR="00D7222D">
        <w:rPr>
          <w14:ligatures w14:val="none"/>
        </w:rPr>
        <w:t>Her</w:t>
      </w:r>
      <w:r>
        <w:rPr>
          <w14:ligatures w14:val="none"/>
        </w:rPr>
        <w:t xml:space="preserve"> position as a hostage served as a deterrent to surviving members of her family, such as her brother Gruffydd ap Rhys, discouraging further resistance to Norman authority</w:t>
      </w:r>
      <w:r w:rsidRPr="008F0A22">
        <w:rPr>
          <w14:ligatures w14:val="none"/>
        </w:rPr>
        <w:t>.</w:t>
      </w:r>
      <w:r>
        <w:rPr>
          <w14:ligatures w14:val="none"/>
        </w:rPr>
        <w:t xml:space="preserve"> </w:t>
      </w:r>
      <w:r w:rsidRPr="00102ABE">
        <w:rPr>
          <w14:ligatures w14:val="none"/>
        </w:rPr>
        <w:t>During her time at the court of William II of England, later sources associate Nest with a relationship with his younger brother, Henry</w:t>
      </w:r>
      <w:r>
        <w:rPr>
          <w14:ligatures w14:val="none"/>
        </w:rPr>
        <w:t xml:space="preserve"> Beauclerc, later known as Henry</w:t>
      </w:r>
      <w:r w:rsidRPr="00102ABE">
        <w:rPr>
          <w14:ligatures w14:val="none"/>
        </w:rPr>
        <w:t xml:space="preserve"> I of England</w:t>
      </w:r>
      <w:r>
        <w:rPr>
          <w14:ligatures w14:val="none"/>
        </w:rPr>
        <w:t>. Later sources further claim that this relationship produced at least one son, Henry Fitzhenry, in 1103.</w:t>
      </w:r>
      <w:r>
        <w:rPr>
          <w:rStyle w:val="FootnoteReference"/>
          <w14:ligatures w14:val="none"/>
        </w:rPr>
        <w:footnoteReference w:id="13"/>
      </w:r>
      <w:r>
        <w:rPr>
          <w14:ligatures w14:val="none"/>
        </w:rPr>
        <w:t xml:space="preserve"> </w:t>
      </w:r>
      <w:r>
        <w:t xml:space="preserve">Given her position as a political hostage within the Anglo-Norman court and the power dynamics involved, such accounts are best understood as reflecting relationships structured by significant inequality of status and potential coercion, </w:t>
      </w:r>
      <w:r w:rsidR="000332E3">
        <w:t>instead of a</w:t>
      </w:r>
      <w:r>
        <w:t xml:space="preserve"> consensual union in the modern sense. Informal relationships were not uncommon within Norman royal and aristocratic circles, which may also have encouraged later narrative embellishment.</w:t>
      </w:r>
      <w:r>
        <w:rPr>
          <w14:ligatures w14:val="none"/>
        </w:rPr>
        <w:t xml:space="preserve"> </w:t>
      </w:r>
      <w:r>
        <w:t xml:space="preserve">Alongside these later narratives, Nest’s marriage to </w:t>
      </w:r>
      <w:r>
        <w:rPr>
          <w:rStyle w:val="whitespace-normal"/>
        </w:rPr>
        <w:t xml:space="preserve">Gerald of </w:t>
      </w:r>
      <w:r>
        <w:rPr>
          <w:rStyle w:val="whitespace-normal"/>
        </w:rPr>
        <w:lastRenderedPageBreak/>
        <w:t>Windsor</w:t>
      </w:r>
      <w:r>
        <w:t xml:space="preserve"> provides a more </w:t>
      </w:r>
      <w:r w:rsidR="00214A43">
        <w:t>secure</w:t>
      </w:r>
      <w:r>
        <w:t xml:space="preserve"> element of her life, </w:t>
      </w:r>
      <w:r w:rsidR="00214A43">
        <w:t>showing</w:t>
      </w:r>
      <w:r>
        <w:t xml:space="preserve"> how, despite her earlier displacement and captivity, she became integrated into Anglo-Norman political society.</w:t>
      </w:r>
      <w:r>
        <w:rPr>
          <w:rStyle w:val="FootnoteReference"/>
        </w:rPr>
        <w:footnoteReference w:id="14"/>
      </w:r>
      <w:r>
        <w:t xml:space="preserve">  Nest ferch Rhys was married to Gerald of Windsor in the late eleventh century.</w:t>
      </w:r>
      <w:r>
        <w:rPr>
          <w:rStyle w:val="FootnoteReference"/>
          <w14:ligatures w14:val="none"/>
        </w:rPr>
        <w:footnoteReference w:id="15"/>
      </w:r>
      <w:r w:rsidRPr="00D65E46">
        <w:rPr>
          <w14:ligatures w14:val="none"/>
        </w:rPr>
        <w:t xml:space="preserve"> Gerald, the son of a Norman constable and an important figure in the administration of south-west Wales, represented the expanding Anglo-Norman presence in the region.</w:t>
      </w:r>
      <w:r w:rsidRPr="00D92380">
        <w:rPr>
          <w14:ligatures w14:val="none"/>
        </w:rPr>
        <w:t xml:space="preserve"> Nest ferch Rhys and Gerald of Windsor were based within the Anglo-Norman administrative centres of south-west Wales, particularly around Pembroke and Cardigan, where Gerald held positions of authority. These locations formed part of the emerging </w:t>
      </w:r>
      <w:r w:rsidR="00214A43">
        <w:rPr>
          <w14:ligatures w14:val="none"/>
        </w:rPr>
        <w:t>M</w:t>
      </w:r>
      <w:r w:rsidRPr="00D92380">
        <w:rPr>
          <w14:ligatures w14:val="none"/>
        </w:rPr>
        <w:t>archer lordships, where Norman military and administrative control was being consolidated. Nest’s presence in these centres reflects her continued position within the frontier society of the Anglo-Welsh border, where Welsh dynastic women could become integrated into Norman lordly households while remaining connected to wider regional networks.</w:t>
      </w:r>
      <w:r>
        <w:rPr>
          <w14:ligatures w14:val="none"/>
        </w:rPr>
        <w:t xml:space="preserve"> </w:t>
      </w:r>
      <w:r w:rsidRPr="00D65E46">
        <w:rPr>
          <w14:ligatures w14:val="none"/>
        </w:rPr>
        <w:t xml:space="preserve">This marriage can be understood as part of a </w:t>
      </w:r>
      <w:r w:rsidR="00C02C20">
        <w:rPr>
          <w14:ligatures w14:val="none"/>
        </w:rPr>
        <w:t>larger</w:t>
      </w:r>
      <w:r w:rsidRPr="00D65E46">
        <w:rPr>
          <w14:ligatures w14:val="none"/>
        </w:rPr>
        <w:t xml:space="preserve"> strategy of consolidating Norman control through alliances with members of the Welsh elite, reflecting Nest’s continued political significance following her captivity. The union produced several children, including William Fitz Gerald, Maurice </w:t>
      </w:r>
      <w:r>
        <w:rPr>
          <w14:ligatures w14:val="none"/>
        </w:rPr>
        <w:t>Fitz</w:t>
      </w:r>
      <w:r w:rsidRPr="00D65E46">
        <w:rPr>
          <w14:ligatures w14:val="none"/>
        </w:rPr>
        <w:t xml:space="preserve"> Gerald, </w:t>
      </w:r>
      <w:r>
        <w:rPr>
          <w14:ligatures w14:val="none"/>
        </w:rPr>
        <w:t xml:space="preserve">David Fitz Gerald, </w:t>
      </w:r>
      <w:r w:rsidRPr="00D65E46">
        <w:rPr>
          <w14:ligatures w14:val="none"/>
        </w:rPr>
        <w:t>and daughte</w:t>
      </w:r>
      <w:r>
        <w:rPr>
          <w14:ligatures w14:val="none"/>
        </w:rPr>
        <w:t>rs</w:t>
      </w:r>
      <w:r w:rsidRPr="00D65E46">
        <w:rPr>
          <w14:ligatures w14:val="none"/>
        </w:rPr>
        <w:t>, Angharad</w:t>
      </w:r>
      <w:r>
        <w:rPr>
          <w14:ligatures w14:val="none"/>
        </w:rPr>
        <w:t xml:space="preserve"> and Gwladys</w:t>
      </w:r>
      <w:r w:rsidRPr="00D65E46">
        <w:rPr>
          <w14:ligatures w14:val="none"/>
        </w:rPr>
        <w:t>.</w:t>
      </w:r>
      <w:r>
        <w:rPr>
          <w:rStyle w:val="FootnoteReference"/>
          <w14:ligatures w14:val="none"/>
        </w:rPr>
        <w:footnoteReference w:id="16"/>
      </w:r>
      <w:r>
        <w:rPr>
          <w14:ligatures w14:val="none"/>
        </w:rPr>
        <w:t xml:space="preserve"> Their lives appear to have been relatively stable until the events surrounding Nest’s abduction disrupted the period. </w:t>
      </w:r>
    </w:p>
    <w:p w14:paraId="5BF577F3" w14:textId="0AE27865" w:rsidR="00F92763" w:rsidRDefault="00F92763" w:rsidP="00F92763">
      <w:pPr>
        <w:pStyle w:val="NormalWeb"/>
        <w:spacing w:line="360" w:lineRule="auto"/>
        <w:ind w:firstLine="720"/>
        <w:rPr>
          <w14:ligatures w14:val="none"/>
        </w:rPr>
      </w:pPr>
      <w:r>
        <w:t xml:space="preserve">The narrative of </w:t>
      </w:r>
      <w:r>
        <w:rPr>
          <w:rStyle w:val="whitespace-normal"/>
        </w:rPr>
        <w:t>Nest ferch Rhys</w:t>
      </w:r>
      <w:r>
        <w:t xml:space="preserve">’s abduction plays a significant role in later accounts of her life, forming a key element in her retrospective characterisation as the ‘Helen of Wales’. Her abduction is described in detail in the early thirteenth-century chronicle, the </w:t>
      </w:r>
      <w:r w:rsidRPr="008F725C">
        <w:rPr>
          <w:i/>
          <w:iCs/>
        </w:rPr>
        <w:t xml:space="preserve">Brut y </w:t>
      </w:r>
      <w:r w:rsidRPr="00427DEE">
        <w:rPr>
          <w:i/>
          <w:iCs/>
        </w:rPr>
        <w:t>Tywysogion</w:t>
      </w:r>
      <w:r>
        <w:t xml:space="preserve"> or </w:t>
      </w:r>
      <w:r w:rsidRPr="008F725C">
        <w:rPr>
          <w:i/>
          <w:iCs/>
        </w:rPr>
        <w:t>Chronicle of the Princes</w:t>
      </w:r>
      <w:r>
        <w:t>, specifically Peniarth MS 20, a key but later narrative source for reconstructing events in this period with some detail.</w:t>
      </w:r>
      <w:r w:rsidR="00A751AE">
        <w:rPr>
          <w:rStyle w:val="FootnoteReference"/>
        </w:rPr>
        <w:footnoteReference w:id="17"/>
      </w:r>
      <w:r>
        <w:t xml:space="preserve"> The chronicle states, ‘he was </w:t>
      </w:r>
      <w:r w:rsidR="00A751AE">
        <w:t>moved</w:t>
      </w:r>
      <w:r>
        <w:t xml:space="preserve"> by passion and love for the woman, and with a small company with him, about fourteen men, he made for the castle at night’.</w:t>
      </w:r>
      <w:r>
        <w:rPr>
          <w:rStyle w:val="FootnoteReference"/>
        </w:rPr>
        <w:footnoteReference w:id="18"/>
      </w:r>
      <w:r>
        <w:t xml:space="preserve"> According to the account, in 1109, while Nest and her family were staying at the court of Cadwgan ap Bleddyn for a ‘feast held at ‘Christmas in honour of Jesus Christ’, the attackers scaled the castle walls undetected until an alarm was raised by fire, which awakened Gerald.</w:t>
      </w:r>
      <w:r w:rsidR="00A67592">
        <w:rPr>
          <w:rStyle w:val="FootnoteReference"/>
        </w:rPr>
        <w:footnoteReference w:id="19"/>
      </w:r>
      <w:r>
        <w:t xml:space="preserve"> In the ensuing confusion, the chronicle presents Nest as composed and decisive, noting that she advised Gerald, ‘Go not to </w:t>
      </w:r>
      <w:r>
        <w:lastRenderedPageBreak/>
        <w:t>the door, for there are thine enemies around it, but come with me.’</w:t>
      </w:r>
      <w:r>
        <w:rPr>
          <w:rStyle w:val="FootnoteReference"/>
        </w:rPr>
        <w:footnoteReference w:id="20"/>
      </w:r>
      <w:r>
        <w:t xml:space="preserve"> She then guided him to the latrine passage adjoining the building, through which he escaped.</w:t>
      </w:r>
      <w:r w:rsidR="00A67592">
        <w:rPr>
          <w:rStyle w:val="FootnoteReference"/>
        </w:rPr>
        <w:footnoteReference w:id="21"/>
      </w:r>
      <w:r>
        <w:t xml:space="preserve"> In this version of events, Nest is credited with saving her husband’s life, and once she knew he had escaped, she addressed the intruders. It was at this point that Nest was seized and subjected to sexual assault. Nest found herself in a position where, for the safety of her children, she had little choice but to remain with her abductors until their safe return to their father could be arranged.</w:t>
      </w:r>
      <w:r>
        <w:rPr>
          <w:rStyle w:val="FootnoteReference"/>
        </w:rPr>
        <w:footnoteReference w:id="22"/>
      </w:r>
      <w:r>
        <w:t xml:space="preserve"> The abduction and assault of Nest caused significant anxiety for  Owain's father, who was ‘indignantly grieved’ by his son's conduct and deeply concerned about the potential repercussions that might follow.</w:t>
      </w:r>
      <w:r>
        <w:rPr>
          <w:rStyle w:val="FootnoteReference"/>
        </w:rPr>
        <w:footnoteReference w:id="23"/>
      </w:r>
      <w:r>
        <w:t xml:space="preserve"> Especially as the attack against Nest would have also been seen as a personal insult to Gerald of Windsor, who, as her husband, was tasked with protecting her. The abduction carried far-reaching consequences, triggering a Norman raid and further intensifying existing tensions between the Welsh rulers and Anglo-Norman settlers in the region. This episode contributed to her later historiographical characterisation as the ‘Helen of Wales’, reflecting the tendency to frame her within familiar literary tropes. </w:t>
      </w:r>
      <w:r w:rsidRPr="003C200F">
        <w:rPr>
          <w14:ligatures w14:val="none"/>
        </w:rPr>
        <w:t xml:space="preserve">Following the death of Gerald of Windsor, Nest ferch Rhys remarried a man named Stephen, who had served as Gerald’s constable at Cardigan and was reportedly chosen by her sons. By this marriage, she had additional sons, including Robert and Hywel. Nest appears to have exercised limited personal autonomy in these arrangements, </w:t>
      </w:r>
      <w:r w:rsidR="00B372BE">
        <w:rPr>
          <w14:ligatures w14:val="none"/>
        </w:rPr>
        <w:t>compared</w:t>
      </w:r>
      <w:r w:rsidRPr="003C200F">
        <w:rPr>
          <w14:ligatures w14:val="none"/>
        </w:rPr>
        <w:t xml:space="preserve"> to figures such as Gwenllian ferch Gruffudd, the wife of her brother, who is often portrayed as taking a more active and independent role.</w:t>
      </w:r>
      <w:r w:rsidRPr="003B5BE4">
        <w:rPr>
          <w14:ligatures w14:val="none"/>
        </w:rPr>
        <w:t xml:space="preserve"> The details of Nest ferch Rhys’s death remain unclear, but she appears to have spent her later years within the Anglo-Norman world she had long inhabited.</w:t>
      </w:r>
      <w:r w:rsidRPr="000304D4">
        <w:rPr>
          <w14:ligatures w14:val="none"/>
        </w:rPr>
        <w:t xml:space="preserve"> As with much of her life</w:t>
      </w:r>
      <w:r w:rsidR="00B372BE">
        <w:rPr>
          <w14:ligatures w14:val="none"/>
        </w:rPr>
        <w:t>,</w:t>
      </w:r>
      <w:r w:rsidRPr="000304D4">
        <w:rPr>
          <w14:ligatures w14:val="none"/>
        </w:rPr>
        <w:t xml:space="preserve"> the surviving evidence for these events is limited and mediated through later accounts, shaping the way her story has been recorded and remembered.</w:t>
      </w:r>
      <w:r>
        <w:rPr>
          <w14:ligatures w14:val="none"/>
        </w:rPr>
        <w:tab/>
      </w:r>
    </w:p>
    <w:p w14:paraId="73079FA2" w14:textId="09F8015B" w:rsidR="00F92763" w:rsidRPr="00B5481F" w:rsidRDefault="00F92763" w:rsidP="00F92763">
      <w:pPr>
        <w:spacing w:before="100" w:beforeAutospacing="1" w:after="100" w:afterAutospacing="1" w:line="360" w:lineRule="auto"/>
        <w:ind w:firstLine="720"/>
        <w:rPr>
          <w:rFonts w:ascii="Times New Roman" w:eastAsia="Times New Roman" w:hAnsi="Times New Roman" w:cs="Times New Roman"/>
          <w:kern w:val="0"/>
          <w:sz w:val="24"/>
          <w:szCs w:val="24"/>
          <w:lang w:eastAsia="en-GB"/>
          <w14:ligatures w14:val="none"/>
        </w:rPr>
      </w:pPr>
      <w:r w:rsidRPr="00B5481F">
        <w:rPr>
          <w:rFonts w:ascii="Times New Roman" w:eastAsia="Times New Roman" w:hAnsi="Times New Roman" w:cs="Times New Roman"/>
          <w:kern w:val="0"/>
          <w:sz w:val="24"/>
          <w:szCs w:val="24"/>
          <w:lang w:eastAsia="en-GB"/>
          <w14:ligatures w14:val="none"/>
        </w:rPr>
        <w:t>As a woman in medieval Welsh society, surviving primary sources are generally limited</w:t>
      </w:r>
      <w:r w:rsidR="00B372BE">
        <w:rPr>
          <w:rFonts w:ascii="Times New Roman" w:eastAsia="Times New Roman" w:hAnsi="Times New Roman" w:cs="Times New Roman"/>
          <w:kern w:val="0"/>
          <w:sz w:val="24"/>
          <w:szCs w:val="24"/>
          <w:lang w:eastAsia="en-GB"/>
          <w14:ligatures w14:val="none"/>
        </w:rPr>
        <w:t>;</w:t>
      </w:r>
      <w:r w:rsidRPr="00B5481F">
        <w:rPr>
          <w:rFonts w:ascii="Times New Roman" w:eastAsia="Times New Roman" w:hAnsi="Times New Roman" w:cs="Times New Roman"/>
          <w:kern w:val="0"/>
          <w:sz w:val="24"/>
          <w:szCs w:val="24"/>
          <w:lang w:eastAsia="en-GB"/>
          <w14:ligatures w14:val="none"/>
        </w:rPr>
        <w:t xml:space="preserve"> in the case of Nest ferch Rhys, there is a comparatively richer body of material than is available for many women of the period, allowing for a more developed, though still mediated, reconstruction of her life. This portrait of Nest ferch Rhys is largely </w:t>
      </w:r>
      <w:r>
        <w:rPr>
          <w:rFonts w:ascii="Times New Roman" w:eastAsia="Times New Roman" w:hAnsi="Times New Roman" w:cs="Times New Roman"/>
          <w:kern w:val="0"/>
          <w:sz w:val="24"/>
          <w:szCs w:val="24"/>
          <w:lang w:eastAsia="en-GB"/>
          <w14:ligatures w14:val="none"/>
        </w:rPr>
        <w:t>informed</w:t>
      </w:r>
      <w:r w:rsidRPr="00B5481F">
        <w:rPr>
          <w:rFonts w:ascii="Times New Roman" w:eastAsia="Times New Roman" w:hAnsi="Times New Roman" w:cs="Times New Roman"/>
          <w:kern w:val="0"/>
          <w:sz w:val="24"/>
          <w:szCs w:val="24"/>
          <w:lang w:eastAsia="en-GB"/>
          <w14:ligatures w14:val="none"/>
        </w:rPr>
        <w:t xml:space="preserve"> by later medieval </w:t>
      </w:r>
      <w:r w:rsidR="009A2F4A">
        <w:rPr>
          <w:rFonts w:ascii="Times New Roman" w:eastAsia="Times New Roman" w:hAnsi="Times New Roman" w:cs="Times New Roman"/>
          <w:kern w:val="0"/>
          <w:sz w:val="24"/>
          <w:szCs w:val="24"/>
          <w:lang w:eastAsia="en-GB"/>
          <w14:ligatures w14:val="none"/>
        </w:rPr>
        <w:t>manuscripts</w:t>
      </w:r>
      <w:r w:rsidRPr="00B5481F">
        <w:rPr>
          <w:rFonts w:ascii="Times New Roman" w:eastAsia="Times New Roman" w:hAnsi="Times New Roman" w:cs="Times New Roman"/>
          <w:kern w:val="0"/>
          <w:sz w:val="24"/>
          <w:szCs w:val="24"/>
          <w:lang w:eastAsia="en-GB"/>
          <w14:ligatures w14:val="none"/>
        </w:rPr>
        <w:t xml:space="preserve">, and its reliability depends on the nature and purpose of the sources from which it is derived. One of the main sources used to construct this portrait was the </w:t>
      </w:r>
      <w:r w:rsidRPr="00B5481F">
        <w:rPr>
          <w:rFonts w:ascii="Times New Roman" w:eastAsia="Times New Roman" w:hAnsi="Times New Roman" w:cs="Times New Roman"/>
          <w:i/>
          <w:iCs/>
          <w:kern w:val="0"/>
          <w:sz w:val="24"/>
          <w:szCs w:val="24"/>
          <w:lang w:eastAsia="en-GB"/>
          <w14:ligatures w14:val="none"/>
        </w:rPr>
        <w:t>Brut y Tywysogion</w:t>
      </w:r>
      <w:r w:rsidRPr="00B5481F">
        <w:rPr>
          <w:rFonts w:ascii="Times New Roman" w:eastAsia="Times New Roman" w:hAnsi="Times New Roman" w:cs="Times New Roman"/>
          <w:kern w:val="0"/>
          <w:sz w:val="24"/>
          <w:szCs w:val="24"/>
          <w:lang w:eastAsia="en-GB"/>
          <w14:ligatures w14:val="none"/>
        </w:rPr>
        <w:t xml:space="preserve"> or </w:t>
      </w:r>
      <w:r w:rsidRPr="00B5481F">
        <w:rPr>
          <w:rFonts w:ascii="Times New Roman" w:eastAsia="Times New Roman" w:hAnsi="Times New Roman" w:cs="Times New Roman"/>
          <w:i/>
          <w:iCs/>
          <w:kern w:val="0"/>
          <w:sz w:val="24"/>
          <w:szCs w:val="24"/>
          <w:lang w:eastAsia="en-GB"/>
          <w14:ligatures w14:val="none"/>
        </w:rPr>
        <w:t>The Chronicle of the Princes</w:t>
      </w:r>
      <w:r w:rsidRPr="00B5481F">
        <w:rPr>
          <w:rFonts w:ascii="Times New Roman" w:eastAsia="Times New Roman" w:hAnsi="Times New Roman" w:cs="Times New Roman"/>
          <w:kern w:val="0"/>
          <w:sz w:val="24"/>
          <w:szCs w:val="24"/>
          <w:lang w:eastAsia="en-GB"/>
          <w14:ligatures w14:val="none"/>
        </w:rPr>
        <w:t xml:space="preserve">. The chronicle is one of the most </w:t>
      </w:r>
      <w:r w:rsidRPr="00B5481F">
        <w:rPr>
          <w:rFonts w:ascii="Times New Roman" w:eastAsia="Times New Roman" w:hAnsi="Times New Roman" w:cs="Times New Roman"/>
          <w:kern w:val="0"/>
          <w:sz w:val="24"/>
          <w:szCs w:val="24"/>
          <w:lang w:eastAsia="en-GB"/>
          <w14:ligatures w14:val="none"/>
        </w:rPr>
        <w:lastRenderedPageBreak/>
        <w:t>important narrative sources for Welsh medieval history, surviving in several thirteenth- and fourteenth-century manuscript editions and ultimately deriving from earlier Latin annalistic material.</w:t>
      </w:r>
      <w:r w:rsidR="00DC62A6">
        <w:rPr>
          <w:rStyle w:val="FootnoteReference"/>
          <w:rFonts w:ascii="Times New Roman" w:eastAsia="Times New Roman" w:hAnsi="Times New Roman" w:cs="Times New Roman"/>
          <w:kern w:val="0"/>
          <w:sz w:val="24"/>
          <w:szCs w:val="24"/>
          <w:lang w:eastAsia="en-GB"/>
          <w14:ligatures w14:val="none"/>
        </w:rPr>
        <w:footnoteReference w:id="24"/>
      </w:r>
      <w:r>
        <w:rPr>
          <w:rFonts w:ascii="Times New Roman" w:eastAsia="Times New Roman" w:hAnsi="Times New Roman" w:cs="Times New Roman"/>
          <w:kern w:val="0"/>
          <w:sz w:val="24"/>
          <w:szCs w:val="24"/>
          <w:lang w:eastAsia="en-GB"/>
          <w14:ligatures w14:val="none"/>
        </w:rPr>
        <w:t xml:space="preserve"> </w:t>
      </w:r>
      <w:r w:rsidRPr="00B5481F">
        <w:rPr>
          <w:rFonts w:ascii="Times New Roman" w:eastAsia="Times New Roman" w:hAnsi="Times New Roman" w:cs="Times New Roman"/>
          <w:kern w:val="0"/>
          <w:sz w:val="24"/>
          <w:szCs w:val="24"/>
          <w:lang w:eastAsia="en-GB"/>
          <w14:ligatures w14:val="none"/>
        </w:rPr>
        <w:t xml:space="preserve">This source is particularly significant for the reconstruction of Nest’s life because it contains </w:t>
      </w:r>
      <w:r w:rsidRPr="00DE07E9">
        <w:rPr>
          <w:rFonts w:ascii="Times New Roman" w:eastAsia="Times New Roman" w:hAnsi="Times New Roman" w:cs="Times New Roman"/>
          <w:kern w:val="0"/>
          <w:sz w:val="24"/>
          <w:szCs w:val="24"/>
          <w:lang w:eastAsia="en-GB"/>
          <w14:ligatures w14:val="none"/>
        </w:rPr>
        <w:t xml:space="preserve">one of the most detailed narrative accounts of her abduction, an episode that has had a lasting influence on her later historiographical portrayal. </w:t>
      </w:r>
      <w:r w:rsidR="00B372BE">
        <w:rPr>
          <w:rFonts w:ascii="Times New Roman" w:eastAsia="Times New Roman" w:hAnsi="Times New Roman" w:cs="Times New Roman"/>
          <w:kern w:val="0"/>
          <w:sz w:val="24"/>
          <w:szCs w:val="24"/>
          <w:lang w:eastAsia="en-GB"/>
          <w14:ligatures w14:val="none"/>
        </w:rPr>
        <w:t>A</w:t>
      </w:r>
      <w:r w:rsidRPr="00DE07E9">
        <w:rPr>
          <w:rFonts w:ascii="Times New Roman" w:eastAsia="Times New Roman" w:hAnsi="Times New Roman" w:cs="Times New Roman"/>
          <w:kern w:val="0"/>
          <w:sz w:val="24"/>
          <w:szCs w:val="24"/>
          <w:lang w:eastAsia="en-GB"/>
          <w14:ligatures w14:val="none"/>
        </w:rPr>
        <w:t xml:space="preserve">lthough the </w:t>
      </w:r>
      <w:r w:rsidRPr="00DE07E9">
        <w:rPr>
          <w:rFonts w:ascii="Times New Roman" w:eastAsia="Times New Roman" w:hAnsi="Times New Roman" w:cs="Times New Roman"/>
          <w:i/>
          <w:iCs/>
          <w:kern w:val="0"/>
          <w:sz w:val="24"/>
          <w:szCs w:val="24"/>
          <w:lang w:eastAsia="en-GB"/>
          <w14:ligatures w14:val="none"/>
        </w:rPr>
        <w:t>Brut y Tywysogion</w:t>
      </w:r>
      <w:r w:rsidRPr="00DE07E9">
        <w:rPr>
          <w:rFonts w:ascii="Times New Roman" w:eastAsia="Times New Roman" w:hAnsi="Times New Roman" w:cs="Times New Roman"/>
          <w:kern w:val="0"/>
          <w:sz w:val="24"/>
          <w:szCs w:val="24"/>
          <w:lang w:eastAsia="en-GB"/>
          <w14:ligatures w14:val="none"/>
        </w:rPr>
        <w:t xml:space="preserve"> is often treated as a key narrative authority, the surviving manuscript versions do not present a single fixed account and </w:t>
      </w:r>
      <w:r w:rsidRPr="00DE07E9">
        <w:rPr>
          <w:rFonts w:ascii="Times New Roman" w:hAnsi="Times New Roman" w:cs="Times New Roman"/>
          <w:sz w:val="24"/>
          <w:szCs w:val="24"/>
        </w:rPr>
        <w:t xml:space="preserve">suggest that the narrative </w:t>
      </w:r>
      <w:r w:rsidR="006010B2">
        <w:rPr>
          <w:rFonts w:ascii="Times New Roman" w:hAnsi="Times New Roman" w:cs="Times New Roman"/>
          <w:sz w:val="24"/>
          <w:szCs w:val="24"/>
        </w:rPr>
        <w:t>e</w:t>
      </w:r>
      <w:r w:rsidR="00C31B38">
        <w:rPr>
          <w:rFonts w:ascii="Times New Roman" w:hAnsi="Times New Roman" w:cs="Times New Roman"/>
          <w:sz w:val="24"/>
          <w:szCs w:val="24"/>
        </w:rPr>
        <w:t>volved over time or depended u</w:t>
      </w:r>
      <w:r w:rsidR="001C7FC3">
        <w:rPr>
          <w:rFonts w:ascii="Times New Roman" w:hAnsi="Times New Roman" w:cs="Times New Roman"/>
          <w:sz w:val="24"/>
          <w:szCs w:val="24"/>
        </w:rPr>
        <w:t xml:space="preserve">pon </w:t>
      </w:r>
      <w:r w:rsidR="00BB22E7">
        <w:rPr>
          <w:rFonts w:ascii="Times New Roman" w:hAnsi="Times New Roman" w:cs="Times New Roman"/>
          <w:sz w:val="24"/>
          <w:szCs w:val="24"/>
        </w:rPr>
        <w:t xml:space="preserve">the </w:t>
      </w:r>
      <w:r w:rsidR="004A6285">
        <w:rPr>
          <w:rFonts w:ascii="Times New Roman" w:hAnsi="Times New Roman" w:cs="Times New Roman"/>
          <w:sz w:val="24"/>
          <w:szCs w:val="24"/>
        </w:rPr>
        <w:t>choices</w:t>
      </w:r>
      <w:r w:rsidR="001F6505">
        <w:rPr>
          <w:rFonts w:ascii="Times New Roman" w:hAnsi="Times New Roman" w:cs="Times New Roman"/>
          <w:sz w:val="24"/>
          <w:szCs w:val="24"/>
        </w:rPr>
        <w:t xml:space="preserve"> and </w:t>
      </w:r>
      <w:r w:rsidR="00703EC9">
        <w:rPr>
          <w:rFonts w:ascii="Times New Roman" w:hAnsi="Times New Roman" w:cs="Times New Roman"/>
          <w:sz w:val="24"/>
          <w:szCs w:val="24"/>
        </w:rPr>
        <w:t>moral pr</w:t>
      </w:r>
      <w:r w:rsidR="00412FE9">
        <w:rPr>
          <w:rFonts w:ascii="Times New Roman" w:hAnsi="Times New Roman" w:cs="Times New Roman"/>
          <w:sz w:val="24"/>
          <w:szCs w:val="24"/>
        </w:rPr>
        <w:t>iority</w:t>
      </w:r>
      <w:r w:rsidR="004A6285">
        <w:rPr>
          <w:rFonts w:ascii="Times New Roman" w:hAnsi="Times New Roman" w:cs="Times New Roman"/>
          <w:sz w:val="24"/>
          <w:szCs w:val="24"/>
        </w:rPr>
        <w:t xml:space="preserve"> </w:t>
      </w:r>
      <w:r w:rsidR="00A107C4">
        <w:rPr>
          <w:rFonts w:ascii="Times New Roman" w:hAnsi="Times New Roman" w:cs="Times New Roman"/>
          <w:sz w:val="24"/>
          <w:szCs w:val="24"/>
        </w:rPr>
        <w:t xml:space="preserve">of the individual </w:t>
      </w:r>
      <w:r w:rsidR="00BB22E7">
        <w:rPr>
          <w:rFonts w:ascii="Times New Roman" w:hAnsi="Times New Roman" w:cs="Times New Roman"/>
          <w:sz w:val="24"/>
          <w:szCs w:val="24"/>
        </w:rPr>
        <w:t>scribe</w:t>
      </w:r>
      <w:r w:rsidRPr="00DE07E9">
        <w:rPr>
          <w:rFonts w:ascii="Times New Roman" w:eastAsia="Times New Roman" w:hAnsi="Times New Roman" w:cs="Times New Roman"/>
          <w:kern w:val="0"/>
          <w:sz w:val="24"/>
          <w:szCs w:val="24"/>
          <w:lang w:eastAsia="en-GB"/>
          <w14:ligatures w14:val="none"/>
        </w:rPr>
        <w:t>. For example, some editions place greater emphasis on the attackers’ motivations, describing them in terms of passion and desire, while others focus more on the tactical details of the raid, including</w:t>
      </w:r>
      <w:r w:rsidRPr="00B5481F">
        <w:rPr>
          <w:rFonts w:ascii="Times New Roman" w:eastAsia="Times New Roman" w:hAnsi="Times New Roman" w:cs="Times New Roman"/>
          <w:kern w:val="0"/>
          <w:sz w:val="24"/>
          <w:szCs w:val="24"/>
          <w:lang w:eastAsia="en-GB"/>
          <w14:ligatures w14:val="none"/>
        </w:rPr>
        <w:t xml:space="preserve"> how entry into the castle was achieved. In addition, certain versions include extended narrative elements such as direct speech and detailed description, whereas others present a more compressed account.</w:t>
      </w:r>
      <w:r w:rsidR="00E33070">
        <w:rPr>
          <w:rStyle w:val="FootnoteReference"/>
          <w:rFonts w:ascii="Times New Roman" w:eastAsia="Times New Roman" w:hAnsi="Times New Roman" w:cs="Times New Roman"/>
          <w:kern w:val="0"/>
          <w:sz w:val="24"/>
          <w:szCs w:val="24"/>
          <w:lang w:eastAsia="en-GB"/>
          <w14:ligatures w14:val="none"/>
        </w:rPr>
        <w:footnoteReference w:id="25"/>
      </w:r>
      <w:r w:rsidRPr="00B5481F">
        <w:rPr>
          <w:rFonts w:ascii="Times New Roman" w:eastAsia="Times New Roman" w:hAnsi="Times New Roman" w:cs="Times New Roman"/>
          <w:kern w:val="0"/>
          <w:sz w:val="24"/>
          <w:szCs w:val="24"/>
          <w:lang w:eastAsia="en-GB"/>
          <w14:ligatures w14:val="none"/>
        </w:rPr>
        <w:t xml:space="preserve"> Comparable narrative patterns can be seen in Welsh literary </w:t>
      </w:r>
      <w:r w:rsidR="009A2F4A">
        <w:rPr>
          <w:rFonts w:ascii="Times New Roman" w:eastAsia="Times New Roman" w:hAnsi="Times New Roman" w:cs="Times New Roman"/>
          <w:kern w:val="0"/>
          <w:sz w:val="24"/>
          <w:szCs w:val="24"/>
          <w:lang w:eastAsia="en-GB"/>
          <w14:ligatures w14:val="none"/>
        </w:rPr>
        <w:t>prose</w:t>
      </w:r>
      <w:r w:rsidRPr="00B5481F">
        <w:rPr>
          <w:rFonts w:ascii="Times New Roman" w:eastAsia="Times New Roman" w:hAnsi="Times New Roman" w:cs="Times New Roman"/>
          <w:kern w:val="0"/>
          <w:sz w:val="24"/>
          <w:szCs w:val="24"/>
          <w:lang w:eastAsia="en-GB"/>
          <w14:ligatures w14:val="none"/>
        </w:rPr>
        <w:t xml:space="preserve"> associated with bardic culture and later medieval prose, particularly the </w:t>
      </w:r>
      <w:r w:rsidRPr="00B5481F">
        <w:rPr>
          <w:rFonts w:ascii="Times New Roman" w:eastAsia="Times New Roman" w:hAnsi="Times New Roman" w:cs="Times New Roman"/>
          <w:i/>
          <w:iCs/>
          <w:kern w:val="0"/>
          <w:sz w:val="24"/>
          <w:szCs w:val="24"/>
          <w:lang w:eastAsia="en-GB"/>
          <w14:ligatures w14:val="none"/>
        </w:rPr>
        <w:t>Mabinogion</w:t>
      </w:r>
      <w:r>
        <w:rPr>
          <w:rFonts w:ascii="Times New Roman" w:eastAsia="Times New Roman" w:hAnsi="Times New Roman" w:cs="Times New Roman"/>
          <w:kern w:val="0"/>
          <w:sz w:val="24"/>
          <w:szCs w:val="24"/>
          <w:lang w:eastAsia="en-GB"/>
          <w14:ligatures w14:val="none"/>
        </w:rPr>
        <w:t>. This is a connection also noted by Susan Johns in her study of Nest ferch Rhys, which highlights the shared narrative structures between historical chronicle and literary tradition.</w:t>
      </w:r>
      <w:r>
        <w:rPr>
          <w:rStyle w:val="FootnoteReference"/>
          <w:rFonts w:ascii="Times New Roman" w:eastAsia="Times New Roman" w:hAnsi="Times New Roman" w:cs="Times New Roman"/>
          <w:kern w:val="0"/>
          <w:sz w:val="24"/>
          <w:szCs w:val="24"/>
          <w:lang w:eastAsia="en-GB"/>
          <w14:ligatures w14:val="none"/>
        </w:rPr>
        <w:footnoteReference w:id="26"/>
      </w:r>
      <w:r w:rsidRPr="00B5481F">
        <w:rPr>
          <w:rFonts w:ascii="Times New Roman" w:eastAsia="Times New Roman" w:hAnsi="Times New Roman" w:cs="Times New Roman"/>
          <w:kern w:val="0"/>
          <w:sz w:val="24"/>
          <w:szCs w:val="24"/>
          <w:lang w:eastAsia="en-GB"/>
          <w14:ligatures w14:val="none"/>
        </w:rPr>
        <w:t xml:space="preserve"> In tales such as the story of Rhiannon, episodes of abduction and disruption are structured in a way that prioritises moral and thematic meaning over strict factual precision. This </w:t>
      </w:r>
      <w:r w:rsidR="00526030">
        <w:rPr>
          <w:rFonts w:ascii="Times New Roman" w:eastAsia="Times New Roman" w:hAnsi="Times New Roman" w:cs="Times New Roman"/>
          <w:kern w:val="0"/>
          <w:sz w:val="24"/>
          <w:szCs w:val="24"/>
          <w:lang w:eastAsia="en-GB"/>
          <w14:ligatures w14:val="none"/>
        </w:rPr>
        <w:t>shows</w:t>
      </w:r>
      <w:r w:rsidRPr="00B5481F">
        <w:rPr>
          <w:rFonts w:ascii="Times New Roman" w:eastAsia="Times New Roman" w:hAnsi="Times New Roman" w:cs="Times New Roman"/>
          <w:kern w:val="0"/>
          <w:sz w:val="24"/>
          <w:szCs w:val="24"/>
          <w:lang w:eastAsia="en-GB"/>
          <w14:ligatures w14:val="none"/>
        </w:rPr>
        <w:t xml:space="preserve"> that such narratives functioned as culturally meaningful frameworks through which ideas of honour, legitimacy, and social order were expressed. The recurrence of similar structures in the </w:t>
      </w:r>
      <w:r w:rsidRPr="00B5481F">
        <w:rPr>
          <w:rFonts w:ascii="Times New Roman" w:eastAsia="Times New Roman" w:hAnsi="Times New Roman" w:cs="Times New Roman"/>
          <w:i/>
          <w:iCs/>
          <w:kern w:val="0"/>
          <w:sz w:val="24"/>
          <w:szCs w:val="24"/>
          <w:lang w:eastAsia="en-GB"/>
          <w14:ligatures w14:val="none"/>
        </w:rPr>
        <w:t>Brut y Tywysogion</w:t>
      </w:r>
      <w:r w:rsidRPr="00B5481F">
        <w:rPr>
          <w:rFonts w:ascii="Times New Roman" w:eastAsia="Times New Roman" w:hAnsi="Times New Roman" w:cs="Times New Roman"/>
          <w:kern w:val="0"/>
          <w:sz w:val="24"/>
          <w:szCs w:val="24"/>
          <w:lang w:eastAsia="en-GB"/>
          <w14:ligatures w14:val="none"/>
        </w:rPr>
        <w:t xml:space="preserve"> indicates that accounts of figures such as Nest may have been </w:t>
      </w:r>
      <w:r>
        <w:rPr>
          <w:rFonts w:ascii="Times New Roman" w:eastAsia="Times New Roman" w:hAnsi="Times New Roman" w:cs="Times New Roman"/>
          <w:kern w:val="0"/>
          <w:sz w:val="24"/>
          <w:szCs w:val="24"/>
          <w:lang w:eastAsia="en-GB"/>
          <w14:ligatures w14:val="none"/>
        </w:rPr>
        <w:t>influenced</w:t>
      </w:r>
      <w:r w:rsidRPr="00B5481F">
        <w:rPr>
          <w:rFonts w:ascii="Times New Roman" w:eastAsia="Times New Roman" w:hAnsi="Times New Roman" w:cs="Times New Roman"/>
          <w:kern w:val="0"/>
          <w:sz w:val="24"/>
          <w:szCs w:val="24"/>
          <w:lang w:eastAsia="en-GB"/>
          <w14:ligatures w14:val="none"/>
        </w:rPr>
        <w:t xml:space="preserve"> by these broader literary expectations, particularly in the framing of elite women as focal points of political conflict and resolution.</w:t>
      </w:r>
      <w:r>
        <w:rPr>
          <w:rFonts w:ascii="Times New Roman" w:eastAsia="Times New Roman" w:hAnsi="Times New Roman" w:cs="Times New Roman"/>
          <w:kern w:val="0"/>
          <w:sz w:val="24"/>
          <w:szCs w:val="24"/>
          <w:lang w:eastAsia="en-GB"/>
          <w14:ligatures w14:val="none"/>
        </w:rPr>
        <w:t xml:space="preserve"> </w:t>
      </w:r>
      <w:r w:rsidRPr="00B5481F">
        <w:rPr>
          <w:rFonts w:ascii="Times New Roman" w:eastAsia="Times New Roman" w:hAnsi="Times New Roman" w:cs="Times New Roman"/>
          <w:kern w:val="0"/>
          <w:sz w:val="24"/>
          <w:szCs w:val="24"/>
          <w:lang w:eastAsia="en-GB"/>
          <w14:ligatures w14:val="none"/>
        </w:rPr>
        <w:t>Importantly</w:t>
      </w:r>
      <w:r w:rsidR="00B372BE">
        <w:rPr>
          <w:rFonts w:ascii="Times New Roman" w:eastAsia="Times New Roman" w:hAnsi="Times New Roman" w:cs="Times New Roman"/>
          <w:kern w:val="0"/>
          <w:sz w:val="24"/>
          <w:szCs w:val="24"/>
          <w:lang w:eastAsia="en-GB"/>
          <w14:ligatures w14:val="none"/>
        </w:rPr>
        <w:t xml:space="preserve">, </w:t>
      </w:r>
      <w:r w:rsidRPr="00B5481F">
        <w:rPr>
          <w:rFonts w:ascii="Times New Roman" w:eastAsia="Times New Roman" w:hAnsi="Times New Roman" w:cs="Times New Roman"/>
          <w:kern w:val="0"/>
          <w:sz w:val="24"/>
          <w:szCs w:val="24"/>
          <w:lang w:eastAsia="en-GB"/>
          <w14:ligatures w14:val="none"/>
        </w:rPr>
        <w:t xml:space="preserve">the </w:t>
      </w:r>
      <w:r w:rsidRPr="00B5481F">
        <w:rPr>
          <w:rFonts w:ascii="Times New Roman" w:eastAsia="Times New Roman" w:hAnsi="Times New Roman" w:cs="Times New Roman"/>
          <w:i/>
          <w:iCs/>
          <w:kern w:val="0"/>
          <w:sz w:val="24"/>
          <w:szCs w:val="24"/>
          <w:lang w:eastAsia="en-GB"/>
          <w14:ligatures w14:val="none"/>
        </w:rPr>
        <w:t>Brut y Tywysogion</w:t>
      </w:r>
      <w:r w:rsidRPr="00B5481F">
        <w:rPr>
          <w:rFonts w:ascii="Times New Roman" w:eastAsia="Times New Roman" w:hAnsi="Times New Roman" w:cs="Times New Roman"/>
          <w:kern w:val="0"/>
          <w:sz w:val="24"/>
          <w:szCs w:val="24"/>
          <w:lang w:eastAsia="en-GB"/>
          <w14:ligatures w14:val="none"/>
        </w:rPr>
        <w:t xml:space="preserve"> still preserves a broadly consistent core sequence of events across manuscript versions, which supports its value as a historical source when read critically. At the same time, the broader tendency of medieval Welsh historiography to record elite male activity more consistently than women’s lives means that the inclusion of Nest in such detail is itself significant, even if </w:t>
      </w:r>
      <w:r w:rsidR="001A43AF">
        <w:rPr>
          <w:rFonts w:ascii="Times New Roman" w:eastAsia="Times New Roman" w:hAnsi="Times New Roman" w:cs="Times New Roman"/>
          <w:kern w:val="0"/>
          <w:sz w:val="24"/>
          <w:szCs w:val="24"/>
          <w:lang w:eastAsia="en-GB"/>
          <w14:ligatures w14:val="none"/>
        </w:rPr>
        <w:t>told through familiar storytelling styles.</w:t>
      </w:r>
    </w:p>
    <w:p w14:paraId="0683FB72" w14:textId="6CEAC6D3" w:rsidR="00F92763" w:rsidRPr="00D43A75" w:rsidRDefault="00F92763" w:rsidP="00526030">
      <w:pPr>
        <w:spacing w:before="100" w:beforeAutospacing="1" w:after="100" w:afterAutospacing="1" w:line="360" w:lineRule="auto"/>
        <w:ind w:firstLine="720"/>
        <w:rPr>
          <w:rFonts w:ascii="Times New Roman" w:eastAsia="Times New Roman" w:hAnsi="Times New Roman" w:cs="Times New Roman"/>
          <w:kern w:val="0"/>
          <w:sz w:val="24"/>
          <w:szCs w:val="24"/>
          <w:lang w:eastAsia="en-GB"/>
          <w14:ligatures w14:val="none"/>
        </w:rPr>
      </w:pPr>
      <w:r w:rsidRPr="00D43A75">
        <w:rPr>
          <w:rFonts w:ascii="Times New Roman" w:eastAsia="Times New Roman" w:hAnsi="Times New Roman" w:cs="Times New Roman"/>
          <w:kern w:val="0"/>
          <w:sz w:val="24"/>
          <w:szCs w:val="24"/>
          <w:lang w:eastAsia="en-GB"/>
          <w14:ligatures w14:val="none"/>
        </w:rPr>
        <w:t xml:space="preserve">Another significant source is the writer and cleric Gerald of Wales. Born into the Anglo-Norman and Welsh elite as the grandson of Nest ferch Rhys, through her daughter </w:t>
      </w:r>
      <w:r w:rsidRPr="00D43A75">
        <w:rPr>
          <w:rFonts w:ascii="Times New Roman" w:eastAsia="Times New Roman" w:hAnsi="Times New Roman" w:cs="Times New Roman"/>
          <w:kern w:val="0"/>
          <w:sz w:val="24"/>
          <w:szCs w:val="24"/>
          <w:lang w:eastAsia="en-GB"/>
          <w14:ligatures w14:val="none"/>
        </w:rPr>
        <w:lastRenderedPageBreak/>
        <w:t>Angharad, Gerald occupied a distinctive position on the Anglo-Welsh frontier.</w:t>
      </w:r>
      <w:r w:rsidR="00570FA5">
        <w:rPr>
          <w:rStyle w:val="FootnoteReference"/>
          <w:rFonts w:ascii="Times New Roman" w:eastAsia="Times New Roman" w:hAnsi="Times New Roman" w:cs="Times New Roman"/>
          <w:kern w:val="0"/>
          <w:sz w:val="24"/>
          <w:szCs w:val="24"/>
          <w:lang w:eastAsia="en-GB"/>
          <w14:ligatures w14:val="none"/>
        </w:rPr>
        <w:footnoteReference w:id="27"/>
      </w:r>
      <w:r w:rsidRPr="00D43A75">
        <w:rPr>
          <w:rFonts w:ascii="Times New Roman" w:eastAsia="Times New Roman" w:hAnsi="Times New Roman" w:cs="Times New Roman"/>
          <w:kern w:val="0"/>
          <w:sz w:val="24"/>
          <w:szCs w:val="24"/>
          <w:lang w:eastAsia="en-GB"/>
          <w14:ligatures w14:val="none"/>
        </w:rPr>
        <w:t xml:space="preserve"> This background gave him access to both Welsh and Anglo-Norman aristocratic networks, shaping his perspective and the material he chose to record. His works, including </w:t>
      </w:r>
      <w:r w:rsidRPr="00D43A75">
        <w:rPr>
          <w:rFonts w:ascii="Times New Roman" w:eastAsia="Times New Roman" w:hAnsi="Times New Roman" w:cs="Times New Roman"/>
          <w:i/>
          <w:iCs/>
          <w:kern w:val="0"/>
          <w:sz w:val="24"/>
          <w:szCs w:val="24"/>
          <w:lang w:eastAsia="en-GB"/>
          <w14:ligatures w14:val="none"/>
        </w:rPr>
        <w:t>Descriptio Kambriae</w:t>
      </w:r>
      <w:r w:rsidRPr="00D43A75">
        <w:rPr>
          <w:rFonts w:ascii="Times New Roman" w:eastAsia="Times New Roman" w:hAnsi="Times New Roman" w:cs="Times New Roman"/>
          <w:kern w:val="0"/>
          <w:sz w:val="24"/>
          <w:szCs w:val="24"/>
          <w:lang w:eastAsia="en-GB"/>
          <w14:ligatures w14:val="none"/>
        </w:rPr>
        <w:t xml:space="preserve"> (Description of Wales) and </w:t>
      </w:r>
      <w:r w:rsidRPr="00D43A75">
        <w:rPr>
          <w:rFonts w:ascii="Times New Roman" w:eastAsia="Times New Roman" w:hAnsi="Times New Roman" w:cs="Times New Roman"/>
          <w:i/>
          <w:iCs/>
          <w:kern w:val="0"/>
          <w:sz w:val="24"/>
          <w:szCs w:val="24"/>
          <w:lang w:eastAsia="en-GB"/>
          <w14:ligatures w14:val="none"/>
        </w:rPr>
        <w:t>Itinerarium Kambriae</w:t>
      </w:r>
      <w:r w:rsidRPr="00D43A75">
        <w:rPr>
          <w:rFonts w:ascii="Times New Roman" w:eastAsia="Times New Roman" w:hAnsi="Times New Roman" w:cs="Times New Roman"/>
          <w:kern w:val="0"/>
          <w:sz w:val="24"/>
          <w:szCs w:val="24"/>
          <w:lang w:eastAsia="en-GB"/>
          <w14:ligatures w14:val="none"/>
        </w:rPr>
        <w:t xml:space="preserve"> (Journey Through Wales), provide valuable insight into Welsh society, customs, and political structures, and are particularly useful for their genealogical content.</w:t>
      </w:r>
      <w:r>
        <w:rPr>
          <w:rStyle w:val="FootnoteReference"/>
          <w:rFonts w:ascii="Times New Roman" w:eastAsia="Times New Roman" w:hAnsi="Times New Roman" w:cs="Times New Roman"/>
          <w:kern w:val="0"/>
          <w:sz w:val="24"/>
          <w:szCs w:val="24"/>
          <w:lang w:eastAsia="en-GB"/>
          <w14:ligatures w14:val="none"/>
        </w:rPr>
        <w:footnoteReference w:id="28"/>
      </w:r>
      <w:r w:rsidRPr="00D43A75">
        <w:rPr>
          <w:rFonts w:ascii="Times New Roman" w:eastAsia="Times New Roman" w:hAnsi="Times New Roman" w:cs="Times New Roman"/>
          <w:kern w:val="0"/>
          <w:sz w:val="24"/>
          <w:szCs w:val="24"/>
          <w:lang w:eastAsia="en-GB"/>
          <w14:ligatures w14:val="none"/>
        </w:rPr>
        <w:t xml:space="preserve"> Gerald frequently emphasises kinship ties, noble descent, and familial alliances, reflecting the importance of lineage in establishing status and legitimacy.</w:t>
      </w:r>
      <w:r w:rsidR="00FA2430">
        <w:rPr>
          <w:rStyle w:val="FootnoteReference"/>
          <w:rFonts w:ascii="Times New Roman" w:eastAsia="Times New Roman" w:hAnsi="Times New Roman" w:cs="Times New Roman"/>
          <w:kern w:val="0"/>
          <w:sz w:val="24"/>
          <w:szCs w:val="24"/>
          <w:lang w:eastAsia="en-GB"/>
          <w14:ligatures w14:val="none"/>
        </w:rPr>
        <w:footnoteReference w:id="29"/>
      </w:r>
      <w:r w:rsidRPr="00D43A75">
        <w:rPr>
          <w:rFonts w:ascii="Times New Roman" w:eastAsia="Times New Roman" w:hAnsi="Times New Roman" w:cs="Times New Roman"/>
          <w:kern w:val="0"/>
          <w:sz w:val="24"/>
          <w:szCs w:val="24"/>
          <w:lang w:eastAsia="en-GB"/>
          <w14:ligatures w14:val="none"/>
        </w:rPr>
        <w:t xml:space="preserve"> Through such references, figures like Nest can be situated within a broader dynastic framework, reinforcing her significance within an network of elite families operating across Wales and the Anglo-Norman world.</w:t>
      </w:r>
      <w:r>
        <w:rPr>
          <w:rFonts w:ascii="Times New Roman" w:eastAsia="Times New Roman" w:hAnsi="Times New Roman" w:cs="Times New Roman"/>
          <w:kern w:val="0"/>
          <w:sz w:val="24"/>
          <w:szCs w:val="24"/>
          <w:lang w:eastAsia="en-GB"/>
          <w14:ligatures w14:val="none"/>
        </w:rPr>
        <w:t xml:space="preserve"> </w:t>
      </w:r>
      <w:r w:rsidRPr="00D43A75">
        <w:rPr>
          <w:rFonts w:ascii="Times New Roman" w:eastAsia="Times New Roman" w:hAnsi="Times New Roman" w:cs="Times New Roman"/>
          <w:kern w:val="0"/>
          <w:sz w:val="24"/>
          <w:szCs w:val="24"/>
          <w:lang w:eastAsia="en-GB"/>
          <w14:ligatures w14:val="none"/>
        </w:rPr>
        <w:t xml:space="preserve">Gerald’s writings are rich in descriptive and ethnographic </w:t>
      </w:r>
      <w:r w:rsidR="001A43AF" w:rsidRPr="00D43A75">
        <w:rPr>
          <w:rFonts w:ascii="Times New Roman" w:eastAsia="Times New Roman" w:hAnsi="Times New Roman" w:cs="Times New Roman"/>
          <w:kern w:val="0"/>
          <w:sz w:val="24"/>
          <w:szCs w:val="24"/>
          <w:lang w:eastAsia="en-GB"/>
          <w14:ligatures w14:val="none"/>
        </w:rPr>
        <w:t>detail;</w:t>
      </w:r>
      <w:r w:rsidRPr="00D43A75">
        <w:rPr>
          <w:rFonts w:ascii="Times New Roman" w:eastAsia="Times New Roman" w:hAnsi="Times New Roman" w:cs="Times New Roman"/>
          <w:kern w:val="0"/>
          <w:sz w:val="24"/>
          <w:szCs w:val="24"/>
          <w:lang w:eastAsia="en-GB"/>
          <w14:ligatures w14:val="none"/>
        </w:rPr>
        <w:t xml:space="preserve"> they are</w:t>
      </w:r>
      <w:r w:rsidR="001A43AF">
        <w:rPr>
          <w:rFonts w:ascii="Times New Roman" w:eastAsia="Times New Roman" w:hAnsi="Times New Roman" w:cs="Times New Roman"/>
          <w:kern w:val="0"/>
          <w:sz w:val="24"/>
          <w:szCs w:val="24"/>
          <w:lang w:eastAsia="en-GB"/>
          <w14:ligatures w14:val="none"/>
        </w:rPr>
        <w:t xml:space="preserve"> also</w:t>
      </w:r>
      <w:r w:rsidRPr="00D43A75">
        <w:rPr>
          <w:rFonts w:ascii="Times New Roman" w:eastAsia="Times New Roman" w:hAnsi="Times New Roman" w:cs="Times New Roman"/>
          <w:kern w:val="0"/>
          <w:sz w:val="24"/>
          <w:szCs w:val="24"/>
          <w:lang w:eastAsia="en-GB"/>
          <w14:ligatures w14:val="none"/>
        </w:rPr>
        <w:t xml:space="preserve"> equally notable for their silences. Most strikingly, he </w:t>
      </w:r>
      <w:r w:rsidR="00392A12">
        <w:rPr>
          <w:rFonts w:ascii="Times New Roman" w:eastAsia="Times New Roman" w:hAnsi="Times New Roman" w:cs="Times New Roman"/>
          <w:kern w:val="0"/>
          <w:sz w:val="24"/>
          <w:szCs w:val="24"/>
          <w:lang w:eastAsia="en-GB"/>
          <w14:ligatures w14:val="none"/>
        </w:rPr>
        <w:t>does not refer</w:t>
      </w:r>
      <w:r w:rsidRPr="00D43A75">
        <w:rPr>
          <w:rFonts w:ascii="Times New Roman" w:eastAsia="Times New Roman" w:hAnsi="Times New Roman" w:cs="Times New Roman"/>
          <w:kern w:val="0"/>
          <w:sz w:val="24"/>
          <w:szCs w:val="24"/>
          <w:lang w:eastAsia="en-GB"/>
          <w14:ligatures w14:val="none"/>
        </w:rPr>
        <w:t xml:space="preserve"> to the abduction of </w:t>
      </w:r>
      <w:r w:rsidR="00392A12">
        <w:rPr>
          <w:rFonts w:ascii="Times New Roman" w:eastAsia="Times New Roman" w:hAnsi="Times New Roman" w:cs="Times New Roman"/>
          <w:kern w:val="0"/>
          <w:sz w:val="24"/>
          <w:szCs w:val="24"/>
          <w:lang w:eastAsia="en-GB"/>
          <w14:ligatures w14:val="none"/>
        </w:rPr>
        <w:t xml:space="preserve">his grandmother </w:t>
      </w:r>
      <w:r w:rsidRPr="00D43A75">
        <w:rPr>
          <w:rFonts w:ascii="Times New Roman" w:eastAsia="Times New Roman" w:hAnsi="Times New Roman" w:cs="Times New Roman"/>
          <w:kern w:val="0"/>
          <w:sz w:val="24"/>
          <w:szCs w:val="24"/>
          <w:lang w:eastAsia="en-GB"/>
          <w14:ligatures w14:val="none"/>
        </w:rPr>
        <w:t xml:space="preserve">Nest, an episode that features prominently in other narrative </w:t>
      </w:r>
      <w:r w:rsidR="009A2F4A">
        <w:rPr>
          <w:rFonts w:ascii="Times New Roman" w:eastAsia="Times New Roman" w:hAnsi="Times New Roman" w:cs="Times New Roman"/>
          <w:kern w:val="0"/>
          <w:sz w:val="24"/>
          <w:szCs w:val="24"/>
          <w:lang w:eastAsia="en-GB"/>
          <w14:ligatures w14:val="none"/>
        </w:rPr>
        <w:t>manuscripts</w:t>
      </w:r>
      <w:r w:rsidRPr="00D43A75">
        <w:rPr>
          <w:rFonts w:ascii="Times New Roman" w:eastAsia="Times New Roman" w:hAnsi="Times New Roman" w:cs="Times New Roman"/>
          <w:kern w:val="0"/>
          <w:sz w:val="24"/>
          <w:szCs w:val="24"/>
          <w:lang w:eastAsia="en-GB"/>
          <w14:ligatures w14:val="none"/>
        </w:rPr>
        <w:t xml:space="preserve"> such as the </w:t>
      </w:r>
      <w:r w:rsidRPr="00D43A75">
        <w:rPr>
          <w:rFonts w:ascii="Times New Roman" w:eastAsia="Times New Roman" w:hAnsi="Times New Roman" w:cs="Times New Roman"/>
          <w:i/>
          <w:iCs/>
          <w:kern w:val="0"/>
          <w:sz w:val="24"/>
          <w:szCs w:val="24"/>
          <w:lang w:eastAsia="en-GB"/>
          <w14:ligatures w14:val="none"/>
        </w:rPr>
        <w:t>Brut y Tywysogion</w:t>
      </w:r>
      <w:r w:rsidRPr="00D43A75">
        <w:rPr>
          <w:rFonts w:ascii="Times New Roman" w:eastAsia="Times New Roman" w:hAnsi="Times New Roman" w:cs="Times New Roman"/>
          <w:kern w:val="0"/>
          <w:sz w:val="24"/>
          <w:szCs w:val="24"/>
          <w:lang w:eastAsia="en-GB"/>
          <w14:ligatures w14:val="none"/>
        </w:rPr>
        <w:t xml:space="preserve">. This omission </w:t>
      </w:r>
      <w:r w:rsidR="007E3605">
        <w:rPr>
          <w:rFonts w:ascii="Times New Roman" w:eastAsia="Times New Roman" w:hAnsi="Times New Roman" w:cs="Times New Roman"/>
          <w:kern w:val="0"/>
          <w:sz w:val="24"/>
          <w:szCs w:val="24"/>
          <w:lang w:eastAsia="en-GB"/>
          <w14:ligatures w14:val="none"/>
        </w:rPr>
        <w:t>can not</w:t>
      </w:r>
      <w:r w:rsidRPr="00D43A75">
        <w:rPr>
          <w:rFonts w:ascii="Times New Roman" w:eastAsia="Times New Roman" w:hAnsi="Times New Roman" w:cs="Times New Roman"/>
          <w:kern w:val="0"/>
          <w:sz w:val="24"/>
          <w:szCs w:val="24"/>
          <w:lang w:eastAsia="en-GB"/>
          <w14:ligatures w14:val="none"/>
        </w:rPr>
        <w:t xml:space="preserve"> be accidental and instead reflects the selective and constructed nature of his work. Gerald’s writing was </w:t>
      </w:r>
      <w:r>
        <w:rPr>
          <w:rFonts w:ascii="Times New Roman" w:eastAsia="Times New Roman" w:hAnsi="Times New Roman" w:cs="Times New Roman"/>
          <w:kern w:val="0"/>
          <w:sz w:val="24"/>
          <w:szCs w:val="24"/>
          <w:lang w:eastAsia="en-GB"/>
          <w14:ligatures w14:val="none"/>
        </w:rPr>
        <w:t>structured</w:t>
      </w:r>
      <w:r w:rsidRPr="00D43A75">
        <w:rPr>
          <w:rFonts w:ascii="Times New Roman" w:eastAsia="Times New Roman" w:hAnsi="Times New Roman" w:cs="Times New Roman"/>
          <w:kern w:val="0"/>
          <w:sz w:val="24"/>
          <w:szCs w:val="24"/>
          <w:lang w:eastAsia="en-GB"/>
          <w14:ligatures w14:val="none"/>
        </w:rPr>
        <w:t xml:space="preserve"> by clear moral and didactic purposes, often using historical and anecdotal material to illustrate lessons about behaviour, governance, and religious virtue.</w:t>
      </w:r>
      <w:r w:rsidR="00CC343F">
        <w:rPr>
          <w:rStyle w:val="FootnoteReference"/>
          <w:rFonts w:ascii="Times New Roman" w:eastAsia="Times New Roman" w:hAnsi="Times New Roman" w:cs="Times New Roman"/>
          <w:kern w:val="0"/>
          <w:sz w:val="24"/>
          <w:szCs w:val="24"/>
          <w:lang w:eastAsia="en-GB"/>
          <w14:ligatures w14:val="none"/>
        </w:rPr>
        <w:footnoteReference w:id="30"/>
      </w:r>
      <w:r w:rsidRPr="00D43A75">
        <w:rPr>
          <w:rFonts w:ascii="Times New Roman" w:eastAsia="Times New Roman" w:hAnsi="Times New Roman" w:cs="Times New Roman"/>
          <w:kern w:val="0"/>
          <w:sz w:val="24"/>
          <w:szCs w:val="24"/>
          <w:lang w:eastAsia="en-GB"/>
          <w14:ligatures w14:val="none"/>
        </w:rPr>
        <w:t xml:space="preserve"> His portrayal of women elsewhere in his works supports this interpretation: women are frequently depicted in moralised terms, either as exemplars of virtue or as warnings against disorder and transgression.</w:t>
      </w:r>
      <w:r w:rsidR="00244E68">
        <w:rPr>
          <w:rStyle w:val="FootnoteReference"/>
          <w:rFonts w:ascii="Times New Roman" w:eastAsia="Times New Roman" w:hAnsi="Times New Roman" w:cs="Times New Roman"/>
          <w:kern w:val="0"/>
          <w:sz w:val="24"/>
          <w:szCs w:val="24"/>
          <w:lang w:eastAsia="en-GB"/>
          <w14:ligatures w14:val="none"/>
        </w:rPr>
        <w:footnoteReference w:id="31"/>
      </w:r>
      <w:r w:rsidRPr="00D43A75">
        <w:rPr>
          <w:rFonts w:ascii="Times New Roman" w:eastAsia="Times New Roman" w:hAnsi="Times New Roman" w:cs="Times New Roman"/>
          <w:kern w:val="0"/>
          <w:sz w:val="24"/>
          <w:szCs w:val="24"/>
          <w:lang w:eastAsia="en-GB"/>
          <w14:ligatures w14:val="none"/>
        </w:rPr>
        <w:t xml:space="preserve"> This tendency suggests that female figures were incorporated into his narratives not as subjects in their own right, but as vehicles for broader ethical commentary.</w:t>
      </w:r>
      <w:r>
        <w:rPr>
          <w:rFonts w:ascii="Times New Roman" w:eastAsia="Times New Roman" w:hAnsi="Times New Roman" w:cs="Times New Roman"/>
          <w:kern w:val="0"/>
          <w:sz w:val="24"/>
          <w:szCs w:val="24"/>
          <w:lang w:eastAsia="en-GB"/>
          <w14:ligatures w14:val="none"/>
        </w:rPr>
        <w:t xml:space="preserve"> </w:t>
      </w:r>
      <w:r w:rsidRPr="00D43A75">
        <w:rPr>
          <w:rFonts w:ascii="Times New Roman" w:eastAsia="Times New Roman" w:hAnsi="Times New Roman" w:cs="Times New Roman"/>
          <w:kern w:val="0"/>
          <w:sz w:val="24"/>
          <w:szCs w:val="24"/>
          <w:lang w:eastAsia="en-GB"/>
          <w14:ligatures w14:val="none"/>
        </w:rPr>
        <w:t>In this context, the absence of Nest’s abduction may reflect the difficulty of reconciling such an episode with Gerald’s moral framework, particularly given its potential to cast his own lineage in a negative or ambiguous light. As both a member of the Marcher elite and an ambitious ecclesiastical figure, Gerald had a vested interest in presenting a controlled and respectable version of the past.</w:t>
      </w:r>
      <w:r>
        <w:rPr>
          <w:rStyle w:val="FootnoteReference"/>
          <w:rFonts w:ascii="Times New Roman" w:eastAsia="Times New Roman" w:hAnsi="Times New Roman" w:cs="Times New Roman"/>
          <w:kern w:val="0"/>
          <w:sz w:val="24"/>
          <w:szCs w:val="24"/>
          <w:lang w:eastAsia="en-GB"/>
          <w14:ligatures w14:val="none"/>
        </w:rPr>
        <w:footnoteReference w:id="32"/>
      </w:r>
      <w:r w:rsidRPr="00D43A75">
        <w:rPr>
          <w:rFonts w:ascii="Times New Roman" w:eastAsia="Times New Roman" w:hAnsi="Times New Roman" w:cs="Times New Roman"/>
          <w:kern w:val="0"/>
          <w:sz w:val="24"/>
          <w:szCs w:val="24"/>
          <w:lang w:eastAsia="en-GB"/>
          <w14:ligatures w14:val="none"/>
        </w:rPr>
        <w:t xml:space="preserve"> His works can therefore be read, in part, as attempts to assert authority and reinforce social and moral order, </w:t>
      </w:r>
      <w:r w:rsidR="000332E3">
        <w:rPr>
          <w:rFonts w:ascii="Times New Roman" w:eastAsia="Times New Roman" w:hAnsi="Times New Roman" w:cs="Times New Roman"/>
          <w:kern w:val="0"/>
          <w:sz w:val="24"/>
          <w:szCs w:val="24"/>
          <w:lang w:eastAsia="en-GB"/>
          <w14:ligatures w14:val="none"/>
        </w:rPr>
        <w:t>instead of</w:t>
      </w:r>
      <w:r w:rsidRPr="00D43A75">
        <w:rPr>
          <w:rFonts w:ascii="Times New Roman" w:eastAsia="Times New Roman" w:hAnsi="Times New Roman" w:cs="Times New Roman"/>
          <w:kern w:val="0"/>
          <w:sz w:val="24"/>
          <w:szCs w:val="24"/>
          <w:lang w:eastAsia="en-GB"/>
          <w14:ligatures w14:val="none"/>
        </w:rPr>
        <w:t xml:space="preserve"> provid</w:t>
      </w:r>
      <w:r w:rsidR="000332E3">
        <w:rPr>
          <w:rFonts w:ascii="Times New Roman" w:eastAsia="Times New Roman" w:hAnsi="Times New Roman" w:cs="Times New Roman"/>
          <w:kern w:val="0"/>
          <w:sz w:val="24"/>
          <w:szCs w:val="24"/>
          <w:lang w:eastAsia="en-GB"/>
          <w14:ligatures w14:val="none"/>
        </w:rPr>
        <w:t>ing</w:t>
      </w:r>
      <w:r w:rsidRPr="00D43A75">
        <w:rPr>
          <w:rFonts w:ascii="Times New Roman" w:eastAsia="Times New Roman" w:hAnsi="Times New Roman" w:cs="Times New Roman"/>
          <w:kern w:val="0"/>
          <w:sz w:val="24"/>
          <w:szCs w:val="24"/>
          <w:lang w:eastAsia="en-GB"/>
          <w14:ligatures w14:val="none"/>
        </w:rPr>
        <w:t xml:space="preserve"> a comprehensive account of events.</w:t>
      </w:r>
      <w:r>
        <w:rPr>
          <w:rFonts w:ascii="Times New Roman" w:eastAsia="Times New Roman" w:hAnsi="Times New Roman" w:cs="Times New Roman"/>
          <w:kern w:val="0"/>
          <w:sz w:val="24"/>
          <w:szCs w:val="24"/>
          <w:lang w:eastAsia="en-GB"/>
          <w14:ligatures w14:val="none"/>
        </w:rPr>
        <w:t xml:space="preserve"> </w:t>
      </w:r>
      <w:r w:rsidRPr="00D43A75">
        <w:rPr>
          <w:rFonts w:ascii="Times New Roman" w:eastAsia="Times New Roman" w:hAnsi="Times New Roman" w:cs="Times New Roman"/>
          <w:kern w:val="0"/>
          <w:sz w:val="24"/>
          <w:szCs w:val="24"/>
          <w:lang w:eastAsia="en-GB"/>
          <w14:ligatures w14:val="none"/>
        </w:rPr>
        <w:t>Gerald’s writings are valuable not only for what they reveal but also for what they omit, highlighting the selective nature of medieval historical narratives.</w:t>
      </w:r>
      <w:r w:rsidR="00526030">
        <w:rPr>
          <w:rFonts w:ascii="Times New Roman" w:eastAsia="Times New Roman" w:hAnsi="Times New Roman" w:cs="Times New Roman"/>
          <w:kern w:val="0"/>
          <w:sz w:val="24"/>
          <w:szCs w:val="24"/>
          <w:lang w:eastAsia="en-GB"/>
          <w14:ligatures w14:val="none"/>
        </w:rPr>
        <w:t xml:space="preserve"> This makes his work an important source for genealogical detail, but due to his bias, Gerald of Wales must be read critically.</w:t>
      </w:r>
    </w:p>
    <w:p w14:paraId="761E057B" w14:textId="5FD03B5E" w:rsidR="00DC1CCA" w:rsidRPr="00DC1CCA" w:rsidRDefault="00DC1CCA" w:rsidP="00DC1CCA">
      <w:pPr>
        <w:spacing w:before="100" w:beforeAutospacing="1" w:after="100" w:afterAutospacing="1" w:line="36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S</w:t>
      </w:r>
      <w:r w:rsidRPr="00DC1CCA">
        <w:rPr>
          <w:rFonts w:ascii="Times New Roman" w:eastAsia="Times New Roman" w:hAnsi="Times New Roman" w:cs="Times New Roman"/>
          <w:kern w:val="0"/>
          <w:sz w:val="24"/>
          <w:szCs w:val="24"/>
          <w:lang w:eastAsia="en-GB"/>
          <w14:ligatures w14:val="none"/>
        </w:rPr>
        <w:t>econdary</w:t>
      </w:r>
      <w:r w:rsidRPr="00DC1CCA">
        <w:rPr>
          <w:rFonts w:ascii="Times New Roman" w:eastAsia="Times New Roman" w:hAnsi="Times New Roman" w:cs="Times New Roman"/>
          <w:kern w:val="0"/>
          <w:sz w:val="24"/>
          <w:szCs w:val="24"/>
          <w:lang w:eastAsia="en-GB"/>
          <w14:ligatures w14:val="none"/>
        </w:rPr>
        <w:t xml:space="preserve"> sources play a significant role in shaping modern understandings of Nest ferch Rhys, yet they also introduce a number of interpretative problems. Unlike contemporary chronicles, which at least attempt to record events within living memory, many later accounts rely on layers of retelling, assumption, and retrospective interpretation. As a result, they often tell us as much about the periods in which they were written as they do about Nest herself. This is particularly evident in the way her life has been expanded, embellished, and, at times, distorted.</w:t>
      </w:r>
      <w:r>
        <w:rPr>
          <w:rFonts w:ascii="Times New Roman" w:eastAsia="Times New Roman" w:hAnsi="Times New Roman" w:cs="Times New Roman"/>
          <w:kern w:val="0"/>
          <w:sz w:val="24"/>
          <w:szCs w:val="24"/>
          <w:lang w:eastAsia="en-GB"/>
          <w14:ligatures w14:val="none"/>
        </w:rPr>
        <w:t xml:space="preserve"> </w:t>
      </w:r>
      <w:r w:rsidRPr="00DC1CCA">
        <w:rPr>
          <w:rFonts w:ascii="Times New Roman" w:eastAsia="Times New Roman" w:hAnsi="Times New Roman" w:cs="Times New Roman"/>
          <w:kern w:val="0"/>
          <w:sz w:val="24"/>
          <w:szCs w:val="24"/>
          <w:lang w:eastAsia="en-GB"/>
          <w14:ligatures w14:val="none"/>
        </w:rPr>
        <w:t>One major issue with secondary material is the tendency to overstate or misattribute elements of Nest’s biography, especially in relation to her children and descendants.</w:t>
      </w:r>
      <w:r w:rsidR="009D1662">
        <w:rPr>
          <w:rStyle w:val="FootnoteReference"/>
          <w:rFonts w:ascii="Times New Roman" w:eastAsia="Times New Roman" w:hAnsi="Times New Roman" w:cs="Times New Roman"/>
          <w:kern w:val="0"/>
          <w:sz w:val="24"/>
          <w:szCs w:val="24"/>
          <w:lang w:eastAsia="en-GB"/>
          <w14:ligatures w14:val="none"/>
        </w:rPr>
        <w:footnoteReference w:id="33"/>
      </w:r>
      <w:r w:rsidRPr="00DC1CCA">
        <w:rPr>
          <w:rFonts w:ascii="Times New Roman" w:eastAsia="Times New Roman" w:hAnsi="Times New Roman" w:cs="Times New Roman"/>
          <w:kern w:val="0"/>
          <w:sz w:val="24"/>
          <w:szCs w:val="24"/>
          <w:lang w:eastAsia="en-GB"/>
          <w14:ligatures w14:val="none"/>
        </w:rPr>
        <w:t xml:space="preserve"> Some later genealogical and historical works assign offspring to her for whom there is little or no reliable contemporary evidenc</w:t>
      </w:r>
      <w:r w:rsidR="009D1662">
        <w:rPr>
          <w:rFonts w:ascii="Times New Roman" w:eastAsia="Times New Roman" w:hAnsi="Times New Roman" w:cs="Times New Roman"/>
          <w:kern w:val="0"/>
          <w:sz w:val="24"/>
          <w:szCs w:val="24"/>
          <w:lang w:eastAsia="en-GB"/>
          <w14:ligatures w14:val="none"/>
        </w:rPr>
        <w:t>e</w:t>
      </w:r>
      <w:r w:rsidRPr="00DC1CCA">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009D1662">
        <w:rPr>
          <w:rFonts w:ascii="Times New Roman" w:eastAsia="Times New Roman" w:hAnsi="Times New Roman" w:cs="Times New Roman"/>
          <w:kern w:val="0"/>
          <w:sz w:val="24"/>
          <w:szCs w:val="24"/>
          <w:lang w:eastAsia="en-GB"/>
          <w14:ligatures w14:val="none"/>
        </w:rPr>
        <w:t>S</w:t>
      </w:r>
      <w:r w:rsidRPr="00DC1CCA">
        <w:rPr>
          <w:rFonts w:ascii="Times New Roman" w:eastAsia="Times New Roman" w:hAnsi="Times New Roman" w:cs="Times New Roman"/>
          <w:kern w:val="0"/>
          <w:sz w:val="24"/>
          <w:szCs w:val="24"/>
          <w:lang w:eastAsia="en-GB"/>
          <w14:ligatures w14:val="none"/>
        </w:rPr>
        <w:t>econdary sources frequently romanticise</w:t>
      </w:r>
      <w:r w:rsidR="009D1662">
        <w:rPr>
          <w:rFonts w:ascii="Times New Roman" w:eastAsia="Times New Roman" w:hAnsi="Times New Roman" w:cs="Times New Roman"/>
          <w:kern w:val="0"/>
          <w:sz w:val="24"/>
          <w:szCs w:val="24"/>
          <w:lang w:eastAsia="en-GB"/>
          <w14:ligatures w14:val="none"/>
        </w:rPr>
        <w:t xml:space="preserve"> what would have been traumatic periods in</w:t>
      </w:r>
      <w:r w:rsidRPr="00DC1CCA">
        <w:rPr>
          <w:rFonts w:ascii="Times New Roman" w:eastAsia="Times New Roman" w:hAnsi="Times New Roman" w:cs="Times New Roman"/>
          <w:kern w:val="0"/>
          <w:sz w:val="24"/>
          <w:szCs w:val="24"/>
          <w:lang w:eastAsia="en-GB"/>
          <w14:ligatures w14:val="none"/>
        </w:rPr>
        <w:t xml:space="preserve"> Nest’s life. She is often portrayed through a lens of drama and intrigue, particularly in narratives surrounding her relationships with powerful men. These accounts can exaggerate her agency in ways that align with familiar literary tropes, casting her as a seductress or a central figure in courtly romance. Such portrayals risk obscuring the political and social realities of her position as an elite woman in medieval society, where marriage and relationships were often dictated by alliance-building rather than personal choice. The romanticisation of her story reflects later storytelling conventions rather than verifiable historical circumstances.</w:t>
      </w:r>
      <w:r>
        <w:rPr>
          <w:rFonts w:ascii="Times New Roman" w:eastAsia="Times New Roman" w:hAnsi="Times New Roman" w:cs="Times New Roman"/>
          <w:kern w:val="0"/>
          <w:sz w:val="24"/>
          <w:szCs w:val="24"/>
          <w:lang w:eastAsia="en-GB"/>
          <w14:ligatures w14:val="none"/>
        </w:rPr>
        <w:t xml:space="preserve"> M</w:t>
      </w:r>
      <w:r w:rsidRPr="00DC1CCA">
        <w:rPr>
          <w:rFonts w:ascii="Times New Roman" w:eastAsia="Times New Roman" w:hAnsi="Times New Roman" w:cs="Times New Roman"/>
          <w:kern w:val="0"/>
          <w:sz w:val="24"/>
          <w:szCs w:val="24"/>
          <w:lang w:eastAsia="en-GB"/>
          <w14:ligatures w14:val="none"/>
        </w:rPr>
        <w:t>any secondary interpretations are shaped by earlier narratives that were themselves biased or stylised. Historians working with limited evidence have sometimes filled gaps with speculation, which, over time, can become repeated as fact. This process creates a cycle in which uncertain details gain authority simply through repetition. As a result, distinguishing between plausible reconstruction and imaginative addition becomes increasingly difficult.</w:t>
      </w:r>
      <w:r>
        <w:rPr>
          <w:rFonts w:ascii="Times New Roman" w:eastAsia="Times New Roman" w:hAnsi="Times New Roman" w:cs="Times New Roman"/>
          <w:kern w:val="0"/>
          <w:sz w:val="24"/>
          <w:szCs w:val="24"/>
          <w:lang w:eastAsia="en-GB"/>
          <w14:ligatures w14:val="none"/>
        </w:rPr>
        <w:t xml:space="preserve"> </w:t>
      </w:r>
      <w:r w:rsidRPr="00DC1CCA">
        <w:rPr>
          <w:rFonts w:ascii="Times New Roman" w:eastAsia="Times New Roman" w:hAnsi="Times New Roman" w:cs="Times New Roman"/>
          <w:kern w:val="0"/>
          <w:sz w:val="24"/>
          <w:szCs w:val="24"/>
          <w:lang w:eastAsia="en-GB"/>
          <w14:ligatures w14:val="none"/>
        </w:rPr>
        <w:t>Modern scholarship has begun to challenge these issues by critically reassessing both the sources and the assumptions underlying them. Historians now emphasise the need to treat secondary accounts with caution, recognising their susceptibility to bias, invention, and exaggeration. Rather than providing a clearer picture of Nest’s life, these sources often demonstrate how her identity has been reshaped over time to serve genealogical, literary, and cultural purposes.</w:t>
      </w:r>
      <w:r>
        <w:rPr>
          <w:rFonts w:ascii="Times New Roman" w:eastAsia="Times New Roman" w:hAnsi="Times New Roman" w:cs="Times New Roman"/>
          <w:kern w:val="0"/>
          <w:sz w:val="24"/>
          <w:szCs w:val="24"/>
          <w:lang w:eastAsia="en-GB"/>
          <w14:ligatures w14:val="none"/>
        </w:rPr>
        <w:t xml:space="preserve"> T</w:t>
      </w:r>
      <w:r w:rsidRPr="00DC1CCA">
        <w:rPr>
          <w:rFonts w:ascii="Times New Roman" w:eastAsia="Times New Roman" w:hAnsi="Times New Roman" w:cs="Times New Roman"/>
          <w:kern w:val="0"/>
          <w:sz w:val="24"/>
          <w:szCs w:val="24"/>
          <w:lang w:eastAsia="en-GB"/>
          <w14:ligatures w14:val="none"/>
        </w:rPr>
        <w:t>he problems within secondary sources highlight the difficulty of reconstructing the lives of medieval women. In Nest’s case, the combination of genealogical manipulation and romantic narrative has produced a figure who is as much a product of later interpretation as of historical reality.</w:t>
      </w:r>
    </w:p>
    <w:p w14:paraId="430A86D9" w14:textId="7B1725A9" w:rsidR="001A43AF" w:rsidRDefault="001A43AF" w:rsidP="00F92763">
      <w:pPr>
        <w:spacing w:before="100" w:beforeAutospacing="1" w:after="100" w:afterAutospacing="1" w:line="360" w:lineRule="auto"/>
        <w:ind w:firstLine="720"/>
        <w:rPr>
          <w:rFonts w:ascii="Times New Roman" w:eastAsia="Times New Roman" w:hAnsi="Times New Roman" w:cs="Times New Roman"/>
          <w:kern w:val="0"/>
          <w:sz w:val="24"/>
          <w:szCs w:val="24"/>
          <w:lang w:eastAsia="en-GB"/>
          <w14:ligatures w14:val="none"/>
        </w:rPr>
      </w:pPr>
    </w:p>
    <w:p w14:paraId="19A72A12" w14:textId="77777777" w:rsidR="001A43AF" w:rsidRDefault="001A43AF" w:rsidP="00F92763">
      <w:pPr>
        <w:spacing w:before="100" w:beforeAutospacing="1" w:after="100" w:afterAutospacing="1" w:line="360" w:lineRule="auto"/>
        <w:ind w:firstLine="720"/>
        <w:rPr>
          <w:rFonts w:ascii="Times New Roman" w:eastAsia="Times New Roman" w:hAnsi="Times New Roman" w:cs="Times New Roman"/>
          <w:kern w:val="0"/>
          <w:sz w:val="24"/>
          <w:szCs w:val="24"/>
          <w:lang w:eastAsia="en-GB"/>
          <w14:ligatures w14:val="none"/>
        </w:rPr>
      </w:pPr>
    </w:p>
    <w:p w14:paraId="35BC1F30" w14:textId="46498B55" w:rsidR="00F92763" w:rsidRPr="00F24392" w:rsidRDefault="00F92763" w:rsidP="009A2F4A">
      <w:pPr>
        <w:pStyle w:val="NormalWeb"/>
        <w:spacing w:line="360" w:lineRule="auto"/>
        <w:rPr>
          <w14:ligatures w14:val="none"/>
        </w:rPr>
      </w:pPr>
      <w:r w:rsidRPr="00F24392">
        <w:rPr>
          <w14:ligatures w14:val="none"/>
        </w:rPr>
        <w:t xml:space="preserve">Nest ferch Rhys emerges from the surviving evidence as a figure whose historical identity is inseparable from the nature of the sources that record her. </w:t>
      </w:r>
      <w:r w:rsidR="000332E3">
        <w:rPr>
          <w14:ligatures w14:val="none"/>
        </w:rPr>
        <w:t>Instead of</w:t>
      </w:r>
      <w:r w:rsidRPr="00F24392">
        <w:rPr>
          <w14:ligatures w14:val="none"/>
        </w:rPr>
        <w:t xml:space="preserve"> offering a straightforward biographical narrative, the available material reveals a life constructed through overlapping traditions of chronicle writing, genealogical preservation, and later historiographical interpretation. As a result, any attempt to reconstruct her experience must be understood as an exercise in source criticism as much as historical recovery. Her position as a Welsh dynastic woman operating within an increasingly </w:t>
      </w:r>
      <w:r>
        <w:rPr>
          <w14:ligatures w14:val="none"/>
        </w:rPr>
        <w:t>Anglo-Norman-dominated</w:t>
      </w:r>
      <w:r w:rsidRPr="00F24392">
        <w:rPr>
          <w14:ligatures w14:val="none"/>
        </w:rPr>
        <w:t xml:space="preserve"> frontier further complicates this process, as her life was recorded primarily through male-authored and institutionally </w:t>
      </w:r>
      <w:r w:rsidR="009A2F4A">
        <w:rPr>
          <w14:ligatures w14:val="none"/>
        </w:rPr>
        <w:t>influenced</w:t>
      </w:r>
      <w:r w:rsidRPr="00F24392">
        <w:rPr>
          <w14:ligatures w14:val="none"/>
        </w:rPr>
        <w:t xml:space="preserve"> texts that prioritised political authority, lineage, and moral interpretation over individual female agency.</w:t>
      </w:r>
      <w:r>
        <w:rPr>
          <w14:ligatures w14:val="none"/>
        </w:rPr>
        <w:t xml:space="preserve"> </w:t>
      </w:r>
      <w:r w:rsidRPr="00F24392">
        <w:rPr>
          <w14:ligatures w14:val="none"/>
        </w:rPr>
        <w:t xml:space="preserve">The Brut y Tywysogion provides the most detailed narrative account of Nest’s life, particularly in relation to her abduction, and is therefore central to her historiographical presence. </w:t>
      </w:r>
      <w:r w:rsidR="009A2F4A" w:rsidRPr="009A2F4A">
        <w:rPr>
          <w14:ligatures w14:val="none"/>
        </w:rPr>
        <w:t>The chronicle exists in different versions and uses storytelling conventions, so it cannot be taken as a fully reliable factual account</w:t>
      </w:r>
      <w:r w:rsidRPr="00F24392">
        <w:rPr>
          <w14:ligatures w14:val="none"/>
        </w:rPr>
        <w:t xml:space="preserve">. Instead, it reflects a broader cultural framework in which episodes involving elite women were often </w:t>
      </w:r>
      <w:r w:rsidR="009A2F4A">
        <w:rPr>
          <w14:ligatures w14:val="none"/>
        </w:rPr>
        <w:t>influenced</w:t>
      </w:r>
      <w:r w:rsidRPr="00F24392">
        <w:rPr>
          <w14:ligatures w14:val="none"/>
        </w:rPr>
        <w:t xml:space="preserve"> to express themes of honour, disruption, and political consequence. </w:t>
      </w:r>
      <w:r w:rsidR="00C02C20">
        <w:rPr>
          <w14:ligatures w14:val="none"/>
        </w:rPr>
        <w:t>The</w:t>
      </w:r>
      <w:r w:rsidRPr="00F24392">
        <w:rPr>
          <w14:ligatures w14:val="none"/>
        </w:rPr>
        <w:t xml:space="preserve"> chronicle preserves a broadly consistent sequence of events, its narrative structure indicates that it was </w:t>
      </w:r>
      <w:r w:rsidR="009A2F4A">
        <w:rPr>
          <w14:ligatures w14:val="none"/>
        </w:rPr>
        <w:t>influenced</w:t>
      </w:r>
      <w:r w:rsidRPr="00F24392">
        <w:rPr>
          <w14:ligatures w14:val="none"/>
        </w:rPr>
        <w:t xml:space="preserve"> as much by literary expectation as by historical fact, requiring careful critical reading.</w:t>
      </w:r>
      <w:r>
        <w:rPr>
          <w14:ligatures w14:val="none"/>
        </w:rPr>
        <w:t xml:space="preserve"> </w:t>
      </w:r>
      <w:r w:rsidR="00B372BE">
        <w:rPr>
          <w14:ligatures w14:val="none"/>
        </w:rPr>
        <w:t>On the other hand</w:t>
      </w:r>
      <w:r w:rsidRPr="00F24392">
        <w:rPr>
          <w14:ligatures w14:val="none"/>
        </w:rPr>
        <w:t xml:space="preserve">, Gerald of Wales offers a genealogically rich but ideologically selective perspective. His works are invaluable for situating Nest within </w:t>
      </w:r>
      <w:r w:rsidR="00D7222D">
        <w:rPr>
          <w14:ligatures w14:val="none"/>
        </w:rPr>
        <w:t>a</w:t>
      </w:r>
      <w:r w:rsidRPr="00F24392">
        <w:rPr>
          <w14:ligatures w14:val="none"/>
        </w:rPr>
        <w:t xml:space="preserve"> network of Welsh and Anglo-Norman elite families, particularly through his emphasis on kinship and descent. </w:t>
      </w:r>
      <w:r w:rsidR="00B372BE">
        <w:rPr>
          <w14:ligatures w14:val="none"/>
        </w:rPr>
        <w:t>His</w:t>
      </w:r>
      <w:r w:rsidRPr="00F24392">
        <w:rPr>
          <w14:ligatures w14:val="none"/>
        </w:rPr>
        <w:t xml:space="preserve"> silence regarding key events such as her abduction highlights the extent to which his writings were </w:t>
      </w:r>
      <w:r w:rsidR="009A2F4A">
        <w:rPr>
          <w14:ligatures w14:val="none"/>
        </w:rPr>
        <w:t>influenced</w:t>
      </w:r>
      <w:r w:rsidRPr="00F24392">
        <w:rPr>
          <w14:ligatures w14:val="none"/>
        </w:rPr>
        <w:t xml:space="preserve"> by moral purpose, familial positioning, and ecclesiastical ambition. His tendency to frame women as moral </w:t>
      </w:r>
      <w:r w:rsidR="000332E3">
        <w:rPr>
          <w14:ligatures w14:val="none"/>
        </w:rPr>
        <w:t>examples</w:t>
      </w:r>
      <w:r w:rsidRPr="00F24392">
        <w:rPr>
          <w14:ligatures w14:val="none"/>
        </w:rPr>
        <w:t xml:space="preserve"> </w:t>
      </w:r>
      <w:r w:rsidR="000332E3">
        <w:rPr>
          <w14:ligatures w14:val="none"/>
        </w:rPr>
        <w:t>instead of</w:t>
      </w:r>
      <w:r w:rsidRPr="00F24392">
        <w:rPr>
          <w14:ligatures w14:val="none"/>
        </w:rPr>
        <w:t xml:space="preserve"> autonomous actors further reinforces the limitations of his account. Gerald’s works are best understood not as comprehensive histories but as structured narratives designed to convey ethical and social meaning.</w:t>
      </w:r>
      <w:r>
        <w:rPr>
          <w14:ligatures w14:val="none"/>
        </w:rPr>
        <w:t xml:space="preserve"> </w:t>
      </w:r>
      <w:r w:rsidRPr="00F24392">
        <w:rPr>
          <w14:ligatures w14:val="none"/>
        </w:rPr>
        <w:t xml:space="preserve">When </w:t>
      </w:r>
      <w:r w:rsidR="00F52ED4">
        <w:rPr>
          <w14:ligatures w14:val="none"/>
        </w:rPr>
        <w:t>narrative sources</w:t>
      </w:r>
      <w:r w:rsidRPr="00F24392">
        <w:rPr>
          <w14:ligatures w14:val="none"/>
        </w:rPr>
        <w:t xml:space="preserve"> are read alongside later genealogical </w:t>
      </w:r>
      <w:r w:rsidR="009A2F4A">
        <w:rPr>
          <w14:ligatures w14:val="none"/>
        </w:rPr>
        <w:t>work</w:t>
      </w:r>
      <w:r w:rsidRPr="00F24392">
        <w:rPr>
          <w14:ligatures w14:val="none"/>
        </w:rPr>
        <w:t xml:space="preserve"> and modern historiography, it becomes clear that Nest’s identity has been continually re</w:t>
      </w:r>
      <w:r w:rsidR="009A2F4A">
        <w:rPr>
          <w14:ligatures w14:val="none"/>
        </w:rPr>
        <w:t>influenced</w:t>
      </w:r>
      <w:r w:rsidRPr="00F24392">
        <w:rPr>
          <w14:ligatures w14:val="none"/>
        </w:rPr>
        <w:t xml:space="preserve"> across time. Genealogical records served to reinforce the legitimacy of elite lineages such as the FitzGerald family, while later historians have increasingly emphasised the constructed nature of medieval female representation</w:t>
      </w:r>
      <w:r w:rsidR="000332E3">
        <w:rPr>
          <w14:ligatures w14:val="none"/>
        </w:rPr>
        <w:t>. These</w:t>
      </w:r>
      <w:r w:rsidRPr="00F24392">
        <w:rPr>
          <w14:ligatures w14:val="none"/>
        </w:rPr>
        <w:t xml:space="preserve"> perspectives </w:t>
      </w:r>
      <w:r w:rsidR="000332E3">
        <w:rPr>
          <w14:ligatures w14:val="none"/>
        </w:rPr>
        <w:t>show</w:t>
      </w:r>
      <w:r w:rsidRPr="00F24392">
        <w:rPr>
          <w14:ligatures w14:val="none"/>
        </w:rPr>
        <w:t xml:space="preserve"> that Nest ferch Rhys cannot be recovered as a fully knowable historical individual in a modern sense. Instead, she exists at the intersection of historical event, narrative tradition, and genealogical </w:t>
      </w:r>
      <w:r w:rsidRPr="00F24392">
        <w:rPr>
          <w14:ligatures w14:val="none"/>
        </w:rPr>
        <w:lastRenderedPageBreak/>
        <w:t>memory.</w:t>
      </w:r>
      <w:r>
        <w:rPr>
          <w14:ligatures w14:val="none"/>
        </w:rPr>
        <w:t xml:space="preserve"> </w:t>
      </w:r>
      <w:r w:rsidRPr="00F24392">
        <w:rPr>
          <w14:ligatures w14:val="none"/>
        </w:rPr>
        <w:t xml:space="preserve">Ultimately, the study of Nest ferch Rhys highlights both the possibilities and limitations of medieval source material. </w:t>
      </w:r>
      <w:r w:rsidR="00C02C20">
        <w:rPr>
          <w14:ligatures w14:val="none"/>
        </w:rPr>
        <w:t>The</w:t>
      </w:r>
      <w:r w:rsidRPr="00F24392">
        <w:rPr>
          <w14:ligatures w14:val="none"/>
        </w:rPr>
        <w:t xml:space="preserve"> surviving evidence allows for a broadly coherent outline of her life</w:t>
      </w:r>
      <w:r w:rsidR="00D7222D">
        <w:rPr>
          <w14:ligatures w14:val="none"/>
        </w:rPr>
        <w:t>;</w:t>
      </w:r>
      <w:r w:rsidRPr="00F24392">
        <w:rPr>
          <w14:ligatures w14:val="none"/>
        </w:rPr>
        <w:t xml:space="preserve"> it simultaneously reveals the extent to which that life has been </w:t>
      </w:r>
      <w:r w:rsidR="009A2F4A">
        <w:rPr>
          <w14:ligatures w14:val="none"/>
        </w:rPr>
        <w:t>influenced</w:t>
      </w:r>
      <w:r w:rsidRPr="00F24392">
        <w:rPr>
          <w14:ligatures w14:val="none"/>
        </w:rPr>
        <w:t xml:space="preserve"> by later interpretation, ideological framing, and literary convention. Her significance lies not only in the events associated with her but in the ways those events were recorded, adapted, and remembered within the evolving historiography of medieval Wales and the Anglo-Norman world.</w:t>
      </w:r>
    </w:p>
    <w:p w14:paraId="0D054656" w14:textId="77777777" w:rsidR="00F92763" w:rsidRDefault="00F92763" w:rsidP="00F92763">
      <w:pPr>
        <w:rPr>
          <w:rFonts w:ascii="Times New Roman" w:hAnsi="Times New Roman" w:cs="Times New Roman"/>
          <w:b/>
          <w:bCs/>
          <w:sz w:val="24"/>
          <w:szCs w:val="24"/>
        </w:rPr>
      </w:pPr>
    </w:p>
    <w:p w14:paraId="1E68192D" w14:textId="048212D0" w:rsidR="00F92763" w:rsidRPr="00060BEA" w:rsidRDefault="00F92763" w:rsidP="00F92763">
      <w:pPr>
        <w:rPr>
          <w:rFonts w:ascii="Times New Roman" w:hAnsi="Times New Roman" w:cs="Times New Roman"/>
          <w:b/>
          <w:bCs/>
          <w:sz w:val="24"/>
          <w:szCs w:val="24"/>
        </w:rPr>
      </w:pPr>
      <w:r w:rsidRPr="00060BEA">
        <w:rPr>
          <w:rFonts w:ascii="Times New Roman" w:hAnsi="Times New Roman" w:cs="Times New Roman"/>
          <w:b/>
          <w:bCs/>
          <w:sz w:val="24"/>
          <w:szCs w:val="24"/>
        </w:rPr>
        <w:t>Word Count 4</w:t>
      </w:r>
      <w:r w:rsidR="00F52ED4">
        <w:rPr>
          <w:rFonts w:ascii="Times New Roman" w:hAnsi="Times New Roman" w:cs="Times New Roman"/>
          <w:b/>
          <w:bCs/>
          <w:sz w:val="24"/>
          <w:szCs w:val="24"/>
        </w:rPr>
        <w:t>05</w:t>
      </w:r>
      <w:r w:rsidR="00BF548C">
        <w:rPr>
          <w:rFonts w:ascii="Times New Roman" w:hAnsi="Times New Roman" w:cs="Times New Roman"/>
          <w:b/>
          <w:bCs/>
          <w:sz w:val="24"/>
          <w:szCs w:val="24"/>
        </w:rPr>
        <w:t>9</w:t>
      </w:r>
    </w:p>
    <w:p w14:paraId="1A9A9536" w14:textId="77777777" w:rsidR="00F92763" w:rsidRDefault="00F92763" w:rsidP="00F92763">
      <w:pPr>
        <w:rPr>
          <w:rFonts w:ascii="Times New Roman" w:hAnsi="Times New Roman" w:cs="Times New Roman"/>
          <w:b/>
          <w:bCs/>
          <w:sz w:val="24"/>
          <w:szCs w:val="24"/>
        </w:rPr>
      </w:pPr>
      <w:r w:rsidRPr="0082254E">
        <w:rPr>
          <w:rFonts w:ascii="Times New Roman" w:hAnsi="Times New Roman" w:cs="Times New Roman"/>
          <w:b/>
          <w:bCs/>
          <w:sz w:val="24"/>
          <w:szCs w:val="24"/>
        </w:rPr>
        <w:t>References</w:t>
      </w:r>
    </w:p>
    <w:p w14:paraId="5BFEAE5C" w14:textId="6B832977" w:rsidR="00C144B4" w:rsidRPr="00774028" w:rsidRDefault="00C144B4" w:rsidP="00C144B4">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774028">
        <w:rPr>
          <w:rFonts w:ascii="Times New Roman" w:eastAsia="Times New Roman" w:hAnsi="Times New Roman" w:cs="Times New Roman"/>
          <w:kern w:val="0"/>
          <w:sz w:val="24"/>
          <w:szCs w:val="24"/>
          <w:lang w:eastAsia="en-GB"/>
          <w14:ligatures w14:val="none"/>
        </w:rPr>
        <w:t>Carpenter, D. (2012) </w:t>
      </w:r>
      <w:r w:rsidRPr="00774028">
        <w:rPr>
          <w:rFonts w:ascii="Times New Roman" w:eastAsia="Times New Roman" w:hAnsi="Times New Roman" w:cs="Times New Roman"/>
          <w:i/>
          <w:iCs/>
          <w:kern w:val="0"/>
          <w:sz w:val="24"/>
          <w:szCs w:val="24"/>
          <w:lang w:eastAsia="en-GB"/>
          <w14:ligatures w14:val="none"/>
        </w:rPr>
        <w:t>Wales and the Welsh in the Middle Ages : essays presented to J. Beverley Smith</w:t>
      </w:r>
      <w:r w:rsidRPr="00774028">
        <w:rPr>
          <w:rFonts w:ascii="Times New Roman" w:eastAsia="Times New Roman" w:hAnsi="Times New Roman" w:cs="Times New Roman"/>
          <w:kern w:val="0"/>
          <w:sz w:val="24"/>
          <w:szCs w:val="24"/>
          <w:lang w:eastAsia="en-GB"/>
          <w14:ligatures w14:val="none"/>
        </w:rPr>
        <w:t>. 1st ed. Edited by R.A. Griffiths and P.R. Schofield. Cardiff, [Wales: University of Wales Press.</w:t>
      </w:r>
    </w:p>
    <w:p w14:paraId="39EE9A8D" w14:textId="77777777" w:rsidR="00F92763" w:rsidRDefault="00F92763" w:rsidP="00F92763">
      <w:pPr>
        <w:shd w:val="clear" w:color="auto" w:fill="FFFFFF"/>
        <w:spacing w:after="0" w:line="240" w:lineRule="auto"/>
        <w:rPr>
          <w:rFonts w:ascii="Times New Roman" w:eastAsia="Times New Roman" w:hAnsi="Times New Roman" w:cs="Times New Roman"/>
          <w:kern w:val="0"/>
          <w:sz w:val="24"/>
          <w:szCs w:val="24"/>
          <w:lang w:eastAsia="en-GB"/>
          <w14:ligatures w14:val="none"/>
        </w:rPr>
      </w:pPr>
    </w:p>
    <w:p w14:paraId="11ABDCA8" w14:textId="77777777" w:rsidR="00F92763" w:rsidRDefault="00F92763" w:rsidP="00F92763">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AB1A30">
        <w:rPr>
          <w:rFonts w:ascii="Times New Roman" w:eastAsia="Times New Roman" w:hAnsi="Times New Roman" w:cs="Times New Roman"/>
          <w:kern w:val="0"/>
          <w:sz w:val="24"/>
          <w:szCs w:val="24"/>
          <w:lang w:eastAsia="en-GB"/>
          <w14:ligatures w14:val="none"/>
        </w:rPr>
        <w:t>Davies, R.R. (Robert R. (2000) </w:t>
      </w:r>
      <w:r w:rsidRPr="00AB1A30">
        <w:rPr>
          <w:rFonts w:ascii="Times New Roman" w:eastAsia="Times New Roman" w:hAnsi="Times New Roman" w:cs="Times New Roman"/>
          <w:i/>
          <w:iCs/>
          <w:kern w:val="0"/>
          <w:sz w:val="24"/>
          <w:szCs w:val="24"/>
          <w:lang w:eastAsia="en-GB"/>
          <w14:ligatures w14:val="none"/>
        </w:rPr>
        <w:t>The age of conquest : Wales 1063-1415</w:t>
      </w:r>
      <w:r w:rsidRPr="00AB1A30">
        <w:rPr>
          <w:rFonts w:ascii="Times New Roman" w:eastAsia="Times New Roman" w:hAnsi="Times New Roman" w:cs="Times New Roman"/>
          <w:kern w:val="0"/>
          <w:sz w:val="24"/>
          <w:szCs w:val="24"/>
          <w:lang w:eastAsia="en-GB"/>
          <w14:ligatures w14:val="none"/>
        </w:rPr>
        <w:t xml:space="preserve">. Oxford ; New York: Oxford University Press. Available at: </w:t>
      </w:r>
      <w:hyperlink r:id="rId7" w:history="1">
        <w:r w:rsidRPr="002D359E">
          <w:rPr>
            <w:rStyle w:val="Hyperlink"/>
            <w:rFonts w:ascii="Times New Roman" w:eastAsia="Times New Roman" w:hAnsi="Times New Roman" w:cs="Times New Roman"/>
            <w:kern w:val="0"/>
            <w:sz w:val="24"/>
            <w:szCs w:val="24"/>
            <w:lang w:eastAsia="en-GB"/>
            <w14:ligatures w14:val="none"/>
          </w:rPr>
          <w:t>https://doi.org/10.1093/acprof:oso/9780198208785.001.0001</w:t>
        </w:r>
      </w:hyperlink>
      <w:r w:rsidRPr="00AB1A30">
        <w:rPr>
          <w:rFonts w:ascii="Times New Roman" w:eastAsia="Times New Roman" w:hAnsi="Times New Roman" w:cs="Times New Roman"/>
          <w:kern w:val="0"/>
          <w:sz w:val="24"/>
          <w:szCs w:val="24"/>
          <w:lang w:eastAsia="en-GB"/>
          <w14:ligatures w14:val="none"/>
        </w:rPr>
        <w:t>.</w:t>
      </w:r>
    </w:p>
    <w:p w14:paraId="093CCCCF" w14:textId="77777777" w:rsidR="00F92763" w:rsidRDefault="00F92763" w:rsidP="00F92763">
      <w:pPr>
        <w:shd w:val="clear" w:color="auto" w:fill="FFFFFF"/>
        <w:spacing w:after="0" w:line="240" w:lineRule="auto"/>
        <w:rPr>
          <w:rFonts w:ascii="Times New Roman" w:eastAsia="Times New Roman" w:hAnsi="Times New Roman" w:cs="Times New Roman"/>
          <w:kern w:val="0"/>
          <w:sz w:val="24"/>
          <w:szCs w:val="24"/>
          <w:lang w:eastAsia="en-GB"/>
          <w14:ligatures w14:val="none"/>
        </w:rPr>
      </w:pPr>
    </w:p>
    <w:p w14:paraId="7C89E861" w14:textId="77777777" w:rsidR="00F92763" w:rsidRDefault="00F92763" w:rsidP="00F92763">
      <w:pPr>
        <w:shd w:val="clear" w:color="auto" w:fill="FFFFFF"/>
        <w:spacing w:after="0" w:line="240" w:lineRule="auto"/>
        <w:rPr>
          <w:rFonts w:ascii="Times New Roman" w:hAnsi="Times New Roman" w:cs="Times New Roman"/>
          <w:color w:val="000000"/>
          <w:spacing w:val="-5"/>
          <w:sz w:val="24"/>
          <w:szCs w:val="24"/>
          <w:shd w:val="clear" w:color="auto" w:fill="FFFFFF"/>
        </w:rPr>
      </w:pPr>
      <w:r w:rsidRPr="0016279C">
        <w:rPr>
          <w:rFonts w:ascii="Times New Roman" w:hAnsi="Times New Roman" w:cs="Times New Roman"/>
          <w:color w:val="000000"/>
          <w:spacing w:val="-5"/>
          <w:sz w:val="24"/>
          <w:szCs w:val="24"/>
          <w:shd w:val="clear" w:color="auto" w:fill="FFFFFF"/>
        </w:rPr>
        <w:t>Gillingham, John. “Women, Children and the Profits of War.” </w:t>
      </w:r>
      <w:r w:rsidRPr="0016279C">
        <w:rPr>
          <w:rFonts w:ascii="Times New Roman" w:hAnsi="Times New Roman" w:cs="Times New Roman"/>
          <w:i/>
          <w:iCs/>
          <w:color w:val="000000"/>
          <w:spacing w:val="-5"/>
          <w:sz w:val="24"/>
          <w:szCs w:val="24"/>
          <w:shd w:val="clear" w:color="auto" w:fill="FFFFFF"/>
        </w:rPr>
        <w:t>Gender and Historiography: Studies in the Earlier Middle Ages in Honour of Pauline Stafford</w:t>
      </w:r>
      <w:r w:rsidRPr="0016279C">
        <w:rPr>
          <w:rFonts w:ascii="Times New Roman" w:hAnsi="Times New Roman" w:cs="Times New Roman"/>
          <w:color w:val="000000"/>
          <w:spacing w:val="-5"/>
          <w:sz w:val="24"/>
          <w:szCs w:val="24"/>
          <w:shd w:val="clear" w:color="auto" w:fill="FFFFFF"/>
        </w:rPr>
        <w:t>, edited by Janet L. Nelson et al., University of London Press, 2012, pp. 61–74.</w:t>
      </w:r>
    </w:p>
    <w:p w14:paraId="51A4C082" w14:textId="77777777" w:rsidR="00F92763" w:rsidRDefault="00F92763" w:rsidP="00F92763">
      <w:pPr>
        <w:shd w:val="clear" w:color="auto" w:fill="FFFFFF"/>
        <w:spacing w:after="0" w:line="240" w:lineRule="auto"/>
        <w:rPr>
          <w:rFonts w:ascii="Times New Roman" w:hAnsi="Times New Roman" w:cs="Times New Roman"/>
          <w:color w:val="000000"/>
          <w:spacing w:val="-5"/>
          <w:sz w:val="24"/>
          <w:szCs w:val="24"/>
          <w:shd w:val="clear" w:color="auto" w:fill="FFFFFF"/>
        </w:rPr>
      </w:pPr>
    </w:p>
    <w:p w14:paraId="387A0B07" w14:textId="77777777" w:rsidR="00F92763" w:rsidRPr="00B37F4E" w:rsidRDefault="00F92763" w:rsidP="00F92763">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B37F4E">
        <w:rPr>
          <w:rFonts w:ascii="Times New Roman" w:eastAsia="Times New Roman" w:hAnsi="Times New Roman" w:cs="Times New Roman"/>
          <w:kern w:val="0"/>
          <w:sz w:val="24"/>
          <w:szCs w:val="24"/>
          <w:lang w:eastAsia="en-GB"/>
          <w14:ligatures w14:val="none"/>
        </w:rPr>
        <w:t>Giraldus (2005) </w:t>
      </w:r>
      <w:r w:rsidRPr="00B37F4E">
        <w:rPr>
          <w:rFonts w:ascii="Times New Roman" w:eastAsia="Times New Roman" w:hAnsi="Times New Roman" w:cs="Times New Roman"/>
          <w:i/>
          <w:iCs/>
          <w:kern w:val="0"/>
          <w:sz w:val="24"/>
          <w:szCs w:val="24"/>
          <w:lang w:eastAsia="en-GB"/>
          <w14:ligatures w14:val="none"/>
        </w:rPr>
        <w:t>Gerald of Wales the journey through Wales and the description of Wales</w:t>
      </w:r>
      <w:r w:rsidRPr="00B37F4E">
        <w:rPr>
          <w:rFonts w:ascii="Times New Roman" w:eastAsia="Times New Roman" w:hAnsi="Times New Roman" w:cs="Times New Roman"/>
          <w:kern w:val="0"/>
          <w:sz w:val="24"/>
          <w:szCs w:val="24"/>
          <w:lang w:eastAsia="en-GB"/>
          <w14:ligatures w14:val="none"/>
        </w:rPr>
        <w:t>. Translated by L. Thorpe. London: Penguin. Available at: https://ezproxy.uwtsd.ac.uk/login?url=https://www.vlebooks.com/product/openreader?id=TrinityStD&amp;accId=8886856&amp;isbn=9780141915555&amp;uid=^u.</w:t>
      </w:r>
    </w:p>
    <w:p w14:paraId="3D05D02E" w14:textId="77777777" w:rsidR="00F92763" w:rsidRDefault="00F92763" w:rsidP="00F92763">
      <w:pPr>
        <w:shd w:val="clear" w:color="auto" w:fill="FFFFFF"/>
        <w:spacing w:after="0" w:line="240" w:lineRule="auto"/>
        <w:rPr>
          <w:rFonts w:ascii="Times New Roman" w:eastAsia="Times New Roman" w:hAnsi="Times New Roman" w:cs="Times New Roman"/>
          <w:kern w:val="0"/>
          <w:sz w:val="24"/>
          <w:szCs w:val="24"/>
          <w:lang w:eastAsia="en-GB"/>
          <w14:ligatures w14:val="none"/>
        </w:rPr>
      </w:pPr>
    </w:p>
    <w:p w14:paraId="231036E0" w14:textId="77777777" w:rsidR="00F92763" w:rsidRPr="00787E2D" w:rsidRDefault="00F92763" w:rsidP="00F92763">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787E2D">
        <w:rPr>
          <w:rFonts w:ascii="Times New Roman" w:eastAsia="Times New Roman" w:hAnsi="Times New Roman" w:cs="Times New Roman"/>
          <w:kern w:val="0"/>
          <w:sz w:val="24"/>
          <w:szCs w:val="24"/>
          <w:lang w:eastAsia="en-GB"/>
          <w14:ligatures w14:val="none"/>
        </w:rPr>
        <w:t>John Cannon and Anne Hargreaves (2009) “Gruffydd ap Rhys,” </w:t>
      </w:r>
      <w:r w:rsidRPr="00787E2D">
        <w:rPr>
          <w:rFonts w:ascii="Times New Roman" w:eastAsia="Times New Roman" w:hAnsi="Times New Roman" w:cs="Times New Roman"/>
          <w:i/>
          <w:iCs/>
          <w:kern w:val="0"/>
          <w:sz w:val="24"/>
          <w:szCs w:val="24"/>
          <w:lang w:eastAsia="en-GB"/>
          <w14:ligatures w14:val="none"/>
        </w:rPr>
        <w:t>The Kings and Queens of Britain</w:t>
      </w:r>
      <w:r w:rsidRPr="00787E2D">
        <w:rPr>
          <w:rFonts w:ascii="Times New Roman" w:eastAsia="Times New Roman" w:hAnsi="Times New Roman" w:cs="Times New Roman"/>
          <w:kern w:val="0"/>
          <w:sz w:val="24"/>
          <w:szCs w:val="24"/>
          <w:lang w:eastAsia="en-GB"/>
          <w14:ligatures w14:val="none"/>
        </w:rPr>
        <w:t>. 2 rev. Oxford University Press.</w:t>
      </w:r>
    </w:p>
    <w:p w14:paraId="4015F1C3" w14:textId="77777777" w:rsidR="00F92763" w:rsidRPr="00494162" w:rsidRDefault="00F92763" w:rsidP="00F92763">
      <w:pPr>
        <w:shd w:val="clear" w:color="auto" w:fill="FFFFFF"/>
        <w:spacing w:after="0" w:line="240" w:lineRule="auto"/>
        <w:rPr>
          <w:rFonts w:ascii="Times New Roman" w:eastAsia="Times New Roman" w:hAnsi="Times New Roman" w:cs="Times New Roman"/>
          <w:kern w:val="0"/>
          <w:sz w:val="24"/>
          <w:szCs w:val="24"/>
          <w:lang w:eastAsia="en-GB"/>
          <w14:ligatures w14:val="none"/>
        </w:rPr>
      </w:pPr>
    </w:p>
    <w:p w14:paraId="24E89D22" w14:textId="77777777" w:rsidR="00F92763" w:rsidRPr="00356C4F" w:rsidRDefault="00F92763" w:rsidP="00F92763">
      <w:pPr>
        <w:rPr>
          <w:rFonts w:ascii="Times New Roman" w:hAnsi="Times New Roman" w:cs="Times New Roman"/>
          <w:sz w:val="24"/>
          <w:szCs w:val="24"/>
          <w:shd w:val="clear" w:color="auto" w:fill="FFFFFF"/>
        </w:rPr>
      </w:pPr>
      <w:r w:rsidRPr="00356C4F">
        <w:rPr>
          <w:rFonts w:ascii="Times New Roman" w:hAnsi="Times New Roman" w:cs="Times New Roman"/>
          <w:sz w:val="24"/>
          <w:szCs w:val="24"/>
          <w:shd w:val="clear" w:color="auto" w:fill="FFFFFF"/>
        </w:rPr>
        <w:t>Johns, S. M. (2010). Beauty and the Feast: the cultural constructions of female beauty and social interaction in twelfth-century Wales. </w:t>
      </w:r>
      <w:r w:rsidRPr="00356C4F">
        <w:rPr>
          <w:rFonts w:ascii="Times New Roman" w:hAnsi="Times New Roman" w:cs="Times New Roman"/>
          <w:i/>
          <w:iCs/>
          <w:sz w:val="24"/>
          <w:szCs w:val="24"/>
          <w:shd w:val="clear" w:color="auto" w:fill="FFFFFF"/>
        </w:rPr>
        <w:t>Proceedings of the Harvard Celtic Colloquium</w:t>
      </w:r>
      <w:r w:rsidRPr="00356C4F">
        <w:rPr>
          <w:rFonts w:ascii="Times New Roman" w:hAnsi="Times New Roman" w:cs="Times New Roman"/>
          <w:sz w:val="24"/>
          <w:szCs w:val="24"/>
          <w:shd w:val="clear" w:color="auto" w:fill="FFFFFF"/>
        </w:rPr>
        <w:t>, </w:t>
      </w:r>
      <w:r w:rsidRPr="00356C4F">
        <w:rPr>
          <w:rFonts w:ascii="Times New Roman" w:hAnsi="Times New Roman" w:cs="Times New Roman"/>
          <w:i/>
          <w:iCs/>
          <w:sz w:val="24"/>
          <w:szCs w:val="24"/>
          <w:shd w:val="clear" w:color="auto" w:fill="FFFFFF"/>
        </w:rPr>
        <w:t>30</w:t>
      </w:r>
      <w:r w:rsidRPr="00356C4F">
        <w:rPr>
          <w:rFonts w:ascii="Times New Roman" w:hAnsi="Times New Roman" w:cs="Times New Roman"/>
          <w:sz w:val="24"/>
          <w:szCs w:val="24"/>
          <w:shd w:val="clear" w:color="auto" w:fill="FFFFFF"/>
        </w:rPr>
        <w:t>, 102–115.</w:t>
      </w:r>
    </w:p>
    <w:p w14:paraId="0AE0EC49" w14:textId="77777777" w:rsidR="00F92763" w:rsidRDefault="00F92763" w:rsidP="00F92763">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356C4F">
        <w:rPr>
          <w:rFonts w:ascii="Times New Roman" w:eastAsia="Times New Roman" w:hAnsi="Times New Roman" w:cs="Times New Roman"/>
          <w:kern w:val="0"/>
          <w:sz w:val="24"/>
          <w:szCs w:val="24"/>
          <w:lang w:eastAsia="en-GB"/>
          <w14:ligatures w14:val="none"/>
        </w:rPr>
        <w:t>Johns, S.M. (2013) </w:t>
      </w:r>
      <w:r w:rsidRPr="00356C4F">
        <w:rPr>
          <w:rFonts w:ascii="Times New Roman" w:eastAsia="Times New Roman" w:hAnsi="Times New Roman" w:cs="Times New Roman"/>
          <w:i/>
          <w:iCs/>
          <w:kern w:val="0"/>
          <w:sz w:val="24"/>
          <w:szCs w:val="24"/>
          <w:lang w:eastAsia="en-GB"/>
          <w14:ligatures w14:val="none"/>
        </w:rPr>
        <w:t>Gender, nation and conquest in the high Middle Ages : Nest of Deheubarth</w:t>
      </w:r>
      <w:r w:rsidRPr="00356C4F">
        <w:rPr>
          <w:rFonts w:ascii="Times New Roman" w:eastAsia="Times New Roman" w:hAnsi="Times New Roman" w:cs="Times New Roman"/>
          <w:kern w:val="0"/>
          <w:sz w:val="24"/>
          <w:szCs w:val="24"/>
          <w:lang w:eastAsia="en-GB"/>
          <w14:ligatures w14:val="none"/>
        </w:rPr>
        <w:t>. Manchester: Manchester University Press.</w:t>
      </w:r>
    </w:p>
    <w:p w14:paraId="71D55235" w14:textId="77777777" w:rsidR="00F92763" w:rsidRDefault="00F92763" w:rsidP="00F92763">
      <w:pPr>
        <w:shd w:val="clear" w:color="auto" w:fill="FFFFFF"/>
        <w:spacing w:after="0" w:line="240" w:lineRule="auto"/>
        <w:rPr>
          <w:rFonts w:ascii="Times New Roman" w:eastAsia="Times New Roman" w:hAnsi="Times New Roman" w:cs="Times New Roman"/>
          <w:kern w:val="0"/>
          <w:sz w:val="24"/>
          <w:szCs w:val="24"/>
          <w:lang w:eastAsia="en-GB"/>
          <w14:ligatures w14:val="none"/>
        </w:rPr>
      </w:pPr>
    </w:p>
    <w:p w14:paraId="1FBFA31B" w14:textId="77777777" w:rsidR="00F92763" w:rsidRPr="00C308A9" w:rsidRDefault="00F92763" w:rsidP="00F92763">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C308A9">
        <w:rPr>
          <w:rFonts w:ascii="Times New Roman" w:hAnsi="Times New Roman" w:cs="Times New Roman"/>
          <w:sz w:val="24"/>
          <w:szCs w:val="24"/>
          <w:shd w:val="clear" w:color="auto" w:fill="FFFFFF"/>
        </w:rPr>
        <w:t xml:space="preserve">McMullen, AJ, &amp; Henley, G (eds) 2018, </w:t>
      </w:r>
      <w:r w:rsidRPr="00C308A9">
        <w:rPr>
          <w:rFonts w:ascii="Times New Roman" w:hAnsi="Times New Roman" w:cs="Times New Roman"/>
          <w:i/>
          <w:iCs/>
          <w:sz w:val="24"/>
          <w:szCs w:val="24"/>
          <w:shd w:val="clear" w:color="auto" w:fill="FFFFFF"/>
        </w:rPr>
        <w:t>Gerald of Wales : New Perspectives on a Medieval Writer and Critic,</w:t>
      </w:r>
      <w:r w:rsidRPr="00C308A9">
        <w:rPr>
          <w:rFonts w:ascii="Times New Roman" w:hAnsi="Times New Roman" w:cs="Times New Roman"/>
          <w:sz w:val="24"/>
          <w:szCs w:val="24"/>
          <w:shd w:val="clear" w:color="auto" w:fill="FFFFFF"/>
        </w:rPr>
        <w:t xml:space="preserve"> Gwasg Prifysgol Cymru / University of Wales Press, Cardiff.</w:t>
      </w:r>
    </w:p>
    <w:p w14:paraId="15E1135C" w14:textId="77777777" w:rsidR="00F92763" w:rsidRPr="0021182E" w:rsidRDefault="00F92763" w:rsidP="00F92763">
      <w:pPr>
        <w:shd w:val="clear" w:color="auto" w:fill="FFFFFF"/>
        <w:spacing w:after="0" w:line="240" w:lineRule="auto"/>
        <w:rPr>
          <w:rFonts w:ascii="Times New Roman" w:eastAsia="Times New Roman" w:hAnsi="Times New Roman" w:cs="Times New Roman"/>
          <w:kern w:val="0"/>
          <w:sz w:val="24"/>
          <w:szCs w:val="24"/>
          <w:lang w:eastAsia="en-GB"/>
          <w14:ligatures w14:val="none"/>
        </w:rPr>
      </w:pPr>
    </w:p>
    <w:p w14:paraId="69794EC4" w14:textId="32B9D441" w:rsidR="00F92763" w:rsidRDefault="00F92763" w:rsidP="009E0584">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AB1A30">
        <w:rPr>
          <w:rFonts w:ascii="Times New Roman" w:eastAsia="Times New Roman" w:hAnsi="Times New Roman" w:cs="Times New Roman"/>
          <w:kern w:val="0"/>
          <w:sz w:val="24"/>
          <w:szCs w:val="24"/>
          <w:lang w:eastAsia="en-GB"/>
          <w14:ligatures w14:val="none"/>
        </w:rPr>
        <w:t>Nelson, L.H. (1966) </w:t>
      </w:r>
      <w:r w:rsidRPr="00AB1A30">
        <w:rPr>
          <w:rFonts w:ascii="Times New Roman" w:eastAsia="Times New Roman" w:hAnsi="Times New Roman" w:cs="Times New Roman"/>
          <w:i/>
          <w:iCs/>
          <w:kern w:val="0"/>
          <w:sz w:val="24"/>
          <w:szCs w:val="24"/>
          <w:lang w:eastAsia="en-GB"/>
          <w14:ligatures w14:val="none"/>
        </w:rPr>
        <w:t>The Normans in South Wales, 1070-1171.</w:t>
      </w:r>
      <w:r w:rsidRPr="00AB1A30">
        <w:rPr>
          <w:rFonts w:ascii="Times New Roman" w:eastAsia="Times New Roman" w:hAnsi="Times New Roman" w:cs="Times New Roman"/>
          <w:kern w:val="0"/>
          <w:sz w:val="24"/>
          <w:szCs w:val="24"/>
          <w:lang w:eastAsia="en-GB"/>
          <w14:ligatures w14:val="none"/>
        </w:rPr>
        <w:t> London: University of Texas Press.</w:t>
      </w:r>
    </w:p>
    <w:p w14:paraId="4D15CBB9" w14:textId="77777777" w:rsidR="00CB7608" w:rsidRDefault="00CB7608" w:rsidP="009E0584">
      <w:pPr>
        <w:shd w:val="clear" w:color="auto" w:fill="FFFFFF"/>
        <w:spacing w:after="0" w:line="240" w:lineRule="auto"/>
        <w:rPr>
          <w:rFonts w:ascii="Times New Roman" w:eastAsia="Times New Roman" w:hAnsi="Times New Roman" w:cs="Times New Roman"/>
          <w:kern w:val="0"/>
          <w:sz w:val="24"/>
          <w:szCs w:val="24"/>
          <w:lang w:eastAsia="en-GB"/>
          <w14:ligatures w14:val="none"/>
        </w:rPr>
      </w:pPr>
    </w:p>
    <w:p w14:paraId="0E7180DD" w14:textId="3682A3DC" w:rsidR="00CB7608" w:rsidRDefault="00CB7608" w:rsidP="009E0584">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CB7608">
        <w:rPr>
          <w:rFonts w:ascii="Times New Roman" w:eastAsia="Times New Roman" w:hAnsi="Times New Roman" w:cs="Times New Roman"/>
          <w:kern w:val="0"/>
          <w:sz w:val="24"/>
          <w:szCs w:val="24"/>
          <w:lang w:eastAsia="en-GB"/>
          <w14:ligatures w14:val="none"/>
        </w:rPr>
        <w:lastRenderedPageBreak/>
        <w:t>Parry, J.J. (1954) “Brut y Tywysogion or The Chronicle of the Princes: Peniarth Manuscript 20 Version . Thomas Jones,” </w:t>
      </w:r>
      <w:r w:rsidRPr="00CB7608">
        <w:rPr>
          <w:rFonts w:ascii="Times New Roman" w:eastAsia="Times New Roman" w:hAnsi="Times New Roman" w:cs="Times New Roman"/>
          <w:i/>
          <w:iCs/>
          <w:kern w:val="0"/>
          <w:sz w:val="24"/>
          <w:szCs w:val="24"/>
          <w:lang w:eastAsia="en-GB"/>
          <w14:ligatures w14:val="none"/>
        </w:rPr>
        <w:t>Speculum</w:t>
      </w:r>
      <w:r w:rsidRPr="00CB7608">
        <w:rPr>
          <w:rFonts w:ascii="Times New Roman" w:eastAsia="Times New Roman" w:hAnsi="Times New Roman" w:cs="Times New Roman"/>
          <w:kern w:val="0"/>
          <w:sz w:val="24"/>
          <w:szCs w:val="24"/>
          <w:lang w:eastAsia="en-GB"/>
          <w14:ligatures w14:val="none"/>
        </w:rPr>
        <w:t>, 29(2, Part 1), pp. 289–290. Available at: https://doi.org/10.2307/2849349.</w:t>
      </w:r>
    </w:p>
    <w:p w14:paraId="7C37392F" w14:textId="77777777" w:rsidR="009E0584" w:rsidRPr="009E0584" w:rsidRDefault="009E0584" w:rsidP="009E0584">
      <w:pPr>
        <w:shd w:val="clear" w:color="auto" w:fill="FFFFFF"/>
        <w:spacing w:after="0" w:line="240" w:lineRule="auto"/>
        <w:rPr>
          <w:rFonts w:ascii="Times New Roman" w:eastAsia="Times New Roman" w:hAnsi="Times New Roman" w:cs="Times New Roman"/>
          <w:kern w:val="0"/>
          <w:sz w:val="24"/>
          <w:szCs w:val="24"/>
          <w:lang w:eastAsia="en-GB"/>
          <w14:ligatures w14:val="none"/>
        </w:rPr>
      </w:pPr>
    </w:p>
    <w:p w14:paraId="05AE672D" w14:textId="77777777" w:rsidR="009E0584" w:rsidRPr="009E0584" w:rsidRDefault="009E0584" w:rsidP="009E0584">
      <w:pPr>
        <w:spacing w:after="0" w:line="240" w:lineRule="auto"/>
        <w:rPr>
          <w:rFonts w:ascii="Times New Roman" w:eastAsia="Times New Roman" w:hAnsi="Times New Roman" w:cs="Times New Roman"/>
          <w:kern w:val="0"/>
          <w:sz w:val="24"/>
          <w:szCs w:val="24"/>
          <w:lang w:eastAsia="en-GB"/>
          <w14:ligatures w14:val="none"/>
        </w:rPr>
      </w:pPr>
      <w:r w:rsidRPr="009E0584">
        <w:rPr>
          <w:rFonts w:ascii="Times New Roman" w:eastAsia="Times New Roman" w:hAnsi="Times New Roman" w:cs="Times New Roman"/>
          <w:kern w:val="0"/>
          <w:sz w:val="24"/>
          <w:szCs w:val="24"/>
          <w:lang w:eastAsia="en-GB"/>
          <w14:ligatures w14:val="none"/>
        </w:rPr>
        <w:t xml:space="preserve">Sadie Jarrett (2021) “By reason of her sex and widowhood: an early modern Welsh gentlewoman in the court of Star Chamber,” in N. Mears and K.J. Kesselring (eds.) </w:t>
      </w:r>
      <w:r w:rsidRPr="009E0584">
        <w:rPr>
          <w:rFonts w:ascii="Times New Roman" w:eastAsia="Times New Roman" w:hAnsi="Times New Roman" w:cs="Times New Roman"/>
          <w:i/>
          <w:iCs/>
          <w:kern w:val="0"/>
          <w:sz w:val="24"/>
          <w:szCs w:val="24"/>
          <w:lang w:eastAsia="en-GB"/>
          <w14:ligatures w14:val="none"/>
        </w:rPr>
        <w:t>Star Chamber Matters</w:t>
      </w:r>
      <w:r w:rsidRPr="009E0584">
        <w:rPr>
          <w:rFonts w:ascii="Times New Roman" w:eastAsia="Times New Roman" w:hAnsi="Times New Roman" w:cs="Times New Roman"/>
          <w:kern w:val="0"/>
          <w:sz w:val="24"/>
          <w:szCs w:val="24"/>
          <w:lang w:eastAsia="en-GB"/>
          <w14:ligatures w14:val="none"/>
        </w:rPr>
        <w:t>. United Kingdom: University of London, p. 79. Available at: https://doi.org/10.2307/j.ctv24w62j4.10.</w:t>
      </w:r>
    </w:p>
    <w:p w14:paraId="705A4AF5" w14:textId="77777777" w:rsidR="009E0584" w:rsidRDefault="009E0584" w:rsidP="00F92763">
      <w:pPr>
        <w:rPr>
          <w:rFonts w:ascii="Source Sans Pro" w:hAnsi="Source Sans Pro"/>
          <w:color w:val="3A3A3A"/>
          <w:sz w:val="23"/>
          <w:szCs w:val="23"/>
          <w:shd w:val="clear" w:color="auto" w:fill="FFFFFF"/>
        </w:rPr>
      </w:pPr>
    </w:p>
    <w:p w14:paraId="7244D66E" w14:textId="44B3E856" w:rsidR="00C71701" w:rsidRPr="00C71701" w:rsidRDefault="00C71701" w:rsidP="00F92763">
      <w:pPr>
        <w:rPr>
          <w:rFonts w:ascii="Source Sans Pro" w:hAnsi="Source Sans Pro"/>
          <w:color w:val="3A3A3A"/>
          <w:sz w:val="36"/>
          <w:szCs w:val="36"/>
          <w:shd w:val="clear" w:color="auto" w:fill="FFFFFF"/>
        </w:rPr>
      </w:pPr>
      <w:r w:rsidRPr="00C71701">
        <w:rPr>
          <w:rFonts w:ascii="Times New Roman" w:eastAsia="Times New Roman" w:hAnsi="Times New Roman" w:cs="Times New Roman"/>
          <w:kern w:val="0"/>
          <w:sz w:val="24"/>
          <w:szCs w:val="24"/>
          <w:lang w:eastAsia="en-GB"/>
          <w14:ligatures w14:val="none"/>
        </w:rPr>
        <w:t xml:space="preserve">Williams, J (1860) </w:t>
      </w:r>
      <w:r w:rsidRPr="003614ED">
        <w:rPr>
          <w:rFonts w:ascii="Times New Roman" w:eastAsia="Times New Roman" w:hAnsi="Times New Roman" w:cs="Times New Roman"/>
          <w:i/>
          <w:iCs/>
          <w:kern w:val="0"/>
          <w:sz w:val="24"/>
          <w:szCs w:val="24"/>
          <w:lang w:eastAsia="en-GB"/>
          <w14:ligatures w14:val="none"/>
        </w:rPr>
        <w:t>Brut y Tywysogion: or, the Chronicle of the Princes</w:t>
      </w:r>
      <w:r w:rsidR="003614ED">
        <w:rPr>
          <w:rFonts w:ascii="Times New Roman" w:eastAsia="Times New Roman" w:hAnsi="Times New Roman" w:cs="Times New Roman"/>
          <w:i/>
          <w:iCs/>
          <w:kern w:val="0"/>
          <w:sz w:val="24"/>
          <w:szCs w:val="24"/>
          <w:lang w:eastAsia="en-GB"/>
          <w14:ligatures w14:val="none"/>
        </w:rPr>
        <w:t>.</w:t>
      </w:r>
      <w:r w:rsidRPr="003614ED">
        <w:rPr>
          <w:rFonts w:ascii="Times New Roman" w:eastAsia="Times New Roman" w:hAnsi="Times New Roman" w:cs="Times New Roman"/>
          <w:i/>
          <w:iCs/>
          <w:kern w:val="0"/>
          <w:sz w:val="24"/>
          <w:szCs w:val="24"/>
          <w:lang w:eastAsia="en-GB"/>
          <w14:ligatures w14:val="none"/>
        </w:rPr>
        <w:t xml:space="preserve"> </w:t>
      </w:r>
      <w:r w:rsidRPr="00C71701">
        <w:rPr>
          <w:rFonts w:ascii="Times New Roman" w:eastAsia="Times New Roman" w:hAnsi="Times New Roman" w:cs="Times New Roman"/>
          <w:kern w:val="0"/>
          <w:sz w:val="24"/>
          <w:szCs w:val="24"/>
          <w:lang w:eastAsia="en-GB"/>
          <w14:ligatures w14:val="none"/>
        </w:rPr>
        <w:t>University of Toronto</w:t>
      </w:r>
      <w:r w:rsidR="00E07615">
        <w:rPr>
          <w:rFonts w:ascii="Times New Roman" w:eastAsia="Times New Roman" w:hAnsi="Times New Roman" w:cs="Times New Roman"/>
          <w:kern w:val="0"/>
          <w:sz w:val="24"/>
          <w:szCs w:val="24"/>
          <w:lang w:eastAsia="en-GB"/>
          <w14:ligatures w14:val="none"/>
        </w:rPr>
        <w:t>, London</w:t>
      </w:r>
      <w:r w:rsidR="003614ED">
        <w:rPr>
          <w:rFonts w:ascii="Times New Roman" w:eastAsia="Times New Roman" w:hAnsi="Times New Roman" w:cs="Times New Roman"/>
          <w:kern w:val="0"/>
          <w:sz w:val="24"/>
          <w:szCs w:val="24"/>
          <w:lang w:eastAsia="en-GB"/>
          <w14:ligatures w14:val="none"/>
        </w:rPr>
        <w:t>:</w:t>
      </w:r>
      <w:r w:rsidR="003D34B1">
        <w:rPr>
          <w:rFonts w:ascii="Times New Roman" w:eastAsia="Times New Roman" w:hAnsi="Times New Roman" w:cs="Times New Roman"/>
          <w:kern w:val="0"/>
          <w:sz w:val="24"/>
          <w:szCs w:val="24"/>
          <w:lang w:eastAsia="en-GB"/>
          <w14:ligatures w14:val="none"/>
        </w:rPr>
        <w:t xml:space="preserve"> </w:t>
      </w:r>
      <w:r w:rsidR="003614ED">
        <w:rPr>
          <w:rFonts w:ascii="Times New Roman" w:eastAsia="Times New Roman" w:hAnsi="Times New Roman" w:cs="Times New Roman"/>
          <w:kern w:val="0"/>
          <w:sz w:val="24"/>
          <w:szCs w:val="24"/>
          <w:lang w:eastAsia="en-GB"/>
          <w14:ligatures w14:val="none"/>
        </w:rPr>
        <w:t>Longman and Roberts</w:t>
      </w:r>
    </w:p>
    <w:p w14:paraId="6DCFA1C6" w14:textId="77777777" w:rsidR="00F92763" w:rsidRPr="007B22EB" w:rsidRDefault="00F92763" w:rsidP="00F92763">
      <w:pPr>
        <w:rPr>
          <w:rFonts w:ascii="Times New Roman" w:hAnsi="Times New Roman" w:cs="Times New Roman"/>
          <w:sz w:val="24"/>
          <w:szCs w:val="24"/>
        </w:rPr>
      </w:pPr>
    </w:p>
    <w:p w14:paraId="3CCA34BC" w14:textId="77777777" w:rsidR="00872906" w:rsidRDefault="00872906"/>
    <w:sectPr w:rsidR="00872906" w:rsidSect="00F927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E1125" w14:textId="77777777" w:rsidR="006E3ABF" w:rsidRDefault="006E3ABF" w:rsidP="00F92763">
      <w:pPr>
        <w:spacing w:after="0" w:line="240" w:lineRule="auto"/>
      </w:pPr>
      <w:r>
        <w:separator/>
      </w:r>
    </w:p>
  </w:endnote>
  <w:endnote w:type="continuationSeparator" w:id="0">
    <w:p w14:paraId="6617F3B9" w14:textId="77777777" w:rsidR="006E3ABF" w:rsidRDefault="006E3ABF" w:rsidP="00F92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B7CDD" w14:textId="77777777" w:rsidR="006E3ABF" w:rsidRDefault="006E3ABF" w:rsidP="00F92763">
      <w:pPr>
        <w:spacing w:after="0" w:line="240" w:lineRule="auto"/>
      </w:pPr>
      <w:r>
        <w:separator/>
      </w:r>
    </w:p>
  </w:footnote>
  <w:footnote w:type="continuationSeparator" w:id="0">
    <w:p w14:paraId="52E3137A" w14:textId="77777777" w:rsidR="006E3ABF" w:rsidRDefault="006E3ABF" w:rsidP="00F92763">
      <w:pPr>
        <w:spacing w:after="0" w:line="240" w:lineRule="auto"/>
      </w:pPr>
      <w:r>
        <w:continuationSeparator/>
      </w:r>
    </w:p>
  </w:footnote>
  <w:footnote w:id="1">
    <w:p w14:paraId="517E0A56" w14:textId="77777777" w:rsidR="00F92763" w:rsidRDefault="00F92763" w:rsidP="00F92763">
      <w:pPr>
        <w:pStyle w:val="FootnoteText"/>
      </w:pPr>
      <w:r>
        <w:rPr>
          <w:rStyle w:val="FootnoteReference"/>
        </w:rPr>
        <w:footnoteRef/>
      </w:r>
      <w:r>
        <w:t xml:space="preserve"> </w:t>
      </w:r>
      <w:r w:rsidRPr="004A6014">
        <w:rPr>
          <w:rFonts w:ascii="Times New Roman" w:eastAsia="Times New Roman" w:hAnsi="Times New Roman" w:cs="Times New Roman"/>
          <w:color w:val="3A3A3A"/>
          <w:kern w:val="0"/>
          <w:sz w:val="16"/>
          <w:szCs w:val="16"/>
          <w:lang w:eastAsia="en-GB"/>
          <w14:ligatures w14:val="none"/>
        </w:rPr>
        <w:t>Davies, R.R. (Robert R. (2000) </w:t>
      </w:r>
      <w:r w:rsidRPr="004A6014">
        <w:rPr>
          <w:rFonts w:ascii="Times New Roman" w:eastAsia="Times New Roman" w:hAnsi="Times New Roman" w:cs="Times New Roman"/>
          <w:i/>
          <w:iCs/>
          <w:color w:val="3A3A3A"/>
          <w:kern w:val="0"/>
          <w:sz w:val="16"/>
          <w:szCs w:val="16"/>
          <w:lang w:eastAsia="en-GB"/>
          <w14:ligatures w14:val="none"/>
        </w:rPr>
        <w:t>The age of conquest: Wales 1063-1415</w:t>
      </w:r>
      <w:r w:rsidRPr="004A6014">
        <w:rPr>
          <w:rFonts w:ascii="Times New Roman" w:eastAsia="Times New Roman" w:hAnsi="Times New Roman" w:cs="Times New Roman"/>
          <w:color w:val="3A3A3A"/>
          <w:kern w:val="0"/>
          <w:sz w:val="16"/>
          <w:szCs w:val="16"/>
          <w:lang w:eastAsia="en-GB"/>
          <w14:ligatures w14:val="none"/>
        </w:rPr>
        <w:t>. Oxford; New York: Oxford University Press. Pp. 25</w:t>
      </w:r>
    </w:p>
  </w:footnote>
  <w:footnote w:id="2">
    <w:p w14:paraId="6B5F642D" w14:textId="7B057749" w:rsidR="00F92763" w:rsidRDefault="00F92763" w:rsidP="00F92763">
      <w:pPr>
        <w:pStyle w:val="FootnoteText"/>
      </w:pPr>
      <w:r>
        <w:rPr>
          <w:rStyle w:val="FootnoteReference"/>
        </w:rPr>
        <w:footnoteRef/>
      </w:r>
      <w:r>
        <w:t xml:space="preserve"> </w:t>
      </w:r>
      <w:r w:rsidR="000C6542" w:rsidRPr="009E0584">
        <w:rPr>
          <w:rFonts w:ascii="Times New Roman" w:eastAsia="Times New Roman" w:hAnsi="Times New Roman" w:cs="Times New Roman"/>
          <w:kern w:val="0"/>
          <w:sz w:val="16"/>
          <w:szCs w:val="16"/>
          <w:lang w:eastAsia="en-GB"/>
          <w14:ligatures w14:val="none"/>
        </w:rPr>
        <w:t xml:space="preserve">Sadie Jarrett (2021) “By reason of her sex and widowhood: an early modern Welsh gentlewoman in the court of Star Chamber,” in N. Mears and K.J. Kesselring (eds.) </w:t>
      </w:r>
      <w:r w:rsidR="000C6542" w:rsidRPr="009E0584">
        <w:rPr>
          <w:rFonts w:ascii="Times New Roman" w:eastAsia="Times New Roman" w:hAnsi="Times New Roman" w:cs="Times New Roman"/>
          <w:i/>
          <w:iCs/>
          <w:kern w:val="0"/>
          <w:sz w:val="16"/>
          <w:szCs w:val="16"/>
          <w:lang w:eastAsia="en-GB"/>
          <w14:ligatures w14:val="none"/>
        </w:rPr>
        <w:t>Star Chamber Matters</w:t>
      </w:r>
      <w:r w:rsidR="000C6542" w:rsidRPr="009E0584">
        <w:rPr>
          <w:rFonts w:ascii="Times New Roman" w:eastAsia="Times New Roman" w:hAnsi="Times New Roman" w:cs="Times New Roman"/>
          <w:kern w:val="0"/>
          <w:sz w:val="16"/>
          <w:szCs w:val="16"/>
          <w:lang w:eastAsia="en-GB"/>
          <w14:ligatures w14:val="none"/>
        </w:rPr>
        <w:t>. United Kingdom: University of London, p</w:t>
      </w:r>
      <w:r w:rsidR="000C6542">
        <w:rPr>
          <w:rFonts w:ascii="Times New Roman" w:eastAsia="Times New Roman" w:hAnsi="Times New Roman" w:cs="Times New Roman"/>
          <w:kern w:val="0"/>
          <w:sz w:val="16"/>
          <w:szCs w:val="16"/>
          <w:lang w:eastAsia="en-GB"/>
          <w14:ligatures w14:val="none"/>
        </w:rPr>
        <w:t>p</w:t>
      </w:r>
      <w:r w:rsidR="00961E4B">
        <w:rPr>
          <w:rFonts w:ascii="Times New Roman" w:eastAsia="Times New Roman" w:hAnsi="Times New Roman" w:cs="Times New Roman"/>
          <w:kern w:val="0"/>
          <w:sz w:val="16"/>
          <w:szCs w:val="16"/>
          <w:lang w:eastAsia="en-GB"/>
          <w14:ligatures w14:val="none"/>
        </w:rPr>
        <w:t xml:space="preserve"> 81</w:t>
      </w:r>
    </w:p>
  </w:footnote>
  <w:footnote w:id="3">
    <w:p w14:paraId="075D7B55" w14:textId="5DF8506C" w:rsidR="00372FD2" w:rsidRPr="00372FD2" w:rsidRDefault="00372FD2" w:rsidP="00372FD2">
      <w:pPr>
        <w:shd w:val="clear" w:color="auto" w:fill="FFFFFF"/>
        <w:spacing w:after="0" w:line="240" w:lineRule="auto"/>
        <w:rPr>
          <w:rFonts w:ascii="Times New Roman" w:eastAsia="Times New Roman" w:hAnsi="Times New Roman" w:cs="Times New Roman"/>
          <w:kern w:val="0"/>
          <w:sz w:val="16"/>
          <w:szCs w:val="16"/>
          <w:lang w:eastAsia="en-GB"/>
          <w14:ligatures w14:val="none"/>
        </w:rPr>
      </w:pPr>
      <w:r>
        <w:rPr>
          <w:rStyle w:val="FootnoteReference"/>
        </w:rPr>
        <w:footnoteRef/>
      </w:r>
      <w:r>
        <w:t xml:space="preserve"> </w:t>
      </w:r>
      <w:r w:rsidRPr="006D0A37">
        <w:rPr>
          <w:rFonts w:ascii="Times New Roman" w:eastAsia="Times New Roman" w:hAnsi="Times New Roman" w:cs="Times New Roman"/>
          <w:kern w:val="0"/>
          <w:sz w:val="16"/>
          <w:szCs w:val="16"/>
          <w:lang w:eastAsia="en-GB"/>
          <w14:ligatures w14:val="none"/>
        </w:rPr>
        <w:t>Johns, S.M. (2013) </w:t>
      </w:r>
      <w:r w:rsidRPr="006D0A37">
        <w:rPr>
          <w:rFonts w:ascii="Times New Roman" w:eastAsia="Times New Roman" w:hAnsi="Times New Roman" w:cs="Times New Roman"/>
          <w:i/>
          <w:iCs/>
          <w:kern w:val="0"/>
          <w:sz w:val="16"/>
          <w:szCs w:val="16"/>
          <w:lang w:eastAsia="en-GB"/>
          <w14:ligatures w14:val="none"/>
        </w:rPr>
        <w:t>Gender, nation and conquest in the high Middle Ages : Nest of Deheubarth</w:t>
      </w:r>
      <w:r w:rsidRPr="006D0A37">
        <w:rPr>
          <w:rFonts w:ascii="Times New Roman" w:eastAsia="Times New Roman" w:hAnsi="Times New Roman" w:cs="Times New Roman"/>
          <w:kern w:val="0"/>
          <w:sz w:val="16"/>
          <w:szCs w:val="16"/>
          <w:lang w:eastAsia="en-GB"/>
          <w14:ligatures w14:val="none"/>
        </w:rPr>
        <w:t>. Manchester: Manchester University Press.</w:t>
      </w:r>
      <w:r>
        <w:rPr>
          <w:rFonts w:ascii="Times New Roman" w:eastAsia="Times New Roman" w:hAnsi="Times New Roman" w:cs="Times New Roman"/>
          <w:kern w:val="0"/>
          <w:sz w:val="16"/>
          <w:szCs w:val="16"/>
          <w:lang w:eastAsia="en-GB"/>
          <w14:ligatures w14:val="none"/>
        </w:rPr>
        <w:t xml:space="preserve"> Pp 23</w:t>
      </w:r>
    </w:p>
  </w:footnote>
  <w:footnote w:id="4">
    <w:p w14:paraId="4592F182" w14:textId="5D80D96B" w:rsidR="00F92763" w:rsidRPr="006D0A37" w:rsidRDefault="00F92763" w:rsidP="00F92763">
      <w:pPr>
        <w:shd w:val="clear" w:color="auto" w:fill="FFFFFF"/>
        <w:spacing w:after="0" w:line="240" w:lineRule="auto"/>
        <w:rPr>
          <w:rFonts w:ascii="Times New Roman" w:eastAsia="Times New Roman" w:hAnsi="Times New Roman" w:cs="Times New Roman"/>
          <w:kern w:val="0"/>
          <w:sz w:val="16"/>
          <w:szCs w:val="16"/>
          <w:lang w:eastAsia="en-GB"/>
          <w14:ligatures w14:val="none"/>
        </w:rPr>
      </w:pPr>
      <w:r>
        <w:rPr>
          <w:rStyle w:val="FootnoteReference"/>
        </w:rPr>
        <w:footnoteRef/>
      </w:r>
      <w:r>
        <w:t xml:space="preserve"> </w:t>
      </w:r>
      <w:r w:rsidR="00180EAE">
        <w:rPr>
          <w:rFonts w:ascii="Times New Roman" w:eastAsia="Times New Roman" w:hAnsi="Times New Roman" w:cs="Times New Roman"/>
          <w:kern w:val="0"/>
          <w:sz w:val="16"/>
          <w:szCs w:val="16"/>
          <w:lang w:eastAsia="en-GB"/>
          <w14:ligatures w14:val="none"/>
        </w:rPr>
        <w:t>Ibid</w:t>
      </w:r>
      <w:r>
        <w:rPr>
          <w:rFonts w:ascii="Times New Roman" w:eastAsia="Times New Roman" w:hAnsi="Times New Roman" w:cs="Times New Roman"/>
          <w:kern w:val="0"/>
          <w:sz w:val="16"/>
          <w:szCs w:val="16"/>
          <w:lang w:eastAsia="en-GB"/>
          <w14:ligatures w14:val="none"/>
        </w:rPr>
        <w:t xml:space="preserve"> Pp 23</w:t>
      </w:r>
    </w:p>
    <w:p w14:paraId="3147D614" w14:textId="77777777" w:rsidR="00F92763" w:rsidRDefault="00F92763" w:rsidP="00F92763">
      <w:pPr>
        <w:pStyle w:val="FootnoteText"/>
      </w:pPr>
    </w:p>
  </w:footnote>
  <w:footnote w:id="5">
    <w:p w14:paraId="578A6BD8" w14:textId="5ECE57A2" w:rsidR="00050401" w:rsidRDefault="00050401">
      <w:pPr>
        <w:pStyle w:val="FootnoteText"/>
      </w:pPr>
      <w:r>
        <w:rPr>
          <w:rStyle w:val="FootnoteReference"/>
        </w:rPr>
        <w:footnoteRef/>
      </w:r>
      <w:r>
        <w:t xml:space="preserve"> </w:t>
      </w:r>
      <w:r w:rsidR="00C94EE4" w:rsidRPr="00B37F4E">
        <w:rPr>
          <w:rFonts w:ascii="Times New Roman" w:eastAsia="Times New Roman" w:hAnsi="Times New Roman" w:cs="Times New Roman"/>
          <w:kern w:val="0"/>
          <w:sz w:val="16"/>
          <w:szCs w:val="16"/>
          <w:lang w:eastAsia="en-GB"/>
          <w14:ligatures w14:val="none"/>
        </w:rPr>
        <w:t>Giraldus (2005) </w:t>
      </w:r>
      <w:r w:rsidR="00C94EE4" w:rsidRPr="00B37F4E">
        <w:rPr>
          <w:rFonts w:ascii="Times New Roman" w:eastAsia="Times New Roman" w:hAnsi="Times New Roman" w:cs="Times New Roman"/>
          <w:i/>
          <w:iCs/>
          <w:kern w:val="0"/>
          <w:sz w:val="16"/>
          <w:szCs w:val="16"/>
          <w:lang w:eastAsia="en-GB"/>
          <w14:ligatures w14:val="none"/>
        </w:rPr>
        <w:t>Gerald of Wales the journey through Wales and the description of Wales</w:t>
      </w:r>
      <w:r w:rsidR="00C94EE4" w:rsidRPr="00B37F4E">
        <w:rPr>
          <w:rFonts w:ascii="Times New Roman" w:eastAsia="Times New Roman" w:hAnsi="Times New Roman" w:cs="Times New Roman"/>
          <w:kern w:val="0"/>
          <w:sz w:val="16"/>
          <w:szCs w:val="16"/>
          <w:lang w:eastAsia="en-GB"/>
          <w14:ligatures w14:val="none"/>
        </w:rPr>
        <w:t>. Translated by L. Thorpe. London: Penguin.</w:t>
      </w:r>
      <w:r w:rsidR="00C94EE4">
        <w:rPr>
          <w:rFonts w:ascii="Times New Roman" w:eastAsia="Times New Roman" w:hAnsi="Times New Roman" w:cs="Times New Roman"/>
          <w:kern w:val="0"/>
          <w:sz w:val="16"/>
          <w:szCs w:val="16"/>
          <w:lang w:eastAsia="en-GB"/>
          <w14:ligatures w14:val="none"/>
        </w:rPr>
        <w:t xml:space="preserve"> Pp 1</w:t>
      </w:r>
      <w:r w:rsidR="00B6409A">
        <w:rPr>
          <w:rFonts w:ascii="Times New Roman" w:eastAsia="Times New Roman" w:hAnsi="Times New Roman" w:cs="Times New Roman"/>
          <w:kern w:val="0"/>
          <w:sz w:val="16"/>
          <w:szCs w:val="16"/>
          <w:lang w:eastAsia="en-GB"/>
          <w14:ligatures w14:val="none"/>
        </w:rPr>
        <w:t>1</w:t>
      </w:r>
    </w:p>
  </w:footnote>
  <w:footnote w:id="6">
    <w:p w14:paraId="7B5D64F8" w14:textId="77777777" w:rsidR="009A2F4A" w:rsidRPr="008F5EE5" w:rsidRDefault="009A2F4A" w:rsidP="009A2F4A">
      <w:pPr>
        <w:pStyle w:val="FootnoteText"/>
        <w:rPr>
          <w:rFonts w:ascii="Times New Roman" w:hAnsi="Times New Roman" w:cs="Times New Roman"/>
          <w:sz w:val="16"/>
          <w:szCs w:val="16"/>
        </w:rPr>
      </w:pPr>
      <w:r>
        <w:rPr>
          <w:rStyle w:val="FootnoteReference"/>
        </w:rPr>
        <w:footnoteRef/>
      </w:r>
      <w:r>
        <w:t xml:space="preserve"> </w:t>
      </w:r>
      <w:r>
        <w:rPr>
          <w:rFonts w:ascii="Times New Roman" w:hAnsi="Times New Roman" w:cs="Times New Roman"/>
          <w:sz w:val="16"/>
          <w:szCs w:val="16"/>
        </w:rPr>
        <w:t>Ibid pp 28</w:t>
      </w:r>
    </w:p>
  </w:footnote>
  <w:footnote w:id="7">
    <w:p w14:paraId="2BEC8C8B" w14:textId="77777777" w:rsidR="00F92763" w:rsidRDefault="00F92763" w:rsidP="00F92763">
      <w:pPr>
        <w:pStyle w:val="FootnoteText"/>
      </w:pPr>
      <w:r>
        <w:rPr>
          <w:rStyle w:val="FootnoteReference"/>
        </w:rPr>
        <w:footnoteRef/>
      </w:r>
      <w:r>
        <w:t xml:space="preserve"> </w:t>
      </w:r>
      <w:r w:rsidRPr="004A6014">
        <w:rPr>
          <w:rFonts w:ascii="Times New Roman" w:eastAsia="Times New Roman" w:hAnsi="Times New Roman" w:cs="Times New Roman"/>
          <w:color w:val="3A3A3A"/>
          <w:kern w:val="0"/>
          <w:sz w:val="16"/>
          <w:szCs w:val="16"/>
          <w:lang w:eastAsia="en-GB"/>
          <w14:ligatures w14:val="none"/>
        </w:rPr>
        <w:t>Davies, R.R. (Robert R. (2000) </w:t>
      </w:r>
      <w:r w:rsidRPr="004A6014">
        <w:rPr>
          <w:rFonts w:ascii="Times New Roman" w:eastAsia="Times New Roman" w:hAnsi="Times New Roman" w:cs="Times New Roman"/>
          <w:i/>
          <w:iCs/>
          <w:color w:val="3A3A3A"/>
          <w:kern w:val="0"/>
          <w:sz w:val="16"/>
          <w:szCs w:val="16"/>
          <w:lang w:eastAsia="en-GB"/>
          <w14:ligatures w14:val="none"/>
        </w:rPr>
        <w:t>The age of conquest: Wales 1063-1415</w:t>
      </w:r>
      <w:r w:rsidRPr="004A6014">
        <w:rPr>
          <w:rFonts w:ascii="Times New Roman" w:eastAsia="Times New Roman" w:hAnsi="Times New Roman" w:cs="Times New Roman"/>
          <w:color w:val="3A3A3A"/>
          <w:kern w:val="0"/>
          <w:sz w:val="16"/>
          <w:szCs w:val="16"/>
          <w:lang w:eastAsia="en-GB"/>
          <w14:ligatures w14:val="none"/>
        </w:rPr>
        <w:t>. Pp. 25</w:t>
      </w:r>
    </w:p>
  </w:footnote>
  <w:footnote w:id="8">
    <w:p w14:paraId="2CD86AB8" w14:textId="77777777" w:rsidR="00F92763" w:rsidRPr="009653A4" w:rsidRDefault="00F92763" w:rsidP="00F92763">
      <w:pPr>
        <w:pStyle w:val="FootnoteText"/>
        <w:rPr>
          <w:rFonts w:ascii="Times New Roman" w:hAnsi="Times New Roman" w:cs="Times New Roman"/>
          <w:sz w:val="16"/>
          <w:szCs w:val="16"/>
        </w:rPr>
      </w:pPr>
      <w:r w:rsidRPr="009653A4">
        <w:rPr>
          <w:rStyle w:val="FootnoteReference"/>
          <w:rFonts w:ascii="Times New Roman" w:hAnsi="Times New Roman" w:cs="Times New Roman"/>
          <w:sz w:val="16"/>
          <w:szCs w:val="16"/>
        </w:rPr>
        <w:footnoteRef/>
      </w:r>
      <w:r w:rsidRPr="009653A4">
        <w:rPr>
          <w:rFonts w:ascii="Times New Roman" w:hAnsi="Times New Roman" w:cs="Times New Roman"/>
          <w:sz w:val="16"/>
          <w:szCs w:val="16"/>
        </w:rPr>
        <w:t xml:space="preserve"> Ibid pp 24</w:t>
      </w:r>
    </w:p>
  </w:footnote>
  <w:footnote w:id="9">
    <w:p w14:paraId="0582CD7E" w14:textId="77777777" w:rsidR="00F92763" w:rsidRPr="00D44DA6" w:rsidRDefault="00F92763" w:rsidP="00F92763">
      <w:pPr>
        <w:pStyle w:val="FootnoteText"/>
        <w:rPr>
          <w:rFonts w:ascii="Times New Roman" w:hAnsi="Times New Roman" w:cs="Times New Roman"/>
          <w:sz w:val="16"/>
          <w:szCs w:val="16"/>
        </w:rPr>
      </w:pPr>
      <w:r>
        <w:rPr>
          <w:rStyle w:val="FootnoteReference"/>
        </w:rPr>
        <w:footnoteRef/>
      </w:r>
      <w:r>
        <w:t xml:space="preserve"> </w:t>
      </w:r>
      <w:r>
        <w:rPr>
          <w:rFonts w:ascii="Times New Roman" w:hAnsi="Times New Roman" w:cs="Times New Roman"/>
          <w:sz w:val="16"/>
          <w:szCs w:val="16"/>
        </w:rPr>
        <w:t>Ibid pp 24</w:t>
      </w:r>
    </w:p>
  </w:footnote>
  <w:footnote w:id="10">
    <w:p w14:paraId="06121A8B" w14:textId="77777777" w:rsidR="00F92763" w:rsidRDefault="00F92763" w:rsidP="00F92763">
      <w:pPr>
        <w:pStyle w:val="FootnoteText"/>
      </w:pPr>
      <w:r>
        <w:rPr>
          <w:rStyle w:val="FootnoteReference"/>
        </w:rPr>
        <w:footnoteRef/>
      </w:r>
      <w:r>
        <w:t xml:space="preserve"> </w:t>
      </w:r>
      <w:r w:rsidRPr="004A6014">
        <w:rPr>
          <w:rFonts w:ascii="Times New Roman" w:hAnsi="Times New Roman" w:cs="Times New Roman"/>
          <w:color w:val="3A3A3A"/>
          <w:sz w:val="16"/>
          <w:szCs w:val="16"/>
          <w:shd w:val="clear" w:color="auto" w:fill="FFFFFF"/>
        </w:rPr>
        <w:t>Johns, S. M. (2010). Beauty and the Feast: the cultural constructions of female beauty and social interaction in twelfth-century Wales. </w:t>
      </w:r>
      <w:r w:rsidRPr="004A6014">
        <w:rPr>
          <w:rFonts w:ascii="Times New Roman" w:hAnsi="Times New Roman" w:cs="Times New Roman"/>
          <w:i/>
          <w:iCs/>
          <w:color w:val="3A3A3A"/>
          <w:sz w:val="16"/>
          <w:szCs w:val="16"/>
          <w:shd w:val="clear" w:color="auto" w:fill="FFFFFF"/>
        </w:rPr>
        <w:t>Proceedings of the Harvard Celtic Colloquium</w:t>
      </w:r>
      <w:r w:rsidRPr="004A6014">
        <w:rPr>
          <w:rFonts w:ascii="Times New Roman" w:hAnsi="Times New Roman" w:cs="Times New Roman"/>
          <w:color w:val="3A3A3A"/>
          <w:sz w:val="16"/>
          <w:szCs w:val="16"/>
          <w:shd w:val="clear" w:color="auto" w:fill="FFFFFF"/>
        </w:rPr>
        <w:t>, pp. 103</w:t>
      </w:r>
    </w:p>
  </w:footnote>
  <w:footnote w:id="11">
    <w:p w14:paraId="7F90E9B5" w14:textId="77777777" w:rsidR="00F92763" w:rsidRDefault="00F92763" w:rsidP="00F92763">
      <w:pPr>
        <w:pStyle w:val="FootnoteText"/>
      </w:pPr>
      <w:r>
        <w:rPr>
          <w:rStyle w:val="FootnoteReference"/>
        </w:rPr>
        <w:footnoteRef/>
      </w:r>
      <w:r>
        <w:t xml:space="preserve"> </w:t>
      </w:r>
      <w:r w:rsidRPr="004A6014">
        <w:rPr>
          <w:rFonts w:ascii="Times New Roman" w:eastAsia="Times New Roman" w:hAnsi="Times New Roman" w:cs="Times New Roman"/>
          <w:kern w:val="0"/>
          <w:sz w:val="16"/>
          <w:szCs w:val="16"/>
          <w:lang w:eastAsia="en-GB"/>
          <w14:ligatures w14:val="none"/>
        </w:rPr>
        <w:t>Nelson, L.H. (1966) </w:t>
      </w:r>
      <w:r w:rsidRPr="004A6014">
        <w:rPr>
          <w:rFonts w:ascii="Times New Roman" w:eastAsia="Times New Roman" w:hAnsi="Times New Roman" w:cs="Times New Roman"/>
          <w:i/>
          <w:iCs/>
          <w:kern w:val="0"/>
          <w:sz w:val="16"/>
          <w:szCs w:val="16"/>
          <w:lang w:eastAsia="en-GB"/>
          <w14:ligatures w14:val="none"/>
        </w:rPr>
        <w:t>The Normans in South Wales, 1070-1171.</w:t>
      </w:r>
      <w:r w:rsidRPr="004A6014">
        <w:rPr>
          <w:rFonts w:ascii="Times New Roman" w:eastAsia="Times New Roman" w:hAnsi="Times New Roman" w:cs="Times New Roman"/>
          <w:kern w:val="0"/>
          <w:sz w:val="16"/>
          <w:szCs w:val="16"/>
          <w:lang w:eastAsia="en-GB"/>
          <w14:ligatures w14:val="none"/>
        </w:rPr>
        <w:t xml:space="preserve"> London: University of Texas Press pp. </w:t>
      </w:r>
      <w:r>
        <w:rPr>
          <w:rFonts w:ascii="Times New Roman" w:eastAsia="Times New Roman" w:hAnsi="Times New Roman" w:cs="Times New Roman"/>
          <w:kern w:val="0"/>
          <w:sz w:val="16"/>
          <w:szCs w:val="16"/>
          <w:lang w:eastAsia="en-GB"/>
          <w14:ligatures w14:val="none"/>
        </w:rPr>
        <w:t>112</w:t>
      </w:r>
    </w:p>
  </w:footnote>
  <w:footnote w:id="12">
    <w:p w14:paraId="7562D331" w14:textId="77777777" w:rsidR="00F92763" w:rsidRPr="002A3E95" w:rsidRDefault="00F92763" w:rsidP="00F92763">
      <w:pPr>
        <w:shd w:val="clear" w:color="auto" w:fill="FFFFFF"/>
        <w:spacing w:after="0" w:line="240" w:lineRule="auto"/>
        <w:rPr>
          <w:rFonts w:ascii="Times New Roman" w:eastAsia="Times New Roman" w:hAnsi="Times New Roman" w:cs="Times New Roman"/>
          <w:color w:val="3A3A3A"/>
          <w:kern w:val="0"/>
          <w:sz w:val="16"/>
          <w:szCs w:val="16"/>
          <w:lang w:eastAsia="en-GB"/>
          <w14:ligatures w14:val="none"/>
        </w:rPr>
      </w:pPr>
      <w:r>
        <w:rPr>
          <w:rStyle w:val="FootnoteReference"/>
        </w:rPr>
        <w:footnoteRef/>
      </w:r>
      <w:r>
        <w:t xml:space="preserve"> </w:t>
      </w:r>
      <w:r w:rsidRPr="002A3E95">
        <w:rPr>
          <w:rFonts w:ascii="Times New Roman" w:eastAsia="Times New Roman" w:hAnsi="Times New Roman" w:cs="Times New Roman"/>
          <w:color w:val="3A3A3A"/>
          <w:kern w:val="0"/>
          <w:sz w:val="16"/>
          <w:szCs w:val="16"/>
          <w:lang w:eastAsia="en-GB"/>
          <w14:ligatures w14:val="none"/>
        </w:rPr>
        <w:t>John Cannon and Anne Hargreaves (2009) “Gruffydd ap Rhys,” </w:t>
      </w:r>
      <w:r w:rsidRPr="002A3E95">
        <w:rPr>
          <w:rFonts w:ascii="Times New Roman" w:eastAsia="Times New Roman" w:hAnsi="Times New Roman" w:cs="Times New Roman"/>
          <w:i/>
          <w:iCs/>
          <w:color w:val="3A3A3A"/>
          <w:kern w:val="0"/>
          <w:sz w:val="16"/>
          <w:szCs w:val="16"/>
          <w:lang w:eastAsia="en-GB"/>
          <w14:ligatures w14:val="none"/>
        </w:rPr>
        <w:t>The Kings and Queens of Britain</w:t>
      </w:r>
      <w:r w:rsidRPr="002A3E95">
        <w:rPr>
          <w:rFonts w:ascii="Times New Roman" w:eastAsia="Times New Roman" w:hAnsi="Times New Roman" w:cs="Times New Roman"/>
          <w:color w:val="3A3A3A"/>
          <w:kern w:val="0"/>
          <w:sz w:val="16"/>
          <w:szCs w:val="16"/>
          <w:lang w:eastAsia="en-GB"/>
          <w14:ligatures w14:val="none"/>
        </w:rPr>
        <w:t>. 2 rev. Oxford University Press.</w:t>
      </w:r>
    </w:p>
  </w:footnote>
  <w:footnote w:id="13">
    <w:p w14:paraId="6B4CE42D" w14:textId="07CC3146" w:rsidR="00F92763" w:rsidRPr="00042DA0" w:rsidRDefault="00F92763" w:rsidP="00F92763">
      <w:pPr>
        <w:shd w:val="clear" w:color="auto" w:fill="FFFFFF"/>
        <w:spacing w:after="0" w:line="240" w:lineRule="auto"/>
        <w:rPr>
          <w:rFonts w:ascii="Times New Roman" w:eastAsia="Times New Roman" w:hAnsi="Times New Roman" w:cs="Times New Roman"/>
          <w:kern w:val="0"/>
          <w:sz w:val="16"/>
          <w:szCs w:val="16"/>
          <w:lang w:eastAsia="en-GB"/>
          <w14:ligatures w14:val="none"/>
        </w:rPr>
      </w:pPr>
      <w:r>
        <w:rPr>
          <w:rStyle w:val="FootnoteReference"/>
        </w:rPr>
        <w:footnoteRef/>
      </w:r>
      <w:r>
        <w:t xml:space="preserve"> </w:t>
      </w:r>
      <w:r w:rsidRPr="00B37F4E">
        <w:rPr>
          <w:rFonts w:ascii="Times New Roman" w:eastAsia="Times New Roman" w:hAnsi="Times New Roman" w:cs="Times New Roman"/>
          <w:kern w:val="0"/>
          <w:sz w:val="16"/>
          <w:szCs w:val="16"/>
          <w:lang w:eastAsia="en-GB"/>
          <w14:ligatures w14:val="none"/>
        </w:rPr>
        <w:t>Giraldus (2005) </w:t>
      </w:r>
      <w:r w:rsidRPr="00B37F4E">
        <w:rPr>
          <w:rFonts w:ascii="Times New Roman" w:eastAsia="Times New Roman" w:hAnsi="Times New Roman" w:cs="Times New Roman"/>
          <w:i/>
          <w:iCs/>
          <w:kern w:val="0"/>
          <w:sz w:val="16"/>
          <w:szCs w:val="16"/>
          <w:lang w:eastAsia="en-GB"/>
          <w14:ligatures w14:val="none"/>
        </w:rPr>
        <w:t>Gerald of Wales the journey through Wales and the description of Wales</w:t>
      </w:r>
      <w:r w:rsidRPr="00B37F4E">
        <w:rPr>
          <w:rFonts w:ascii="Times New Roman" w:eastAsia="Times New Roman" w:hAnsi="Times New Roman" w:cs="Times New Roman"/>
          <w:kern w:val="0"/>
          <w:sz w:val="16"/>
          <w:szCs w:val="16"/>
          <w:lang w:eastAsia="en-GB"/>
          <w14:ligatures w14:val="none"/>
        </w:rPr>
        <w:t xml:space="preserve">. Translated by L. Thorpe. </w:t>
      </w:r>
      <w:r>
        <w:rPr>
          <w:rFonts w:ascii="Times New Roman" w:eastAsia="Times New Roman" w:hAnsi="Times New Roman" w:cs="Times New Roman"/>
          <w:kern w:val="0"/>
          <w:sz w:val="16"/>
          <w:szCs w:val="16"/>
          <w:lang w:eastAsia="en-GB"/>
          <w14:ligatures w14:val="none"/>
        </w:rPr>
        <w:t>Pp 143</w:t>
      </w:r>
    </w:p>
  </w:footnote>
  <w:footnote w:id="14">
    <w:p w14:paraId="7FDA8968" w14:textId="77777777" w:rsidR="00F92763" w:rsidRDefault="00F92763" w:rsidP="00F92763">
      <w:pPr>
        <w:shd w:val="clear" w:color="auto" w:fill="FFFFFF"/>
        <w:spacing w:after="0" w:line="240" w:lineRule="auto"/>
      </w:pPr>
      <w:r>
        <w:rPr>
          <w:rStyle w:val="FootnoteReference"/>
        </w:rPr>
        <w:footnoteRef/>
      </w:r>
      <w:r>
        <w:t xml:space="preserve"> </w:t>
      </w:r>
      <w:r w:rsidRPr="007B3C8E">
        <w:rPr>
          <w:rFonts w:ascii="Times New Roman" w:hAnsi="Times New Roman" w:cs="Times New Roman"/>
          <w:color w:val="000000"/>
          <w:spacing w:val="-5"/>
          <w:sz w:val="16"/>
          <w:szCs w:val="16"/>
          <w:shd w:val="clear" w:color="auto" w:fill="FFFFFF"/>
        </w:rPr>
        <w:t>Gillingham, John. “Women, Children and the Profits of War.” </w:t>
      </w:r>
      <w:r w:rsidRPr="007B3C8E">
        <w:rPr>
          <w:rFonts w:ascii="Times New Roman" w:hAnsi="Times New Roman" w:cs="Times New Roman"/>
          <w:i/>
          <w:iCs/>
          <w:color w:val="000000"/>
          <w:spacing w:val="-5"/>
          <w:sz w:val="16"/>
          <w:szCs w:val="16"/>
          <w:shd w:val="clear" w:color="auto" w:fill="FFFFFF"/>
        </w:rPr>
        <w:t>Gender and Historiography: Studies in the Earlier Middle Ages in Honour of Pauline Stafford</w:t>
      </w:r>
      <w:r w:rsidRPr="007B3C8E">
        <w:rPr>
          <w:rFonts w:ascii="Times New Roman" w:hAnsi="Times New Roman" w:cs="Times New Roman"/>
          <w:color w:val="000000"/>
          <w:spacing w:val="-5"/>
          <w:sz w:val="16"/>
          <w:szCs w:val="16"/>
          <w:shd w:val="clear" w:color="auto" w:fill="FFFFFF"/>
        </w:rPr>
        <w:t>, edited by Janet L. Nelson et al., University of London Press, 2012, pp.</w:t>
      </w:r>
      <w:r>
        <w:rPr>
          <w:rFonts w:ascii="Times New Roman" w:hAnsi="Times New Roman" w:cs="Times New Roman"/>
          <w:color w:val="000000"/>
          <w:spacing w:val="-5"/>
          <w:sz w:val="16"/>
          <w:szCs w:val="16"/>
          <w:shd w:val="clear" w:color="auto" w:fill="FFFFFF"/>
        </w:rPr>
        <w:t xml:space="preserve"> 63 </w:t>
      </w:r>
    </w:p>
  </w:footnote>
  <w:footnote w:id="15">
    <w:p w14:paraId="7DD64CBE" w14:textId="77777777" w:rsidR="00F92763" w:rsidRDefault="00F92763" w:rsidP="00F92763">
      <w:pPr>
        <w:pStyle w:val="FootnoteText"/>
      </w:pPr>
      <w:r>
        <w:rPr>
          <w:rStyle w:val="FootnoteReference"/>
        </w:rPr>
        <w:footnoteRef/>
      </w:r>
      <w:r>
        <w:t xml:space="preserve"> </w:t>
      </w:r>
      <w:r w:rsidRPr="00B37F4E">
        <w:rPr>
          <w:rFonts w:ascii="Times New Roman" w:eastAsia="Times New Roman" w:hAnsi="Times New Roman" w:cs="Times New Roman"/>
          <w:kern w:val="0"/>
          <w:sz w:val="16"/>
          <w:szCs w:val="16"/>
          <w:lang w:eastAsia="en-GB"/>
          <w14:ligatures w14:val="none"/>
        </w:rPr>
        <w:t>Giraldus (2005) </w:t>
      </w:r>
      <w:r w:rsidRPr="00B37F4E">
        <w:rPr>
          <w:rFonts w:ascii="Times New Roman" w:eastAsia="Times New Roman" w:hAnsi="Times New Roman" w:cs="Times New Roman"/>
          <w:i/>
          <w:iCs/>
          <w:kern w:val="0"/>
          <w:sz w:val="16"/>
          <w:szCs w:val="16"/>
          <w:lang w:eastAsia="en-GB"/>
          <w14:ligatures w14:val="none"/>
        </w:rPr>
        <w:t>Gerald of Wales the journey through Wales and the description of Wales</w:t>
      </w:r>
      <w:r w:rsidRPr="00B37F4E">
        <w:rPr>
          <w:rFonts w:ascii="Times New Roman" w:eastAsia="Times New Roman" w:hAnsi="Times New Roman" w:cs="Times New Roman"/>
          <w:kern w:val="0"/>
          <w:sz w:val="16"/>
          <w:szCs w:val="16"/>
          <w:lang w:eastAsia="en-GB"/>
          <w14:ligatures w14:val="none"/>
        </w:rPr>
        <w:t xml:space="preserve">. </w:t>
      </w:r>
      <w:r>
        <w:rPr>
          <w:rFonts w:ascii="Times New Roman" w:eastAsia="Times New Roman" w:hAnsi="Times New Roman" w:cs="Times New Roman"/>
          <w:kern w:val="0"/>
          <w:sz w:val="16"/>
          <w:szCs w:val="16"/>
          <w:lang w:eastAsia="en-GB"/>
          <w14:ligatures w14:val="none"/>
        </w:rPr>
        <w:t>Pp 114</w:t>
      </w:r>
    </w:p>
  </w:footnote>
  <w:footnote w:id="16">
    <w:p w14:paraId="214B1FDE" w14:textId="77777777" w:rsidR="00F92763" w:rsidRPr="003F13A0" w:rsidRDefault="00F92763" w:rsidP="00F92763">
      <w:pPr>
        <w:pStyle w:val="FootnoteText"/>
        <w:rPr>
          <w:rFonts w:ascii="Times New Roman" w:hAnsi="Times New Roman" w:cs="Times New Roman"/>
          <w:sz w:val="16"/>
          <w:szCs w:val="16"/>
        </w:rPr>
      </w:pPr>
      <w:r>
        <w:rPr>
          <w:rStyle w:val="FootnoteReference"/>
        </w:rPr>
        <w:footnoteRef/>
      </w:r>
      <w:r>
        <w:t xml:space="preserve"> </w:t>
      </w:r>
      <w:r>
        <w:rPr>
          <w:rFonts w:ascii="Times New Roman" w:hAnsi="Times New Roman" w:cs="Times New Roman"/>
          <w:sz w:val="16"/>
          <w:szCs w:val="16"/>
        </w:rPr>
        <w:t xml:space="preserve">Johns, S.M (2013) </w:t>
      </w:r>
      <w:r w:rsidRPr="00356C4F">
        <w:rPr>
          <w:rFonts w:ascii="Times New Roman" w:eastAsia="Times New Roman" w:hAnsi="Times New Roman" w:cs="Times New Roman"/>
          <w:i/>
          <w:iCs/>
          <w:kern w:val="0"/>
          <w:sz w:val="16"/>
          <w:szCs w:val="16"/>
          <w:lang w:eastAsia="en-GB"/>
          <w14:ligatures w14:val="none"/>
        </w:rPr>
        <w:t>Gender, nation and conquest in the high Middle Ages : Nest of Deheubarth</w:t>
      </w:r>
      <w:r w:rsidRPr="00356C4F">
        <w:rPr>
          <w:rFonts w:ascii="Times New Roman" w:eastAsia="Times New Roman" w:hAnsi="Times New Roman" w:cs="Times New Roman"/>
          <w:kern w:val="0"/>
          <w:sz w:val="16"/>
          <w:szCs w:val="16"/>
          <w:lang w:eastAsia="en-GB"/>
          <w14:ligatures w14:val="none"/>
        </w:rPr>
        <w:t>.</w:t>
      </w:r>
      <w:r>
        <w:rPr>
          <w:rFonts w:ascii="Times New Roman" w:eastAsia="Times New Roman" w:hAnsi="Times New Roman" w:cs="Times New Roman"/>
          <w:kern w:val="0"/>
          <w:sz w:val="16"/>
          <w:szCs w:val="16"/>
          <w:lang w:eastAsia="en-GB"/>
          <w14:ligatures w14:val="none"/>
        </w:rPr>
        <w:t xml:space="preserve"> Pp 22</w:t>
      </w:r>
    </w:p>
  </w:footnote>
  <w:footnote w:id="17">
    <w:p w14:paraId="11BA2A03" w14:textId="6AF619CA" w:rsidR="00A751AE" w:rsidRPr="00A751AE" w:rsidRDefault="00A751AE">
      <w:pPr>
        <w:pStyle w:val="FootnoteText"/>
        <w:rPr>
          <w:rFonts w:ascii="Times New Roman" w:hAnsi="Times New Roman" w:cs="Times New Roman"/>
          <w:sz w:val="16"/>
          <w:szCs w:val="16"/>
        </w:rPr>
      </w:pPr>
      <w:r>
        <w:rPr>
          <w:rStyle w:val="FootnoteReference"/>
        </w:rPr>
        <w:footnoteRef/>
      </w:r>
      <w:r>
        <w:t xml:space="preserve"> </w:t>
      </w:r>
      <w:r w:rsidR="00AB10DC">
        <w:rPr>
          <w:rFonts w:ascii="Times New Roman" w:hAnsi="Times New Roman" w:cs="Times New Roman"/>
          <w:sz w:val="16"/>
          <w:szCs w:val="16"/>
        </w:rPr>
        <w:t>Ibid Pg 25</w:t>
      </w:r>
    </w:p>
  </w:footnote>
  <w:footnote w:id="18">
    <w:p w14:paraId="5A125174" w14:textId="18234BDD" w:rsidR="00F92763" w:rsidRPr="00774ABE" w:rsidRDefault="00F92763" w:rsidP="00F92763">
      <w:pPr>
        <w:shd w:val="clear" w:color="auto" w:fill="FFFFFF"/>
        <w:spacing w:after="0" w:line="240" w:lineRule="auto"/>
        <w:rPr>
          <w:rFonts w:ascii="Times New Roman" w:eastAsia="Times New Roman" w:hAnsi="Times New Roman" w:cs="Times New Roman"/>
          <w:kern w:val="0"/>
          <w:sz w:val="16"/>
          <w:szCs w:val="16"/>
          <w:lang w:eastAsia="en-GB"/>
          <w14:ligatures w14:val="none"/>
        </w:rPr>
      </w:pPr>
      <w:r>
        <w:rPr>
          <w:rStyle w:val="FootnoteReference"/>
        </w:rPr>
        <w:footnoteRef/>
      </w:r>
      <w:r w:rsidR="00FC3C4A">
        <w:rPr>
          <w:rFonts w:ascii="Times New Roman" w:eastAsia="Times New Roman" w:hAnsi="Times New Roman" w:cs="Times New Roman"/>
          <w:kern w:val="0"/>
          <w:sz w:val="16"/>
          <w:szCs w:val="16"/>
          <w:lang w:eastAsia="en-GB"/>
          <w14:ligatures w14:val="none"/>
        </w:rPr>
        <w:t xml:space="preserve"> </w:t>
      </w:r>
      <w:r w:rsidR="009260FA">
        <w:rPr>
          <w:rFonts w:ascii="Times New Roman" w:eastAsia="Times New Roman" w:hAnsi="Times New Roman" w:cs="Times New Roman"/>
          <w:kern w:val="0"/>
          <w:sz w:val="16"/>
          <w:szCs w:val="16"/>
          <w:lang w:eastAsia="en-GB"/>
          <w14:ligatures w14:val="none"/>
        </w:rPr>
        <w:t>Williams, J (1860)</w:t>
      </w:r>
      <w:r w:rsidR="00B3698F">
        <w:rPr>
          <w:rFonts w:ascii="Times New Roman" w:eastAsia="Times New Roman" w:hAnsi="Times New Roman" w:cs="Times New Roman"/>
          <w:kern w:val="0"/>
          <w:sz w:val="16"/>
          <w:szCs w:val="16"/>
          <w:lang w:eastAsia="en-GB"/>
          <w14:ligatures w14:val="none"/>
        </w:rPr>
        <w:t xml:space="preserve"> Brut y Tywysogion: or, the Chronicle of the Princes</w:t>
      </w:r>
      <w:r w:rsidR="009260FA">
        <w:rPr>
          <w:rFonts w:ascii="Times New Roman" w:eastAsia="Times New Roman" w:hAnsi="Times New Roman" w:cs="Times New Roman"/>
          <w:kern w:val="0"/>
          <w:sz w:val="16"/>
          <w:szCs w:val="16"/>
          <w:lang w:eastAsia="en-GB"/>
          <w14:ligatures w14:val="none"/>
        </w:rPr>
        <w:t xml:space="preserve"> </w:t>
      </w:r>
      <w:r w:rsidR="00C71701">
        <w:rPr>
          <w:rFonts w:ascii="Times New Roman" w:eastAsia="Times New Roman" w:hAnsi="Times New Roman" w:cs="Times New Roman"/>
          <w:kern w:val="0"/>
          <w:sz w:val="16"/>
          <w:szCs w:val="16"/>
          <w:lang w:eastAsia="en-GB"/>
          <w14:ligatures w14:val="none"/>
        </w:rPr>
        <w:t>University of Toronto pp 82</w:t>
      </w:r>
    </w:p>
  </w:footnote>
  <w:footnote w:id="19">
    <w:p w14:paraId="13A6C8A3" w14:textId="267C5556" w:rsidR="00A67592" w:rsidRDefault="00A67592">
      <w:pPr>
        <w:pStyle w:val="FootnoteText"/>
      </w:pPr>
      <w:r>
        <w:rPr>
          <w:rStyle w:val="FootnoteReference"/>
        </w:rPr>
        <w:footnoteRef/>
      </w:r>
      <w:r>
        <w:t xml:space="preserve"> </w:t>
      </w:r>
      <w:r>
        <w:rPr>
          <w:rFonts w:ascii="Times New Roman" w:hAnsi="Times New Roman" w:cs="Times New Roman"/>
          <w:sz w:val="16"/>
          <w:szCs w:val="16"/>
        </w:rPr>
        <w:t xml:space="preserve">Johns, S.M (2013) </w:t>
      </w:r>
      <w:r w:rsidRPr="00356C4F">
        <w:rPr>
          <w:rFonts w:ascii="Times New Roman" w:eastAsia="Times New Roman" w:hAnsi="Times New Roman" w:cs="Times New Roman"/>
          <w:i/>
          <w:iCs/>
          <w:kern w:val="0"/>
          <w:sz w:val="16"/>
          <w:szCs w:val="16"/>
          <w:lang w:eastAsia="en-GB"/>
          <w14:ligatures w14:val="none"/>
        </w:rPr>
        <w:t>Gender, nation and conquest in the high Middle Ages : Nest of Deheubarth</w:t>
      </w:r>
      <w:r w:rsidRPr="00356C4F">
        <w:rPr>
          <w:rFonts w:ascii="Times New Roman" w:eastAsia="Times New Roman" w:hAnsi="Times New Roman" w:cs="Times New Roman"/>
          <w:kern w:val="0"/>
          <w:sz w:val="16"/>
          <w:szCs w:val="16"/>
          <w:lang w:eastAsia="en-GB"/>
          <w14:ligatures w14:val="none"/>
        </w:rPr>
        <w:t>.</w:t>
      </w:r>
      <w:r>
        <w:rPr>
          <w:rFonts w:ascii="Times New Roman" w:eastAsia="Times New Roman" w:hAnsi="Times New Roman" w:cs="Times New Roman"/>
          <w:kern w:val="0"/>
          <w:sz w:val="16"/>
          <w:szCs w:val="16"/>
          <w:lang w:eastAsia="en-GB"/>
          <w14:ligatures w14:val="none"/>
        </w:rPr>
        <w:t xml:space="preserve"> Pp 23</w:t>
      </w:r>
    </w:p>
  </w:footnote>
  <w:footnote w:id="20">
    <w:p w14:paraId="0BCBA5C3" w14:textId="77777777" w:rsidR="00F92763" w:rsidRDefault="00F92763" w:rsidP="00F92763">
      <w:pPr>
        <w:pStyle w:val="FootnoteText"/>
      </w:pPr>
      <w:r>
        <w:rPr>
          <w:rStyle w:val="FootnoteReference"/>
        </w:rPr>
        <w:footnoteRef/>
      </w:r>
      <w:r>
        <w:t xml:space="preserve"> </w:t>
      </w:r>
      <w:r>
        <w:rPr>
          <w:rFonts w:ascii="Times New Roman" w:hAnsi="Times New Roman" w:cs="Times New Roman"/>
          <w:sz w:val="16"/>
          <w:szCs w:val="16"/>
        </w:rPr>
        <w:t xml:space="preserve">Johns, S.M (2013) </w:t>
      </w:r>
      <w:r w:rsidRPr="00356C4F">
        <w:rPr>
          <w:rFonts w:ascii="Times New Roman" w:eastAsia="Times New Roman" w:hAnsi="Times New Roman" w:cs="Times New Roman"/>
          <w:i/>
          <w:iCs/>
          <w:kern w:val="0"/>
          <w:sz w:val="16"/>
          <w:szCs w:val="16"/>
          <w:lang w:eastAsia="en-GB"/>
          <w14:ligatures w14:val="none"/>
        </w:rPr>
        <w:t>Gender, nation and conquest in the high Middle Ages : Nest of Deheubarth</w:t>
      </w:r>
      <w:r w:rsidRPr="00356C4F">
        <w:rPr>
          <w:rFonts w:ascii="Times New Roman" w:eastAsia="Times New Roman" w:hAnsi="Times New Roman" w:cs="Times New Roman"/>
          <w:kern w:val="0"/>
          <w:sz w:val="16"/>
          <w:szCs w:val="16"/>
          <w:lang w:eastAsia="en-GB"/>
          <w14:ligatures w14:val="none"/>
        </w:rPr>
        <w:t>.</w:t>
      </w:r>
      <w:r>
        <w:rPr>
          <w:rFonts w:ascii="Times New Roman" w:eastAsia="Times New Roman" w:hAnsi="Times New Roman" w:cs="Times New Roman"/>
          <w:kern w:val="0"/>
          <w:sz w:val="16"/>
          <w:szCs w:val="16"/>
          <w:lang w:eastAsia="en-GB"/>
          <w14:ligatures w14:val="none"/>
        </w:rPr>
        <w:t xml:space="preserve"> Pp 23</w:t>
      </w:r>
    </w:p>
  </w:footnote>
  <w:footnote w:id="21">
    <w:p w14:paraId="2D317E5A" w14:textId="6B0958E4" w:rsidR="00A67592" w:rsidRPr="00A67592" w:rsidRDefault="00A67592">
      <w:pPr>
        <w:pStyle w:val="FootnoteText"/>
        <w:rPr>
          <w:rFonts w:ascii="Times New Roman" w:hAnsi="Times New Roman" w:cs="Times New Roman"/>
          <w:sz w:val="16"/>
          <w:szCs w:val="16"/>
        </w:rPr>
      </w:pPr>
      <w:r>
        <w:rPr>
          <w:rStyle w:val="FootnoteReference"/>
        </w:rPr>
        <w:footnoteRef/>
      </w:r>
      <w:r>
        <w:t xml:space="preserve"> </w:t>
      </w:r>
      <w:r>
        <w:rPr>
          <w:rFonts w:ascii="Times New Roman" w:hAnsi="Times New Roman" w:cs="Times New Roman"/>
          <w:sz w:val="16"/>
          <w:szCs w:val="16"/>
        </w:rPr>
        <w:t>Ibid pp 23</w:t>
      </w:r>
    </w:p>
  </w:footnote>
  <w:footnote w:id="22">
    <w:p w14:paraId="1EA2DC6B" w14:textId="77777777" w:rsidR="00F92763" w:rsidRDefault="00F92763" w:rsidP="00F92763">
      <w:pPr>
        <w:pStyle w:val="FootnoteText"/>
      </w:pPr>
      <w:r>
        <w:rPr>
          <w:rStyle w:val="FootnoteReference"/>
        </w:rPr>
        <w:footnoteRef/>
      </w:r>
      <w:r>
        <w:t xml:space="preserve"> </w:t>
      </w:r>
      <w:r w:rsidRPr="000D22F6">
        <w:rPr>
          <w:rFonts w:ascii="Times New Roman" w:hAnsi="Times New Roman" w:cs="Times New Roman"/>
          <w:sz w:val="16"/>
          <w:szCs w:val="16"/>
        </w:rPr>
        <w:t>Ibid</w:t>
      </w:r>
      <w:r>
        <w:rPr>
          <w:rFonts w:ascii="Times New Roman" w:hAnsi="Times New Roman" w:cs="Times New Roman"/>
          <w:sz w:val="16"/>
          <w:szCs w:val="16"/>
        </w:rPr>
        <w:t xml:space="preserve"> pp 36</w:t>
      </w:r>
    </w:p>
  </w:footnote>
  <w:footnote w:id="23">
    <w:p w14:paraId="68EEBFA6" w14:textId="77777777" w:rsidR="00F92763" w:rsidRDefault="00F92763" w:rsidP="00F92763">
      <w:pPr>
        <w:pStyle w:val="FootnoteText"/>
      </w:pPr>
      <w:r>
        <w:rPr>
          <w:rStyle w:val="FootnoteReference"/>
        </w:rPr>
        <w:footnoteRef/>
      </w:r>
      <w:r>
        <w:t xml:space="preserve"> </w:t>
      </w:r>
      <w:r w:rsidRPr="005D4487">
        <w:rPr>
          <w:rFonts w:ascii="Times New Roman" w:hAnsi="Times New Roman" w:cs="Times New Roman"/>
          <w:sz w:val="16"/>
          <w:szCs w:val="16"/>
        </w:rPr>
        <w:t>Ibid pp 25</w:t>
      </w:r>
    </w:p>
  </w:footnote>
  <w:footnote w:id="24">
    <w:p w14:paraId="1844B58A" w14:textId="1841C47F" w:rsidR="00DC62A6" w:rsidRDefault="00DC62A6">
      <w:pPr>
        <w:pStyle w:val="FootnoteText"/>
      </w:pPr>
      <w:r>
        <w:rPr>
          <w:rStyle w:val="FootnoteReference"/>
        </w:rPr>
        <w:footnoteRef/>
      </w:r>
      <w:r>
        <w:t xml:space="preserve"> </w:t>
      </w:r>
      <w:r w:rsidR="00A6026F" w:rsidRPr="00CB7608">
        <w:rPr>
          <w:rFonts w:ascii="Times New Roman" w:eastAsia="Times New Roman" w:hAnsi="Times New Roman" w:cs="Times New Roman"/>
          <w:kern w:val="0"/>
          <w:sz w:val="16"/>
          <w:szCs w:val="16"/>
          <w:lang w:eastAsia="en-GB"/>
          <w14:ligatures w14:val="none"/>
        </w:rPr>
        <w:t>Parry, J.J. (1954) “Brut y Tywysogion or The Chronicle of the Princes: Peniarth Manuscript 20 Version . Thomas Jones,” </w:t>
      </w:r>
      <w:r w:rsidR="00A6026F" w:rsidRPr="00CB7608">
        <w:rPr>
          <w:rFonts w:ascii="Times New Roman" w:eastAsia="Times New Roman" w:hAnsi="Times New Roman" w:cs="Times New Roman"/>
          <w:i/>
          <w:iCs/>
          <w:kern w:val="0"/>
          <w:sz w:val="16"/>
          <w:szCs w:val="16"/>
          <w:lang w:eastAsia="en-GB"/>
          <w14:ligatures w14:val="none"/>
        </w:rPr>
        <w:t>Speculum</w:t>
      </w:r>
      <w:r w:rsidR="00A6026F" w:rsidRPr="00CB7608">
        <w:rPr>
          <w:rFonts w:ascii="Times New Roman" w:eastAsia="Times New Roman" w:hAnsi="Times New Roman" w:cs="Times New Roman"/>
          <w:kern w:val="0"/>
          <w:sz w:val="16"/>
          <w:szCs w:val="16"/>
          <w:lang w:eastAsia="en-GB"/>
          <w14:ligatures w14:val="none"/>
        </w:rPr>
        <w:t>, 29(2, Part 1), pp. 289</w:t>
      </w:r>
    </w:p>
  </w:footnote>
  <w:footnote w:id="25">
    <w:p w14:paraId="358AC922" w14:textId="37B2CC51" w:rsidR="00E33070" w:rsidRDefault="00E33070">
      <w:pPr>
        <w:pStyle w:val="FootnoteText"/>
      </w:pPr>
      <w:r>
        <w:rPr>
          <w:rStyle w:val="FootnoteReference"/>
        </w:rPr>
        <w:footnoteRef/>
      </w:r>
      <w:r>
        <w:t xml:space="preserve"> </w:t>
      </w:r>
      <w:r w:rsidR="00E45745">
        <w:rPr>
          <w:rFonts w:ascii="Times New Roman" w:hAnsi="Times New Roman" w:cs="Times New Roman"/>
          <w:sz w:val="16"/>
          <w:szCs w:val="16"/>
        </w:rPr>
        <w:t xml:space="preserve">Johns, S.M (2013) </w:t>
      </w:r>
      <w:r w:rsidR="00E45745" w:rsidRPr="00356C4F">
        <w:rPr>
          <w:rFonts w:ascii="Times New Roman" w:eastAsia="Times New Roman" w:hAnsi="Times New Roman" w:cs="Times New Roman"/>
          <w:i/>
          <w:iCs/>
          <w:kern w:val="0"/>
          <w:sz w:val="16"/>
          <w:szCs w:val="16"/>
          <w:lang w:eastAsia="en-GB"/>
          <w14:ligatures w14:val="none"/>
        </w:rPr>
        <w:t>Gender, nation and conquest in the high Middle Ages : Nest of Deheubarth</w:t>
      </w:r>
      <w:r w:rsidR="00E45745" w:rsidRPr="00356C4F">
        <w:rPr>
          <w:rFonts w:ascii="Times New Roman" w:eastAsia="Times New Roman" w:hAnsi="Times New Roman" w:cs="Times New Roman"/>
          <w:kern w:val="0"/>
          <w:sz w:val="16"/>
          <w:szCs w:val="16"/>
          <w:lang w:eastAsia="en-GB"/>
          <w14:ligatures w14:val="none"/>
        </w:rPr>
        <w:t>.</w:t>
      </w:r>
      <w:r w:rsidR="00E45745">
        <w:rPr>
          <w:rFonts w:ascii="Times New Roman" w:eastAsia="Times New Roman" w:hAnsi="Times New Roman" w:cs="Times New Roman"/>
          <w:kern w:val="0"/>
          <w:sz w:val="16"/>
          <w:szCs w:val="16"/>
          <w:lang w:eastAsia="en-GB"/>
          <w14:ligatures w14:val="none"/>
        </w:rPr>
        <w:t xml:space="preserve"> Pp 24</w:t>
      </w:r>
    </w:p>
  </w:footnote>
  <w:footnote w:id="26">
    <w:p w14:paraId="2A3B27C9" w14:textId="7AA5199E" w:rsidR="00F92763" w:rsidRDefault="00F92763" w:rsidP="00F92763">
      <w:pPr>
        <w:pStyle w:val="FootnoteText"/>
      </w:pPr>
      <w:r>
        <w:rPr>
          <w:rStyle w:val="FootnoteReference"/>
        </w:rPr>
        <w:footnoteRef/>
      </w:r>
      <w:r>
        <w:t xml:space="preserve"> </w:t>
      </w:r>
      <w:r w:rsidR="00E45745">
        <w:rPr>
          <w:rFonts w:ascii="Times New Roman" w:hAnsi="Times New Roman" w:cs="Times New Roman"/>
          <w:sz w:val="16"/>
          <w:szCs w:val="16"/>
        </w:rPr>
        <w:t>Ibid</w:t>
      </w:r>
      <w:r>
        <w:rPr>
          <w:rFonts w:ascii="Times New Roman" w:eastAsia="Times New Roman" w:hAnsi="Times New Roman" w:cs="Times New Roman"/>
          <w:kern w:val="0"/>
          <w:sz w:val="16"/>
          <w:szCs w:val="16"/>
          <w:lang w:eastAsia="en-GB"/>
          <w14:ligatures w14:val="none"/>
        </w:rPr>
        <w:t xml:space="preserve"> Pp 23</w:t>
      </w:r>
    </w:p>
  </w:footnote>
  <w:footnote w:id="27">
    <w:p w14:paraId="10CD1A1F" w14:textId="25641AA7" w:rsidR="00570FA5" w:rsidRDefault="00570FA5">
      <w:pPr>
        <w:pStyle w:val="FootnoteText"/>
      </w:pPr>
      <w:r>
        <w:rPr>
          <w:rStyle w:val="FootnoteReference"/>
        </w:rPr>
        <w:footnoteRef/>
      </w:r>
      <w:r>
        <w:t xml:space="preserve"> </w:t>
      </w:r>
      <w:r w:rsidR="00AA110E" w:rsidRPr="00C308A9">
        <w:rPr>
          <w:rFonts w:ascii="Times New Roman" w:hAnsi="Times New Roman" w:cs="Times New Roman"/>
          <w:sz w:val="16"/>
          <w:szCs w:val="16"/>
          <w:shd w:val="clear" w:color="auto" w:fill="FFFFFF"/>
        </w:rPr>
        <w:t>McMullen, AJ, &amp; Henley, G (eds) 2018, Gerald of Wales : New Perspectives on a Medieval Writer and Critic, Gwasg Prifysgol Cymru / University of Wales Press, Cardiff.</w:t>
      </w:r>
      <w:r w:rsidR="00AA110E">
        <w:rPr>
          <w:rFonts w:ascii="Times New Roman" w:hAnsi="Times New Roman" w:cs="Times New Roman"/>
          <w:sz w:val="16"/>
          <w:szCs w:val="16"/>
          <w:shd w:val="clear" w:color="auto" w:fill="FFFFFF"/>
        </w:rPr>
        <w:t xml:space="preserve"> Pp </w:t>
      </w:r>
      <w:r w:rsidR="005167F6">
        <w:rPr>
          <w:rFonts w:ascii="Times New Roman" w:hAnsi="Times New Roman" w:cs="Times New Roman"/>
          <w:sz w:val="16"/>
          <w:szCs w:val="16"/>
          <w:shd w:val="clear" w:color="auto" w:fill="FFFFFF"/>
        </w:rPr>
        <w:t>18</w:t>
      </w:r>
    </w:p>
  </w:footnote>
  <w:footnote w:id="28">
    <w:p w14:paraId="3A7213C0" w14:textId="1E57C06F" w:rsidR="00F92763" w:rsidRPr="001439C0" w:rsidRDefault="00F92763" w:rsidP="00F92763">
      <w:pPr>
        <w:shd w:val="clear" w:color="auto" w:fill="FFFFFF"/>
        <w:spacing w:after="0" w:line="240" w:lineRule="auto"/>
        <w:rPr>
          <w:rFonts w:ascii="Times New Roman" w:eastAsia="Times New Roman" w:hAnsi="Times New Roman" w:cs="Times New Roman"/>
          <w:kern w:val="0"/>
          <w:sz w:val="16"/>
          <w:szCs w:val="16"/>
          <w:lang w:eastAsia="en-GB"/>
          <w14:ligatures w14:val="none"/>
        </w:rPr>
      </w:pPr>
      <w:r w:rsidRPr="001439C0">
        <w:rPr>
          <w:rStyle w:val="FootnoteReference"/>
          <w:rFonts w:ascii="Times New Roman" w:hAnsi="Times New Roman" w:cs="Times New Roman"/>
          <w:sz w:val="16"/>
          <w:szCs w:val="16"/>
        </w:rPr>
        <w:footnoteRef/>
      </w:r>
      <w:r w:rsidRPr="001439C0">
        <w:rPr>
          <w:rFonts w:ascii="Times New Roman" w:hAnsi="Times New Roman" w:cs="Times New Roman"/>
          <w:sz w:val="16"/>
          <w:szCs w:val="16"/>
        </w:rPr>
        <w:t xml:space="preserve"> </w:t>
      </w:r>
      <w:r w:rsidR="00AA110E" w:rsidRPr="001439C0">
        <w:rPr>
          <w:rFonts w:ascii="Times New Roman" w:hAnsi="Times New Roman" w:cs="Times New Roman"/>
          <w:sz w:val="16"/>
          <w:szCs w:val="16"/>
          <w:shd w:val="clear" w:color="auto" w:fill="FFFFFF"/>
        </w:rPr>
        <w:t>Ibid</w:t>
      </w:r>
      <w:r w:rsidRPr="001439C0">
        <w:rPr>
          <w:rFonts w:ascii="Times New Roman" w:hAnsi="Times New Roman" w:cs="Times New Roman"/>
          <w:sz w:val="16"/>
          <w:szCs w:val="16"/>
          <w:shd w:val="clear" w:color="auto" w:fill="FFFFFF"/>
        </w:rPr>
        <w:t xml:space="preserve"> Pp 35</w:t>
      </w:r>
    </w:p>
  </w:footnote>
  <w:footnote w:id="29">
    <w:p w14:paraId="2DA6ABDD" w14:textId="53F8C9AD" w:rsidR="00FA2430" w:rsidRPr="001439C0" w:rsidRDefault="00FA2430">
      <w:pPr>
        <w:pStyle w:val="FootnoteText"/>
        <w:rPr>
          <w:rFonts w:ascii="Times New Roman" w:hAnsi="Times New Roman" w:cs="Times New Roman"/>
          <w:sz w:val="16"/>
          <w:szCs w:val="16"/>
        </w:rPr>
      </w:pPr>
      <w:r w:rsidRPr="001439C0">
        <w:rPr>
          <w:rStyle w:val="FootnoteReference"/>
          <w:rFonts w:ascii="Times New Roman" w:hAnsi="Times New Roman" w:cs="Times New Roman"/>
          <w:sz w:val="16"/>
          <w:szCs w:val="16"/>
        </w:rPr>
        <w:footnoteRef/>
      </w:r>
      <w:r w:rsidRPr="001439C0">
        <w:rPr>
          <w:rFonts w:ascii="Times New Roman" w:hAnsi="Times New Roman" w:cs="Times New Roman"/>
          <w:sz w:val="16"/>
          <w:szCs w:val="16"/>
        </w:rPr>
        <w:t xml:space="preserve"> </w:t>
      </w:r>
      <w:r w:rsidR="005E256F" w:rsidRPr="001439C0">
        <w:rPr>
          <w:rFonts w:ascii="Times New Roman" w:hAnsi="Times New Roman" w:cs="Times New Roman"/>
          <w:sz w:val="16"/>
          <w:szCs w:val="16"/>
        </w:rPr>
        <w:t>Ibid pp</w:t>
      </w:r>
      <w:r w:rsidR="00684461" w:rsidRPr="001439C0">
        <w:rPr>
          <w:rFonts w:ascii="Times New Roman" w:hAnsi="Times New Roman" w:cs="Times New Roman"/>
          <w:sz w:val="16"/>
          <w:szCs w:val="16"/>
        </w:rPr>
        <w:t xml:space="preserve"> 18</w:t>
      </w:r>
    </w:p>
  </w:footnote>
  <w:footnote w:id="30">
    <w:p w14:paraId="02D18E4D" w14:textId="58A2DD70" w:rsidR="00CC343F" w:rsidRPr="001439C0" w:rsidRDefault="00CC343F">
      <w:pPr>
        <w:pStyle w:val="FootnoteText"/>
        <w:rPr>
          <w:rFonts w:ascii="Times New Roman" w:hAnsi="Times New Roman" w:cs="Times New Roman"/>
          <w:sz w:val="16"/>
          <w:szCs w:val="16"/>
        </w:rPr>
      </w:pPr>
      <w:r w:rsidRPr="001439C0">
        <w:rPr>
          <w:rStyle w:val="FootnoteReference"/>
          <w:rFonts w:ascii="Times New Roman" w:hAnsi="Times New Roman" w:cs="Times New Roman"/>
          <w:sz w:val="16"/>
          <w:szCs w:val="16"/>
        </w:rPr>
        <w:footnoteRef/>
      </w:r>
      <w:r w:rsidRPr="001439C0">
        <w:rPr>
          <w:rFonts w:ascii="Times New Roman" w:hAnsi="Times New Roman" w:cs="Times New Roman"/>
          <w:sz w:val="16"/>
          <w:szCs w:val="16"/>
        </w:rPr>
        <w:t xml:space="preserve"> </w:t>
      </w:r>
      <w:r w:rsidR="00C15FF4" w:rsidRPr="001439C0">
        <w:rPr>
          <w:rFonts w:ascii="Times New Roman" w:hAnsi="Times New Roman" w:cs="Times New Roman"/>
          <w:sz w:val="16"/>
          <w:szCs w:val="16"/>
        </w:rPr>
        <w:t xml:space="preserve">Ibid </w:t>
      </w:r>
      <w:r w:rsidR="007E3605" w:rsidRPr="001439C0">
        <w:rPr>
          <w:rFonts w:ascii="Times New Roman" w:hAnsi="Times New Roman" w:cs="Times New Roman"/>
          <w:sz w:val="16"/>
          <w:szCs w:val="16"/>
        </w:rPr>
        <w:t>pp 35</w:t>
      </w:r>
    </w:p>
  </w:footnote>
  <w:footnote w:id="31">
    <w:p w14:paraId="1B342AE9" w14:textId="1AEE36BE" w:rsidR="00244E68" w:rsidRPr="001439C0" w:rsidRDefault="00244E68">
      <w:pPr>
        <w:pStyle w:val="FootnoteText"/>
        <w:rPr>
          <w:rFonts w:ascii="Times New Roman" w:hAnsi="Times New Roman" w:cs="Times New Roman"/>
          <w:sz w:val="16"/>
          <w:szCs w:val="16"/>
        </w:rPr>
      </w:pPr>
      <w:r w:rsidRPr="001439C0">
        <w:rPr>
          <w:rStyle w:val="FootnoteReference"/>
          <w:rFonts w:ascii="Times New Roman" w:hAnsi="Times New Roman" w:cs="Times New Roman"/>
          <w:sz w:val="16"/>
          <w:szCs w:val="16"/>
        </w:rPr>
        <w:footnoteRef/>
      </w:r>
      <w:r w:rsidRPr="001439C0">
        <w:rPr>
          <w:rFonts w:ascii="Times New Roman" w:hAnsi="Times New Roman" w:cs="Times New Roman"/>
          <w:sz w:val="16"/>
          <w:szCs w:val="16"/>
        </w:rPr>
        <w:t xml:space="preserve"> </w:t>
      </w:r>
      <w:r w:rsidR="007E6933" w:rsidRPr="001439C0">
        <w:rPr>
          <w:rFonts w:ascii="Times New Roman" w:hAnsi="Times New Roman" w:cs="Times New Roman"/>
          <w:sz w:val="16"/>
          <w:szCs w:val="16"/>
        </w:rPr>
        <w:t xml:space="preserve">Ibid pp </w:t>
      </w:r>
      <w:r w:rsidR="001439C0" w:rsidRPr="001439C0">
        <w:rPr>
          <w:rFonts w:ascii="Times New Roman" w:hAnsi="Times New Roman" w:cs="Times New Roman"/>
          <w:sz w:val="16"/>
          <w:szCs w:val="16"/>
        </w:rPr>
        <w:t>17</w:t>
      </w:r>
    </w:p>
  </w:footnote>
  <w:footnote w:id="32">
    <w:p w14:paraId="456C7C66" w14:textId="77777777" w:rsidR="00F92763" w:rsidRDefault="00F92763" w:rsidP="00F92763">
      <w:pPr>
        <w:pStyle w:val="FootnoteText"/>
      </w:pPr>
      <w:r w:rsidRPr="001439C0">
        <w:rPr>
          <w:rStyle w:val="FootnoteReference"/>
          <w:rFonts w:ascii="Times New Roman" w:hAnsi="Times New Roman" w:cs="Times New Roman"/>
          <w:sz w:val="16"/>
          <w:szCs w:val="16"/>
        </w:rPr>
        <w:footnoteRef/>
      </w:r>
      <w:r w:rsidRPr="001439C0">
        <w:rPr>
          <w:rFonts w:ascii="Times New Roman" w:hAnsi="Times New Roman" w:cs="Times New Roman"/>
          <w:sz w:val="16"/>
          <w:szCs w:val="16"/>
        </w:rPr>
        <w:t xml:space="preserve"> </w:t>
      </w:r>
      <w:r w:rsidRPr="001439C0">
        <w:rPr>
          <w:rFonts w:ascii="Times New Roman" w:hAnsi="Times New Roman" w:cs="Times New Roman"/>
          <w:sz w:val="16"/>
          <w:szCs w:val="16"/>
          <w:shd w:val="clear" w:color="auto" w:fill="FFFFFF"/>
        </w:rPr>
        <w:t>Ibid pp 34</w:t>
      </w:r>
    </w:p>
  </w:footnote>
  <w:footnote w:id="33">
    <w:p w14:paraId="322265BD" w14:textId="02C91044" w:rsidR="009D1662" w:rsidRDefault="009D1662">
      <w:pPr>
        <w:pStyle w:val="FootnoteText"/>
      </w:pPr>
      <w:r>
        <w:rPr>
          <w:rStyle w:val="FootnoteReference"/>
        </w:rPr>
        <w:footnoteRef/>
      </w:r>
      <w:r>
        <w:t xml:space="preserve"> </w:t>
      </w:r>
      <w:r w:rsidR="00B56CAC">
        <w:rPr>
          <w:rFonts w:ascii="Times New Roman" w:hAnsi="Times New Roman" w:cs="Times New Roman"/>
          <w:sz w:val="16"/>
          <w:szCs w:val="16"/>
        </w:rPr>
        <w:t xml:space="preserve">Johns, S.M (2013) </w:t>
      </w:r>
      <w:r w:rsidR="00B56CAC" w:rsidRPr="00356C4F">
        <w:rPr>
          <w:rFonts w:ascii="Times New Roman" w:eastAsia="Times New Roman" w:hAnsi="Times New Roman" w:cs="Times New Roman"/>
          <w:i/>
          <w:iCs/>
          <w:kern w:val="0"/>
          <w:sz w:val="16"/>
          <w:szCs w:val="16"/>
          <w:lang w:eastAsia="en-GB"/>
          <w14:ligatures w14:val="none"/>
        </w:rPr>
        <w:t xml:space="preserve">Gender, nation and conquest in the high Middle </w:t>
      </w:r>
      <w:proofErr w:type="gramStart"/>
      <w:r w:rsidR="00B56CAC" w:rsidRPr="00356C4F">
        <w:rPr>
          <w:rFonts w:ascii="Times New Roman" w:eastAsia="Times New Roman" w:hAnsi="Times New Roman" w:cs="Times New Roman"/>
          <w:i/>
          <w:iCs/>
          <w:kern w:val="0"/>
          <w:sz w:val="16"/>
          <w:szCs w:val="16"/>
          <w:lang w:eastAsia="en-GB"/>
          <w14:ligatures w14:val="none"/>
        </w:rPr>
        <w:t>Ages :</w:t>
      </w:r>
      <w:proofErr w:type="gramEnd"/>
      <w:r w:rsidR="00B56CAC" w:rsidRPr="00356C4F">
        <w:rPr>
          <w:rFonts w:ascii="Times New Roman" w:eastAsia="Times New Roman" w:hAnsi="Times New Roman" w:cs="Times New Roman"/>
          <w:i/>
          <w:iCs/>
          <w:kern w:val="0"/>
          <w:sz w:val="16"/>
          <w:szCs w:val="16"/>
          <w:lang w:eastAsia="en-GB"/>
          <w14:ligatures w14:val="none"/>
        </w:rPr>
        <w:t xml:space="preserve"> Nest of Deheubarth</w:t>
      </w:r>
      <w:r w:rsidR="00B56CAC" w:rsidRPr="00356C4F">
        <w:rPr>
          <w:rFonts w:ascii="Times New Roman" w:eastAsia="Times New Roman" w:hAnsi="Times New Roman" w:cs="Times New Roman"/>
          <w:kern w:val="0"/>
          <w:sz w:val="16"/>
          <w:szCs w:val="16"/>
          <w:lang w:eastAsia="en-GB"/>
          <w14:ligatures w14:val="none"/>
        </w:rPr>
        <w:t>.</w:t>
      </w:r>
      <w:r w:rsidR="00B56CAC">
        <w:rPr>
          <w:rFonts w:ascii="Times New Roman" w:eastAsia="Times New Roman" w:hAnsi="Times New Roman" w:cs="Times New Roman"/>
          <w:kern w:val="0"/>
          <w:sz w:val="16"/>
          <w:szCs w:val="16"/>
          <w:lang w:eastAsia="en-GB"/>
          <w14:ligatures w14:val="none"/>
        </w:rPr>
        <w:t xml:space="preserve"> Pp 2</w:t>
      </w:r>
      <w:r w:rsidR="00B56CAC">
        <w:rPr>
          <w:rFonts w:ascii="Times New Roman" w:eastAsia="Times New Roman" w:hAnsi="Times New Roman" w:cs="Times New Roman"/>
          <w:kern w:val="0"/>
          <w:sz w:val="16"/>
          <w:szCs w:val="16"/>
          <w:lang w:eastAsia="en-GB"/>
          <w14:ligatures w14:val="none"/>
        </w:rPr>
        <w:t>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92763"/>
    <w:rsid w:val="00015489"/>
    <w:rsid w:val="000332E3"/>
    <w:rsid w:val="00042F7C"/>
    <w:rsid w:val="00047266"/>
    <w:rsid w:val="00050401"/>
    <w:rsid w:val="000829E3"/>
    <w:rsid w:val="000A607C"/>
    <w:rsid w:val="000C6542"/>
    <w:rsid w:val="00113CC8"/>
    <w:rsid w:val="00116DA7"/>
    <w:rsid w:val="001439C0"/>
    <w:rsid w:val="00171FE5"/>
    <w:rsid w:val="00172FE6"/>
    <w:rsid w:val="00180EAE"/>
    <w:rsid w:val="001A43AF"/>
    <w:rsid w:val="001C7FC3"/>
    <w:rsid w:val="001D2076"/>
    <w:rsid w:val="001D3D92"/>
    <w:rsid w:val="001F6505"/>
    <w:rsid w:val="00214A43"/>
    <w:rsid w:val="002268A7"/>
    <w:rsid w:val="00244E68"/>
    <w:rsid w:val="002619E1"/>
    <w:rsid w:val="002C136A"/>
    <w:rsid w:val="002F3189"/>
    <w:rsid w:val="003359FF"/>
    <w:rsid w:val="003614ED"/>
    <w:rsid w:val="00372FD2"/>
    <w:rsid w:val="00376523"/>
    <w:rsid w:val="00392A12"/>
    <w:rsid w:val="003D34B1"/>
    <w:rsid w:val="00401551"/>
    <w:rsid w:val="00412FE9"/>
    <w:rsid w:val="004A6285"/>
    <w:rsid w:val="0050271F"/>
    <w:rsid w:val="005167F6"/>
    <w:rsid w:val="00521791"/>
    <w:rsid w:val="00524766"/>
    <w:rsid w:val="00526030"/>
    <w:rsid w:val="00564C6D"/>
    <w:rsid w:val="00570FA5"/>
    <w:rsid w:val="00573A01"/>
    <w:rsid w:val="00581C79"/>
    <w:rsid w:val="005924DF"/>
    <w:rsid w:val="005B0D52"/>
    <w:rsid w:val="005B3386"/>
    <w:rsid w:val="005E256F"/>
    <w:rsid w:val="006010B2"/>
    <w:rsid w:val="0060506D"/>
    <w:rsid w:val="00654BE9"/>
    <w:rsid w:val="00667041"/>
    <w:rsid w:val="0067483D"/>
    <w:rsid w:val="00684461"/>
    <w:rsid w:val="006C3938"/>
    <w:rsid w:val="006D726D"/>
    <w:rsid w:val="006E3ABF"/>
    <w:rsid w:val="006F4FA7"/>
    <w:rsid w:val="006F78BA"/>
    <w:rsid w:val="00703EC9"/>
    <w:rsid w:val="00774028"/>
    <w:rsid w:val="007803B5"/>
    <w:rsid w:val="0078234C"/>
    <w:rsid w:val="007A0ACF"/>
    <w:rsid w:val="007B274F"/>
    <w:rsid w:val="007D0942"/>
    <w:rsid w:val="007E3605"/>
    <w:rsid w:val="007E6933"/>
    <w:rsid w:val="00800CD2"/>
    <w:rsid w:val="00827725"/>
    <w:rsid w:val="00872906"/>
    <w:rsid w:val="008B206A"/>
    <w:rsid w:val="008F5EE5"/>
    <w:rsid w:val="009260FA"/>
    <w:rsid w:val="0093332F"/>
    <w:rsid w:val="00942247"/>
    <w:rsid w:val="00950BFD"/>
    <w:rsid w:val="00956D3B"/>
    <w:rsid w:val="00961E4B"/>
    <w:rsid w:val="009A2F4A"/>
    <w:rsid w:val="009B0ABA"/>
    <w:rsid w:val="009D1662"/>
    <w:rsid w:val="009E0584"/>
    <w:rsid w:val="00A107C4"/>
    <w:rsid w:val="00A356FB"/>
    <w:rsid w:val="00A6026F"/>
    <w:rsid w:val="00A67592"/>
    <w:rsid w:val="00A751AE"/>
    <w:rsid w:val="00AA110E"/>
    <w:rsid w:val="00AA62A5"/>
    <w:rsid w:val="00AB10DC"/>
    <w:rsid w:val="00B25261"/>
    <w:rsid w:val="00B3698F"/>
    <w:rsid w:val="00B372BE"/>
    <w:rsid w:val="00B56CAC"/>
    <w:rsid w:val="00B635F0"/>
    <w:rsid w:val="00B6409A"/>
    <w:rsid w:val="00B7230B"/>
    <w:rsid w:val="00B874D5"/>
    <w:rsid w:val="00BB22E7"/>
    <w:rsid w:val="00BF0CD6"/>
    <w:rsid w:val="00BF0E20"/>
    <w:rsid w:val="00BF548C"/>
    <w:rsid w:val="00C02C20"/>
    <w:rsid w:val="00C144B4"/>
    <w:rsid w:val="00C15FF4"/>
    <w:rsid w:val="00C31B38"/>
    <w:rsid w:val="00C50F44"/>
    <w:rsid w:val="00C71701"/>
    <w:rsid w:val="00C94EE4"/>
    <w:rsid w:val="00CB1C56"/>
    <w:rsid w:val="00CB7608"/>
    <w:rsid w:val="00CC2489"/>
    <w:rsid w:val="00CC343F"/>
    <w:rsid w:val="00D32CFB"/>
    <w:rsid w:val="00D7222D"/>
    <w:rsid w:val="00DB5B83"/>
    <w:rsid w:val="00DC1CCA"/>
    <w:rsid w:val="00DC62A6"/>
    <w:rsid w:val="00E07615"/>
    <w:rsid w:val="00E33070"/>
    <w:rsid w:val="00E408BE"/>
    <w:rsid w:val="00E45745"/>
    <w:rsid w:val="00E7068F"/>
    <w:rsid w:val="00E804AF"/>
    <w:rsid w:val="00EE498C"/>
    <w:rsid w:val="00F04722"/>
    <w:rsid w:val="00F113CA"/>
    <w:rsid w:val="00F27B22"/>
    <w:rsid w:val="00F52ED4"/>
    <w:rsid w:val="00F92763"/>
    <w:rsid w:val="00FA2430"/>
    <w:rsid w:val="00FC3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2B0CF"/>
  <w15:chartTrackingRefBased/>
  <w15:docId w15:val="{FD0B120D-80DF-42BA-AD3E-496DD5840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763"/>
  </w:style>
  <w:style w:type="paragraph" w:styleId="Heading1">
    <w:name w:val="heading 1"/>
    <w:basedOn w:val="Normal"/>
    <w:next w:val="Normal"/>
    <w:link w:val="Heading1Char"/>
    <w:uiPriority w:val="9"/>
    <w:qFormat/>
    <w:rsid w:val="00F927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27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27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27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27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27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27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27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27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7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27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27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27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27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27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27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27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2763"/>
    <w:rPr>
      <w:rFonts w:eastAsiaTheme="majorEastAsia" w:cstheme="majorBidi"/>
      <w:color w:val="272727" w:themeColor="text1" w:themeTint="D8"/>
    </w:rPr>
  </w:style>
  <w:style w:type="paragraph" w:styleId="Title">
    <w:name w:val="Title"/>
    <w:basedOn w:val="Normal"/>
    <w:next w:val="Normal"/>
    <w:link w:val="TitleChar"/>
    <w:uiPriority w:val="10"/>
    <w:qFormat/>
    <w:rsid w:val="00F927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7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27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27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2763"/>
    <w:pPr>
      <w:spacing w:before="160"/>
      <w:jc w:val="center"/>
    </w:pPr>
    <w:rPr>
      <w:i/>
      <w:iCs/>
      <w:color w:val="404040" w:themeColor="text1" w:themeTint="BF"/>
    </w:rPr>
  </w:style>
  <w:style w:type="character" w:customStyle="1" w:styleId="QuoteChar">
    <w:name w:val="Quote Char"/>
    <w:basedOn w:val="DefaultParagraphFont"/>
    <w:link w:val="Quote"/>
    <w:uiPriority w:val="29"/>
    <w:rsid w:val="00F92763"/>
    <w:rPr>
      <w:i/>
      <w:iCs/>
      <w:color w:val="404040" w:themeColor="text1" w:themeTint="BF"/>
    </w:rPr>
  </w:style>
  <w:style w:type="paragraph" w:styleId="ListParagraph">
    <w:name w:val="List Paragraph"/>
    <w:basedOn w:val="Normal"/>
    <w:uiPriority w:val="34"/>
    <w:qFormat/>
    <w:rsid w:val="00F92763"/>
    <w:pPr>
      <w:ind w:left="720"/>
      <w:contextualSpacing/>
    </w:pPr>
  </w:style>
  <w:style w:type="character" w:styleId="IntenseEmphasis">
    <w:name w:val="Intense Emphasis"/>
    <w:basedOn w:val="DefaultParagraphFont"/>
    <w:uiPriority w:val="21"/>
    <w:qFormat/>
    <w:rsid w:val="00F92763"/>
    <w:rPr>
      <w:i/>
      <w:iCs/>
      <w:color w:val="0F4761" w:themeColor="accent1" w:themeShade="BF"/>
    </w:rPr>
  </w:style>
  <w:style w:type="paragraph" w:styleId="IntenseQuote">
    <w:name w:val="Intense Quote"/>
    <w:basedOn w:val="Normal"/>
    <w:next w:val="Normal"/>
    <w:link w:val="IntenseQuoteChar"/>
    <w:uiPriority w:val="30"/>
    <w:qFormat/>
    <w:rsid w:val="00F927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2763"/>
    <w:rPr>
      <w:i/>
      <w:iCs/>
      <w:color w:val="0F4761" w:themeColor="accent1" w:themeShade="BF"/>
    </w:rPr>
  </w:style>
  <w:style w:type="character" w:styleId="IntenseReference">
    <w:name w:val="Intense Reference"/>
    <w:basedOn w:val="DefaultParagraphFont"/>
    <w:uiPriority w:val="32"/>
    <w:qFormat/>
    <w:rsid w:val="00F92763"/>
    <w:rPr>
      <w:b/>
      <w:bCs/>
      <w:smallCaps/>
      <w:color w:val="0F4761" w:themeColor="accent1" w:themeShade="BF"/>
      <w:spacing w:val="5"/>
    </w:rPr>
  </w:style>
  <w:style w:type="paragraph" w:styleId="FootnoteText">
    <w:name w:val="footnote text"/>
    <w:basedOn w:val="Normal"/>
    <w:link w:val="FootnoteTextChar"/>
    <w:uiPriority w:val="99"/>
    <w:semiHidden/>
    <w:unhideWhenUsed/>
    <w:rsid w:val="00F927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2763"/>
    <w:rPr>
      <w:sz w:val="20"/>
      <w:szCs w:val="20"/>
    </w:rPr>
  </w:style>
  <w:style w:type="character" w:styleId="FootnoteReference">
    <w:name w:val="footnote reference"/>
    <w:basedOn w:val="DefaultParagraphFont"/>
    <w:uiPriority w:val="99"/>
    <w:semiHidden/>
    <w:unhideWhenUsed/>
    <w:rsid w:val="00F92763"/>
    <w:rPr>
      <w:vertAlign w:val="superscript"/>
    </w:rPr>
  </w:style>
  <w:style w:type="character" w:customStyle="1" w:styleId="whitespace-normal">
    <w:name w:val="whitespace-normal"/>
    <w:basedOn w:val="DefaultParagraphFont"/>
    <w:rsid w:val="00F92763"/>
  </w:style>
  <w:style w:type="paragraph" w:styleId="NormalWeb">
    <w:name w:val="Normal (Web)"/>
    <w:basedOn w:val="Normal"/>
    <w:uiPriority w:val="99"/>
    <w:unhideWhenUsed/>
    <w:rsid w:val="00F92763"/>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F9276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93/acprof:oso/9780198208785.001.000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C7F50-50A8-47CA-8D3A-FE7A286DD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3989</Words>
  <Characters>22743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Davies</dc:creator>
  <cp:keywords/>
  <dc:description/>
  <cp:lastModifiedBy>Clare Davies</cp:lastModifiedBy>
  <cp:revision>2</cp:revision>
  <dcterms:created xsi:type="dcterms:W3CDTF">2026-05-02T19:17:00Z</dcterms:created>
  <dcterms:modified xsi:type="dcterms:W3CDTF">2026-05-02T19:17:00Z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72052deb-8ec8-4cf9-9cbe-028ecfb72c28</vt:lpwstr>
  </property>
</Properties>
</file>