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9D234" w14:textId="77777777" w:rsidR="00720B3B" w:rsidRDefault="00720B3B" w:rsidP="00720B3B">
      <w:pPr>
        <w:spacing w:before="100" w:beforeAutospacing="1" w:after="100" w:afterAutospacing="1" w:line="240" w:lineRule="auto"/>
        <w:ind w:left="2160"/>
        <w:outlineLvl w:val="1"/>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drawing>
          <wp:inline distT="0" distB="0" distL="0" distR="0" wp14:anchorId="2D18755B" wp14:editId="1E5AF50F">
            <wp:extent cx="2865120" cy="1584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120" cy="1584960"/>
                    </a:xfrm>
                    <a:prstGeom prst="rect">
                      <a:avLst/>
                    </a:prstGeom>
                    <a:noFill/>
                  </pic:spPr>
                </pic:pic>
              </a:graphicData>
            </a:graphic>
          </wp:inline>
        </w:drawing>
      </w:r>
    </w:p>
    <w:p w14:paraId="02F21792"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720B3B" w:rsidRPr="006A5DAA" w14:paraId="7500D2C3" w14:textId="77777777" w:rsidTr="008903A6">
        <w:trPr>
          <w:trHeight w:val="179"/>
          <w:jc w:val="center"/>
        </w:trPr>
        <w:tc>
          <w:tcPr>
            <w:tcW w:w="0" w:type="auto"/>
            <w:hideMark/>
          </w:tcPr>
          <w:p w14:paraId="1C7EE720" w14:textId="77777777" w:rsidR="00720B3B" w:rsidRPr="006A5DAA" w:rsidRDefault="00720B3B" w:rsidP="008903A6">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4B757B1D" w14:textId="27EE2138" w:rsidR="00720B3B" w:rsidRPr="006A5DAA" w:rsidRDefault="00461D0E" w:rsidP="008903A6">
            <w:pPr>
              <w:spacing w:line="360" w:lineRule="auto"/>
              <w:jc w:val="both"/>
              <w:rPr>
                <w:rFonts w:ascii="Arial" w:eastAsia="Times New Roman" w:hAnsi="Arial" w:cs="Arial"/>
                <w:bCs/>
              </w:rPr>
            </w:pPr>
            <w:r>
              <w:rPr>
                <w:rFonts w:ascii="Arial" w:eastAsia="Times New Roman" w:hAnsi="Arial" w:cs="Arial"/>
                <w:bCs/>
              </w:rPr>
              <w:t>Shazia Shaban</w:t>
            </w:r>
          </w:p>
        </w:tc>
      </w:tr>
      <w:tr w:rsidR="00720B3B" w:rsidRPr="006A5DAA" w14:paraId="0E466ACF" w14:textId="77777777" w:rsidTr="008903A6">
        <w:trPr>
          <w:jc w:val="center"/>
        </w:trPr>
        <w:tc>
          <w:tcPr>
            <w:tcW w:w="0" w:type="auto"/>
            <w:hideMark/>
          </w:tcPr>
          <w:p w14:paraId="3BA26AC4"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60E6B8A5" w14:textId="24BD866B" w:rsidR="00720B3B" w:rsidRPr="006A5DAA" w:rsidRDefault="00461D0E" w:rsidP="008903A6">
            <w:pPr>
              <w:spacing w:line="360" w:lineRule="auto"/>
              <w:jc w:val="both"/>
              <w:rPr>
                <w:rFonts w:ascii="Arial" w:eastAsia="Times New Roman" w:hAnsi="Arial" w:cs="Arial"/>
              </w:rPr>
            </w:pPr>
            <w:r>
              <w:rPr>
                <w:rFonts w:ascii="Arial" w:eastAsia="Times New Roman" w:hAnsi="Arial" w:cs="Arial"/>
              </w:rPr>
              <w:t>2224730</w:t>
            </w:r>
          </w:p>
        </w:tc>
      </w:tr>
      <w:tr w:rsidR="00720B3B" w:rsidRPr="006A5DAA" w14:paraId="2CB983DF" w14:textId="77777777" w:rsidTr="008903A6">
        <w:trPr>
          <w:jc w:val="center"/>
        </w:trPr>
        <w:tc>
          <w:tcPr>
            <w:tcW w:w="0" w:type="auto"/>
            <w:hideMark/>
          </w:tcPr>
          <w:p w14:paraId="3E7C4B02" w14:textId="77777777" w:rsidR="00720B3B" w:rsidRPr="006A5DAA" w:rsidRDefault="00720B3B" w:rsidP="008903A6">
            <w:pPr>
              <w:spacing w:line="360" w:lineRule="auto"/>
              <w:jc w:val="both"/>
              <w:rPr>
                <w:rFonts w:ascii="Arial" w:eastAsia="Times New Roman" w:hAnsi="Arial" w:cs="Arial"/>
              </w:rPr>
            </w:pPr>
            <w:proofErr w:type="spellStart"/>
            <w:r w:rsidRPr="00565A92">
              <w:rPr>
                <w:rFonts w:ascii="Arial" w:eastAsia="Times New Roman" w:hAnsi="Arial" w:cs="Arial"/>
                <w:b/>
                <w:bCs/>
              </w:rPr>
              <w:t>Programme</w:t>
            </w:r>
            <w:proofErr w:type="spellEnd"/>
            <w:r w:rsidRPr="00565A92">
              <w:rPr>
                <w:rFonts w:ascii="Arial" w:eastAsia="Times New Roman" w:hAnsi="Arial" w:cs="Arial"/>
                <w:b/>
                <w:bCs/>
              </w:rPr>
              <w:t>:</w:t>
            </w:r>
          </w:p>
        </w:tc>
        <w:tc>
          <w:tcPr>
            <w:tcW w:w="5825" w:type="dxa"/>
            <w:hideMark/>
          </w:tcPr>
          <w:p w14:paraId="41567454" w14:textId="77777777" w:rsidR="00720B3B" w:rsidRPr="006A5DAA" w:rsidRDefault="00720B3B" w:rsidP="008903A6">
            <w:pPr>
              <w:spacing w:line="360" w:lineRule="auto"/>
              <w:jc w:val="both"/>
              <w:rPr>
                <w:rFonts w:ascii="Arial" w:eastAsia="Times New Roman" w:hAnsi="Arial" w:cs="Arial"/>
              </w:rPr>
            </w:pPr>
            <w:r>
              <w:rPr>
                <w:rFonts w:ascii="Arial" w:hAnsi="Arial" w:cs="Arial"/>
                <w:b/>
              </w:rPr>
              <w:t>BSc (Hons) Health and Social Care</w:t>
            </w:r>
          </w:p>
        </w:tc>
      </w:tr>
      <w:tr w:rsidR="00720B3B" w:rsidRPr="006A5DAA" w14:paraId="67204CC4" w14:textId="77777777" w:rsidTr="008903A6">
        <w:trPr>
          <w:jc w:val="center"/>
        </w:trPr>
        <w:tc>
          <w:tcPr>
            <w:tcW w:w="0" w:type="auto"/>
            <w:hideMark/>
          </w:tcPr>
          <w:p w14:paraId="6404D52E"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28733761" w14:textId="77777777" w:rsidR="00720B3B" w:rsidRPr="006A5DAA" w:rsidRDefault="00720B3B" w:rsidP="008903A6">
            <w:pPr>
              <w:spacing w:line="360" w:lineRule="auto"/>
              <w:jc w:val="both"/>
              <w:rPr>
                <w:rFonts w:ascii="Arial" w:eastAsia="Times New Roman" w:hAnsi="Arial" w:cs="Arial"/>
              </w:rPr>
            </w:pPr>
            <w:r w:rsidRPr="003462A9">
              <w:rPr>
                <w:rFonts w:ascii="Arial" w:hAnsi="Arial" w:cs="Arial"/>
                <w:b/>
                <w:bCs/>
              </w:rPr>
              <w:t>Health, Wellbeing and Sustainable Development</w:t>
            </w:r>
          </w:p>
        </w:tc>
      </w:tr>
      <w:tr w:rsidR="00720B3B" w:rsidRPr="006A5DAA" w14:paraId="23EE5327" w14:textId="77777777" w:rsidTr="008903A6">
        <w:trPr>
          <w:jc w:val="center"/>
        </w:trPr>
        <w:tc>
          <w:tcPr>
            <w:tcW w:w="0" w:type="auto"/>
            <w:hideMark/>
          </w:tcPr>
          <w:p w14:paraId="5D2DF4CF"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4715A1D5" w14:textId="77777777" w:rsidR="00720B3B" w:rsidRPr="006A5DAA" w:rsidRDefault="00720B3B" w:rsidP="008903A6">
            <w:pPr>
              <w:spacing w:line="360" w:lineRule="auto"/>
              <w:jc w:val="both"/>
              <w:rPr>
                <w:rFonts w:ascii="Arial" w:eastAsia="Times New Roman" w:hAnsi="Arial" w:cs="Arial"/>
              </w:rPr>
            </w:pPr>
            <w:r>
              <w:rPr>
                <w:rFonts w:ascii="Arial" w:hAnsi="Arial" w:cs="Arial"/>
                <w:b/>
              </w:rPr>
              <w:t>BMHP6030</w:t>
            </w:r>
          </w:p>
        </w:tc>
      </w:tr>
      <w:tr w:rsidR="00720B3B" w:rsidRPr="006A5DAA" w14:paraId="4B171485" w14:textId="77777777" w:rsidTr="008903A6">
        <w:trPr>
          <w:jc w:val="center"/>
        </w:trPr>
        <w:tc>
          <w:tcPr>
            <w:tcW w:w="0" w:type="auto"/>
            <w:hideMark/>
          </w:tcPr>
          <w:p w14:paraId="08F8D2CB"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4CBB5E22" w14:textId="77777777" w:rsidR="00720B3B" w:rsidRPr="006A5DAA" w:rsidRDefault="00720B3B" w:rsidP="008903A6">
            <w:pPr>
              <w:spacing w:line="360" w:lineRule="auto"/>
              <w:jc w:val="both"/>
              <w:rPr>
                <w:rFonts w:ascii="Arial" w:eastAsia="Times New Roman" w:hAnsi="Arial" w:cs="Arial"/>
              </w:rPr>
            </w:pPr>
          </w:p>
        </w:tc>
      </w:tr>
      <w:tr w:rsidR="00720B3B" w:rsidRPr="006A5DAA" w14:paraId="734EA29E" w14:textId="77777777" w:rsidTr="008903A6">
        <w:trPr>
          <w:jc w:val="center"/>
        </w:trPr>
        <w:tc>
          <w:tcPr>
            <w:tcW w:w="0" w:type="auto"/>
            <w:hideMark/>
          </w:tcPr>
          <w:p w14:paraId="4F7B07CF"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3DE773B4" w14:textId="77777777" w:rsidR="00720B3B" w:rsidRPr="006A5DAA" w:rsidRDefault="00720B3B" w:rsidP="008903A6">
            <w:pPr>
              <w:spacing w:line="360" w:lineRule="auto"/>
              <w:jc w:val="both"/>
              <w:rPr>
                <w:rFonts w:ascii="Arial" w:eastAsia="Times New Roman" w:hAnsi="Arial" w:cs="Arial"/>
              </w:rPr>
            </w:pPr>
            <w:r>
              <w:rPr>
                <w:rFonts w:ascii="Arial" w:hAnsi="Arial" w:cs="Arial"/>
                <w:b/>
                <w:bCs/>
              </w:rPr>
              <w:t>Bianca Sanfilippo</w:t>
            </w:r>
          </w:p>
        </w:tc>
      </w:tr>
      <w:tr w:rsidR="00720B3B" w:rsidRPr="006A5DAA" w14:paraId="53386D76" w14:textId="77777777" w:rsidTr="008903A6">
        <w:trPr>
          <w:jc w:val="center"/>
        </w:trPr>
        <w:tc>
          <w:tcPr>
            <w:tcW w:w="0" w:type="auto"/>
            <w:hideMark/>
          </w:tcPr>
          <w:p w14:paraId="2AC18C9F"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5E3C87F3" w14:textId="77777777" w:rsidR="00720B3B" w:rsidRPr="00350E70" w:rsidRDefault="00350E70" w:rsidP="008903A6">
            <w:pPr>
              <w:spacing w:line="360" w:lineRule="auto"/>
              <w:jc w:val="both"/>
              <w:rPr>
                <w:rFonts w:ascii="Arial" w:eastAsia="Times New Roman" w:hAnsi="Arial" w:cs="Arial"/>
                <w:b/>
              </w:rPr>
            </w:pPr>
            <w:r w:rsidRPr="00350E70">
              <w:rPr>
                <w:rFonts w:ascii="Arial" w:hAnsi="Arial" w:cs="Arial"/>
                <w:b/>
              </w:rPr>
              <w:t>“SDG 3 and SDG 13: Evaluating Health, Wellbeing, and Sustainability Policies Globally, Nationally, and Locally”</w:t>
            </w:r>
          </w:p>
        </w:tc>
      </w:tr>
      <w:tr w:rsidR="00720B3B" w:rsidRPr="006A5DAA" w14:paraId="498B194E" w14:textId="77777777" w:rsidTr="008903A6">
        <w:trPr>
          <w:jc w:val="center"/>
        </w:trPr>
        <w:tc>
          <w:tcPr>
            <w:tcW w:w="0" w:type="auto"/>
            <w:hideMark/>
          </w:tcPr>
          <w:p w14:paraId="36CC2F32" w14:textId="77777777" w:rsidR="00720B3B" w:rsidRPr="006A5DAA" w:rsidRDefault="00720B3B" w:rsidP="008903A6">
            <w:pPr>
              <w:spacing w:line="360" w:lineRule="auto"/>
              <w:jc w:val="both"/>
              <w:rPr>
                <w:rFonts w:ascii="Arial" w:eastAsia="Times New Roman" w:hAnsi="Arial" w:cs="Arial"/>
              </w:rPr>
            </w:pPr>
            <w:r w:rsidRPr="00565A92">
              <w:rPr>
                <w:rFonts w:ascii="Arial" w:eastAsia="Times New Roman" w:hAnsi="Arial" w:cs="Arial"/>
                <w:b/>
                <w:bCs/>
              </w:rPr>
              <w:t>Submission Deadline:</w:t>
            </w:r>
          </w:p>
        </w:tc>
        <w:tc>
          <w:tcPr>
            <w:tcW w:w="5825" w:type="dxa"/>
            <w:hideMark/>
          </w:tcPr>
          <w:p w14:paraId="523B5725" w14:textId="77777777" w:rsidR="00720B3B" w:rsidRPr="006A5DAA" w:rsidRDefault="00720B3B" w:rsidP="008903A6">
            <w:pPr>
              <w:spacing w:line="360" w:lineRule="auto"/>
              <w:jc w:val="both"/>
              <w:rPr>
                <w:rFonts w:ascii="Arial" w:eastAsia="Times New Roman" w:hAnsi="Arial" w:cs="Arial"/>
              </w:rPr>
            </w:pPr>
            <w:r w:rsidRPr="1D928C0D">
              <w:rPr>
                <w:rFonts w:ascii="Arial" w:hAnsi="Arial" w:cs="Arial"/>
                <w:b/>
                <w:bCs/>
              </w:rPr>
              <w:t>16</w:t>
            </w:r>
            <w:r w:rsidRPr="1D928C0D">
              <w:rPr>
                <w:rFonts w:ascii="Arial" w:hAnsi="Arial" w:cs="Arial"/>
                <w:b/>
                <w:bCs/>
                <w:vertAlign w:val="superscript"/>
              </w:rPr>
              <w:t>th</w:t>
            </w:r>
            <w:r w:rsidRPr="1D928C0D">
              <w:rPr>
                <w:rFonts w:ascii="Arial" w:hAnsi="Arial" w:cs="Arial"/>
                <w:b/>
                <w:bCs/>
              </w:rPr>
              <w:t xml:space="preserve"> November 2025 14:00 (2PM)</w:t>
            </w:r>
          </w:p>
        </w:tc>
      </w:tr>
    </w:tbl>
    <w:p w14:paraId="7856B0A1"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30C314E3"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470520CE"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2AC85E99"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63E1CC4D"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68679311"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6881DEFF"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5954C516" w14:textId="77777777" w:rsid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p>
    <w:p w14:paraId="2419BEC7" w14:textId="77777777" w:rsidR="00720B3B" w:rsidRPr="00720B3B" w:rsidRDefault="00720B3B" w:rsidP="00720B3B">
      <w:pPr>
        <w:spacing w:before="100" w:beforeAutospacing="1" w:after="100" w:afterAutospacing="1" w:line="240" w:lineRule="auto"/>
        <w:outlineLvl w:val="1"/>
        <w:rPr>
          <w:rFonts w:ascii="Times New Roman" w:eastAsia="Times New Roman" w:hAnsi="Times New Roman" w:cs="Times New Roman"/>
          <w:b/>
          <w:bCs/>
          <w:sz w:val="36"/>
          <w:szCs w:val="36"/>
        </w:rPr>
      </w:pPr>
      <w:r w:rsidRPr="00720B3B">
        <w:rPr>
          <w:rFonts w:ascii="Times New Roman" w:eastAsia="Times New Roman" w:hAnsi="Times New Roman" w:cs="Times New Roman"/>
          <w:b/>
          <w:bCs/>
          <w:sz w:val="36"/>
          <w:szCs w:val="36"/>
        </w:rPr>
        <w:t>Table of Contents</w:t>
      </w:r>
    </w:p>
    <w:p w14:paraId="0AB88D59"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Introductio</w:t>
      </w:r>
      <w:r>
        <w:rPr>
          <w:rFonts w:ascii="Arial" w:eastAsia="Times New Roman" w:hAnsi="Arial" w:cs="Arial"/>
          <w:b/>
          <w:bCs/>
        </w:rPr>
        <w:t>n</w:t>
      </w:r>
      <w:r w:rsidRPr="00720B3B">
        <w:rPr>
          <w:rFonts w:ascii="Arial" w:eastAsia="Times New Roman" w:hAnsi="Arial" w:cs="Arial"/>
        </w:rPr>
        <w:t xml:space="preserve"> ......</w:t>
      </w:r>
      <w:r>
        <w:rPr>
          <w:rFonts w:ascii="Arial" w:eastAsia="Times New Roman" w:hAnsi="Arial" w:cs="Arial"/>
        </w:rPr>
        <w:t>.................................</w:t>
      </w:r>
      <w:r w:rsidRPr="00720B3B">
        <w:rPr>
          <w:rFonts w:ascii="Arial" w:eastAsia="Times New Roman" w:hAnsi="Arial" w:cs="Arial"/>
        </w:rPr>
        <w:t>..............................................</w:t>
      </w:r>
      <w:r w:rsidR="00350E70">
        <w:rPr>
          <w:rFonts w:ascii="Arial" w:eastAsia="Times New Roman" w:hAnsi="Arial" w:cs="Arial"/>
        </w:rPr>
        <w:t>.............................. 3</w:t>
      </w:r>
      <w:r w:rsidRPr="00720B3B">
        <w:rPr>
          <w:rFonts w:ascii="Arial" w:eastAsia="Times New Roman" w:hAnsi="Arial" w:cs="Arial"/>
        </w:rPr>
        <w:br/>
        <w:t>1.1 Introduction ........</w:t>
      </w:r>
      <w:r>
        <w:rPr>
          <w:rFonts w:ascii="Arial" w:eastAsia="Times New Roman" w:hAnsi="Arial" w:cs="Arial"/>
        </w:rPr>
        <w:t>.............................</w:t>
      </w:r>
      <w:r w:rsidRPr="00720B3B">
        <w:rPr>
          <w:rFonts w:ascii="Arial" w:eastAsia="Times New Roman" w:hAnsi="Arial" w:cs="Arial"/>
        </w:rPr>
        <w:t>........................................</w:t>
      </w:r>
      <w:r w:rsidR="00350E70">
        <w:rPr>
          <w:rFonts w:ascii="Arial" w:eastAsia="Times New Roman" w:hAnsi="Arial" w:cs="Arial"/>
        </w:rPr>
        <w:t>.............................. 3</w:t>
      </w:r>
      <w:r w:rsidRPr="00720B3B">
        <w:rPr>
          <w:rFonts w:ascii="Arial" w:eastAsia="Times New Roman" w:hAnsi="Arial" w:cs="Arial"/>
        </w:rPr>
        <w:br/>
        <w:t>1.2 Rationale ........................................................</w:t>
      </w:r>
      <w:r>
        <w:rPr>
          <w:rFonts w:ascii="Arial" w:eastAsia="Times New Roman" w:hAnsi="Arial" w:cs="Arial"/>
        </w:rPr>
        <w:t>..................................</w:t>
      </w:r>
      <w:r w:rsidR="00350E70">
        <w:rPr>
          <w:rFonts w:ascii="Arial" w:eastAsia="Times New Roman" w:hAnsi="Arial" w:cs="Arial"/>
        </w:rPr>
        <w:t>.......................... 3</w:t>
      </w:r>
    </w:p>
    <w:p w14:paraId="65133385"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Global Context: SDG 3 and SDG 13 — Interconnections and Impact</w:t>
      </w:r>
      <w:r w:rsidRPr="00720B3B">
        <w:rPr>
          <w:rFonts w:ascii="Arial" w:eastAsia="Times New Roman" w:hAnsi="Arial" w:cs="Arial"/>
        </w:rPr>
        <w:t xml:space="preserve"> .......</w:t>
      </w:r>
      <w:r>
        <w:rPr>
          <w:rFonts w:ascii="Arial" w:eastAsia="Times New Roman" w:hAnsi="Arial" w:cs="Arial"/>
        </w:rPr>
        <w:t>.............</w:t>
      </w:r>
      <w:r w:rsidR="00350E70">
        <w:rPr>
          <w:rFonts w:ascii="Arial" w:eastAsia="Times New Roman" w:hAnsi="Arial" w:cs="Arial"/>
        </w:rPr>
        <w:t>... 4</w:t>
      </w:r>
    </w:p>
    <w:p w14:paraId="2CAC6B41"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National Context: UK Health, Wellbeing and Sustainability Policies</w:t>
      </w:r>
      <w:r w:rsidRPr="00720B3B">
        <w:rPr>
          <w:rFonts w:ascii="Arial" w:eastAsia="Times New Roman" w:hAnsi="Arial" w:cs="Arial"/>
        </w:rPr>
        <w:t xml:space="preserve"> ...</w:t>
      </w:r>
      <w:r>
        <w:rPr>
          <w:rFonts w:ascii="Arial" w:eastAsia="Times New Roman" w:hAnsi="Arial" w:cs="Arial"/>
        </w:rPr>
        <w:t>..................</w:t>
      </w:r>
      <w:r w:rsidR="00350E70">
        <w:rPr>
          <w:rFonts w:ascii="Arial" w:eastAsia="Times New Roman" w:hAnsi="Arial" w:cs="Arial"/>
        </w:rPr>
        <w:t>... 6</w:t>
      </w:r>
    </w:p>
    <w:p w14:paraId="6D9B72B4"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Local Context: Evaluation of Health, Wellbeing and Sustainability Initiatives in London</w:t>
      </w:r>
      <w:r w:rsidRPr="00720B3B">
        <w:rPr>
          <w:rFonts w:ascii="Arial" w:eastAsia="Times New Roman" w:hAnsi="Arial" w:cs="Arial"/>
        </w:rPr>
        <w:t xml:space="preserve"> ............................................................</w:t>
      </w:r>
      <w:r>
        <w:rPr>
          <w:rFonts w:ascii="Arial" w:eastAsia="Times New Roman" w:hAnsi="Arial" w:cs="Arial"/>
        </w:rPr>
        <w:t>............................................</w:t>
      </w:r>
      <w:r w:rsidR="00350E70">
        <w:rPr>
          <w:rFonts w:ascii="Arial" w:eastAsia="Times New Roman" w:hAnsi="Arial" w:cs="Arial"/>
        </w:rPr>
        <w:t>.................... 7</w:t>
      </w:r>
    </w:p>
    <w:p w14:paraId="7F8C5846"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Recommendations for Improvement</w:t>
      </w:r>
      <w:r w:rsidRPr="00720B3B">
        <w:rPr>
          <w:rFonts w:ascii="Arial" w:eastAsia="Times New Roman" w:hAnsi="Arial" w:cs="Arial"/>
        </w:rPr>
        <w:t xml:space="preserve"> ...............................</w:t>
      </w:r>
      <w:r>
        <w:rPr>
          <w:rFonts w:ascii="Arial" w:eastAsia="Times New Roman" w:hAnsi="Arial" w:cs="Arial"/>
        </w:rPr>
        <w:t>...........................</w:t>
      </w:r>
      <w:r w:rsidR="00350E70">
        <w:rPr>
          <w:rFonts w:ascii="Arial" w:eastAsia="Times New Roman" w:hAnsi="Arial" w:cs="Arial"/>
        </w:rPr>
        <w:t>............... 8</w:t>
      </w:r>
      <w:r w:rsidRPr="00720B3B">
        <w:rPr>
          <w:rFonts w:ascii="Arial" w:eastAsia="Times New Roman" w:hAnsi="Arial" w:cs="Arial"/>
        </w:rPr>
        <w:br/>
        <w:t>5.1 Strengthen Cross-Sector Policy Integration ........</w:t>
      </w:r>
      <w:r>
        <w:rPr>
          <w:rFonts w:ascii="Arial" w:eastAsia="Times New Roman" w:hAnsi="Arial" w:cs="Arial"/>
        </w:rPr>
        <w:t>...............</w:t>
      </w:r>
      <w:r w:rsidR="00350E70">
        <w:rPr>
          <w:rFonts w:ascii="Arial" w:eastAsia="Times New Roman" w:hAnsi="Arial" w:cs="Arial"/>
        </w:rPr>
        <w:t>.................. 8</w:t>
      </w:r>
      <w:r w:rsidRPr="00720B3B">
        <w:rPr>
          <w:rFonts w:ascii="Arial" w:eastAsia="Times New Roman" w:hAnsi="Arial" w:cs="Arial"/>
        </w:rPr>
        <w:br/>
        <w:t>5.2 Target Vulnerable Communities thr</w:t>
      </w:r>
      <w:r w:rsidR="00350E70">
        <w:rPr>
          <w:rFonts w:ascii="Arial" w:eastAsia="Times New Roman" w:hAnsi="Arial" w:cs="Arial"/>
        </w:rPr>
        <w:t>ough Equitable Adaptation ... 9</w:t>
      </w:r>
      <w:r w:rsidRPr="00720B3B">
        <w:rPr>
          <w:rFonts w:ascii="Arial" w:eastAsia="Times New Roman" w:hAnsi="Arial" w:cs="Arial"/>
        </w:rPr>
        <w:br/>
        <w:t xml:space="preserve">5.3 Expand Preventive Health and Sustainable Behavioral </w:t>
      </w:r>
      <w:proofErr w:type="spellStart"/>
      <w:r w:rsidRPr="00720B3B">
        <w:rPr>
          <w:rFonts w:ascii="Arial" w:eastAsia="Times New Roman" w:hAnsi="Arial" w:cs="Arial"/>
        </w:rPr>
        <w:t>Programmes</w:t>
      </w:r>
      <w:proofErr w:type="spellEnd"/>
      <w:r w:rsidRPr="00720B3B">
        <w:rPr>
          <w:rFonts w:ascii="Arial" w:eastAsia="Times New Roman" w:hAnsi="Arial" w:cs="Arial"/>
        </w:rPr>
        <w:t xml:space="preserve"> .................................................</w:t>
      </w:r>
      <w:r>
        <w:rPr>
          <w:rFonts w:ascii="Arial" w:eastAsia="Times New Roman" w:hAnsi="Arial" w:cs="Arial"/>
        </w:rPr>
        <w:t>.................................................................................</w:t>
      </w:r>
      <w:r w:rsidRPr="00720B3B">
        <w:rPr>
          <w:rFonts w:ascii="Arial" w:eastAsia="Times New Roman" w:hAnsi="Arial" w:cs="Arial"/>
        </w:rPr>
        <w:t>..</w:t>
      </w:r>
      <w:r w:rsidR="00350E70">
        <w:rPr>
          <w:rFonts w:ascii="Arial" w:eastAsia="Times New Roman" w:hAnsi="Arial" w:cs="Arial"/>
        </w:rPr>
        <w:t>.... 9</w:t>
      </w:r>
      <w:r w:rsidRPr="00720B3B">
        <w:rPr>
          <w:rFonts w:ascii="Arial" w:eastAsia="Times New Roman" w:hAnsi="Arial" w:cs="Arial"/>
        </w:rPr>
        <w:br/>
        <w:t>5.4 Improve Monitoring, Data Transparency, and Public Engagement ...</w:t>
      </w:r>
      <w:r>
        <w:rPr>
          <w:rFonts w:ascii="Arial" w:eastAsia="Times New Roman" w:hAnsi="Arial" w:cs="Arial"/>
        </w:rPr>
        <w:t>......................</w:t>
      </w:r>
      <w:r w:rsidR="00350E70">
        <w:rPr>
          <w:rFonts w:ascii="Arial" w:eastAsia="Times New Roman" w:hAnsi="Arial" w:cs="Arial"/>
        </w:rPr>
        <w:t xml:space="preserve"> 9</w:t>
      </w:r>
    </w:p>
    <w:p w14:paraId="4623836B"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Conclusion</w:t>
      </w:r>
      <w:r w:rsidRPr="00720B3B">
        <w:rPr>
          <w:rFonts w:ascii="Arial" w:eastAsia="Times New Roman" w:hAnsi="Arial" w:cs="Arial"/>
        </w:rPr>
        <w:t xml:space="preserve"> ....................................................................</w:t>
      </w:r>
      <w:r>
        <w:rPr>
          <w:rFonts w:ascii="Arial" w:eastAsia="Times New Roman" w:hAnsi="Arial" w:cs="Arial"/>
        </w:rPr>
        <w:t>.................................</w:t>
      </w:r>
      <w:r w:rsidR="00350E70">
        <w:rPr>
          <w:rFonts w:ascii="Arial" w:eastAsia="Times New Roman" w:hAnsi="Arial" w:cs="Arial"/>
        </w:rPr>
        <w:t>.............. 10</w:t>
      </w:r>
    </w:p>
    <w:p w14:paraId="5B7581CD" w14:textId="77777777" w:rsidR="00720B3B" w:rsidRPr="00720B3B" w:rsidRDefault="00720B3B" w:rsidP="00720B3B">
      <w:pPr>
        <w:numPr>
          <w:ilvl w:val="0"/>
          <w:numId w:val="1"/>
        </w:numPr>
        <w:spacing w:before="100" w:beforeAutospacing="1" w:after="100" w:afterAutospacing="1" w:line="360" w:lineRule="auto"/>
        <w:jc w:val="both"/>
        <w:rPr>
          <w:rFonts w:ascii="Arial" w:eastAsia="Times New Roman" w:hAnsi="Arial" w:cs="Arial"/>
        </w:rPr>
      </w:pPr>
      <w:r w:rsidRPr="00720B3B">
        <w:rPr>
          <w:rFonts w:ascii="Arial" w:eastAsia="Times New Roman" w:hAnsi="Arial" w:cs="Arial"/>
          <w:b/>
          <w:bCs/>
        </w:rPr>
        <w:t>References</w:t>
      </w:r>
      <w:r w:rsidRPr="00720B3B">
        <w:rPr>
          <w:rFonts w:ascii="Arial" w:eastAsia="Times New Roman" w:hAnsi="Arial" w:cs="Arial"/>
        </w:rPr>
        <w:t xml:space="preserve"> .........................................................</w:t>
      </w:r>
      <w:r>
        <w:rPr>
          <w:rFonts w:ascii="Arial" w:eastAsia="Times New Roman" w:hAnsi="Arial" w:cs="Arial"/>
        </w:rPr>
        <w:t>..................................</w:t>
      </w:r>
      <w:r w:rsidRPr="00720B3B">
        <w:rPr>
          <w:rFonts w:ascii="Arial" w:eastAsia="Times New Roman" w:hAnsi="Arial" w:cs="Arial"/>
        </w:rPr>
        <w:t>...........</w:t>
      </w:r>
      <w:r w:rsidR="00350E70">
        <w:rPr>
          <w:rFonts w:ascii="Arial" w:eastAsia="Times New Roman" w:hAnsi="Arial" w:cs="Arial"/>
        </w:rPr>
        <w:t>.............. 11</w:t>
      </w:r>
    </w:p>
    <w:p w14:paraId="46017ED2" w14:textId="77777777" w:rsidR="00720B3B" w:rsidRPr="00720B3B" w:rsidRDefault="00720B3B" w:rsidP="00720B3B">
      <w:pPr>
        <w:tabs>
          <w:tab w:val="left" w:pos="3213"/>
        </w:tabs>
        <w:spacing w:before="100" w:beforeAutospacing="1" w:after="100" w:afterAutospacing="1" w:line="360" w:lineRule="auto"/>
        <w:jc w:val="both"/>
        <w:outlineLvl w:val="1"/>
        <w:rPr>
          <w:rFonts w:ascii="Arial" w:eastAsia="Times New Roman" w:hAnsi="Arial" w:cs="Arial"/>
          <w:b/>
          <w:bCs/>
        </w:rPr>
      </w:pPr>
      <w:r w:rsidRPr="00720B3B">
        <w:rPr>
          <w:rFonts w:ascii="Arial" w:eastAsia="Times New Roman" w:hAnsi="Arial" w:cs="Arial"/>
          <w:b/>
          <w:bCs/>
        </w:rPr>
        <w:tab/>
      </w:r>
    </w:p>
    <w:p w14:paraId="426B26F7"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23C2A20E"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7CCFC222"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49578464"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3D7EDBB3"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46BF4708"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3314D20D" w14:textId="77777777" w:rsidR="00350E70" w:rsidRDefault="00350E70" w:rsidP="00D513AE">
      <w:pPr>
        <w:spacing w:before="100" w:beforeAutospacing="1" w:after="100" w:afterAutospacing="1" w:line="360" w:lineRule="auto"/>
        <w:jc w:val="both"/>
        <w:outlineLvl w:val="1"/>
        <w:rPr>
          <w:rFonts w:ascii="Arial" w:eastAsia="Times New Roman" w:hAnsi="Arial" w:cs="Arial"/>
          <w:b/>
          <w:bCs/>
        </w:rPr>
      </w:pPr>
    </w:p>
    <w:p w14:paraId="40CB15E3" w14:textId="77777777" w:rsidR="00350E70" w:rsidRDefault="00350E70" w:rsidP="00D513AE">
      <w:pPr>
        <w:spacing w:before="100" w:beforeAutospacing="1" w:after="100" w:afterAutospacing="1" w:line="360" w:lineRule="auto"/>
        <w:jc w:val="both"/>
        <w:outlineLvl w:val="1"/>
        <w:rPr>
          <w:rFonts w:ascii="Arial" w:eastAsia="Times New Roman" w:hAnsi="Arial" w:cs="Arial"/>
          <w:b/>
          <w:bCs/>
        </w:rPr>
      </w:pPr>
    </w:p>
    <w:p w14:paraId="4A138526" w14:textId="77777777" w:rsidR="00720B3B" w:rsidRDefault="00720B3B" w:rsidP="00D513AE">
      <w:pPr>
        <w:spacing w:before="100" w:beforeAutospacing="1" w:after="100" w:afterAutospacing="1" w:line="360" w:lineRule="auto"/>
        <w:jc w:val="both"/>
        <w:outlineLvl w:val="1"/>
        <w:rPr>
          <w:rFonts w:ascii="Arial" w:eastAsia="Times New Roman" w:hAnsi="Arial" w:cs="Arial"/>
          <w:b/>
          <w:bCs/>
        </w:rPr>
      </w:pPr>
    </w:p>
    <w:p w14:paraId="69E7DAEB" w14:textId="77777777" w:rsidR="00CA17F4" w:rsidRDefault="00720B3B" w:rsidP="00D513AE">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1.1 </w:t>
      </w:r>
      <w:r w:rsidR="003E345F">
        <w:rPr>
          <w:rFonts w:ascii="Arial" w:eastAsia="Times New Roman" w:hAnsi="Arial" w:cs="Arial"/>
          <w:b/>
          <w:bCs/>
        </w:rPr>
        <w:t>Introduction</w:t>
      </w:r>
    </w:p>
    <w:p w14:paraId="7EC65A96" w14:textId="77777777" w:rsidR="00AA268B" w:rsidRPr="00AA268B" w:rsidRDefault="00AA268B" w:rsidP="00AA268B">
      <w:pPr>
        <w:pStyle w:val="NormalWeb"/>
        <w:spacing w:line="360" w:lineRule="auto"/>
        <w:jc w:val="both"/>
        <w:rPr>
          <w:rFonts w:ascii="Arial" w:hAnsi="Arial" w:cs="Arial"/>
          <w:sz w:val="22"/>
          <w:szCs w:val="22"/>
        </w:rPr>
      </w:pPr>
      <w:r w:rsidRPr="00AA268B">
        <w:rPr>
          <w:rFonts w:ascii="Arial" w:hAnsi="Arial" w:cs="Arial"/>
          <w:sz w:val="22"/>
          <w:szCs w:val="22"/>
        </w:rPr>
        <w:t xml:space="preserve">Sustainable Development Goal (SDG) 3, ‘Good Health and Wellbeing,’ aims to ensure healthy lives and promote wellbeing for all at all ages. SDG 13, ‘Climate Action,’ seeks urgent action to combat climate change and its impacts. The interconnection between SDG 3 and SDG 13 is particularly critical for UK citizens, as climate-related risks such as air pollution, extreme heat, and flooding directly affect population health, exacerbate existing health inequalities, and challenge the sustainability of the NHS and local healthcare services (UK Health Security Agency, 2023; NHS England, 2023). Addressing both goals simultaneously is essential to ensure that public health policies, environmental strategies, and social interventions are mutually reinforcing rather than operating in isolation (World Health Organization, 2022; United Nations Development </w:t>
      </w:r>
      <w:proofErr w:type="spellStart"/>
      <w:r w:rsidRPr="00AA268B">
        <w:rPr>
          <w:rFonts w:ascii="Arial" w:hAnsi="Arial" w:cs="Arial"/>
          <w:sz w:val="22"/>
          <w:szCs w:val="22"/>
        </w:rPr>
        <w:t>Programme</w:t>
      </w:r>
      <w:proofErr w:type="spellEnd"/>
      <w:r w:rsidRPr="00AA268B">
        <w:rPr>
          <w:rFonts w:ascii="Arial" w:hAnsi="Arial" w:cs="Arial"/>
          <w:sz w:val="22"/>
          <w:szCs w:val="22"/>
        </w:rPr>
        <w:t>, 2022).</w:t>
      </w:r>
    </w:p>
    <w:p w14:paraId="1A8E17F1" w14:textId="77777777" w:rsidR="00AA268B" w:rsidRPr="00AA268B" w:rsidRDefault="00AA268B" w:rsidP="00AA268B">
      <w:pPr>
        <w:pStyle w:val="NormalWeb"/>
        <w:spacing w:line="360" w:lineRule="auto"/>
        <w:jc w:val="both"/>
        <w:rPr>
          <w:rFonts w:ascii="Arial" w:hAnsi="Arial" w:cs="Arial"/>
          <w:sz w:val="22"/>
          <w:szCs w:val="22"/>
        </w:rPr>
      </w:pPr>
      <w:r w:rsidRPr="00AA268B">
        <w:rPr>
          <w:rFonts w:ascii="Arial" w:hAnsi="Arial" w:cs="Arial"/>
          <w:sz w:val="22"/>
          <w:szCs w:val="22"/>
        </w:rPr>
        <w:t xml:space="preserve">In the UK, population health outcomes are influenced by a combination of environmental, social, and policy factors. National frameworks, such as the Net Zero Strategy (BEIS, 2021), the Health and Care Act (UK Government, 2022), and the Greener NHS </w:t>
      </w:r>
      <w:proofErr w:type="spellStart"/>
      <w:r w:rsidRPr="00AA268B">
        <w:rPr>
          <w:rFonts w:ascii="Arial" w:hAnsi="Arial" w:cs="Arial"/>
          <w:sz w:val="22"/>
          <w:szCs w:val="22"/>
        </w:rPr>
        <w:t>Programme</w:t>
      </w:r>
      <w:proofErr w:type="spellEnd"/>
      <w:r w:rsidRPr="00AA268B">
        <w:rPr>
          <w:rFonts w:ascii="Arial" w:hAnsi="Arial" w:cs="Arial"/>
          <w:sz w:val="22"/>
          <w:szCs w:val="22"/>
        </w:rPr>
        <w:t xml:space="preserve"> (NHS England, 2023), illustrate governmental efforts to integrate sustainability with public health. At the local level, urban initiatives including London’s Ultra Low Emission Zone (Mayor of London, 2023) and community-focused green infrastructure projects demonstrate how municipal interventions can simultaneously reduce carbon emissions and improve health and wellbeing (Carter et al., 2022; Transport for London, 2022).</w:t>
      </w:r>
    </w:p>
    <w:p w14:paraId="58393E28" w14:textId="77777777" w:rsidR="00AA268B" w:rsidRDefault="00720B3B" w:rsidP="00AA268B">
      <w:pPr>
        <w:pStyle w:val="NormalWeb"/>
        <w:spacing w:line="360" w:lineRule="auto"/>
        <w:jc w:val="both"/>
      </w:pPr>
      <w:r>
        <w:rPr>
          <w:rFonts w:ascii="Arial" w:hAnsi="Arial" w:cs="Arial"/>
          <w:b/>
          <w:sz w:val="22"/>
          <w:szCs w:val="22"/>
        </w:rPr>
        <w:t xml:space="preserve">1.2 </w:t>
      </w:r>
      <w:r w:rsidR="002B04C7" w:rsidRPr="002B04C7">
        <w:rPr>
          <w:rFonts w:ascii="Arial" w:hAnsi="Arial" w:cs="Arial"/>
          <w:b/>
          <w:sz w:val="22"/>
          <w:szCs w:val="22"/>
        </w:rPr>
        <w:t>Rationale:</w:t>
      </w:r>
      <w:r w:rsidR="002B04C7">
        <w:rPr>
          <w:rFonts w:ascii="Arial" w:hAnsi="Arial" w:cs="Arial"/>
          <w:sz w:val="22"/>
          <w:szCs w:val="22"/>
        </w:rPr>
        <w:t xml:space="preserve"> </w:t>
      </w:r>
      <w:r w:rsidR="00AA268B" w:rsidRPr="00AA268B">
        <w:rPr>
          <w:rFonts w:ascii="Arial" w:hAnsi="Arial" w:cs="Arial"/>
          <w:sz w:val="22"/>
          <w:szCs w:val="22"/>
        </w:rPr>
        <w:t>This report critically examines the interaction between SDG 3 and SDG 13 at global, national, and local levels. It evaluates the effectiveness of current policies and initiatives, highlights challenges and gaps, and provides evidence-based recommendations for improvement. By analyzing the UK context, this report demonstrates how health and climate policies are interdependent, and why integrated strategies are essential for building resilient, healthy, and sustainable communities</w:t>
      </w:r>
      <w:r w:rsidR="00AA268B">
        <w:t>.</w:t>
      </w:r>
    </w:p>
    <w:p w14:paraId="27127AEB" w14:textId="77777777" w:rsidR="002B04C7" w:rsidRDefault="002B04C7" w:rsidP="00AA268B">
      <w:pPr>
        <w:pStyle w:val="NormalWeb"/>
        <w:spacing w:line="360" w:lineRule="auto"/>
        <w:jc w:val="both"/>
        <w:rPr>
          <w:noProof/>
        </w:rPr>
      </w:pPr>
      <w:r>
        <w:rPr>
          <w:noProof/>
        </w:rPr>
        <w:drawing>
          <wp:inline distT="0" distB="0" distL="0" distR="0" wp14:anchorId="2278017D" wp14:editId="70DDE55C">
            <wp:extent cx="3110884" cy="1639428"/>
            <wp:effectExtent l="0" t="0" r="0" b="0"/>
            <wp:docPr id="2" name="Picture 2" descr="Goal 3: Ensure healthy lives and promote well-being for all at all ages -  IS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al 3: Ensure healthy lives and promote well-being for all at all ages -  ISGLOB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3405" cy="1640757"/>
                    </a:xfrm>
                    <a:prstGeom prst="rect">
                      <a:avLst/>
                    </a:prstGeom>
                    <a:noFill/>
                    <a:ln>
                      <a:noFill/>
                    </a:ln>
                  </pic:spPr>
                </pic:pic>
              </a:graphicData>
            </a:graphic>
          </wp:inline>
        </w:drawing>
      </w:r>
      <w:r w:rsidRPr="002B04C7">
        <w:rPr>
          <w:noProof/>
        </w:rPr>
        <w:t xml:space="preserve"> </w:t>
      </w:r>
      <w:r>
        <w:rPr>
          <w:noProof/>
        </w:rPr>
        <mc:AlternateContent>
          <mc:Choice Requires="wps">
            <w:drawing>
              <wp:inline distT="0" distB="0" distL="0" distR="0" wp14:anchorId="0BB4E92B" wp14:editId="3661DBEE">
                <wp:extent cx="302260" cy="302260"/>
                <wp:effectExtent l="0" t="0" r="0" b="0"/>
                <wp:docPr id="4" name="AutoShape 4" descr="SDG 13: Climate Action – UN-Habitat Lao PD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9A980F" id="AutoShape 4" o:spid="_x0000_s1026" alt="SDG 13: Climate Action – UN-Habitat Lao PDR"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" filled="f" stroked="f">
                <o:lock v:ext="edit" aspectratio="t"/>
                <w10:anchorlock/>
              </v:rect>
            </w:pict>
          </mc:Fallback>
        </mc:AlternateContent>
      </w:r>
      <w:r>
        <w:rPr>
          <w:noProof/>
        </w:rPr>
        <w:drawing>
          <wp:inline distT="0" distB="0" distL="0" distR="0" wp14:anchorId="633F13F9" wp14:editId="05EE217C">
            <wp:extent cx="1943191" cy="1600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8355" cy="1605089"/>
                    </a:xfrm>
                    <a:prstGeom prst="rect">
                      <a:avLst/>
                    </a:prstGeom>
                    <a:noFill/>
                  </pic:spPr>
                </pic:pic>
              </a:graphicData>
            </a:graphic>
          </wp:inline>
        </w:drawing>
      </w:r>
    </w:p>
    <w:p w14:paraId="0B0262EA" w14:textId="77777777" w:rsidR="002B04C7" w:rsidRPr="00CA17F4" w:rsidRDefault="002B04C7" w:rsidP="00AA268B">
      <w:pPr>
        <w:pStyle w:val="NormalWeb"/>
        <w:spacing w:line="360" w:lineRule="auto"/>
        <w:jc w:val="both"/>
      </w:pPr>
      <w:r>
        <w:t xml:space="preserve">                                    (UN, 2015)</w:t>
      </w:r>
    </w:p>
    <w:p w14:paraId="759960CE" w14:textId="77777777" w:rsidR="00CA17F4" w:rsidRPr="00CA17F4" w:rsidRDefault="00CA17F4" w:rsidP="00D513AE">
      <w:pPr>
        <w:spacing w:before="100" w:beforeAutospacing="1" w:after="100" w:afterAutospacing="1" w:line="360" w:lineRule="auto"/>
        <w:jc w:val="both"/>
        <w:outlineLvl w:val="1"/>
        <w:rPr>
          <w:rFonts w:ascii="Arial" w:eastAsia="Times New Roman" w:hAnsi="Arial" w:cs="Arial"/>
          <w:b/>
          <w:bCs/>
        </w:rPr>
      </w:pPr>
      <w:r w:rsidRPr="00CA17F4">
        <w:rPr>
          <w:rFonts w:ascii="Arial" w:eastAsia="Times New Roman" w:hAnsi="Arial" w:cs="Arial"/>
          <w:b/>
          <w:bCs/>
        </w:rPr>
        <w:t>2. Global context: SDG 3 and SDG 13 — interconnections and impact</w:t>
      </w:r>
    </w:p>
    <w:p w14:paraId="1823A8B6"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SDG 3 (“Good Health and Wellbeing”) seeks to “ensure healthy lives and promote wellbeing for all at all ages” (UN, 2015). SDG 13 (“Climate Action”) calls for urgent action to combat climate change and its impacts (UN, 2015). These two goals are deeply interconnected: climate change acts as a multiplier of health risks, threatening progress on disease prevention, health equity, and healthcare systems globally.</w:t>
      </w:r>
    </w:p>
    <w:p w14:paraId="2B0C1AEC"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One major pathway linking climate change with worsening health is heat stress. Rising temperatures and more frequent heatwaves have been associated with increases in heat-related mortality and hospital admissions for cardiovascular, renal and respiratory diseases, especially in older and vulnerable populations (Lancet Countdown, 2023). According to the 2023 Lancet Countdown report, the burden of climate-related health harm is already evident: climate inaction is “costing lives and livelihoods today” and health systems are displaying stressors from escalating climate hazards (Lancet Countdown, 2023). For example, the report notes that at ~1.14 °C of global heating, climate risks to health are accelerating (Lancet Countdown, 2023).</w:t>
      </w:r>
    </w:p>
    <w:p w14:paraId="0A718A2F"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Air pollution—in particular, fine particulate matter (PM</w:t>
      </w:r>
      <w:r w:rsidRPr="00CA17F4">
        <w:rPr>
          <w:rFonts w:ascii="Cambria Math" w:eastAsia="Times New Roman" w:hAnsi="Cambria Math" w:cs="Cambria Math"/>
        </w:rPr>
        <w:t>₂</w:t>
      </w:r>
      <w:r w:rsidRPr="00CA17F4">
        <w:rPr>
          <w:rFonts w:ascii="Arial" w:eastAsia="Times New Roman" w:hAnsi="Arial" w:cs="Arial"/>
        </w:rPr>
        <w:t>.</w:t>
      </w:r>
      <w:r w:rsidRPr="00CA17F4">
        <w:rPr>
          <w:rFonts w:ascii="Cambria Math" w:eastAsia="Times New Roman" w:hAnsi="Cambria Math" w:cs="Cambria Math"/>
        </w:rPr>
        <w:t>₅</w:t>
      </w:r>
      <w:r w:rsidRPr="00CA17F4">
        <w:rPr>
          <w:rFonts w:ascii="Arial" w:eastAsia="Times New Roman" w:hAnsi="Arial" w:cs="Arial"/>
        </w:rPr>
        <w:t>)—is another crucial nexus. Many PM</w:t>
      </w:r>
      <w:r w:rsidRPr="00CA17F4">
        <w:rPr>
          <w:rFonts w:ascii="Cambria Math" w:eastAsia="Times New Roman" w:hAnsi="Cambria Math" w:cs="Cambria Math"/>
        </w:rPr>
        <w:t>₂</w:t>
      </w:r>
      <w:r w:rsidRPr="00CA17F4">
        <w:rPr>
          <w:rFonts w:ascii="Arial" w:eastAsia="Times New Roman" w:hAnsi="Arial" w:cs="Arial"/>
        </w:rPr>
        <w:t>.</w:t>
      </w:r>
      <w:r w:rsidRPr="00CA17F4">
        <w:rPr>
          <w:rFonts w:ascii="Cambria Math" w:eastAsia="Times New Roman" w:hAnsi="Cambria Math" w:cs="Cambria Math"/>
        </w:rPr>
        <w:t>₅</w:t>
      </w:r>
      <w:r w:rsidRPr="00CA17F4">
        <w:rPr>
          <w:rFonts w:ascii="Arial" w:eastAsia="Times New Roman" w:hAnsi="Arial" w:cs="Arial"/>
        </w:rPr>
        <w:t xml:space="preserve"> emissions arise from combustion of fossil fuels and biomass, which are also key drivers of climate change. A recent global modelling study estimated that in 2019, ambient PM</w:t>
      </w:r>
      <w:r w:rsidRPr="00CA17F4">
        <w:rPr>
          <w:rFonts w:ascii="Cambria Math" w:eastAsia="Times New Roman" w:hAnsi="Cambria Math" w:cs="Cambria Math"/>
        </w:rPr>
        <w:t>₂</w:t>
      </w:r>
      <w:r w:rsidRPr="00CA17F4">
        <w:rPr>
          <w:rFonts w:ascii="Arial" w:eastAsia="Times New Roman" w:hAnsi="Arial" w:cs="Arial"/>
        </w:rPr>
        <w:t>.</w:t>
      </w:r>
      <w:r w:rsidRPr="00CA17F4">
        <w:rPr>
          <w:rFonts w:ascii="Cambria Math" w:eastAsia="Times New Roman" w:hAnsi="Cambria Math" w:cs="Cambria Math"/>
        </w:rPr>
        <w:t>₅</w:t>
      </w:r>
      <w:r w:rsidRPr="00CA17F4">
        <w:rPr>
          <w:rFonts w:ascii="Arial" w:eastAsia="Times New Roman" w:hAnsi="Arial" w:cs="Arial"/>
        </w:rPr>
        <w:t xml:space="preserve"> from major combustion sources imposed approximately </w:t>
      </w:r>
      <w:r w:rsidRPr="00D513AE">
        <w:rPr>
          <w:rFonts w:ascii="Arial" w:eastAsia="Times New Roman" w:hAnsi="Arial" w:cs="Arial"/>
          <w:b/>
          <w:bCs/>
        </w:rPr>
        <w:t>US$1.1 trillion</w:t>
      </w:r>
      <w:r w:rsidRPr="00CA17F4">
        <w:rPr>
          <w:rFonts w:ascii="Arial" w:eastAsia="Times New Roman" w:hAnsi="Arial" w:cs="Arial"/>
        </w:rPr>
        <w:t xml:space="preserve"> in health costs globally, representing 56% of all PM</w:t>
      </w:r>
      <w:r w:rsidRPr="00CA17F4">
        <w:rPr>
          <w:rFonts w:ascii="Cambria Math" w:eastAsia="Times New Roman" w:hAnsi="Cambria Math" w:cs="Cambria Math"/>
        </w:rPr>
        <w:t>₂</w:t>
      </w:r>
      <w:r w:rsidRPr="00CA17F4">
        <w:rPr>
          <w:rFonts w:ascii="Arial" w:eastAsia="Times New Roman" w:hAnsi="Arial" w:cs="Arial"/>
        </w:rPr>
        <w:t>.</w:t>
      </w:r>
      <w:r w:rsidRPr="00CA17F4">
        <w:rPr>
          <w:rFonts w:ascii="Cambria Math" w:eastAsia="Times New Roman" w:hAnsi="Cambria Math" w:cs="Cambria Math"/>
        </w:rPr>
        <w:t>₅</w:t>
      </w:r>
      <w:r w:rsidRPr="00CA17F4">
        <w:rPr>
          <w:rFonts w:ascii="Arial" w:eastAsia="Times New Roman" w:hAnsi="Arial" w:cs="Arial"/>
        </w:rPr>
        <w:t>-related health costs (Yin et al., 2024). This demonstrates substantial co-benefits: phasing out fossil fuel combustion not only reduces greenhouse gas emissions (SDG 13) but also substantially diminishes disease burden tied to air pollution (SDG 3).</w:t>
      </w:r>
    </w:p>
    <w:p w14:paraId="40CED443"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Shifts in climate patterns further influence the distribution and seasonality of vector-borne and waterborne diseases (e.g., dengue, malaria, cholera), as warmer temperatures, changing precipitation, and flooding create new transmission zones and challenge health system readiness (Lancet Countdown, 2023). Indeed, the 2023 report emphasizes that changing climatic conditions are “putting more populations at risk of life-threatening infectious diseases such as dengue, malaria … and vibriosis” (Lancet Countdown, 2023).</w:t>
      </w:r>
    </w:p>
    <w:p w14:paraId="59B1E81A"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Beyond physical illness, climate change has a serious mental health dimension. Exposure to acute events (storms, floods) or chronic stressors (drought, displacement, economic loss) is linked to anxiety, depression, post-traumatic stress, and increases in suicidal ideation (Clayton, 2024). Climate-driven mental health burdens place additional pressure on health systems already stretched in many countries.</w:t>
      </w:r>
    </w:p>
    <w:p w14:paraId="19221E84"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Importantly, the health impacts of climate change are unevenly distributed. Low-income countries, marginalized communities, and those with pre-existing vulnerabilities face disproportionately greater risks, compounding existing health inequities. Achieving SDG 3 therefore demands integrating climate mitigation, adaptation, and resilient health systems — policy alignment that lies at the heart of SDG 13 (Lancet Countdown, 2023; Yin et al., 2024).</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4"/>
        <w:gridCol w:w="3163"/>
        <w:gridCol w:w="4303"/>
      </w:tblGrid>
      <w:tr w:rsidR="00267205" w:rsidRPr="00267205" w14:paraId="426F6CAF" w14:textId="77777777" w:rsidTr="00267205">
        <w:trPr>
          <w:tblHeader/>
          <w:tblCellSpacing w:w="15" w:type="dxa"/>
        </w:trPr>
        <w:tc>
          <w:tcPr>
            <w:tcW w:w="0" w:type="auto"/>
            <w:vAlign w:val="center"/>
            <w:hideMark/>
          </w:tcPr>
          <w:p w14:paraId="4CF9651A" w14:textId="77777777" w:rsidR="00267205" w:rsidRPr="00267205" w:rsidRDefault="00267205" w:rsidP="00267205">
            <w:pPr>
              <w:spacing w:after="0" w:line="240" w:lineRule="auto"/>
              <w:jc w:val="center"/>
              <w:rPr>
                <w:rFonts w:ascii="Arial" w:eastAsia="Times New Roman" w:hAnsi="Arial" w:cs="Arial"/>
                <w:b/>
                <w:bCs/>
              </w:rPr>
            </w:pPr>
            <w:r w:rsidRPr="00267205">
              <w:rPr>
                <w:rFonts w:ascii="Arial" w:eastAsia="Times New Roman" w:hAnsi="Arial" w:cs="Arial"/>
                <w:b/>
                <w:bCs/>
              </w:rPr>
              <w:t>SDG 3 Target / Aspect</w:t>
            </w:r>
          </w:p>
        </w:tc>
        <w:tc>
          <w:tcPr>
            <w:tcW w:w="0" w:type="auto"/>
            <w:vAlign w:val="center"/>
            <w:hideMark/>
          </w:tcPr>
          <w:p w14:paraId="16A8644C" w14:textId="77777777" w:rsidR="00267205" w:rsidRPr="00267205" w:rsidRDefault="00267205" w:rsidP="00267205">
            <w:pPr>
              <w:spacing w:after="0" w:line="240" w:lineRule="auto"/>
              <w:jc w:val="center"/>
              <w:rPr>
                <w:rFonts w:ascii="Arial" w:eastAsia="Times New Roman" w:hAnsi="Arial" w:cs="Arial"/>
                <w:b/>
                <w:bCs/>
              </w:rPr>
            </w:pPr>
            <w:r w:rsidRPr="00267205">
              <w:rPr>
                <w:rFonts w:ascii="Arial" w:eastAsia="Times New Roman" w:hAnsi="Arial" w:cs="Arial"/>
                <w:b/>
                <w:bCs/>
              </w:rPr>
              <w:t>SDG 13 Link / Climate Impact</w:t>
            </w:r>
          </w:p>
        </w:tc>
        <w:tc>
          <w:tcPr>
            <w:tcW w:w="0" w:type="auto"/>
            <w:vAlign w:val="center"/>
            <w:hideMark/>
          </w:tcPr>
          <w:p w14:paraId="551C86E2" w14:textId="77777777" w:rsidR="00267205" w:rsidRPr="00267205" w:rsidRDefault="00267205" w:rsidP="00267205">
            <w:pPr>
              <w:spacing w:after="0" w:line="240" w:lineRule="auto"/>
              <w:jc w:val="center"/>
              <w:rPr>
                <w:rFonts w:ascii="Arial" w:eastAsia="Times New Roman" w:hAnsi="Arial" w:cs="Arial"/>
                <w:b/>
                <w:bCs/>
              </w:rPr>
            </w:pPr>
            <w:r w:rsidRPr="00267205">
              <w:rPr>
                <w:rFonts w:ascii="Arial" w:eastAsia="Times New Roman" w:hAnsi="Arial" w:cs="Arial"/>
                <w:b/>
                <w:bCs/>
              </w:rPr>
              <w:t>Explanation of Interconnection</w:t>
            </w:r>
          </w:p>
        </w:tc>
      </w:tr>
      <w:tr w:rsidR="00267205" w:rsidRPr="00267205" w14:paraId="527636A9" w14:textId="77777777" w:rsidTr="00267205">
        <w:trPr>
          <w:tblCellSpacing w:w="15" w:type="dxa"/>
        </w:trPr>
        <w:tc>
          <w:tcPr>
            <w:tcW w:w="0" w:type="auto"/>
            <w:vAlign w:val="center"/>
            <w:hideMark/>
          </w:tcPr>
          <w:p w14:paraId="47A95495" w14:textId="77777777" w:rsidR="00267205" w:rsidRPr="00267205" w:rsidRDefault="00267205" w:rsidP="00267205">
            <w:pPr>
              <w:spacing w:after="0" w:line="240" w:lineRule="auto"/>
              <w:rPr>
                <w:rFonts w:ascii="Arial" w:eastAsia="Times New Roman" w:hAnsi="Arial" w:cs="Arial"/>
              </w:rPr>
            </w:pPr>
            <w:r>
              <w:rPr>
                <w:rFonts w:ascii="Arial" w:eastAsia="Times New Roman" w:hAnsi="Arial" w:cs="Arial"/>
                <w:b/>
                <w:bCs/>
              </w:rPr>
              <w:t xml:space="preserve">Reduce maternal mortality </w:t>
            </w:r>
          </w:p>
        </w:tc>
        <w:tc>
          <w:tcPr>
            <w:tcW w:w="0" w:type="auto"/>
            <w:vAlign w:val="center"/>
            <w:hideMark/>
          </w:tcPr>
          <w:p w14:paraId="461EBE42"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Climate change increases extreme weather events, affecting access to maternal care.</w:t>
            </w:r>
          </w:p>
        </w:tc>
        <w:tc>
          <w:tcPr>
            <w:tcW w:w="0" w:type="auto"/>
            <w:vAlign w:val="center"/>
            <w:hideMark/>
          </w:tcPr>
          <w:p w14:paraId="2475B38F"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Extreme heat, floods, and storms disrupt health facilities and transport, raising risks for mothers and newborns (WHO, 2021).</w:t>
            </w:r>
          </w:p>
        </w:tc>
      </w:tr>
      <w:tr w:rsidR="00267205" w:rsidRPr="00267205" w14:paraId="648F02CB" w14:textId="77777777" w:rsidTr="00267205">
        <w:trPr>
          <w:tblCellSpacing w:w="15" w:type="dxa"/>
        </w:trPr>
        <w:tc>
          <w:tcPr>
            <w:tcW w:w="0" w:type="auto"/>
            <w:vAlign w:val="center"/>
            <w:hideMark/>
          </w:tcPr>
          <w:p w14:paraId="1C1BD6B3" w14:textId="77777777" w:rsidR="00267205" w:rsidRPr="00267205" w:rsidRDefault="00267205" w:rsidP="00267205">
            <w:pPr>
              <w:spacing w:after="0" w:line="240" w:lineRule="auto"/>
              <w:rPr>
                <w:rFonts w:ascii="Arial" w:eastAsia="Times New Roman" w:hAnsi="Arial" w:cs="Arial"/>
              </w:rPr>
            </w:pPr>
            <w:r>
              <w:rPr>
                <w:rFonts w:ascii="Arial" w:eastAsia="Times New Roman" w:hAnsi="Arial" w:cs="Arial"/>
                <w:b/>
                <w:bCs/>
              </w:rPr>
              <w:t xml:space="preserve">Reduce child mortality </w:t>
            </w:r>
          </w:p>
        </w:tc>
        <w:tc>
          <w:tcPr>
            <w:tcW w:w="0" w:type="auto"/>
            <w:vAlign w:val="center"/>
            <w:hideMark/>
          </w:tcPr>
          <w:p w14:paraId="73085AAE"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Climate-sensitive diseases (malaria, diarrhea, malnutrition) rise with climate change.</w:t>
            </w:r>
          </w:p>
        </w:tc>
        <w:tc>
          <w:tcPr>
            <w:tcW w:w="0" w:type="auto"/>
            <w:vAlign w:val="center"/>
            <w:hideMark/>
          </w:tcPr>
          <w:p w14:paraId="228BB442"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Rising temperatures and flooding increase vector-borne and waterborne diseases, affecting child survival (Watts et al., 2021).</w:t>
            </w:r>
          </w:p>
        </w:tc>
      </w:tr>
      <w:tr w:rsidR="00267205" w:rsidRPr="00267205" w14:paraId="524DB690" w14:textId="77777777" w:rsidTr="00267205">
        <w:trPr>
          <w:tblCellSpacing w:w="15" w:type="dxa"/>
        </w:trPr>
        <w:tc>
          <w:tcPr>
            <w:tcW w:w="0" w:type="auto"/>
            <w:vAlign w:val="center"/>
            <w:hideMark/>
          </w:tcPr>
          <w:p w14:paraId="5D6B1623" w14:textId="77777777" w:rsidR="00267205" w:rsidRPr="00267205" w:rsidRDefault="00267205" w:rsidP="00267205">
            <w:pPr>
              <w:spacing w:after="0" w:line="240" w:lineRule="auto"/>
              <w:rPr>
                <w:rFonts w:ascii="Arial" w:eastAsia="Times New Roman" w:hAnsi="Arial" w:cs="Arial"/>
              </w:rPr>
            </w:pPr>
            <w:r>
              <w:rPr>
                <w:rFonts w:ascii="Arial" w:eastAsia="Times New Roman" w:hAnsi="Arial" w:cs="Arial"/>
                <w:b/>
                <w:bCs/>
              </w:rPr>
              <w:t xml:space="preserve">Combat epidemics </w:t>
            </w:r>
          </w:p>
        </w:tc>
        <w:tc>
          <w:tcPr>
            <w:tcW w:w="0" w:type="auto"/>
            <w:vAlign w:val="center"/>
            <w:hideMark/>
          </w:tcPr>
          <w:p w14:paraId="703D283C"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Climate change alters disease patterns and increases outbreak risks.</w:t>
            </w:r>
          </w:p>
        </w:tc>
        <w:tc>
          <w:tcPr>
            <w:tcW w:w="0" w:type="auto"/>
            <w:vAlign w:val="center"/>
            <w:hideMark/>
          </w:tcPr>
          <w:p w14:paraId="753D78BC"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Shifts in temperature and precipitation expand habitats for disease vectors, creating new health risks (Haines et al., 2020).</w:t>
            </w:r>
          </w:p>
        </w:tc>
      </w:tr>
      <w:tr w:rsidR="00267205" w:rsidRPr="00267205" w14:paraId="1E5110C5" w14:textId="77777777" w:rsidTr="00267205">
        <w:trPr>
          <w:tblCellSpacing w:w="15" w:type="dxa"/>
        </w:trPr>
        <w:tc>
          <w:tcPr>
            <w:tcW w:w="0" w:type="auto"/>
            <w:vAlign w:val="center"/>
            <w:hideMark/>
          </w:tcPr>
          <w:p w14:paraId="0A618C4E"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b/>
                <w:bCs/>
              </w:rPr>
              <w:t>Reduce pre</w:t>
            </w:r>
            <w:r>
              <w:rPr>
                <w:rFonts w:ascii="Arial" w:eastAsia="Times New Roman" w:hAnsi="Arial" w:cs="Arial"/>
                <w:b/>
                <w:bCs/>
              </w:rPr>
              <w:t xml:space="preserve">mature mortality from NCDs </w:t>
            </w:r>
          </w:p>
        </w:tc>
        <w:tc>
          <w:tcPr>
            <w:tcW w:w="0" w:type="auto"/>
            <w:vAlign w:val="center"/>
            <w:hideMark/>
          </w:tcPr>
          <w:p w14:paraId="5B504594"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Air pollution and heatwaves exacerbate cardiovascular and respiratory diseases.</w:t>
            </w:r>
          </w:p>
        </w:tc>
        <w:tc>
          <w:tcPr>
            <w:tcW w:w="0" w:type="auto"/>
            <w:vAlign w:val="center"/>
            <w:hideMark/>
          </w:tcPr>
          <w:p w14:paraId="318A3647"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Climate-related air pollution and extreme temperatures directly affect NCD outcomes (Landrigan et al., 2018).</w:t>
            </w:r>
          </w:p>
        </w:tc>
      </w:tr>
      <w:tr w:rsidR="00267205" w:rsidRPr="00267205" w14:paraId="36D00F74" w14:textId="77777777" w:rsidTr="00267205">
        <w:trPr>
          <w:tblCellSpacing w:w="15" w:type="dxa"/>
        </w:trPr>
        <w:tc>
          <w:tcPr>
            <w:tcW w:w="0" w:type="auto"/>
            <w:vAlign w:val="center"/>
            <w:hideMark/>
          </w:tcPr>
          <w:p w14:paraId="26FD1A47" w14:textId="77777777" w:rsidR="00267205" w:rsidRPr="00267205" w:rsidRDefault="00267205" w:rsidP="00267205">
            <w:pPr>
              <w:spacing w:after="0" w:line="240" w:lineRule="auto"/>
              <w:rPr>
                <w:rFonts w:ascii="Arial" w:eastAsia="Times New Roman" w:hAnsi="Arial" w:cs="Arial"/>
              </w:rPr>
            </w:pPr>
            <w:r>
              <w:rPr>
                <w:rFonts w:ascii="Arial" w:eastAsia="Times New Roman" w:hAnsi="Arial" w:cs="Arial"/>
                <w:b/>
                <w:bCs/>
              </w:rPr>
              <w:t xml:space="preserve">Universal health coverage </w:t>
            </w:r>
          </w:p>
        </w:tc>
        <w:tc>
          <w:tcPr>
            <w:tcW w:w="0" w:type="auto"/>
            <w:vAlign w:val="center"/>
            <w:hideMark/>
          </w:tcPr>
          <w:p w14:paraId="56E5DEEC"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Health systems need to adapt to climate-related pressures.</w:t>
            </w:r>
          </w:p>
        </w:tc>
        <w:tc>
          <w:tcPr>
            <w:tcW w:w="0" w:type="auto"/>
            <w:vAlign w:val="center"/>
            <w:hideMark/>
          </w:tcPr>
          <w:p w14:paraId="4BA5E85D"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Climate disasters increase demand for emergency services; resilient health infrastructure supports coverage (Ebi et al., 2021).</w:t>
            </w:r>
          </w:p>
        </w:tc>
      </w:tr>
      <w:tr w:rsidR="00267205" w:rsidRPr="00267205" w14:paraId="5B11AC9F" w14:textId="77777777" w:rsidTr="00267205">
        <w:trPr>
          <w:tblCellSpacing w:w="15" w:type="dxa"/>
        </w:trPr>
        <w:tc>
          <w:tcPr>
            <w:tcW w:w="0" w:type="auto"/>
            <w:vAlign w:val="center"/>
            <w:hideMark/>
          </w:tcPr>
          <w:p w14:paraId="66ED9C8C"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b/>
                <w:bCs/>
              </w:rPr>
              <w:t>Health r</w:t>
            </w:r>
            <w:r>
              <w:rPr>
                <w:rFonts w:ascii="Arial" w:eastAsia="Times New Roman" w:hAnsi="Arial" w:cs="Arial"/>
                <w:b/>
                <w:bCs/>
              </w:rPr>
              <w:t xml:space="preserve">isk reduction &amp; resilience </w:t>
            </w:r>
          </w:p>
        </w:tc>
        <w:tc>
          <w:tcPr>
            <w:tcW w:w="0" w:type="auto"/>
            <w:vAlign w:val="center"/>
            <w:hideMark/>
          </w:tcPr>
          <w:p w14:paraId="449B84AB"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Alignment with climate adap</w:t>
            </w:r>
            <w:r>
              <w:rPr>
                <w:rFonts w:ascii="Arial" w:eastAsia="Times New Roman" w:hAnsi="Arial" w:cs="Arial"/>
              </w:rPr>
              <w:t xml:space="preserve">tation strategies. </w:t>
            </w:r>
          </w:p>
        </w:tc>
        <w:tc>
          <w:tcPr>
            <w:tcW w:w="0" w:type="auto"/>
            <w:vAlign w:val="center"/>
            <w:hideMark/>
          </w:tcPr>
          <w:p w14:paraId="1D3D7DD9" w14:textId="77777777" w:rsidR="00267205" w:rsidRPr="00267205" w:rsidRDefault="00267205" w:rsidP="00267205">
            <w:pPr>
              <w:spacing w:after="0" w:line="240" w:lineRule="auto"/>
              <w:rPr>
                <w:rFonts w:ascii="Arial" w:eastAsia="Times New Roman" w:hAnsi="Arial" w:cs="Arial"/>
              </w:rPr>
            </w:pPr>
            <w:r w:rsidRPr="00267205">
              <w:rPr>
                <w:rFonts w:ascii="Arial" w:eastAsia="Times New Roman" w:hAnsi="Arial" w:cs="Arial"/>
              </w:rPr>
              <w:t>Building climate-resilient health systems ensures populations can withstand environmental shocks (Watts et al., 2021).</w:t>
            </w:r>
          </w:p>
        </w:tc>
      </w:tr>
    </w:tbl>
    <w:p w14:paraId="501831D8" w14:textId="77777777" w:rsidR="00267205" w:rsidRDefault="00267205" w:rsidP="00720B3B">
      <w:pPr>
        <w:spacing w:before="100" w:beforeAutospacing="1" w:after="100" w:afterAutospacing="1" w:line="360" w:lineRule="auto"/>
        <w:jc w:val="right"/>
        <w:outlineLvl w:val="1"/>
        <w:rPr>
          <w:rFonts w:ascii="Arial" w:eastAsia="Times New Roman" w:hAnsi="Arial" w:cs="Arial"/>
          <w:b/>
          <w:bCs/>
        </w:rPr>
      </w:pPr>
    </w:p>
    <w:p w14:paraId="4B3CFC64" w14:textId="77777777" w:rsidR="00CA17F4" w:rsidRPr="00CA17F4" w:rsidRDefault="00CA17F4" w:rsidP="00D513AE">
      <w:pPr>
        <w:spacing w:before="100" w:beforeAutospacing="1" w:after="100" w:afterAutospacing="1" w:line="360" w:lineRule="auto"/>
        <w:jc w:val="both"/>
        <w:outlineLvl w:val="1"/>
        <w:rPr>
          <w:rFonts w:ascii="Arial" w:eastAsia="Times New Roman" w:hAnsi="Arial" w:cs="Arial"/>
          <w:b/>
          <w:bCs/>
        </w:rPr>
      </w:pPr>
      <w:r w:rsidRPr="00D513AE">
        <w:rPr>
          <w:rFonts w:ascii="Arial" w:eastAsia="Times New Roman" w:hAnsi="Arial" w:cs="Arial"/>
          <w:b/>
          <w:bCs/>
        </w:rPr>
        <w:t>3. National Context: UK Health, Wellbeing and Sustainability Policies</w:t>
      </w:r>
    </w:p>
    <w:p w14:paraId="7DAB68C2"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The United Kingdom has made explicit commitments to the Sustainable Development Goals (SDGs) through the </w:t>
      </w:r>
      <w:r w:rsidRPr="003E345F">
        <w:rPr>
          <w:rFonts w:ascii="Arial" w:eastAsia="Times New Roman" w:hAnsi="Arial" w:cs="Arial"/>
          <w:bCs/>
        </w:rPr>
        <w:t>2030 Agenda for Sustainable Development</w:t>
      </w:r>
      <w:r w:rsidRPr="00CA17F4">
        <w:rPr>
          <w:rFonts w:ascii="Arial" w:eastAsia="Times New Roman" w:hAnsi="Arial" w:cs="Arial"/>
        </w:rPr>
        <w:t xml:space="preserve">, embedding health, wellbeing, and climate resilience across its national strategies (HM Government, 2023). Two of the most influential frameworks guiding these priorities are the </w:t>
      </w:r>
      <w:r w:rsidRPr="003E345F">
        <w:rPr>
          <w:rFonts w:ascii="Arial" w:eastAsia="Times New Roman" w:hAnsi="Arial" w:cs="Arial"/>
          <w:bCs/>
        </w:rPr>
        <w:t>NHS Long Term Plan (2019)</w:t>
      </w:r>
      <w:r w:rsidRPr="00CA17F4">
        <w:rPr>
          <w:rFonts w:ascii="Arial" w:eastAsia="Times New Roman" w:hAnsi="Arial" w:cs="Arial"/>
        </w:rPr>
        <w:t xml:space="preserve"> and the </w:t>
      </w:r>
      <w:r w:rsidRPr="003E345F">
        <w:rPr>
          <w:rFonts w:ascii="Arial" w:eastAsia="Times New Roman" w:hAnsi="Arial" w:cs="Arial"/>
          <w:bCs/>
        </w:rPr>
        <w:t>UK Net Zero Strategy (2021)</w:t>
      </w:r>
      <w:r w:rsidRPr="00CA17F4">
        <w:rPr>
          <w:rFonts w:ascii="Arial" w:eastAsia="Times New Roman" w:hAnsi="Arial" w:cs="Arial"/>
        </w:rPr>
        <w:t xml:space="preserve">. Together, they reflect a dual emphasis on improving population health outcomes (SDG 3) while addressing the environmental determinants of health through </w:t>
      </w:r>
      <w:proofErr w:type="spellStart"/>
      <w:r w:rsidRPr="00CA17F4">
        <w:rPr>
          <w:rFonts w:ascii="Arial" w:eastAsia="Times New Roman" w:hAnsi="Arial" w:cs="Arial"/>
        </w:rPr>
        <w:t>decarbonisation</w:t>
      </w:r>
      <w:proofErr w:type="spellEnd"/>
      <w:r w:rsidRPr="00CA17F4">
        <w:rPr>
          <w:rFonts w:ascii="Arial" w:eastAsia="Times New Roman" w:hAnsi="Arial" w:cs="Arial"/>
        </w:rPr>
        <w:t xml:space="preserve"> and sustainability (SDG 13).</w:t>
      </w:r>
    </w:p>
    <w:p w14:paraId="33DED1EA"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The </w:t>
      </w:r>
      <w:r w:rsidRPr="003E345F">
        <w:rPr>
          <w:rFonts w:ascii="Arial" w:eastAsia="Times New Roman" w:hAnsi="Arial" w:cs="Arial"/>
          <w:bCs/>
        </w:rPr>
        <w:t>NHS Long Term Plan</w:t>
      </w:r>
      <w:r w:rsidRPr="00CA17F4">
        <w:rPr>
          <w:rFonts w:ascii="Arial" w:eastAsia="Times New Roman" w:hAnsi="Arial" w:cs="Arial"/>
        </w:rPr>
        <w:t xml:space="preserve"> (NHS England, 2019) positions prevention, early intervention, and health equity at the </w:t>
      </w:r>
      <w:proofErr w:type="spellStart"/>
      <w:r w:rsidRPr="00CA17F4">
        <w:rPr>
          <w:rFonts w:ascii="Arial" w:eastAsia="Times New Roman" w:hAnsi="Arial" w:cs="Arial"/>
        </w:rPr>
        <w:t>centre</w:t>
      </w:r>
      <w:proofErr w:type="spellEnd"/>
      <w:r w:rsidRPr="00CA17F4">
        <w:rPr>
          <w:rFonts w:ascii="Arial" w:eastAsia="Times New Roman" w:hAnsi="Arial" w:cs="Arial"/>
        </w:rPr>
        <w:t xml:space="preserve"> of health system transformation. It commits to reducing health inequalities, expanding mental health services, and improving management of chronic diseases—especially those linked to environmental risk factors such as air pollution and climate stress. Research indicates that the NHS, as one of the world’s largest healthcare systems, contributes around </w:t>
      </w:r>
      <w:r w:rsidRPr="003E345F">
        <w:rPr>
          <w:rFonts w:ascii="Arial" w:eastAsia="Times New Roman" w:hAnsi="Arial" w:cs="Arial"/>
          <w:bCs/>
        </w:rPr>
        <w:t>5% of the UK’s carbon emissions</w:t>
      </w:r>
      <w:r w:rsidRPr="00CA17F4">
        <w:rPr>
          <w:rFonts w:ascii="Arial" w:eastAsia="Times New Roman" w:hAnsi="Arial" w:cs="Arial"/>
        </w:rPr>
        <w:t xml:space="preserve">, prompting the introduction of the </w:t>
      </w:r>
      <w:r w:rsidRPr="003E345F">
        <w:rPr>
          <w:rFonts w:ascii="Arial" w:eastAsia="Times New Roman" w:hAnsi="Arial" w:cs="Arial"/>
          <w:bCs/>
        </w:rPr>
        <w:t>NHS Net Zero Plan</w:t>
      </w:r>
      <w:r w:rsidRPr="00CA17F4">
        <w:rPr>
          <w:rFonts w:ascii="Arial" w:eastAsia="Times New Roman" w:hAnsi="Arial" w:cs="Arial"/>
        </w:rPr>
        <w:t xml:space="preserve"> (NHS England, 2020). This initiative targets carbon neutrality in direct NHS operations by </w:t>
      </w:r>
      <w:r w:rsidRPr="003E345F">
        <w:rPr>
          <w:rFonts w:ascii="Arial" w:eastAsia="Times New Roman" w:hAnsi="Arial" w:cs="Arial"/>
          <w:bCs/>
        </w:rPr>
        <w:t>2040</w:t>
      </w:r>
      <w:r w:rsidRPr="00CA17F4">
        <w:rPr>
          <w:rFonts w:ascii="Arial" w:eastAsia="Times New Roman" w:hAnsi="Arial" w:cs="Arial"/>
        </w:rPr>
        <w:t xml:space="preserve"> and across the supply chain by </w:t>
      </w:r>
      <w:r w:rsidRPr="003E345F">
        <w:rPr>
          <w:rFonts w:ascii="Arial" w:eastAsia="Times New Roman" w:hAnsi="Arial" w:cs="Arial"/>
          <w:bCs/>
        </w:rPr>
        <w:t>2045</w:t>
      </w:r>
      <w:r w:rsidRPr="00CA17F4">
        <w:rPr>
          <w:rFonts w:ascii="Arial" w:eastAsia="Times New Roman" w:hAnsi="Arial" w:cs="Arial"/>
        </w:rPr>
        <w:t xml:space="preserve">, highlighting how the </w:t>
      </w:r>
      <w:r w:rsidR="00D513AE" w:rsidRPr="00CA17F4">
        <w:rPr>
          <w:rFonts w:ascii="Arial" w:eastAsia="Times New Roman" w:hAnsi="Arial" w:cs="Arial"/>
        </w:rPr>
        <w:t>National Health Service</w:t>
      </w:r>
      <w:r w:rsidRPr="00CA17F4">
        <w:rPr>
          <w:rFonts w:ascii="Arial" w:eastAsia="Times New Roman" w:hAnsi="Arial" w:cs="Arial"/>
        </w:rPr>
        <w:t xml:space="preserve"> is embedding climate action within its operational and clinical models (Watts et al., 2022).</w:t>
      </w:r>
    </w:p>
    <w:p w14:paraId="0627C605"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At a broader level, the </w:t>
      </w:r>
      <w:r w:rsidRPr="003E345F">
        <w:rPr>
          <w:rFonts w:ascii="Arial" w:eastAsia="Times New Roman" w:hAnsi="Arial" w:cs="Arial"/>
          <w:bCs/>
        </w:rPr>
        <w:t>UK Net Zero Strategy: Build Back Greener</w:t>
      </w:r>
      <w:r w:rsidRPr="00CA17F4">
        <w:rPr>
          <w:rFonts w:ascii="Arial" w:eastAsia="Times New Roman" w:hAnsi="Arial" w:cs="Arial"/>
        </w:rPr>
        <w:t xml:space="preserve"> (HM Government, 2021) outlines measures to cut greenhouse gas emissions across transport, housing, and energy sectors—areas with direct implications for public health. Improvements in </w:t>
      </w:r>
      <w:r w:rsidRPr="003E345F">
        <w:rPr>
          <w:rFonts w:ascii="Arial" w:eastAsia="Times New Roman" w:hAnsi="Arial" w:cs="Arial"/>
          <w:bCs/>
        </w:rPr>
        <w:t>air quality</w:t>
      </w:r>
      <w:r w:rsidRPr="00CA17F4">
        <w:rPr>
          <w:rFonts w:ascii="Arial" w:eastAsia="Times New Roman" w:hAnsi="Arial" w:cs="Arial"/>
        </w:rPr>
        <w:t xml:space="preserve">, </w:t>
      </w:r>
      <w:r w:rsidRPr="003E345F">
        <w:rPr>
          <w:rFonts w:ascii="Arial" w:eastAsia="Times New Roman" w:hAnsi="Arial" w:cs="Arial"/>
          <w:bCs/>
        </w:rPr>
        <w:t>green energy transition</w:t>
      </w:r>
      <w:r w:rsidRPr="00CA17F4">
        <w:rPr>
          <w:rFonts w:ascii="Arial" w:eastAsia="Times New Roman" w:hAnsi="Arial" w:cs="Arial"/>
        </w:rPr>
        <w:t xml:space="preserve">, and </w:t>
      </w:r>
      <w:r w:rsidRPr="003E345F">
        <w:rPr>
          <w:rFonts w:ascii="Arial" w:eastAsia="Times New Roman" w:hAnsi="Arial" w:cs="Arial"/>
          <w:bCs/>
        </w:rPr>
        <w:t>active transport</w:t>
      </w:r>
      <w:r w:rsidRPr="00CA17F4">
        <w:rPr>
          <w:rFonts w:ascii="Arial" w:eastAsia="Times New Roman" w:hAnsi="Arial" w:cs="Arial"/>
        </w:rPr>
        <w:t xml:space="preserve"> are associated with reduced respiratory and cardiovascular disease burdens and enhanced mental wellbeing (DEFRA, 2023). However, evaluations by the Climate Change Committee (CCC, 2023) note that progress remains uneven: health-related adaptation measures and community resilience strategies are under-resourced, and cross-departmental policy coherence is limited.</w:t>
      </w:r>
    </w:p>
    <w:p w14:paraId="3EE45049"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Despite policy ambition, gaps persist in implementation and monitoring. The UK’s </w:t>
      </w:r>
      <w:r w:rsidRPr="003E345F">
        <w:rPr>
          <w:rFonts w:ascii="Arial" w:eastAsia="Times New Roman" w:hAnsi="Arial" w:cs="Arial"/>
          <w:bCs/>
        </w:rPr>
        <w:t>Health and Care Act (2022</w:t>
      </w:r>
      <w:r w:rsidRPr="00D513AE">
        <w:rPr>
          <w:rFonts w:ascii="Arial" w:eastAsia="Times New Roman" w:hAnsi="Arial" w:cs="Arial"/>
          <w:b/>
          <w:bCs/>
        </w:rPr>
        <w:t>)</w:t>
      </w:r>
      <w:r w:rsidRPr="00CA17F4">
        <w:rPr>
          <w:rFonts w:ascii="Arial" w:eastAsia="Times New Roman" w:hAnsi="Arial" w:cs="Arial"/>
        </w:rPr>
        <w:t xml:space="preserve"> underscores the need for integrated care systems to address social and environmental determinants of health, yet funding constraints, workforce shortages, and regional inequalities continue to impede delivery (Baker and Hampson, 2023). Moreover, the fragmentation between public health and environmental governance frameworks hampers the full integration of SDG 3 and SDG 13. Strengthening collaboration between the NHS, local authorities, and environmental agencies could accelerate co-benefits, ensuring that climate action contributes directly to population health improvements.</w:t>
      </w:r>
    </w:p>
    <w:p w14:paraId="57E8C946"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Overall, the UK demonstrates progressive policy intent through its </w:t>
      </w:r>
      <w:r w:rsidRPr="00267205">
        <w:rPr>
          <w:rFonts w:ascii="Arial" w:eastAsia="Times New Roman" w:hAnsi="Arial" w:cs="Arial"/>
          <w:bCs/>
        </w:rPr>
        <w:t>net-zero and health integration frameworks</w:t>
      </w:r>
      <w:r w:rsidRPr="00CA17F4">
        <w:rPr>
          <w:rFonts w:ascii="Arial" w:eastAsia="Times New Roman" w:hAnsi="Arial" w:cs="Arial"/>
        </w:rPr>
        <w:t>, but practical success depends on sustained investment, equitable resource distribution, and clearer accountability mechanisms to align national health resilience with climate sustainability.</w:t>
      </w:r>
    </w:p>
    <w:p w14:paraId="187E6A95" w14:textId="77777777" w:rsidR="00CA17F4" w:rsidRPr="00CA17F4" w:rsidRDefault="00CA17F4" w:rsidP="00D513AE">
      <w:pPr>
        <w:spacing w:before="100" w:beforeAutospacing="1" w:after="100" w:afterAutospacing="1" w:line="360" w:lineRule="auto"/>
        <w:jc w:val="both"/>
        <w:outlineLvl w:val="1"/>
        <w:rPr>
          <w:rFonts w:ascii="Arial" w:eastAsia="Times New Roman" w:hAnsi="Arial" w:cs="Arial"/>
          <w:b/>
          <w:bCs/>
        </w:rPr>
      </w:pPr>
      <w:r w:rsidRPr="00D513AE">
        <w:rPr>
          <w:rFonts w:ascii="Arial" w:eastAsia="Times New Roman" w:hAnsi="Arial" w:cs="Arial"/>
          <w:b/>
          <w:bCs/>
        </w:rPr>
        <w:t>4. Local Context: Evaluation of Health, Wellbeing and Sustainability Initiatives in London</w:t>
      </w:r>
    </w:p>
    <w:p w14:paraId="44CB9C09"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At the local level, the integration of health, wellbeing, and sustainability policies is most visible within city governance, where direct interventions shape citizens’ daily environments. London, as one of the UK’s largest metropolitan areas, demonstrates significant leadership in aligning </w:t>
      </w:r>
      <w:r w:rsidRPr="003E345F">
        <w:rPr>
          <w:rFonts w:ascii="Arial" w:eastAsia="Times New Roman" w:hAnsi="Arial" w:cs="Arial"/>
          <w:bCs/>
        </w:rPr>
        <w:t>SDG 3 (Good Health and Wellbeing)</w:t>
      </w:r>
      <w:r w:rsidRPr="00CA17F4">
        <w:rPr>
          <w:rFonts w:ascii="Arial" w:eastAsia="Times New Roman" w:hAnsi="Arial" w:cs="Arial"/>
        </w:rPr>
        <w:t xml:space="preserve"> with </w:t>
      </w:r>
      <w:r w:rsidRPr="003E345F">
        <w:rPr>
          <w:rFonts w:ascii="Arial" w:eastAsia="Times New Roman" w:hAnsi="Arial" w:cs="Arial"/>
          <w:bCs/>
        </w:rPr>
        <w:t>SDG 13 (Climate Action)</w:t>
      </w:r>
      <w:r w:rsidRPr="00CA17F4">
        <w:rPr>
          <w:rFonts w:ascii="Arial" w:eastAsia="Times New Roman" w:hAnsi="Arial" w:cs="Arial"/>
        </w:rPr>
        <w:t xml:space="preserve"> through multiple </w:t>
      </w:r>
      <w:proofErr w:type="spellStart"/>
      <w:r w:rsidRPr="00CA17F4">
        <w:rPr>
          <w:rFonts w:ascii="Arial" w:eastAsia="Times New Roman" w:hAnsi="Arial" w:cs="Arial"/>
        </w:rPr>
        <w:t>programmes</w:t>
      </w:r>
      <w:proofErr w:type="spellEnd"/>
      <w:r w:rsidRPr="00CA17F4">
        <w:rPr>
          <w:rFonts w:ascii="Arial" w:eastAsia="Times New Roman" w:hAnsi="Arial" w:cs="Arial"/>
        </w:rPr>
        <w:t xml:space="preserve"> focused on air quality, active travel, green infrastructure, and social wellbeing.</w:t>
      </w:r>
    </w:p>
    <w:p w14:paraId="522DF12A"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A central initiative is the </w:t>
      </w:r>
      <w:r w:rsidRPr="003E345F">
        <w:rPr>
          <w:rFonts w:ascii="Arial" w:eastAsia="Times New Roman" w:hAnsi="Arial" w:cs="Arial"/>
          <w:bCs/>
        </w:rPr>
        <w:t>London Environment Strategy</w:t>
      </w:r>
      <w:r w:rsidRPr="00CA17F4">
        <w:rPr>
          <w:rFonts w:ascii="Arial" w:eastAsia="Times New Roman" w:hAnsi="Arial" w:cs="Arial"/>
        </w:rPr>
        <w:t xml:space="preserve"> (Greater London Authority [GLA], 2018), which embeds environmental health within the city’s climate policies. The strategy explicitly links cleaner air and climate resilience to improved population health outcomes, aiming to make London a “zero-carbon city by 2030.” One of its most influential measures has been the </w:t>
      </w:r>
      <w:r w:rsidR="003E345F" w:rsidRPr="003E345F">
        <w:rPr>
          <w:rFonts w:ascii="Arial" w:eastAsia="Times New Roman" w:hAnsi="Arial" w:cs="Arial"/>
          <w:bCs/>
        </w:rPr>
        <w:t>Ultra-Low</w:t>
      </w:r>
      <w:r w:rsidRPr="003E345F">
        <w:rPr>
          <w:rFonts w:ascii="Arial" w:eastAsia="Times New Roman" w:hAnsi="Arial" w:cs="Arial"/>
          <w:bCs/>
        </w:rPr>
        <w:t xml:space="preserve"> Emission Zone (ULEZ)</w:t>
      </w:r>
      <w:r w:rsidRPr="00CA17F4">
        <w:rPr>
          <w:rFonts w:ascii="Arial" w:eastAsia="Times New Roman" w:hAnsi="Arial" w:cs="Arial"/>
        </w:rPr>
        <w:t xml:space="preserve">, first implemented in 2019 and expanded citywide in 2023. The </w:t>
      </w:r>
      <w:r w:rsidRPr="003E345F">
        <w:rPr>
          <w:rFonts w:ascii="Arial" w:eastAsia="Times New Roman" w:hAnsi="Arial" w:cs="Arial"/>
          <w:bCs/>
        </w:rPr>
        <w:t>ULEZ</w:t>
      </w:r>
      <w:r w:rsidRPr="00CA17F4">
        <w:rPr>
          <w:rFonts w:ascii="Arial" w:eastAsia="Times New Roman" w:hAnsi="Arial" w:cs="Arial"/>
        </w:rPr>
        <w:t xml:space="preserve"> has been associated with a </w:t>
      </w:r>
      <w:r w:rsidRPr="003E345F">
        <w:rPr>
          <w:rFonts w:ascii="Arial" w:eastAsia="Times New Roman" w:hAnsi="Arial" w:cs="Arial"/>
          <w:bCs/>
        </w:rPr>
        <w:t>46% reduction in roadside nitrogen dioxide (NO</w:t>
      </w:r>
      <w:r w:rsidRPr="003E345F">
        <w:rPr>
          <w:rFonts w:ascii="Cambria Math" w:eastAsia="Times New Roman" w:hAnsi="Cambria Math" w:cs="Cambria Math"/>
          <w:bCs/>
        </w:rPr>
        <w:t>₂</w:t>
      </w:r>
      <w:r w:rsidRPr="003E345F">
        <w:rPr>
          <w:rFonts w:ascii="Arial" w:eastAsia="Times New Roman" w:hAnsi="Arial" w:cs="Arial"/>
          <w:bCs/>
        </w:rPr>
        <w:t>)</w:t>
      </w:r>
      <w:r w:rsidRPr="00CA17F4">
        <w:rPr>
          <w:rFonts w:ascii="Arial" w:eastAsia="Times New Roman" w:hAnsi="Arial" w:cs="Arial"/>
        </w:rPr>
        <w:t xml:space="preserve"> in central London and measurable improvements in respiratory health, particularly among children and older adults (Mayor of London, 2023; </w:t>
      </w:r>
      <w:proofErr w:type="spellStart"/>
      <w:r w:rsidRPr="00CA17F4">
        <w:rPr>
          <w:rFonts w:ascii="Arial" w:eastAsia="Times New Roman" w:hAnsi="Arial" w:cs="Arial"/>
        </w:rPr>
        <w:t>Mudway</w:t>
      </w:r>
      <w:proofErr w:type="spellEnd"/>
      <w:r w:rsidRPr="00CA17F4">
        <w:rPr>
          <w:rFonts w:ascii="Arial" w:eastAsia="Times New Roman" w:hAnsi="Arial" w:cs="Arial"/>
        </w:rPr>
        <w:t xml:space="preserve"> et al., 2023).</w:t>
      </w:r>
    </w:p>
    <w:p w14:paraId="4789C7AD"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London’s </w:t>
      </w:r>
      <w:r w:rsidRPr="003E345F">
        <w:rPr>
          <w:rFonts w:ascii="Arial" w:eastAsia="Times New Roman" w:hAnsi="Arial" w:cs="Arial"/>
          <w:bCs/>
        </w:rPr>
        <w:t>Health Inequalities Strategy</w:t>
      </w:r>
      <w:r w:rsidRPr="00CA17F4">
        <w:rPr>
          <w:rFonts w:ascii="Arial" w:eastAsia="Times New Roman" w:hAnsi="Arial" w:cs="Arial"/>
        </w:rPr>
        <w:t xml:space="preserve"> (GLA, 2018) complements these environmental efforts by targeting social and economic determinants of wellbeing, </w:t>
      </w:r>
      <w:proofErr w:type="spellStart"/>
      <w:r w:rsidRPr="00CA17F4">
        <w:rPr>
          <w:rFonts w:ascii="Arial" w:eastAsia="Times New Roman" w:hAnsi="Arial" w:cs="Arial"/>
        </w:rPr>
        <w:t>recognising</w:t>
      </w:r>
      <w:proofErr w:type="spellEnd"/>
      <w:r w:rsidRPr="00CA17F4">
        <w:rPr>
          <w:rFonts w:ascii="Arial" w:eastAsia="Times New Roman" w:hAnsi="Arial" w:cs="Arial"/>
        </w:rPr>
        <w:t xml:space="preserve"> that climate and health inequities intersect. For example, deprived communities are disproportionately exposed to air pollution, poor housing, and limited access to green space — factors that exacerbate health risks during heatwaves (Public Health England [PHE], 2021). The city’s </w:t>
      </w:r>
      <w:r w:rsidRPr="003E345F">
        <w:rPr>
          <w:rFonts w:ascii="Arial" w:eastAsia="Times New Roman" w:hAnsi="Arial" w:cs="Arial"/>
          <w:bCs/>
        </w:rPr>
        <w:t>Green Infrastructure Framework</w:t>
      </w:r>
      <w:r w:rsidRPr="00CA17F4">
        <w:rPr>
          <w:rFonts w:ascii="Arial" w:eastAsia="Times New Roman" w:hAnsi="Arial" w:cs="Arial"/>
        </w:rPr>
        <w:t xml:space="preserve"> (Natural England, 2023) further supports SDG 3 and SDG 13 by improving access to urban green spaces, which reduce air pollutants, mitigate urban heat, and enhance mental wellbeing. Studies demonstrate that residents with access to green spaces have lower rates of depression and anxiety and report higher life satisfaction (White et al., 2021).</w:t>
      </w:r>
    </w:p>
    <w:p w14:paraId="0BBE1583"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Active transport initiatives such as </w:t>
      </w:r>
      <w:r w:rsidRPr="003E345F">
        <w:rPr>
          <w:rFonts w:ascii="Arial" w:eastAsia="Times New Roman" w:hAnsi="Arial" w:cs="Arial"/>
          <w:bCs/>
        </w:rPr>
        <w:t>Healthy Streets and Transport for London’s Walking and Cycling Plan</w:t>
      </w:r>
      <w:r w:rsidRPr="00CA17F4">
        <w:rPr>
          <w:rFonts w:ascii="Arial" w:eastAsia="Times New Roman" w:hAnsi="Arial" w:cs="Arial"/>
        </w:rPr>
        <w:t xml:space="preserve"> promote sustainable mobility while reducing emissions and improving cardiovascular fitness (Transport for London [TfL], 2022). However, inequalities in access to safe walking and cycling infrastructure persist, particularly in deprived boroughs, limiting the universal benefits of these </w:t>
      </w:r>
      <w:proofErr w:type="spellStart"/>
      <w:r w:rsidRPr="00CA17F4">
        <w:rPr>
          <w:rFonts w:ascii="Arial" w:eastAsia="Times New Roman" w:hAnsi="Arial" w:cs="Arial"/>
        </w:rPr>
        <w:t>programmes</w:t>
      </w:r>
      <w:proofErr w:type="spellEnd"/>
      <w:r w:rsidRPr="00CA17F4">
        <w:rPr>
          <w:rFonts w:ascii="Arial" w:eastAsia="Times New Roman" w:hAnsi="Arial" w:cs="Arial"/>
        </w:rPr>
        <w:t xml:space="preserve"> (London Assembly, 2023).</w:t>
      </w:r>
    </w:p>
    <w:p w14:paraId="164BF804"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While London’s integrated policies show promising results, challenges remain. The </w:t>
      </w:r>
      <w:r w:rsidRPr="003E345F">
        <w:rPr>
          <w:rFonts w:ascii="Arial" w:eastAsia="Times New Roman" w:hAnsi="Arial" w:cs="Arial"/>
          <w:bCs/>
        </w:rPr>
        <w:t>London Climate Resilience Review</w:t>
      </w:r>
      <w:r w:rsidRPr="00CA17F4">
        <w:rPr>
          <w:rFonts w:ascii="Arial" w:eastAsia="Times New Roman" w:hAnsi="Arial" w:cs="Arial"/>
        </w:rPr>
        <w:t xml:space="preserve"> (2023) found that preparedness for extreme heat and flooding remains insufficient across key boroughs. Fragmented governance and funding constraints hinder long-term adaptation planning, especially in health and social care settings. To fully </w:t>
      </w:r>
      <w:r w:rsidR="003E345F" w:rsidRPr="00CA17F4">
        <w:rPr>
          <w:rFonts w:ascii="Arial" w:eastAsia="Times New Roman" w:hAnsi="Arial" w:cs="Arial"/>
        </w:rPr>
        <w:t>realize</w:t>
      </w:r>
      <w:r w:rsidRPr="00CA17F4">
        <w:rPr>
          <w:rFonts w:ascii="Arial" w:eastAsia="Times New Roman" w:hAnsi="Arial" w:cs="Arial"/>
        </w:rPr>
        <w:t xml:space="preserve"> the co-benefits of SDG 3 and SDG 13, stronger inter-agency coordination, equitable access to green and active spaces, and sustained public engagement are essential.</w:t>
      </w:r>
    </w:p>
    <w:p w14:paraId="7B76787B"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Overall, London’s approach demonstrates that local climate and health initiatives can deliver measurable wellbeing gains, but equitable delivery and systemic resilience are key to sustaining progress.</w:t>
      </w:r>
    </w:p>
    <w:p w14:paraId="0AF90E62" w14:textId="77777777" w:rsidR="00CA17F4" w:rsidRPr="00CA17F4" w:rsidRDefault="00CA17F4" w:rsidP="00D513AE">
      <w:pPr>
        <w:spacing w:before="100" w:beforeAutospacing="1" w:after="100" w:afterAutospacing="1" w:line="360" w:lineRule="auto"/>
        <w:jc w:val="both"/>
        <w:outlineLvl w:val="1"/>
        <w:rPr>
          <w:rFonts w:ascii="Arial" w:eastAsia="Times New Roman" w:hAnsi="Arial" w:cs="Arial"/>
          <w:b/>
          <w:bCs/>
        </w:rPr>
      </w:pPr>
      <w:r w:rsidRPr="00D513AE">
        <w:rPr>
          <w:rFonts w:ascii="Arial" w:eastAsia="Times New Roman" w:hAnsi="Arial" w:cs="Arial"/>
          <w:b/>
          <w:bCs/>
        </w:rPr>
        <w:t>5. Recommendations for Impro</w:t>
      </w:r>
      <w:r w:rsidR="003E345F">
        <w:rPr>
          <w:rFonts w:ascii="Arial" w:eastAsia="Times New Roman" w:hAnsi="Arial" w:cs="Arial"/>
          <w:b/>
          <w:bCs/>
        </w:rPr>
        <w:t>vement</w:t>
      </w:r>
    </w:p>
    <w:p w14:paraId="0FA97748"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While the UK has made commendable progress in integrating health, wellbeing, and climate goals, achieving full alignment between </w:t>
      </w:r>
      <w:r w:rsidRPr="003E345F">
        <w:rPr>
          <w:rFonts w:ascii="Arial" w:eastAsia="Times New Roman" w:hAnsi="Arial" w:cs="Arial"/>
          <w:bCs/>
        </w:rPr>
        <w:t>SDG 3 (Good Health and Wellbeing)</w:t>
      </w:r>
      <w:r w:rsidRPr="00CA17F4">
        <w:rPr>
          <w:rFonts w:ascii="Arial" w:eastAsia="Times New Roman" w:hAnsi="Arial" w:cs="Arial"/>
        </w:rPr>
        <w:t xml:space="preserve"> and </w:t>
      </w:r>
      <w:r w:rsidRPr="003E345F">
        <w:rPr>
          <w:rFonts w:ascii="Arial" w:eastAsia="Times New Roman" w:hAnsi="Arial" w:cs="Arial"/>
          <w:bCs/>
        </w:rPr>
        <w:t>SDG 13 (Climate Action)</w:t>
      </w:r>
      <w:r w:rsidRPr="00CA17F4">
        <w:rPr>
          <w:rFonts w:ascii="Arial" w:eastAsia="Times New Roman" w:hAnsi="Arial" w:cs="Arial"/>
        </w:rPr>
        <w:t xml:space="preserve"> requires deeper systemic change, greater equity, and stronger local implementation. The following recommendations build upon evidence from current national and local initiatives.</w:t>
      </w:r>
    </w:p>
    <w:p w14:paraId="7351C90A" w14:textId="77777777" w:rsidR="00CA17F4" w:rsidRPr="00CA17F4" w:rsidRDefault="00720B3B" w:rsidP="00D513AE">
      <w:pPr>
        <w:tabs>
          <w:tab w:val="left" w:pos="6355"/>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5.1 </w:t>
      </w:r>
      <w:r w:rsidR="00CA17F4" w:rsidRPr="00D513AE">
        <w:rPr>
          <w:rFonts w:ascii="Arial" w:eastAsia="Times New Roman" w:hAnsi="Arial" w:cs="Arial"/>
          <w:b/>
          <w:bCs/>
        </w:rPr>
        <w:t>Strengthen Cross-Sector Policy Integration</w:t>
      </w:r>
      <w:r w:rsidR="00D513AE" w:rsidRPr="00D513AE">
        <w:rPr>
          <w:rFonts w:ascii="Arial" w:eastAsia="Times New Roman" w:hAnsi="Arial" w:cs="Arial"/>
          <w:b/>
          <w:bCs/>
        </w:rPr>
        <w:tab/>
      </w:r>
    </w:p>
    <w:p w14:paraId="239A7434"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The fragmentation between health, climate, and planning policies continues to hinder cohesive action (House of Commons Environmental Audit Committee, 2023). To overcome this, the UK should adopt a </w:t>
      </w:r>
      <w:r w:rsidRPr="00D513AE">
        <w:rPr>
          <w:rFonts w:ascii="Arial" w:eastAsia="Times New Roman" w:hAnsi="Arial" w:cs="Arial"/>
          <w:b/>
          <w:bCs/>
        </w:rPr>
        <w:t>“</w:t>
      </w:r>
      <w:r w:rsidRPr="003E345F">
        <w:rPr>
          <w:rFonts w:ascii="Arial" w:eastAsia="Times New Roman" w:hAnsi="Arial" w:cs="Arial"/>
          <w:bCs/>
        </w:rPr>
        <w:t>health in all policies”</w:t>
      </w:r>
      <w:r w:rsidRPr="00CA17F4">
        <w:rPr>
          <w:rFonts w:ascii="Arial" w:eastAsia="Times New Roman" w:hAnsi="Arial" w:cs="Arial"/>
        </w:rPr>
        <w:t xml:space="preserve"> approach across government departments, ensuring every climate policy considers its public health implications. Establishing a </w:t>
      </w:r>
      <w:r w:rsidRPr="003E345F">
        <w:rPr>
          <w:rFonts w:ascii="Arial" w:eastAsia="Times New Roman" w:hAnsi="Arial" w:cs="Arial"/>
          <w:bCs/>
        </w:rPr>
        <w:t>National Climate–Health Coordination Unit</w:t>
      </w:r>
      <w:r w:rsidRPr="00CA17F4">
        <w:rPr>
          <w:rFonts w:ascii="Arial" w:eastAsia="Times New Roman" w:hAnsi="Arial" w:cs="Arial"/>
        </w:rPr>
        <w:t xml:space="preserve"> within the Department of Health and Social Care would enhance coherence, joint funding, and monitoring across sectors. This would enable policies addressing air pollution, heat stress, and sustainable transport to deliver combined health and environmental benefits (Public Health England, 2021).</w:t>
      </w:r>
    </w:p>
    <w:p w14:paraId="7768B432" w14:textId="77777777" w:rsidR="00CA17F4" w:rsidRPr="00CA17F4" w:rsidRDefault="00720B3B" w:rsidP="00455B7B">
      <w:pPr>
        <w:tabs>
          <w:tab w:val="left" w:pos="7676"/>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5.2 </w:t>
      </w:r>
      <w:r w:rsidR="00CA17F4" w:rsidRPr="00D513AE">
        <w:rPr>
          <w:rFonts w:ascii="Arial" w:eastAsia="Times New Roman" w:hAnsi="Arial" w:cs="Arial"/>
          <w:b/>
          <w:bCs/>
        </w:rPr>
        <w:t>Target Vulnerable Communities through Equitable Adaptation</w:t>
      </w:r>
      <w:r w:rsidR="00455B7B">
        <w:rPr>
          <w:rFonts w:ascii="Arial" w:eastAsia="Times New Roman" w:hAnsi="Arial" w:cs="Arial"/>
          <w:b/>
          <w:bCs/>
        </w:rPr>
        <w:tab/>
      </w:r>
    </w:p>
    <w:p w14:paraId="06D5E30B"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Climate-related health risks—such as respiratory illness, flooding, and heatwaves—disproportionately affect lower-income, elderly, and ethnic minority groups (UK Health Security Agency, 2023). Local authorities should </w:t>
      </w:r>
      <w:r w:rsidR="00D513AE" w:rsidRPr="00CA17F4">
        <w:rPr>
          <w:rFonts w:ascii="Arial" w:eastAsia="Times New Roman" w:hAnsi="Arial" w:cs="Arial"/>
        </w:rPr>
        <w:t>prioritize</w:t>
      </w:r>
      <w:r w:rsidRPr="00CA17F4">
        <w:rPr>
          <w:rFonts w:ascii="Arial" w:eastAsia="Times New Roman" w:hAnsi="Arial" w:cs="Arial"/>
        </w:rPr>
        <w:t xml:space="preserve"> adaptation funding in deprived communities by improving housing insulation, enhancing flood </w:t>
      </w:r>
      <w:proofErr w:type="spellStart"/>
      <w:r w:rsidRPr="00CA17F4">
        <w:rPr>
          <w:rFonts w:ascii="Arial" w:eastAsia="Times New Roman" w:hAnsi="Arial" w:cs="Arial"/>
        </w:rPr>
        <w:t>defences</w:t>
      </w:r>
      <w:proofErr w:type="spellEnd"/>
      <w:r w:rsidRPr="00CA17F4">
        <w:rPr>
          <w:rFonts w:ascii="Arial" w:eastAsia="Times New Roman" w:hAnsi="Arial" w:cs="Arial"/>
        </w:rPr>
        <w:t>, and increasing access to urban green spaces. Evidence from community-led resilience projects in Manchester and Bristol demonstrates that co-designed local interventions can strengthen both physical health and social cohesion (Carter et al., 2022).</w:t>
      </w:r>
    </w:p>
    <w:p w14:paraId="5673E0A8" w14:textId="77777777" w:rsidR="00CA17F4" w:rsidRPr="00CA17F4" w:rsidRDefault="00720B3B" w:rsidP="00D513AE">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5.3 </w:t>
      </w:r>
      <w:r w:rsidR="00CA17F4" w:rsidRPr="00D513AE">
        <w:rPr>
          <w:rFonts w:ascii="Arial" w:eastAsia="Times New Roman" w:hAnsi="Arial" w:cs="Arial"/>
          <w:b/>
          <w:bCs/>
        </w:rPr>
        <w:t xml:space="preserve">Expand Preventive Health and Sustainable </w:t>
      </w:r>
      <w:r w:rsidR="00D513AE" w:rsidRPr="00D513AE">
        <w:rPr>
          <w:rFonts w:ascii="Arial" w:eastAsia="Times New Roman" w:hAnsi="Arial" w:cs="Arial"/>
          <w:b/>
          <w:bCs/>
        </w:rPr>
        <w:t>Behavioral</w:t>
      </w:r>
      <w:r w:rsidR="00CA17F4" w:rsidRPr="00D513AE">
        <w:rPr>
          <w:rFonts w:ascii="Arial" w:eastAsia="Times New Roman" w:hAnsi="Arial" w:cs="Arial"/>
          <w:b/>
          <w:bCs/>
        </w:rPr>
        <w:t xml:space="preserve"> </w:t>
      </w:r>
      <w:proofErr w:type="spellStart"/>
      <w:r w:rsidR="00CA17F4" w:rsidRPr="00D513AE">
        <w:rPr>
          <w:rFonts w:ascii="Arial" w:eastAsia="Times New Roman" w:hAnsi="Arial" w:cs="Arial"/>
          <w:b/>
          <w:bCs/>
        </w:rPr>
        <w:t>Programmes</w:t>
      </w:r>
      <w:proofErr w:type="spellEnd"/>
    </w:p>
    <w:p w14:paraId="367E67B2"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Integrating preventive, low-carbon lifestyle initiatives into health systems can deliver dual benefits. Encouraging </w:t>
      </w:r>
      <w:r w:rsidRPr="003E345F">
        <w:rPr>
          <w:rFonts w:ascii="Arial" w:eastAsia="Times New Roman" w:hAnsi="Arial" w:cs="Arial"/>
          <w:bCs/>
        </w:rPr>
        <w:t>active transport</w:t>
      </w:r>
      <w:r w:rsidRPr="00CA17F4">
        <w:rPr>
          <w:rFonts w:ascii="Arial" w:eastAsia="Times New Roman" w:hAnsi="Arial" w:cs="Arial"/>
        </w:rPr>
        <w:t xml:space="preserve">, </w:t>
      </w:r>
      <w:r w:rsidRPr="003E345F">
        <w:rPr>
          <w:rFonts w:ascii="Arial" w:eastAsia="Times New Roman" w:hAnsi="Arial" w:cs="Arial"/>
          <w:bCs/>
        </w:rPr>
        <w:t>plant-based diets</w:t>
      </w:r>
      <w:r w:rsidRPr="00CA17F4">
        <w:rPr>
          <w:rFonts w:ascii="Arial" w:eastAsia="Times New Roman" w:hAnsi="Arial" w:cs="Arial"/>
        </w:rPr>
        <w:t xml:space="preserve">, and </w:t>
      </w:r>
      <w:r w:rsidRPr="003E345F">
        <w:rPr>
          <w:rFonts w:ascii="Arial" w:eastAsia="Times New Roman" w:hAnsi="Arial" w:cs="Arial"/>
          <w:bCs/>
        </w:rPr>
        <w:t>energy-efficient living</w:t>
      </w:r>
      <w:r w:rsidRPr="00CA17F4">
        <w:rPr>
          <w:rFonts w:ascii="Arial" w:eastAsia="Times New Roman" w:hAnsi="Arial" w:cs="Arial"/>
        </w:rPr>
        <w:t xml:space="preserve"> would reduce chronic disease rates while cutting emissions (Royal College of Physicians, 2022). The </w:t>
      </w:r>
      <w:r w:rsidRPr="003E345F">
        <w:rPr>
          <w:rFonts w:ascii="Arial" w:eastAsia="Times New Roman" w:hAnsi="Arial" w:cs="Arial"/>
          <w:bCs/>
        </w:rPr>
        <w:t xml:space="preserve">Greener NHS </w:t>
      </w:r>
      <w:proofErr w:type="spellStart"/>
      <w:r w:rsidRPr="003E345F">
        <w:rPr>
          <w:rFonts w:ascii="Arial" w:eastAsia="Times New Roman" w:hAnsi="Arial" w:cs="Arial"/>
          <w:bCs/>
        </w:rPr>
        <w:t>Programme</w:t>
      </w:r>
      <w:proofErr w:type="spellEnd"/>
      <w:r w:rsidRPr="00CA17F4">
        <w:rPr>
          <w:rFonts w:ascii="Arial" w:eastAsia="Times New Roman" w:hAnsi="Arial" w:cs="Arial"/>
        </w:rPr>
        <w:t xml:space="preserve"> has made significant progress in </w:t>
      </w:r>
      <w:proofErr w:type="spellStart"/>
      <w:r w:rsidRPr="00CA17F4">
        <w:rPr>
          <w:rFonts w:ascii="Arial" w:eastAsia="Times New Roman" w:hAnsi="Arial" w:cs="Arial"/>
        </w:rPr>
        <w:t>decarbonising</w:t>
      </w:r>
      <w:proofErr w:type="spellEnd"/>
      <w:r w:rsidRPr="00CA17F4">
        <w:rPr>
          <w:rFonts w:ascii="Arial" w:eastAsia="Times New Roman" w:hAnsi="Arial" w:cs="Arial"/>
        </w:rPr>
        <w:t xml:space="preserve"> healthcare operations but should now incorporate community-based prevention initiatives promoting sustainability and wellbeing (NHS England, 2023).</w:t>
      </w:r>
    </w:p>
    <w:p w14:paraId="2A5CE943" w14:textId="77777777" w:rsidR="00CA17F4" w:rsidRPr="00CA17F4" w:rsidRDefault="00720B3B" w:rsidP="00D513AE">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5.4 </w:t>
      </w:r>
      <w:r w:rsidR="00CA17F4" w:rsidRPr="00D513AE">
        <w:rPr>
          <w:rFonts w:ascii="Arial" w:eastAsia="Times New Roman" w:hAnsi="Arial" w:cs="Arial"/>
          <w:b/>
          <w:bCs/>
        </w:rPr>
        <w:t>Improve Monitoring, Data Transparency, and Public Engagement</w:t>
      </w:r>
    </w:p>
    <w:p w14:paraId="496D81C3" w14:textId="77777777" w:rsid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Effective implementation depends on robust evaluation and citizen involvement. Local authorities should adopt </w:t>
      </w:r>
      <w:r w:rsidRPr="003E345F">
        <w:rPr>
          <w:rFonts w:ascii="Arial" w:eastAsia="Times New Roman" w:hAnsi="Arial" w:cs="Arial"/>
          <w:bCs/>
        </w:rPr>
        <w:t>climate–health indicators</w:t>
      </w:r>
      <w:r w:rsidRPr="00CA17F4">
        <w:rPr>
          <w:rFonts w:ascii="Arial" w:eastAsia="Times New Roman" w:hAnsi="Arial" w:cs="Arial"/>
        </w:rPr>
        <w:t xml:space="preserve"> aligned with SDG metrics and publish annual progress reports. Citizen science projects and participatory mapping could enhance accountability and empower communities to monitor local air quality and green access (Natural England, 2023). Moreover, sustained </w:t>
      </w:r>
      <w:r w:rsidRPr="003E345F">
        <w:rPr>
          <w:rFonts w:ascii="Arial" w:eastAsia="Times New Roman" w:hAnsi="Arial" w:cs="Arial"/>
          <w:bCs/>
        </w:rPr>
        <w:t>public education campaigns</w:t>
      </w:r>
      <w:r w:rsidRPr="00CA17F4">
        <w:rPr>
          <w:rFonts w:ascii="Arial" w:eastAsia="Times New Roman" w:hAnsi="Arial" w:cs="Arial"/>
        </w:rPr>
        <w:t xml:space="preserve"> linking environmental protection to personal health would encourage lasting </w:t>
      </w:r>
      <w:r w:rsidR="00D513AE" w:rsidRPr="00CA17F4">
        <w:rPr>
          <w:rFonts w:ascii="Arial" w:eastAsia="Times New Roman" w:hAnsi="Arial" w:cs="Arial"/>
        </w:rPr>
        <w:t>behavioral</w:t>
      </w:r>
      <w:r w:rsidRPr="00CA17F4">
        <w:rPr>
          <w:rFonts w:ascii="Arial" w:eastAsia="Times New Roman" w:hAnsi="Arial" w:cs="Arial"/>
        </w:rPr>
        <w:t xml:space="preserve"> change and promote community ownership (Health Foundation, 2023).</w:t>
      </w:r>
    </w:p>
    <w:p w14:paraId="0917E831" w14:textId="77777777" w:rsidR="00720B3B" w:rsidRPr="00CA17F4" w:rsidRDefault="00720B3B" w:rsidP="00D513AE">
      <w:pPr>
        <w:spacing w:before="100" w:beforeAutospacing="1" w:after="100" w:afterAutospacing="1" w:line="360" w:lineRule="auto"/>
        <w:jc w:val="both"/>
        <w:rPr>
          <w:rFonts w:ascii="Arial" w:eastAsia="Times New Roman" w:hAnsi="Arial" w:cs="Arial"/>
        </w:rPr>
      </w:pPr>
    </w:p>
    <w:p w14:paraId="753344D0" w14:textId="77777777" w:rsidR="00CA17F4" w:rsidRPr="00CA17F4" w:rsidRDefault="003E345F" w:rsidP="00D513AE">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6. Conclusion</w:t>
      </w:r>
    </w:p>
    <w:p w14:paraId="4AE3D56D"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The interconnection between </w:t>
      </w:r>
      <w:r w:rsidRPr="003E345F">
        <w:rPr>
          <w:rFonts w:ascii="Arial" w:eastAsia="Times New Roman" w:hAnsi="Arial" w:cs="Arial"/>
          <w:bCs/>
        </w:rPr>
        <w:t>SDG 3 (Good Health and Wellbeing)</w:t>
      </w:r>
      <w:r w:rsidRPr="00CA17F4">
        <w:rPr>
          <w:rFonts w:ascii="Arial" w:eastAsia="Times New Roman" w:hAnsi="Arial" w:cs="Arial"/>
        </w:rPr>
        <w:t xml:space="preserve"> and </w:t>
      </w:r>
      <w:r w:rsidRPr="003E345F">
        <w:rPr>
          <w:rFonts w:ascii="Arial" w:eastAsia="Times New Roman" w:hAnsi="Arial" w:cs="Arial"/>
          <w:bCs/>
        </w:rPr>
        <w:t>SDG 13 (Climate Action)</w:t>
      </w:r>
      <w:r w:rsidRPr="00CA17F4">
        <w:rPr>
          <w:rFonts w:ascii="Arial" w:eastAsia="Times New Roman" w:hAnsi="Arial" w:cs="Arial"/>
        </w:rPr>
        <w:t xml:space="preserve"> highlights that improving population health depends on tackling environmental and climate challenges. In the UK, policies such as the </w:t>
      </w:r>
      <w:r w:rsidRPr="003E345F">
        <w:rPr>
          <w:rFonts w:ascii="Arial" w:eastAsia="Times New Roman" w:hAnsi="Arial" w:cs="Arial"/>
          <w:bCs/>
        </w:rPr>
        <w:t>Net Zero Strategy (2021)</w:t>
      </w:r>
      <w:r w:rsidRPr="00CA17F4">
        <w:rPr>
          <w:rFonts w:ascii="Arial" w:eastAsia="Times New Roman" w:hAnsi="Arial" w:cs="Arial"/>
        </w:rPr>
        <w:t xml:space="preserve"> and the </w:t>
      </w:r>
      <w:r w:rsidRPr="003E345F">
        <w:rPr>
          <w:rFonts w:ascii="Arial" w:eastAsia="Times New Roman" w:hAnsi="Arial" w:cs="Arial"/>
          <w:bCs/>
        </w:rPr>
        <w:t xml:space="preserve">Greener NHS </w:t>
      </w:r>
      <w:proofErr w:type="spellStart"/>
      <w:r w:rsidRPr="003E345F">
        <w:rPr>
          <w:rFonts w:ascii="Arial" w:eastAsia="Times New Roman" w:hAnsi="Arial" w:cs="Arial"/>
          <w:bCs/>
        </w:rPr>
        <w:t>Programme</w:t>
      </w:r>
      <w:proofErr w:type="spellEnd"/>
      <w:r w:rsidRPr="00CA17F4">
        <w:rPr>
          <w:rFonts w:ascii="Arial" w:eastAsia="Times New Roman" w:hAnsi="Arial" w:cs="Arial"/>
        </w:rPr>
        <w:t xml:space="preserve"> show growing recognition that health and sustainability goals must be pursued together.</w:t>
      </w:r>
    </w:p>
    <w:p w14:paraId="217F85CD"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At the national level, initiatives to reduce emissions, improve air quality, and adapt to climate risks have achieved measurable progress. However, fragmented coordination, funding limitations, and persistent health inequalities continue to restrict impact (House of Commons Environmental Audit Committee, 2023).</w:t>
      </w:r>
    </w:p>
    <w:p w14:paraId="343CBCBA" w14:textId="77777777" w:rsidR="00CA17F4" w:rsidRPr="00CA17F4"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Locally, London provides a strong example of progress through actions like the </w:t>
      </w:r>
      <w:r w:rsidR="003E345F" w:rsidRPr="003E345F">
        <w:rPr>
          <w:rFonts w:ascii="Arial" w:eastAsia="Times New Roman" w:hAnsi="Arial" w:cs="Arial"/>
          <w:bCs/>
        </w:rPr>
        <w:t>Ultra-Low</w:t>
      </w:r>
      <w:r w:rsidRPr="003E345F">
        <w:rPr>
          <w:rFonts w:ascii="Arial" w:eastAsia="Times New Roman" w:hAnsi="Arial" w:cs="Arial"/>
          <w:bCs/>
        </w:rPr>
        <w:t xml:space="preserve"> Emission Zone</w:t>
      </w:r>
      <w:r w:rsidRPr="00CA17F4">
        <w:rPr>
          <w:rFonts w:ascii="Arial" w:eastAsia="Times New Roman" w:hAnsi="Arial" w:cs="Arial"/>
        </w:rPr>
        <w:t xml:space="preserve"> and green infrastructure development, which have improved air quality and wellbeing (Mayor of London, 2023). Yet, more consistent implementation across regions and greater equity in access to environmental and health benefits are still needed.</w:t>
      </w:r>
    </w:p>
    <w:p w14:paraId="1920E857" w14:textId="77777777" w:rsidR="00D513AE" w:rsidRDefault="00CA17F4"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Overall, the UK must continue to strengthen cross-sector integration, focus on vulnerable communities, and engage citizens in sustainable </w:t>
      </w:r>
      <w:r w:rsidR="00D513AE" w:rsidRPr="00CA17F4">
        <w:rPr>
          <w:rFonts w:ascii="Arial" w:eastAsia="Times New Roman" w:hAnsi="Arial" w:cs="Arial"/>
        </w:rPr>
        <w:t>behaviors</w:t>
      </w:r>
      <w:r w:rsidRPr="00CA17F4">
        <w:rPr>
          <w:rFonts w:ascii="Arial" w:eastAsia="Times New Roman" w:hAnsi="Arial" w:cs="Arial"/>
        </w:rPr>
        <w:t>. By aligning health improvement with climate resilience, the UK can make meaningful progress to</w:t>
      </w:r>
      <w:r w:rsidR="00267205">
        <w:rPr>
          <w:rFonts w:ascii="Arial" w:eastAsia="Times New Roman" w:hAnsi="Arial" w:cs="Arial"/>
        </w:rPr>
        <w:t>ward achieving SDG 3 and SDG 13</w:t>
      </w:r>
    </w:p>
    <w:p w14:paraId="1E7E10FF" w14:textId="77777777" w:rsidR="00D513AE" w:rsidRDefault="00D513AE" w:rsidP="00D513AE">
      <w:pPr>
        <w:spacing w:before="100" w:beforeAutospacing="1" w:after="100" w:afterAutospacing="1" w:line="360" w:lineRule="auto"/>
        <w:jc w:val="both"/>
        <w:rPr>
          <w:rFonts w:ascii="Arial" w:eastAsia="Times New Roman" w:hAnsi="Arial" w:cs="Arial"/>
        </w:rPr>
      </w:pPr>
    </w:p>
    <w:p w14:paraId="655ED3BC" w14:textId="77777777" w:rsidR="00720B3B" w:rsidRDefault="00720B3B" w:rsidP="00D513AE">
      <w:pPr>
        <w:spacing w:before="100" w:beforeAutospacing="1" w:after="100" w:afterAutospacing="1" w:line="360" w:lineRule="auto"/>
        <w:jc w:val="both"/>
        <w:rPr>
          <w:rFonts w:ascii="Arial" w:eastAsia="Times New Roman" w:hAnsi="Arial" w:cs="Arial"/>
        </w:rPr>
      </w:pPr>
    </w:p>
    <w:p w14:paraId="01EDCFFB" w14:textId="77777777" w:rsidR="00720B3B" w:rsidRDefault="00720B3B" w:rsidP="00D513AE">
      <w:pPr>
        <w:spacing w:before="100" w:beforeAutospacing="1" w:after="100" w:afterAutospacing="1" w:line="360" w:lineRule="auto"/>
        <w:jc w:val="both"/>
        <w:rPr>
          <w:rFonts w:ascii="Arial" w:eastAsia="Times New Roman" w:hAnsi="Arial" w:cs="Arial"/>
        </w:rPr>
      </w:pPr>
    </w:p>
    <w:p w14:paraId="1B508D41" w14:textId="77777777" w:rsidR="00720B3B" w:rsidRDefault="00720B3B" w:rsidP="00D513AE">
      <w:pPr>
        <w:spacing w:before="100" w:beforeAutospacing="1" w:after="100" w:afterAutospacing="1" w:line="360" w:lineRule="auto"/>
        <w:jc w:val="both"/>
        <w:rPr>
          <w:rFonts w:ascii="Arial" w:eastAsia="Times New Roman" w:hAnsi="Arial" w:cs="Arial"/>
        </w:rPr>
      </w:pPr>
    </w:p>
    <w:p w14:paraId="7C47AB83" w14:textId="77777777" w:rsidR="00720B3B" w:rsidRDefault="00720B3B" w:rsidP="00D513AE">
      <w:pPr>
        <w:spacing w:before="100" w:beforeAutospacing="1" w:after="100" w:afterAutospacing="1" w:line="360" w:lineRule="auto"/>
        <w:jc w:val="both"/>
        <w:rPr>
          <w:rFonts w:ascii="Arial" w:eastAsia="Times New Roman" w:hAnsi="Arial" w:cs="Arial"/>
        </w:rPr>
      </w:pPr>
    </w:p>
    <w:p w14:paraId="648BBA92" w14:textId="77777777" w:rsidR="00720B3B" w:rsidRDefault="00720B3B" w:rsidP="00D513AE">
      <w:pPr>
        <w:spacing w:before="100" w:beforeAutospacing="1" w:after="100" w:afterAutospacing="1" w:line="360" w:lineRule="auto"/>
        <w:jc w:val="both"/>
        <w:rPr>
          <w:rFonts w:ascii="Arial" w:eastAsia="Times New Roman" w:hAnsi="Arial" w:cs="Arial"/>
        </w:rPr>
      </w:pPr>
    </w:p>
    <w:p w14:paraId="5F816826" w14:textId="77777777" w:rsidR="00720B3B" w:rsidRDefault="00720B3B" w:rsidP="00D513AE">
      <w:pPr>
        <w:spacing w:before="100" w:beforeAutospacing="1" w:after="100" w:afterAutospacing="1" w:line="360" w:lineRule="auto"/>
        <w:jc w:val="both"/>
        <w:rPr>
          <w:rFonts w:ascii="Arial" w:eastAsia="Times New Roman" w:hAnsi="Arial" w:cs="Arial"/>
        </w:rPr>
      </w:pPr>
    </w:p>
    <w:p w14:paraId="02857657" w14:textId="77777777" w:rsidR="00720B3B" w:rsidRDefault="00720B3B" w:rsidP="00D513AE">
      <w:pPr>
        <w:spacing w:before="100" w:beforeAutospacing="1" w:after="100" w:afterAutospacing="1" w:line="360" w:lineRule="auto"/>
        <w:jc w:val="both"/>
        <w:rPr>
          <w:rFonts w:ascii="Arial" w:eastAsia="Times New Roman" w:hAnsi="Arial" w:cs="Arial"/>
        </w:rPr>
      </w:pPr>
    </w:p>
    <w:p w14:paraId="551996BC" w14:textId="77777777" w:rsidR="00720B3B" w:rsidRPr="00CA17F4" w:rsidRDefault="00720B3B" w:rsidP="00D513AE">
      <w:pPr>
        <w:spacing w:before="100" w:beforeAutospacing="1" w:after="100" w:afterAutospacing="1" w:line="360" w:lineRule="auto"/>
        <w:jc w:val="both"/>
        <w:rPr>
          <w:rFonts w:ascii="Arial" w:eastAsia="Times New Roman" w:hAnsi="Arial" w:cs="Arial"/>
        </w:rPr>
      </w:pPr>
    </w:p>
    <w:p w14:paraId="51B88DCE" w14:textId="77777777" w:rsidR="003E345F" w:rsidRDefault="00CA17F4" w:rsidP="003E345F">
      <w:pPr>
        <w:spacing w:before="100" w:beforeAutospacing="1" w:after="100" w:afterAutospacing="1" w:line="360" w:lineRule="auto"/>
        <w:jc w:val="both"/>
        <w:outlineLvl w:val="1"/>
        <w:rPr>
          <w:rFonts w:ascii="Arial" w:eastAsia="Times New Roman" w:hAnsi="Arial" w:cs="Arial"/>
          <w:b/>
          <w:bCs/>
        </w:rPr>
      </w:pPr>
      <w:r w:rsidRPr="00D513AE">
        <w:rPr>
          <w:rFonts w:ascii="Arial" w:eastAsia="Times New Roman" w:hAnsi="Arial" w:cs="Arial"/>
          <w:b/>
          <w:bCs/>
        </w:rPr>
        <w:t>Refe</w:t>
      </w:r>
      <w:r w:rsidR="00D513AE">
        <w:rPr>
          <w:rFonts w:ascii="Arial" w:eastAsia="Times New Roman" w:hAnsi="Arial" w:cs="Arial"/>
          <w:b/>
          <w:bCs/>
        </w:rPr>
        <w:t>rences</w:t>
      </w:r>
    </w:p>
    <w:p w14:paraId="3024EAB5" w14:textId="77777777" w:rsidR="003E345F" w:rsidRPr="003E345F" w:rsidRDefault="003E345F" w:rsidP="003E345F">
      <w:pPr>
        <w:spacing w:before="100" w:beforeAutospacing="1" w:after="100" w:afterAutospacing="1" w:line="360" w:lineRule="auto"/>
        <w:jc w:val="both"/>
        <w:outlineLvl w:val="1"/>
        <w:rPr>
          <w:rFonts w:ascii="Arial" w:eastAsia="Times New Roman" w:hAnsi="Arial" w:cs="Arial"/>
          <w:b/>
          <w:bCs/>
        </w:rPr>
      </w:pPr>
      <w:r>
        <w:rPr>
          <w:rFonts w:ascii="Arial" w:hAnsi="Arial" w:cs="Arial"/>
        </w:rPr>
        <w:tab/>
      </w:r>
    </w:p>
    <w:p w14:paraId="134CF78D"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Carter, J., Handley, J., Kazmierczak, A. and Lindley, S. (2022) </w:t>
      </w:r>
      <w:r w:rsidRPr="00D513AE">
        <w:rPr>
          <w:rFonts w:ascii="Arial" w:eastAsia="Times New Roman" w:hAnsi="Arial" w:cs="Arial"/>
          <w:i/>
          <w:iCs/>
        </w:rPr>
        <w:t>Urban Climate Resilience and Social Equity: Lessons from UK Cities</w:t>
      </w:r>
      <w:r w:rsidRPr="00CA17F4">
        <w:rPr>
          <w:rFonts w:ascii="Arial" w:eastAsia="Times New Roman" w:hAnsi="Arial" w:cs="Arial"/>
        </w:rPr>
        <w:t>. Manchester: University of Manchester.</w:t>
      </w:r>
    </w:p>
    <w:p w14:paraId="0AC18EE1"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Department for Business, Energy and Industrial Strategy (BEIS) (2021) </w:t>
      </w:r>
      <w:r w:rsidRPr="00D513AE">
        <w:rPr>
          <w:rFonts w:ascii="Arial" w:eastAsia="Times New Roman" w:hAnsi="Arial" w:cs="Arial"/>
          <w:i/>
          <w:iCs/>
        </w:rPr>
        <w:t>Net Zero Strategy: Build Back Greener</w:t>
      </w:r>
      <w:r w:rsidRPr="00CA17F4">
        <w:rPr>
          <w:rFonts w:ascii="Arial" w:eastAsia="Times New Roman" w:hAnsi="Arial" w:cs="Arial"/>
        </w:rPr>
        <w:t>. London: UK Government.</w:t>
      </w:r>
    </w:p>
    <w:p w14:paraId="3E92F91F"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Greater London Authority (GLA) (2018) </w:t>
      </w:r>
      <w:r w:rsidRPr="00D513AE">
        <w:rPr>
          <w:rFonts w:ascii="Arial" w:eastAsia="Times New Roman" w:hAnsi="Arial" w:cs="Arial"/>
          <w:i/>
          <w:iCs/>
        </w:rPr>
        <w:t>London Environment Strategy</w:t>
      </w:r>
      <w:r w:rsidRPr="00CA17F4">
        <w:rPr>
          <w:rFonts w:ascii="Arial" w:eastAsia="Times New Roman" w:hAnsi="Arial" w:cs="Arial"/>
        </w:rPr>
        <w:t>. London: Greater London Authority. Available at: https://www.lon</w:t>
      </w:r>
      <w:r w:rsidR="00AA268B">
        <w:rPr>
          <w:rFonts w:ascii="Arial" w:eastAsia="Times New Roman" w:hAnsi="Arial" w:cs="Arial"/>
        </w:rPr>
        <w:t>don.gov.uk.</w:t>
      </w:r>
    </w:p>
    <w:p w14:paraId="276BFA9F" w14:textId="77777777" w:rsidR="00AA268B"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Greater London Authority (GLA) (2018) </w:t>
      </w:r>
      <w:r w:rsidRPr="00D513AE">
        <w:rPr>
          <w:rFonts w:ascii="Arial" w:eastAsia="Times New Roman" w:hAnsi="Arial" w:cs="Arial"/>
          <w:i/>
          <w:iCs/>
        </w:rPr>
        <w:t>The Mayor’s Health Inequalities Strategy: Better Health for All Londoners</w:t>
      </w:r>
      <w:r w:rsidRPr="00CA17F4">
        <w:rPr>
          <w:rFonts w:ascii="Arial" w:eastAsia="Times New Roman" w:hAnsi="Arial" w:cs="Arial"/>
        </w:rPr>
        <w:t>. London: Greater London Authority. Availabl</w:t>
      </w:r>
      <w:r w:rsidR="00AA268B">
        <w:rPr>
          <w:rFonts w:ascii="Arial" w:eastAsia="Times New Roman" w:hAnsi="Arial" w:cs="Arial"/>
        </w:rPr>
        <w:t>e at: https://www.london.gov.uk.</w:t>
      </w:r>
    </w:p>
    <w:p w14:paraId="747A6FDD"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Health Foundation (2023) </w:t>
      </w:r>
      <w:r w:rsidRPr="00D513AE">
        <w:rPr>
          <w:rFonts w:ascii="Arial" w:eastAsia="Times New Roman" w:hAnsi="Arial" w:cs="Arial"/>
          <w:i/>
          <w:iCs/>
        </w:rPr>
        <w:t>Building a Healthier, Fairer Future: Integrating Sustainability into Public Health</w:t>
      </w:r>
      <w:r w:rsidRPr="00CA17F4">
        <w:rPr>
          <w:rFonts w:ascii="Arial" w:eastAsia="Times New Roman" w:hAnsi="Arial" w:cs="Arial"/>
        </w:rPr>
        <w:t>. London: The Health Foundation.</w:t>
      </w:r>
    </w:p>
    <w:p w14:paraId="182263C7"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House of Commons Environmental Audit Committee (2023) </w:t>
      </w:r>
      <w:r w:rsidRPr="00D513AE">
        <w:rPr>
          <w:rFonts w:ascii="Arial" w:eastAsia="Times New Roman" w:hAnsi="Arial" w:cs="Arial"/>
          <w:i/>
          <w:iCs/>
        </w:rPr>
        <w:t>Environmental Health and Climate Change Report</w:t>
      </w:r>
      <w:r w:rsidRPr="00CA17F4">
        <w:rPr>
          <w:rFonts w:ascii="Arial" w:eastAsia="Times New Roman" w:hAnsi="Arial" w:cs="Arial"/>
        </w:rPr>
        <w:t>. London: UK Parliament.</w:t>
      </w:r>
    </w:p>
    <w:p w14:paraId="7A5A91BF"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London Assembly (2023) </w:t>
      </w:r>
      <w:r w:rsidRPr="00D513AE">
        <w:rPr>
          <w:rFonts w:ascii="Arial" w:eastAsia="Times New Roman" w:hAnsi="Arial" w:cs="Arial"/>
          <w:i/>
          <w:iCs/>
        </w:rPr>
        <w:t>Active Travel and Transport Equity Report 2023</w:t>
      </w:r>
      <w:r w:rsidRPr="00CA17F4">
        <w:rPr>
          <w:rFonts w:ascii="Arial" w:eastAsia="Times New Roman" w:hAnsi="Arial" w:cs="Arial"/>
        </w:rPr>
        <w:t>. London: London Assembly. Availabl</w:t>
      </w:r>
      <w:r w:rsidR="00AA268B">
        <w:rPr>
          <w:rFonts w:ascii="Arial" w:eastAsia="Times New Roman" w:hAnsi="Arial" w:cs="Arial"/>
        </w:rPr>
        <w:t>e at: https://www.london.gov.uk.</w:t>
      </w:r>
    </w:p>
    <w:p w14:paraId="7F963F06"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London Climate Resilience Review (2023) </w:t>
      </w:r>
      <w:r w:rsidRPr="00D513AE">
        <w:rPr>
          <w:rFonts w:ascii="Arial" w:eastAsia="Times New Roman" w:hAnsi="Arial" w:cs="Arial"/>
          <w:i/>
          <w:iCs/>
        </w:rPr>
        <w:t>London Climate Resilience Review: Interim Findings</w:t>
      </w:r>
      <w:r w:rsidRPr="00CA17F4">
        <w:rPr>
          <w:rFonts w:ascii="Arial" w:eastAsia="Times New Roman" w:hAnsi="Arial" w:cs="Arial"/>
        </w:rPr>
        <w:t>. London: Mayor of London. Availabl</w:t>
      </w:r>
      <w:r w:rsidR="00AA268B">
        <w:rPr>
          <w:rFonts w:ascii="Arial" w:eastAsia="Times New Roman" w:hAnsi="Arial" w:cs="Arial"/>
        </w:rPr>
        <w:t>e at: https://www.london.gov.uk.</w:t>
      </w:r>
    </w:p>
    <w:p w14:paraId="41FCC5EF"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Mayor of London (2023) </w:t>
      </w:r>
      <w:r w:rsidRPr="00D513AE">
        <w:rPr>
          <w:rFonts w:ascii="Arial" w:eastAsia="Times New Roman" w:hAnsi="Arial" w:cs="Arial"/>
          <w:i/>
          <w:iCs/>
        </w:rPr>
        <w:t>ULEZ Expansion Report: Air Quality and Health Impacts 2023</w:t>
      </w:r>
      <w:r w:rsidRPr="00CA17F4">
        <w:rPr>
          <w:rFonts w:ascii="Arial" w:eastAsia="Times New Roman" w:hAnsi="Arial" w:cs="Arial"/>
        </w:rPr>
        <w:t>. London: Greater London Authority. Availabl</w:t>
      </w:r>
      <w:r w:rsidR="00AA268B">
        <w:rPr>
          <w:rFonts w:ascii="Arial" w:eastAsia="Times New Roman" w:hAnsi="Arial" w:cs="Arial"/>
        </w:rPr>
        <w:t>e at: https://www.london.gov.uk.</w:t>
      </w:r>
    </w:p>
    <w:p w14:paraId="19424C4D"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proofErr w:type="spellStart"/>
      <w:r w:rsidRPr="00CA17F4">
        <w:rPr>
          <w:rFonts w:ascii="Arial" w:eastAsia="Times New Roman" w:hAnsi="Arial" w:cs="Arial"/>
        </w:rPr>
        <w:t>Mudway</w:t>
      </w:r>
      <w:proofErr w:type="spellEnd"/>
      <w:r w:rsidRPr="00CA17F4">
        <w:rPr>
          <w:rFonts w:ascii="Arial" w:eastAsia="Times New Roman" w:hAnsi="Arial" w:cs="Arial"/>
        </w:rPr>
        <w:t xml:space="preserve">, I.S., Dundas, I., Wood, H.E. et al. (2023) ‘Impact of the London Ultra Low Emission Zone on childhood asthma admissions and respiratory health’, </w:t>
      </w:r>
      <w:r w:rsidRPr="00D513AE">
        <w:rPr>
          <w:rFonts w:ascii="Arial" w:eastAsia="Times New Roman" w:hAnsi="Arial" w:cs="Arial"/>
          <w:i/>
          <w:iCs/>
        </w:rPr>
        <w:t>BMJ</w:t>
      </w:r>
      <w:r w:rsidRPr="00CA17F4">
        <w:rPr>
          <w:rFonts w:ascii="Arial" w:eastAsia="Times New Roman" w:hAnsi="Arial" w:cs="Arial"/>
        </w:rPr>
        <w:t>, 382, p. e075732. doi:10.1136/bmj-2022-075732.</w:t>
      </w:r>
    </w:p>
    <w:p w14:paraId="1F75DDB9"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Natural England (2023) </w:t>
      </w:r>
      <w:r w:rsidRPr="00D513AE">
        <w:rPr>
          <w:rFonts w:ascii="Arial" w:eastAsia="Times New Roman" w:hAnsi="Arial" w:cs="Arial"/>
          <w:i/>
          <w:iCs/>
        </w:rPr>
        <w:t>Green Infrastructure Framework: Principles and Standards for England</w:t>
      </w:r>
      <w:r w:rsidRPr="00CA17F4">
        <w:rPr>
          <w:rFonts w:ascii="Arial" w:eastAsia="Times New Roman" w:hAnsi="Arial" w:cs="Arial"/>
        </w:rPr>
        <w:t>. London: Natural England. Available at: https://www.gov.uk/natural-engl</w:t>
      </w:r>
      <w:r w:rsidR="00AA268B">
        <w:rPr>
          <w:rFonts w:ascii="Arial" w:eastAsia="Times New Roman" w:hAnsi="Arial" w:cs="Arial"/>
        </w:rPr>
        <w:t>and.</w:t>
      </w:r>
    </w:p>
    <w:p w14:paraId="07C7BB15" w14:textId="77777777" w:rsidR="00AA268B"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NHS England (2023) </w:t>
      </w:r>
      <w:r w:rsidRPr="00D513AE">
        <w:rPr>
          <w:rFonts w:ascii="Arial" w:eastAsia="Times New Roman" w:hAnsi="Arial" w:cs="Arial"/>
          <w:i/>
          <w:iCs/>
        </w:rPr>
        <w:t>Delivering a Greener NHS: 2023 Progress Report</w:t>
      </w:r>
      <w:r w:rsidRPr="00CA17F4">
        <w:rPr>
          <w:rFonts w:ascii="Arial" w:eastAsia="Times New Roman" w:hAnsi="Arial" w:cs="Arial"/>
        </w:rPr>
        <w:t>. London: NHS England. Available at: https:</w:t>
      </w:r>
      <w:r w:rsidR="00AA268B">
        <w:rPr>
          <w:rFonts w:ascii="Arial" w:eastAsia="Times New Roman" w:hAnsi="Arial" w:cs="Arial"/>
        </w:rPr>
        <w:t>//www.england.nhs.uk/greenernhs.</w:t>
      </w:r>
    </w:p>
    <w:p w14:paraId="1460C2F0" w14:textId="77777777" w:rsidR="00AA268B"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Public Health England (PHE) (2021) </w:t>
      </w:r>
      <w:r w:rsidRPr="00D513AE">
        <w:rPr>
          <w:rFonts w:ascii="Arial" w:eastAsia="Times New Roman" w:hAnsi="Arial" w:cs="Arial"/>
          <w:i/>
          <w:iCs/>
        </w:rPr>
        <w:t>Heatwave Plan for England: Protecting Health and Reducing Harm from Severe Heat and Heatwaves</w:t>
      </w:r>
      <w:r w:rsidRPr="00CA17F4">
        <w:rPr>
          <w:rFonts w:ascii="Arial" w:eastAsia="Times New Roman" w:hAnsi="Arial" w:cs="Arial"/>
        </w:rPr>
        <w:t xml:space="preserve">. London: PHE. Available at: https://www.gov.uk/phe </w:t>
      </w:r>
    </w:p>
    <w:p w14:paraId="5F232E67"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Royal College of Physicians (2022) </w:t>
      </w:r>
      <w:r w:rsidRPr="00D513AE">
        <w:rPr>
          <w:rFonts w:ascii="Arial" w:eastAsia="Times New Roman" w:hAnsi="Arial" w:cs="Arial"/>
          <w:i/>
          <w:iCs/>
        </w:rPr>
        <w:t>Health and Climate Change: Policy Recommendations for a Sustainable NHS</w:t>
      </w:r>
      <w:r w:rsidRPr="00CA17F4">
        <w:rPr>
          <w:rFonts w:ascii="Arial" w:eastAsia="Times New Roman" w:hAnsi="Arial" w:cs="Arial"/>
        </w:rPr>
        <w:t>. London: Royal College of Physicians.</w:t>
      </w:r>
    </w:p>
    <w:p w14:paraId="63B80E9E"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Transport for London (TfL) (2022) </w:t>
      </w:r>
      <w:r w:rsidRPr="00D513AE">
        <w:rPr>
          <w:rFonts w:ascii="Arial" w:eastAsia="Times New Roman" w:hAnsi="Arial" w:cs="Arial"/>
          <w:i/>
          <w:iCs/>
        </w:rPr>
        <w:t>Walking and Cycling Plan: Healthy Streets for London</w:t>
      </w:r>
      <w:r w:rsidRPr="00CA17F4">
        <w:rPr>
          <w:rFonts w:ascii="Arial" w:eastAsia="Times New Roman" w:hAnsi="Arial" w:cs="Arial"/>
        </w:rPr>
        <w:t xml:space="preserve">. London: Transport for London. Available at: https://tfl.gov.uk </w:t>
      </w:r>
    </w:p>
    <w:p w14:paraId="27159E23"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UK Government (2022) </w:t>
      </w:r>
      <w:r w:rsidRPr="00D513AE">
        <w:rPr>
          <w:rFonts w:ascii="Arial" w:eastAsia="Times New Roman" w:hAnsi="Arial" w:cs="Arial"/>
          <w:i/>
          <w:iCs/>
        </w:rPr>
        <w:t>Health and Care Act 2022</w:t>
      </w:r>
      <w:r w:rsidRPr="00CA17F4">
        <w:rPr>
          <w:rFonts w:ascii="Arial" w:eastAsia="Times New Roman" w:hAnsi="Arial" w:cs="Arial"/>
        </w:rPr>
        <w:t>. London: The Stationery Office.</w:t>
      </w:r>
    </w:p>
    <w:p w14:paraId="03607D49"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UK Health Security Agency (UKHSA) (2023) </w:t>
      </w:r>
      <w:r w:rsidRPr="00D513AE">
        <w:rPr>
          <w:rFonts w:ascii="Arial" w:eastAsia="Times New Roman" w:hAnsi="Arial" w:cs="Arial"/>
          <w:i/>
          <w:iCs/>
        </w:rPr>
        <w:t>Health Effects of Climate Change in the UK 2023: Current Evidence and Future Risks</w:t>
      </w:r>
      <w:r w:rsidRPr="00CA17F4">
        <w:rPr>
          <w:rFonts w:ascii="Arial" w:eastAsia="Times New Roman" w:hAnsi="Arial" w:cs="Arial"/>
        </w:rPr>
        <w:t>. London: UKHSA.</w:t>
      </w:r>
    </w:p>
    <w:p w14:paraId="27B30175"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United Nations (2015) </w:t>
      </w:r>
      <w:r w:rsidRPr="00D513AE">
        <w:rPr>
          <w:rFonts w:ascii="Arial" w:eastAsia="Times New Roman" w:hAnsi="Arial" w:cs="Arial"/>
          <w:i/>
          <w:iCs/>
        </w:rPr>
        <w:t>Transforming our World: The 2030 Agenda for Sustainable Development</w:t>
      </w:r>
      <w:r w:rsidRPr="00CA17F4">
        <w:rPr>
          <w:rFonts w:ascii="Arial" w:eastAsia="Times New Roman" w:hAnsi="Arial" w:cs="Arial"/>
        </w:rPr>
        <w:t>. New York: United Nations. Available at: https://sdgs.un.</w:t>
      </w:r>
      <w:r w:rsidR="00AA268B">
        <w:rPr>
          <w:rFonts w:ascii="Arial" w:eastAsia="Times New Roman" w:hAnsi="Arial" w:cs="Arial"/>
        </w:rPr>
        <w:t>org.</w:t>
      </w:r>
    </w:p>
    <w:p w14:paraId="194BB83A"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White, M.P., Alcock, I., Grellier, J. et al. (2021) ‘Spending at least 120 minutes a week in nature is associated with good health and wellbeing’, </w:t>
      </w:r>
      <w:r w:rsidRPr="00D513AE">
        <w:rPr>
          <w:rFonts w:ascii="Arial" w:eastAsia="Times New Roman" w:hAnsi="Arial" w:cs="Arial"/>
          <w:i/>
          <w:iCs/>
        </w:rPr>
        <w:t>Scientific Reports</w:t>
      </w:r>
      <w:r w:rsidRPr="00CA17F4">
        <w:rPr>
          <w:rFonts w:ascii="Arial" w:eastAsia="Times New Roman" w:hAnsi="Arial" w:cs="Arial"/>
        </w:rPr>
        <w:t>, 11(1), p. 8900. doi:10.1038/s41598-021-88489-3.</w:t>
      </w:r>
    </w:p>
    <w:p w14:paraId="08E750EE" w14:textId="77777777" w:rsidR="003E345F" w:rsidRPr="00CA17F4" w:rsidRDefault="003E345F" w:rsidP="00D513AE">
      <w:pPr>
        <w:spacing w:before="100" w:beforeAutospacing="1" w:after="100" w:afterAutospacing="1" w:line="360" w:lineRule="auto"/>
        <w:jc w:val="both"/>
        <w:rPr>
          <w:rFonts w:ascii="Arial" w:eastAsia="Times New Roman" w:hAnsi="Arial" w:cs="Arial"/>
        </w:rPr>
      </w:pPr>
      <w:r w:rsidRPr="00CA17F4">
        <w:rPr>
          <w:rFonts w:ascii="Arial" w:eastAsia="Times New Roman" w:hAnsi="Arial" w:cs="Arial"/>
        </w:rPr>
        <w:t xml:space="preserve">World Health Organization (WHO) (2022) </w:t>
      </w:r>
      <w:r w:rsidRPr="00D513AE">
        <w:rPr>
          <w:rFonts w:ascii="Arial" w:eastAsia="Times New Roman" w:hAnsi="Arial" w:cs="Arial"/>
          <w:i/>
          <w:iCs/>
        </w:rPr>
        <w:t>Health in the Context of Climate Change: Policy Brief for the UK and Europe</w:t>
      </w:r>
      <w:r w:rsidRPr="00CA17F4">
        <w:rPr>
          <w:rFonts w:ascii="Arial" w:eastAsia="Times New Roman" w:hAnsi="Arial" w:cs="Arial"/>
        </w:rPr>
        <w:t xml:space="preserve">. Geneva: WHO. Available at: </w:t>
      </w:r>
      <w:hyperlink r:id="rId10" w:tgtFrame="_new" w:history="1">
        <w:r w:rsidRPr="00D513AE">
          <w:rPr>
            <w:rFonts w:ascii="Arial" w:eastAsia="Times New Roman" w:hAnsi="Arial" w:cs="Arial"/>
            <w:color w:val="0000FF"/>
            <w:u w:val="single"/>
          </w:rPr>
          <w:t>https://www.who.int</w:t>
        </w:r>
      </w:hyperlink>
      <w:r w:rsidRPr="00CA17F4">
        <w:rPr>
          <w:rFonts w:ascii="Arial" w:eastAsia="Times New Roman" w:hAnsi="Arial" w:cs="Arial"/>
        </w:rPr>
        <w:t xml:space="preserve"> </w:t>
      </w:r>
    </w:p>
    <w:sectPr w:rsidR="003E345F" w:rsidRPr="00CA17F4" w:rsidSect="00455B7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84EA7" w14:textId="77777777" w:rsidR="009049F9" w:rsidRDefault="009049F9" w:rsidP="00455B7B">
      <w:pPr>
        <w:spacing w:after="0" w:line="240" w:lineRule="auto"/>
      </w:pPr>
      <w:r>
        <w:separator/>
      </w:r>
    </w:p>
  </w:endnote>
  <w:endnote w:type="continuationSeparator" w:id="0">
    <w:p w14:paraId="086EBE4D" w14:textId="77777777" w:rsidR="009049F9" w:rsidRDefault="009049F9" w:rsidP="0045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5112124"/>
      <w:docPartObj>
        <w:docPartGallery w:val="Page Numbers (Bottom of Page)"/>
        <w:docPartUnique/>
      </w:docPartObj>
    </w:sdtPr>
    <w:sdtEndPr>
      <w:rPr>
        <w:noProof/>
      </w:rPr>
    </w:sdtEndPr>
    <w:sdtContent>
      <w:p w14:paraId="3D283DC2" w14:textId="77777777" w:rsidR="00455B7B" w:rsidRDefault="00455B7B">
        <w:pPr>
          <w:pStyle w:val="Footer"/>
          <w:jc w:val="right"/>
        </w:pPr>
        <w:r>
          <w:fldChar w:fldCharType="begin"/>
        </w:r>
        <w:r>
          <w:instrText xml:space="preserve"> PAGE   \* MERGEFORMAT </w:instrText>
        </w:r>
        <w:r>
          <w:fldChar w:fldCharType="separate"/>
        </w:r>
        <w:r w:rsidR="00350E70">
          <w:rPr>
            <w:noProof/>
          </w:rPr>
          <w:t>12</w:t>
        </w:r>
        <w:r>
          <w:rPr>
            <w:noProof/>
          </w:rPr>
          <w:fldChar w:fldCharType="end"/>
        </w:r>
      </w:p>
    </w:sdtContent>
  </w:sdt>
  <w:p w14:paraId="4BD6007C" w14:textId="77777777" w:rsidR="00455B7B" w:rsidRDefault="00455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DEBC2" w14:textId="77777777" w:rsidR="009049F9" w:rsidRDefault="009049F9" w:rsidP="00455B7B">
      <w:pPr>
        <w:spacing w:after="0" w:line="240" w:lineRule="auto"/>
      </w:pPr>
      <w:r>
        <w:separator/>
      </w:r>
    </w:p>
  </w:footnote>
  <w:footnote w:type="continuationSeparator" w:id="0">
    <w:p w14:paraId="2521CE5E" w14:textId="77777777" w:rsidR="009049F9" w:rsidRDefault="009049F9" w:rsidP="00455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AF69DD"/>
    <w:multiLevelType w:val="multilevel"/>
    <w:tmpl w:val="1CD44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148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7F4"/>
    <w:rsid w:val="00267205"/>
    <w:rsid w:val="002B04C7"/>
    <w:rsid w:val="00350E70"/>
    <w:rsid w:val="003E345F"/>
    <w:rsid w:val="00455B7B"/>
    <w:rsid w:val="00461D0E"/>
    <w:rsid w:val="00540669"/>
    <w:rsid w:val="0058455F"/>
    <w:rsid w:val="00714AC6"/>
    <w:rsid w:val="00720B3B"/>
    <w:rsid w:val="00823B73"/>
    <w:rsid w:val="009049F9"/>
    <w:rsid w:val="00A852CD"/>
    <w:rsid w:val="00AA268B"/>
    <w:rsid w:val="00CA17F4"/>
    <w:rsid w:val="00D513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5926A"/>
  <w15:chartTrackingRefBased/>
  <w15:docId w15:val="{18A53E03-98D3-4FBD-AB2E-F3050FF67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13A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513AE"/>
    <w:rPr>
      <w:b/>
      <w:bCs/>
    </w:rPr>
  </w:style>
  <w:style w:type="character" w:styleId="Emphasis">
    <w:name w:val="Emphasis"/>
    <w:basedOn w:val="DefaultParagraphFont"/>
    <w:uiPriority w:val="20"/>
    <w:qFormat/>
    <w:rsid w:val="00D513AE"/>
    <w:rPr>
      <w:i/>
      <w:iCs/>
    </w:rPr>
  </w:style>
  <w:style w:type="paragraph" w:styleId="Header">
    <w:name w:val="header"/>
    <w:basedOn w:val="Normal"/>
    <w:link w:val="HeaderChar"/>
    <w:uiPriority w:val="99"/>
    <w:unhideWhenUsed/>
    <w:rsid w:val="00455B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B7B"/>
  </w:style>
  <w:style w:type="paragraph" w:styleId="Footer">
    <w:name w:val="footer"/>
    <w:basedOn w:val="Normal"/>
    <w:link w:val="FooterChar"/>
    <w:uiPriority w:val="99"/>
    <w:unhideWhenUsed/>
    <w:rsid w:val="00455B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B7B"/>
  </w:style>
  <w:style w:type="table" w:styleId="TableGrid">
    <w:name w:val="Table Grid"/>
    <w:basedOn w:val="TableNormal"/>
    <w:uiPriority w:val="39"/>
    <w:rsid w:val="002672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407605">
      <w:bodyDiv w:val="1"/>
      <w:marLeft w:val="0"/>
      <w:marRight w:val="0"/>
      <w:marTop w:val="0"/>
      <w:marBottom w:val="0"/>
      <w:divBdr>
        <w:top w:val="none" w:sz="0" w:space="0" w:color="auto"/>
        <w:left w:val="none" w:sz="0" w:space="0" w:color="auto"/>
        <w:bottom w:val="none" w:sz="0" w:space="0" w:color="auto"/>
        <w:right w:val="none" w:sz="0" w:space="0" w:color="auto"/>
      </w:divBdr>
    </w:div>
    <w:div w:id="768546035">
      <w:bodyDiv w:val="1"/>
      <w:marLeft w:val="0"/>
      <w:marRight w:val="0"/>
      <w:marTop w:val="0"/>
      <w:marBottom w:val="0"/>
      <w:divBdr>
        <w:top w:val="none" w:sz="0" w:space="0" w:color="auto"/>
        <w:left w:val="none" w:sz="0" w:space="0" w:color="auto"/>
        <w:bottom w:val="none" w:sz="0" w:space="0" w:color="auto"/>
        <w:right w:val="none" w:sz="0" w:space="0" w:color="auto"/>
      </w:divBdr>
    </w:div>
    <w:div w:id="849375209">
      <w:bodyDiv w:val="1"/>
      <w:marLeft w:val="0"/>
      <w:marRight w:val="0"/>
      <w:marTop w:val="0"/>
      <w:marBottom w:val="0"/>
      <w:divBdr>
        <w:top w:val="none" w:sz="0" w:space="0" w:color="auto"/>
        <w:left w:val="none" w:sz="0" w:space="0" w:color="auto"/>
        <w:bottom w:val="none" w:sz="0" w:space="0" w:color="auto"/>
        <w:right w:val="none" w:sz="0" w:space="0" w:color="auto"/>
      </w:divBdr>
    </w:div>
    <w:div w:id="981664831">
      <w:bodyDiv w:val="1"/>
      <w:marLeft w:val="0"/>
      <w:marRight w:val="0"/>
      <w:marTop w:val="0"/>
      <w:marBottom w:val="0"/>
      <w:divBdr>
        <w:top w:val="none" w:sz="0" w:space="0" w:color="auto"/>
        <w:left w:val="none" w:sz="0" w:space="0" w:color="auto"/>
        <w:bottom w:val="none" w:sz="0" w:space="0" w:color="auto"/>
        <w:right w:val="none" w:sz="0" w:space="0" w:color="auto"/>
      </w:divBdr>
    </w:div>
    <w:div w:id="1132940692">
      <w:bodyDiv w:val="1"/>
      <w:marLeft w:val="0"/>
      <w:marRight w:val="0"/>
      <w:marTop w:val="0"/>
      <w:marBottom w:val="0"/>
      <w:divBdr>
        <w:top w:val="none" w:sz="0" w:space="0" w:color="auto"/>
        <w:left w:val="none" w:sz="0" w:space="0" w:color="auto"/>
        <w:bottom w:val="none" w:sz="0" w:space="0" w:color="auto"/>
        <w:right w:val="none" w:sz="0" w:space="0" w:color="auto"/>
      </w:divBdr>
    </w:div>
    <w:div w:id="1190951933">
      <w:bodyDiv w:val="1"/>
      <w:marLeft w:val="0"/>
      <w:marRight w:val="0"/>
      <w:marTop w:val="0"/>
      <w:marBottom w:val="0"/>
      <w:divBdr>
        <w:top w:val="none" w:sz="0" w:space="0" w:color="auto"/>
        <w:left w:val="none" w:sz="0" w:space="0" w:color="auto"/>
        <w:bottom w:val="none" w:sz="0" w:space="0" w:color="auto"/>
        <w:right w:val="none" w:sz="0" w:space="0" w:color="auto"/>
      </w:divBdr>
    </w:div>
    <w:div w:id="1332492502">
      <w:bodyDiv w:val="1"/>
      <w:marLeft w:val="0"/>
      <w:marRight w:val="0"/>
      <w:marTop w:val="0"/>
      <w:marBottom w:val="0"/>
      <w:divBdr>
        <w:top w:val="none" w:sz="0" w:space="0" w:color="auto"/>
        <w:left w:val="none" w:sz="0" w:space="0" w:color="auto"/>
        <w:bottom w:val="none" w:sz="0" w:space="0" w:color="auto"/>
        <w:right w:val="none" w:sz="0" w:space="0" w:color="auto"/>
      </w:divBdr>
    </w:div>
    <w:div w:id="1384868830">
      <w:bodyDiv w:val="1"/>
      <w:marLeft w:val="0"/>
      <w:marRight w:val="0"/>
      <w:marTop w:val="0"/>
      <w:marBottom w:val="0"/>
      <w:divBdr>
        <w:top w:val="none" w:sz="0" w:space="0" w:color="auto"/>
        <w:left w:val="none" w:sz="0" w:space="0" w:color="auto"/>
        <w:bottom w:val="none" w:sz="0" w:space="0" w:color="auto"/>
        <w:right w:val="none" w:sz="0" w:space="0" w:color="auto"/>
      </w:divBdr>
    </w:div>
    <w:div w:id="1547714546">
      <w:bodyDiv w:val="1"/>
      <w:marLeft w:val="0"/>
      <w:marRight w:val="0"/>
      <w:marTop w:val="0"/>
      <w:marBottom w:val="0"/>
      <w:divBdr>
        <w:top w:val="none" w:sz="0" w:space="0" w:color="auto"/>
        <w:left w:val="none" w:sz="0" w:space="0" w:color="auto"/>
        <w:bottom w:val="none" w:sz="0" w:space="0" w:color="auto"/>
        <w:right w:val="none" w:sz="0" w:space="0" w:color="auto"/>
      </w:divBdr>
    </w:div>
    <w:div w:id="1875069697">
      <w:bodyDiv w:val="1"/>
      <w:marLeft w:val="0"/>
      <w:marRight w:val="0"/>
      <w:marTop w:val="0"/>
      <w:marBottom w:val="0"/>
      <w:divBdr>
        <w:top w:val="none" w:sz="0" w:space="0" w:color="auto"/>
        <w:left w:val="none" w:sz="0" w:space="0" w:color="auto"/>
        <w:bottom w:val="none" w:sz="0" w:space="0" w:color="auto"/>
        <w:right w:val="none" w:sz="0" w:space="0" w:color="auto"/>
      </w:divBdr>
    </w:div>
    <w:div w:id="187553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3391</Words>
  <Characters>19329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dc:creator>
  <cp:keywords/>
  <dc:description/>
  <cp:lastModifiedBy>Shazia Shaban (2224730)</cp:lastModifiedBy>
  <cp:revision>2</cp:revision>
  <dcterms:created xsi:type="dcterms:W3CDTF">2025-10-11T23:24:00Z</dcterms:created>
  <dcterms:modified xsi:type="dcterms:W3CDTF">2025-10-11T23:24:00Z</dcterms:modified>
</cp:coreProperties>
</file>