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8A6FD0" w14:textId="5CF509A6" w:rsidR="002F07B1" w:rsidRDefault="00C25AD9">
      <w:r>
        <w:t>David Bonagura</w:t>
      </w:r>
    </w:p>
    <w:p w14:paraId="3F8005F6" w14:textId="576F56E1" w:rsidR="00C25AD9" w:rsidRDefault="00C25AD9">
      <w:r>
        <w:t>HPLA 7010: Petronius</w:t>
      </w:r>
    </w:p>
    <w:p w14:paraId="635ED196" w14:textId="1901BBFE" w:rsidR="00C25AD9" w:rsidRDefault="00C25AD9">
      <w:r>
        <w:t>Non-Assessed Assignment #</w:t>
      </w:r>
      <w:r w:rsidR="00796749">
        <w:t>3</w:t>
      </w:r>
    </w:p>
    <w:p w14:paraId="1C10CE42" w14:textId="3E47F1F0" w:rsidR="00C25AD9" w:rsidRDefault="00796749">
      <w:r>
        <w:t>Novem</w:t>
      </w:r>
      <w:r w:rsidR="00C25AD9">
        <w:t xml:space="preserve">ber </w:t>
      </w:r>
      <w:r w:rsidR="00080758">
        <w:t>17</w:t>
      </w:r>
      <w:r w:rsidR="00C25AD9">
        <w:t>, 2019</w:t>
      </w:r>
    </w:p>
    <w:p w14:paraId="4B934374" w14:textId="6B8FA928" w:rsidR="00C25AD9" w:rsidRDefault="00C25AD9"/>
    <w:p w14:paraId="01595294" w14:textId="71FB90FA" w:rsidR="00C25AD9" w:rsidRDefault="00C25AD9">
      <w:r>
        <w:t xml:space="preserve">Translation: </w:t>
      </w:r>
      <w:r>
        <w:rPr>
          <w:i/>
          <w:iCs/>
        </w:rPr>
        <w:t>Satyricon</w:t>
      </w:r>
      <w:r>
        <w:t xml:space="preserve"> </w:t>
      </w:r>
      <w:r w:rsidR="00080758">
        <w:t>48</w:t>
      </w:r>
    </w:p>
    <w:p w14:paraId="0D2069DA" w14:textId="2F8989BE" w:rsidR="00C25AD9" w:rsidRDefault="00C25AD9"/>
    <w:p w14:paraId="4A7604AE" w14:textId="7FC5AC02" w:rsidR="00C25AD9" w:rsidRDefault="00C25AD9" w:rsidP="00C25AD9">
      <w:pPr>
        <w:spacing w:line="480" w:lineRule="auto"/>
      </w:pPr>
      <w:r>
        <w:tab/>
      </w:r>
      <w:r w:rsidR="00080758">
        <w:t xml:space="preserve">But </w:t>
      </w:r>
      <w:r w:rsidR="00796749">
        <w:t>Trimalchio</w:t>
      </w:r>
      <w:r w:rsidR="00080758">
        <w:t xml:space="preserve"> looked at us with a gentle expression and said, “If the wine is not pleasing, I will change it: you ought to make it good. I do not buy for the benefit of the gods, but now whatever brings you to taste, it is produced on that estate, which I still have not become acquainted with. It is said that it borders the Terracin</w:t>
      </w:r>
      <w:r w:rsidR="00972D2B">
        <w:t xml:space="preserve">ienses and the Tarentini. Now I want to join Sicily to the little fields, so that, when it pleases to go to Africa, I may sail through my own territory. But you tell me, Agamemnon, what </w:t>
      </w:r>
      <w:r w:rsidR="004D097B">
        <w:t>debate did</w:t>
      </w:r>
      <w:r w:rsidR="00972D2B">
        <w:t xml:space="preserve"> you declaim today? Although I do not plead cases, nevertheless I learned my letters for home-use. And do not think that I distained my studies: I have three libraries, one Greek and one Latin. Therefore, tell me, if you please, the facts of your speech.” When Agamemnon had said, “A poor and a rich man were enemies,” Trimalchio said,</w:t>
      </w:r>
      <w:r w:rsidR="003239E8">
        <w:t xml:space="preserve"> “What is a poor man?” “Cleverly stated,” said Agamemnon and I do not know what </w:t>
      </w:r>
      <w:r w:rsidR="004D097B">
        <w:t>debate</w:t>
      </w:r>
      <w:r w:rsidR="003239E8">
        <w:t xml:space="preserve"> he expounded. Immediately Trimalchio said, “This, if it is done, is not a </w:t>
      </w:r>
      <w:r w:rsidR="004D097B">
        <w:t>debate</w:t>
      </w:r>
      <w:r w:rsidR="003239E8">
        <w:t>; if it was not done, it is nothing.”</w:t>
      </w:r>
    </w:p>
    <w:p w14:paraId="0A1A903F" w14:textId="381C82D3" w:rsidR="00940CF7" w:rsidRDefault="00940CF7" w:rsidP="00C25AD9">
      <w:pPr>
        <w:spacing w:line="480" w:lineRule="auto"/>
      </w:pPr>
    </w:p>
    <w:p w14:paraId="38D3AC7F" w14:textId="63B2AC04" w:rsidR="00940CF7" w:rsidRPr="004F24C2" w:rsidRDefault="00940CF7" w:rsidP="00C25AD9">
      <w:pPr>
        <w:spacing w:line="480" w:lineRule="auto"/>
      </w:pPr>
      <w:r>
        <w:t xml:space="preserve">Comment: </w:t>
      </w:r>
      <w:r>
        <w:rPr>
          <w:i/>
          <w:iCs/>
        </w:rPr>
        <w:t xml:space="preserve">Satyricon </w:t>
      </w:r>
      <w:r w:rsidR="003239E8">
        <w:t>60</w:t>
      </w:r>
    </w:p>
    <w:p w14:paraId="23ABE8C8" w14:textId="263CFEEC" w:rsidR="003F08EF" w:rsidRDefault="00133ED1" w:rsidP="003E609A">
      <w:pPr>
        <w:spacing w:line="480" w:lineRule="auto"/>
      </w:pPr>
      <w:r>
        <w:tab/>
      </w:r>
      <w:r w:rsidR="00290277">
        <w:t xml:space="preserve">After a freedman and friend of Trimalchio, Hermeros, finished a tirade against Ascyltus, and then Giton, for their snickering at Trimalchio’s bawdy entertainment and </w:t>
      </w:r>
      <w:r w:rsidR="002549D4">
        <w:t xml:space="preserve">then </w:t>
      </w:r>
      <w:r w:rsidR="00290277">
        <w:t>at the whole affair, respectively, Trimalchio intercedes to restore the peace. A group of “</w:t>
      </w:r>
      <w:r w:rsidR="00290277" w:rsidRPr="00690449">
        <w:rPr>
          <w:i/>
          <w:iCs/>
        </w:rPr>
        <w:t>Homeristae</w:t>
      </w:r>
      <w:r w:rsidR="00290277">
        <w:t xml:space="preserve">” enter to recite </w:t>
      </w:r>
      <w:r w:rsidR="003E609A">
        <w:t>a scene “</w:t>
      </w:r>
      <w:r w:rsidR="003E609A">
        <w:rPr>
          <w:i/>
          <w:iCs/>
        </w:rPr>
        <w:t>ut insolenter solent</w:t>
      </w:r>
      <w:r w:rsidR="003E609A">
        <w:t>.” Trimalchio, who had been reading along in Latin to the Greek recitation, then explained the scene to his guests.</w:t>
      </w:r>
    </w:p>
    <w:p w14:paraId="75B9EB16" w14:textId="0D2BAB3A" w:rsidR="003E609A" w:rsidRDefault="003E609A" w:rsidP="003E609A">
      <w:pPr>
        <w:spacing w:line="480" w:lineRule="auto"/>
        <w:rPr>
          <w:shd w:val="clear" w:color="auto" w:fill="FFFFFF"/>
        </w:rPr>
      </w:pPr>
      <w:r>
        <w:lastRenderedPageBreak/>
        <w:tab/>
      </w:r>
      <w:r w:rsidR="00690449">
        <w:rPr>
          <w:shd w:val="clear" w:color="auto" w:fill="FFFFFF"/>
        </w:rPr>
        <w:t xml:space="preserve">Encolpius calls the performance of the </w:t>
      </w:r>
      <w:r w:rsidR="00690449">
        <w:rPr>
          <w:i/>
          <w:iCs/>
          <w:shd w:val="clear" w:color="auto" w:fill="FFFFFF"/>
        </w:rPr>
        <w:t>Homeristae</w:t>
      </w:r>
      <w:r w:rsidR="00690449">
        <w:rPr>
          <w:shd w:val="clear" w:color="auto" w:fill="FFFFFF"/>
        </w:rPr>
        <w:t xml:space="preserve"> “</w:t>
      </w:r>
      <w:r w:rsidR="00690449">
        <w:rPr>
          <w:i/>
          <w:iCs/>
          <w:shd w:val="clear" w:color="auto" w:fill="FFFFFF"/>
        </w:rPr>
        <w:t>elegantes strophas</w:t>
      </w:r>
      <w:r w:rsidR="00690449">
        <w:rPr>
          <w:shd w:val="clear" w:color="auto" w:fill="FFFFFF"/>
        </w:rPr>
        <w:t xml:space="preserve">,” an interesting pair of words: Encolpius implies that these “tricks” of the performers are worthy of their viewing, as compared to the prior, more base spectacles that they had endured previously. Yet, in calling them “tricks,” he still sees through Trimalchio’s façade. </w:t>
      </w:r>
      <w:r w:rsidR="00EF0310">
        <w:rPr>
          <w:shd w:val="clear" w:color="auto" w:fill="FFFFFF"/>
        </w:rPr>
        <w:t xml:space="preserve">When the ceiling tiles suddenly begin to fall, Encolpius is startled: </w:t>
      </w:r>
      <w:r w:rsidR="002549D4">
        <w:rPr>
          <w:shd w:val="clear" w:color="auto" w:fill="FFFFFF"/>
        </w:rPr>
        <w:t>“</w:t>
      </w:r>
      <w:r w:rsidR="00EF0310">
        <w:rPr>
          <w:i/>
          <w:iCs/>
          <w:shd w:val="clear" w:color="auto" w:fill="FFFFFF"/>
        </w:rPr>
        <w:t>Consternatus ego exsurrexi</w:t>
      </w:r>
      <w:r w:rsidR="00EF0310">
        <w:rPr>
          <w:shd w:val="clear" w:color="auto" w:fill="FFFFFF"/>
        </w:rPr>
        <w:t>.</w:t>
      </w:r>
      <w:r w:rsidR="002549D4">
        <w:rPr>
          <w:shd w:val="clear" w:color="auto" w:fill="FFFFFF"/>
        </w:rPr>
        <w:t>”</w:t>
      </w:r>
      <w:r w:rsidR="00EF0310">
        <w:rPr>
          <w:shd w:val="clear" w:color="auto" w:fill="FFFFFF"/>
        </w:rPr>
        <w:t xml:space="preserve"> This is the same grammatical constr</w:t>
      </w:r>
      <w:r w:rsidR="002549D4">
        <w:rPr>
          <w:shd w:val="clear" w:color="auto" w:fill="FFFFFF"/>
        </w:rPr>
        <w:t>u</w:t>
      </w:r>
      <w:r w:rsidR="00EF0310">
        <w:rPr>
          <w:shd w:val="clear" w:color="auto" w:fill="FFFFFF"/>
        </w:rPr>
        <w:t>ction—perfect participle followed by a first person perfect verb—he used to describe his reaction to seeing the painted dog on the wall in Section 29</w:t>
      </w:r>
      <w:r w:rsidR="006A5F68">
        <w:rPr>
          <w:shd w:val="clear" w:color="auto" w:fill="FFFFFF"/>
        </w:rPr>
        <w:t>.</w:t>
      </w:r>
      <w:r w:rsidR="006A5F68">
        <w:rPr>
          <w:rStyle w:val="FootnoteReference"/>
          <w:shd w:val="clear" w:color="auto" w:fill="FFFFFF"/>
        </w:rPr>
        <w:footnoteReference w:id="1"/>
      </w:r>
      <w:r w:rsidR="00EF0310">
        <w:rPr>
          <w:shd w:val="clear" w:color="auto" w:fill="FFFFFF"/>
        </w:rPr>
        <w:t xml:space="preserve"> This time, however, Encolpius fears not an attacking dog, but another trick of Trimalchio, which suggests his growing disenchantment after several hours at the dinner party. His fellow guests seem to be of the same mindset, given the aforementioned laughter of Ascyltus and Giton, and how they are described here: “</w:t>
      </w:r>
      <w:r w:rsidR="00EF0310">
        <w:rPr>
          <w:i/>
          <w:iCs/>
          <w:shd w:val="clear" w:color="auto" w:fill="FFFFFF"/>
        </w:rPr>
        <w:t>mirantes</w:t>
      </w:r>
      <w:r w:rsidR="00EF0310">
        <w:rPr>
          <w:shd w:val="clear" w:color="auto" w:fill="FFFFFF"/>
        </w:rPr>
        <w:t>” with “</w:t>
      </w:r>
      <w:r w:rsidR="00EF0310">
        <w:rPr>
          <w:i/>
          <w:iCs/>
          <w:shd w:val="clear" w:color="auto" w:fill="FFFFFF"/>
        </w:rPr>
        <w:t>vultus expectantes</w:t>
      </w:r>
      <w:r w:rsidR="00EF0310">
        <w:rPr>
          <w:shd w:val="clear" w:color="auto" w:fill="FFFFFF"/>
        </w:rPr>
        <w:t>” for “</w:t>
      </w:r>
      <w:r w:rsidR="00EF0310">
        <w:rPr>
          <w:i/>
          <w:iCs/>
          <w:shd w:val="clear" w:color="auto" w:fill="FFFFFF"/>
        </w:rPr>
        <w:t>quid novi de caelo nuntiaretur</w:t>
      </w:r>
      <w:r w:rsidR="00EF0310">
        <w:rPr>
          <w:shd w:val="clear" w:color="auto" w:fill="FFFFFF"/>
        </w:rPr>
        <w:t>.”</w:t>
      </w:r>
      <w:r w:rsidR="006A5F68">
        <w:rPr>
          <w:shd w:val="clear" w:color="auto" w:fill="FFFFFF"/>
        </w:rPr>
        <w:t xml:space="preserve"> Encolpius was right to sense another gimmick: he and the guests “</w:t>
      </w:r>
      <w:r w:rsidR="006A5F68">
        <w:rPr>
          <w:i/>
          <w:iCs/>
          <w:shd w:val="clear" w:color="auto" w:fill="FFFFFF"/>
        </w:rPr>
        <w:t>haec apophoreta iubemur sumere</w:t>
      </w:r>
      <w:r w:rsidR="006A5F68">
        <w:rPr>
          <w:shd w:val="clear" w:color="auto" w:fill="FFFFFF"/>
        </w:rPr>
        <w:t>” that were hanging from the descended panels. That “</w:t>
      </w:r>
      <w:r w:rsidR="006A5F68">
        <w:rPr>
          <w:i/>
          <w:iCs/>
          <w:shd w:val="clear" w:color="auto" w:fill="FFFFFF"/>
        </w:rPr>
        <w:t>iubemur”</w:t>
      </w:r>
      <w:r w:rsidR="006A5F68">
        <w:rPr>
          <w:shd w:val="clear" w:color="auto" w:fill="FFFFFF"/>
        </w:rPr>
        <w:t xml:space="preserve"> is without an agent is noteworthy: it can be presumed that Trimalchio was the one doing the ordering. Perhaps Encolpius intentionally omitted his host’s name to allude to his persistent presence even when he is not the focal point of the action.</w:t>
      </w:r>
    </w:p>
    <w:p w14:paraId="390EBFF1" w14:textId="21EF86B9" w:rsidR="006A5F68" w:rsidRDefault="006A5F68" w:rsidP="003E609A">
      <w:pPr>
        <w:spacing w:line="480" w:lineRule="auto"/>
        <w:rPr>
          <w:shd w:val="clear" w:color="auto" w:fill="FFFFFF"/>
        </w:rPr>
      </w:pPr>
      <w:r>
        <w:rPr>
          <w:shd w:val="clear" w:color="auto" w:fill="FFFFFF"/>
        </w:rPr>
        <w:tab/>
      </w:r>
      <w:r w:rsidR="00D3175B">
        <w:rPr>
          <w:shd w:val="clear" w:color="auto" w:fill="FFFFFF"/>
        </w:rPr>
        <w:t xml:space="preserve">Sedgwick comments that </w:t>
      </w:r>
      <w:r w:rsidR="00D3175B">
        <w:rPr>
          <w:i/>
          <w:iCs/>
          <w:shd w:val="clear" w:color="auto" w:fill="FFFFFF"/>
        </w:rPr>
        <w:t>Priapus</w:t>
      </w:r>
      <w:r w:rsidR="00D3175B">
        <w:rPr>
          <w:shd w:val="clear" w:color="auto" w:fill="FFFFFF"/>
        </w:rPr>
        <w:t xml:space="preserve"> was a deity who protected gardens and here </w:t>
      </w:r>
      <w:r w:rsidR="002549D4">
        <w:rPr>
          <w:shd w:val="clear" w:color="auto" w:fill="FFFFFF"/>
        </w:rPr>
        <w:t xml:space="preserve">was </w:t>
      </w:r>
      <w:r w:rsidR="00D3175B">
        <w:rPr>
          <w:shd w:val="clear" w:color="auto" w:fill="FFFFFF"/>
        </w:rPr>
        <w:t>made of confectionery; the god “was naturally surrounded by garden produce.”</w:t>
      </w:r>
      <w:r w:rsidR="00D3175B">
        <w:rPr>
          <w:rStyle w:val="FootnoteReference"/>
          <w:shd w:val="clear" w:color="auto" w:fill="FFFFFF"/>
        </w:rPr>
        <w:footnoteReference w:id="2"/>
      </w:r>
      <w:r w:rsidR="0041433B">
        <w:rPr>
          <w:shd w:val="clear" w:color="auto" w:fill="FFFFFF"/>
        </w:rPr>
        <w:t xml:space="preserve"> Now on the tray in the dining room, Priapus is surrounded by fruits and grapes. </w:t>
      </w:r>
      <w:r w:rsidR="00DD71A2">
        <w:rPr>
          <w:shd w:val="clear" w:color="auto" w:fill="FFFFFF"/>
        </w:rPr>
        <w:t>Encolpius then introduces another trick—</w:t>
      </w:r>
      <w:r w:rsidR="00DD71A2">
        <w:rPr>
          <w:i/>
          <w:iCs/>
          <w:shd w:val="clear" w:color="auto" w:fill="FFFFFF"/>
        </w:rPr>
        <w:t>nova ludorum remissio</w:t>
      </w:r>
      <w:r w:rsidR="00DD71A2">
        <w:rPr>
          <w:shd w:val="clear" w:color="auto" w:fill="FFFFFF"/>
        </w:rPr>
        <w:t xml:space="preserve">—with the adverb </w:t>
      </w:r>
      <w:r w:rsidR="00DD71A2">
        <w:rPr>
          <w:i/>
          <w:iCs/>
          <w:shd w:val="clear" w:color="auto" w:fill="FFFFFF"/>
        </w:rPr>
        <w:t>repente</w:t>
      </w:r>
      <w:r w:rsidR="00DD71A2">
        <w:rPr>
          <w:shd w:val="clear" w:color="auto" w:fill="FFFFFF"/>
        </w:rPr>
        <w:t>, as he did with falling ceiling panels just before this. It is odd that, just as the guests were beginning to see through Trimalchio’s stunts, they react to the cakes shooting liquid by thinking that the tray was sprinkled in “</w:t>
      </w:r>
      <w:r w:rsidR="00DD71A2">
        <w:rPr>
          <w:i/>
          <w:iCs/>
          <w:shd w:val="clear" w:color="auto" w:fill="FFFFFF"/>
        </w:rPr>
        <w:t xml:space="preserve">tam religioso </w:t>
      </w:r>
      <w:r w:rsidR="00DD71A2">
        <w:rPr>
          <w:i/>
          <w:iCs/>
          <w:shd w:val="clear" w:color="auto" w:fill="FFFFFF"/>
        </w:rPr>
        <w:lastRenderedPageBreak/>
        <w:t>apparatu</w:t>
      </w:r>
      <w:r w:rsidR="00DD71A2">
        <w:rPr>
          <w:shd w:val="clear" w:color="auto" w:fill="FFFFFF"/>
        </w:rPr>
        <w:t>,” enough to react with a benediction for the emperor recited in unison. Encolpius then reveals his own weakness</w:t>
      </w:r>
      <w:r w:rsidR="002549D4">
        <w:rPr>
          <w:shd w:val="clear" w:color="auto" w:fill="FFFFFF"/>
        </w:rPr>
        <w:t xml:space="preserve"> for this latest escapade</w:t>
      </w:r>
      <w:r w:rsidR="00DD71A2">
        <w:rPr>
          <w:shd w:val="clear" w:color="auto" w:fill="FFFFFF"/>
        </w:rPr>
        <w:t>: “</w:t>
      </w:r>
      <w:r w:rsidR="00DD71A2">
        <w:rPr>
          <w:i/>
          <w:iCs/>
          <w:shd w:val="clear" w:color="auto" w:fill="FFFFFF"/>
        </w:rPr>
        <w:t>ego praecipue</w:t>
      </w:r>
      <w:r w:rsidR="00DD71A2">
        <w:rPr>
          <w:shd w:val="clear" w:color="auto" w:fill="FFFFFF"/>
        </w:rPr>
        <w:t xml:space="preserve">” loaded up Giton’s toga with the fruit. </w:t>
      </w:r>
    </w:p>
    <w:p w14:paraId="55CFF024" w14:textId="14AE9910" w:rsidR="005D7FF4" w:rsidRPr="00DA7630" w:rsidRDefault="005D7FF4" w:rsidP="003E609A">
      <w:pPr>
        <w:spacing w:line="480" w:lineRule="auto"/>
        <w:rPr>
          <w:i/>
          <w:iCs/>
        </w:rPr>
      </w:pPr>
      <w:r>
        <w:rPr>
          <w:shd w:val="clear" w:color="auto" w:fill="FFFFFF"/>
        </w:rPr>
        <w:tab/>
        <w:t xml:space="preserve">Three boys then come forward and place the Lares on the table. Trimalchio is the subject of the verb </w:t>
      </w:r>
      <w:r>
        <w:rPr>
          <w:i/>
          <w:iCs/>
          <w:shd w:val="clear" w:color="auto" w:fill="FFFFFF"/>
        </w:rPr>
        <w:t>clama</w:t>
      </w:r>
      <w:r w:rsidR="00DA7630">
        <w:rPr>
          <w:i/>
          <w:iCs/>
          <w:shd w:val="clear" w:color="auto" w:fill="FFFFFF"/>
        </w:rPr>
        <w:t>bat</w:t>
      </w:r>
      <w:r w:rsidR="002549D4">
        <w:rPr>
          <w:shd w:val="clear" w:color="auto" w:fill="FFFFFF"/>
        </w:rPr>
        <w:t xml:space="preserve">; as with the agent of </w:t>
      </w:r>
      <w:r w:rsidR="002549D4">
        <w:rPr>
          <w:i/>
          <w:iCs/>
          <w:shd w:val="clear" w:color="auto" w:fill="FFFFFF"/>
        </w:rPr>
        <w:t>iubemur</w:t>
      </w:r>
      <w:r w:rsidR="002549D4">
        <w:rPr>
          <w:shd w:val="clear" w:color="auto" w:fill="FFFFFF"/>
        </w:rPr>
        <w:t xml:space="preserve"> mentioned above, he is again not</w:t>
      </w:r>
      <w:r w:rsidR="00DA7630">
        <w:rPr>
          <w:shd w:val="clear" w:color="auto" w:fill="FFFFFF"/>
        </w:rPr>
        <w:t xml:space="preserve"> named. </w:t>
      </w:r>
      <w:r>
        <w:rPr>
          <w:shd w:val="clear" w:color="auto" w:fill="FFFFFF"/>
        </w:rPr>
        <w:t>The names of the Lares signify Trimalchio’s success: Cerdo (profit), Felicio (good luck), and Lucro (income).</w:t>
      </w:r>
      <w:r w:rsidR="002549D4">
        <w:rPr>
          <w:rStyle w:val="FootnoteReference"/>
          <w:shd w:val="clear" w:color="auto" w:fill="FFFFFF"/>
        </w:rPr>
        <w:footnoteReference w:id="3"/>
      </w:r>
      <w:r>
        <w:rPr>
          <w:shd w:val="clear" w:color="auto" w:fill="FFFFFF"/>
        </w:rPr>
        <w:t xml:space="preserve"> </w:t>
      </w:r>
      <w:r w:rsidR="00DA7630">
        <w:rPr>
          <w:shd w:val="clear" w:color="auto" w:fill="FFFFFF"/>
        </w:rPr>
        <w:t>The next sentence is striking: Encolpius refers to “</w:t>
      </w:r>
      <w:r w:rsidR="00DA7630">
        <w:rPr>
          <w:i/>
          <w:iCs/>
          <w:shd w:val="clear" w:color="auto" w:fill="FFFFFF"/>
        </w:rPr>
        <w:t>nos</w:t>
      </w:r>
      <w:r w:rsidR="00DA7630">
        <w:rPr>
          <w:shd w:val="clear" w:color="auto" w:fill="FFFFFF"/>
        </w:rPr>
        <w:t>”—assumingly he and Ascyltus—as distinct from “</w:t>
      </w:r>
      <w:r w:rsidR="00DA7630">
        <w:rPr>
          <w:i/>
          <w:iCs/>
          <w:shd w:val="clear" w:color="auto" w:fill="FFFFFF"/>
        </w:rPr>
        <w:t>omnes</w:t>
      </w:r>
      <w:r w:rsidR="00DA7630">
        <w:rPr>
          <w:shd w:val="clear" w:color="auto" w:fill="FFFFFF"/>
        </w:rPr>
        <w:t>” who were at that moment kissing the image of Trimalchio</w:t>
      </w:r>
      <w:r w:rsidR="002549D4">
        <w:rPr>
          <w:shd w:val="clear" w:color="auto" w:fill="FFFFFF"/>
        </w:rPr>
        <w:t xml:space="preserve">. </w:t>
      </w:r>
      <w:r w:rsidR="00DA7630">
        <w:rPr>
          <w:shd w:val="clear" w:color="auto" w:fill="FFFFFF"/>
        </w:rPr>
        <w:t>From the context, it is not clear where this image is; perhaps it is in one of the bulla brought forth. Regardless, “</w:t>
      </w:r>
      <w:r w:rsidR="00DA7630">
        <w:rPr>
          <w:i/>
          <w:iCs/>
          <w:shd w:val="clear" w:color="auto" w:fill="FFFFFF"/>
        </w:rPr>
        <w:t>nos</w:t>
      </w:r>
      <w:r w:rsidR="00DA7630">
        <w:rPr>
          <w:shd w:val="clear" w:color="auto" w:fill="FFFFFF"/>
        </w:rPr>
        <w:t xml:space="preserve">” blushed at the idea of being the only ones not to venerate the image. It seems that not all of the guests had </w:t>
      </w:r>
      <w:r w:rsidR="002176B9">
        <w:rPr>
          <w:shd w:val="clear" w:color="auto" w:fill="FFFFFF"/>
        </w:rPr>
        <w:t>broken Trimalchio’s spell or had begun to see through his façade</w:t>
      </w:r>
      <w:r w:rsidR="002549D4">
        <w:rPr>
          <w:shd w:val="clear" w:color="auto" w:fill="FFFFFF"/>
        </w:rPr>
        <w:t xml:space="preserve"> after all</w:t>
      </w:r>
      <w:bookmarkStart w:id="0" w:name="_GoBack"/>
      <w:bookmarkEnd w:id="0"/>
      <w:r w:rsidR="002176B9">
        <w:rPr>
          <w:shd w:val="clear" w:color="auto" w:fill="FFFFFF"/>
        </w:rPr>
        <w:t xml:space="preserve">. </w:t>
      </w:r>
      <w:r w:rsidR="00DA7630">
        <w:rPr>
          <w:shd w:val="clear" w:color="auto" w:fill="FFFFFF"/>
        </w:rPr>
        <w:t xml:space="preserve">  </w:t>
      </w:r>
    </w:p>
    <w:p w14:paraId="56526BE1" w14:textId="330188B5" w:rsidR="003F08EF" w:rsidRDefault="003F08EF" w:rsidP="003F08EF">
      <w:pPr>
        <w:spacing w:line="480" w:lineRule="auto"/>
        <w:ind w:firstLine="720"/>
      </w:pPr>
    </w:p>
    <w:p w14:paraId="628396C9" w14:textId="303689E7" w:rsidR="003F08EF" w:rsidRDefault="003F08EF" w:rsidP="00D0682E">
      <w:pPr>
        <w:spacing w:line="480" w:lineRule="auto"/>
      </w:pPr>
    </w:p>
    <w:p w14:paraId="37553591" w14:textId="77777777" w:rsidR="00D0682E" w:rsidRPr="00216330" w:rsidRDefault="00D0682E" w:rsidP="00D0682E">
      <w:pPr>
        <w:spacing w:line="480" w:lineRule="auto"/>
      </w:pPr>
    </w:p>
    <w:p w14:paraId="2A8C0587" w14:textId="0F0312A1" w:rsidR="008062BE" w:rsidRDefault="008062BE" w:rsidP="008062BE">
      <w:pPr>
        <w:spacing w:line="480" w:lineRule="auto"/>
        <w:jc w:val="center"/>
      </w:pPr>
      <w:r>
        <w:t>Bibliography</w:t>
      </w:r>
    </w:p>
    <w:p w14:paraId="150BBF99" w14:textId="77777777" w:rsidR="008062BE" w:rsidRDefault="008062BE" w:rsidP="008062BE">
      <w:r>
        <w:t xml:space="preserve">Lawall, G. 2011. </w:t>
      </w:r>
      <w:r>
        <w:rPr>
          <w:i/>
          <w:iCs/>
        </w:rPr>
        <w:t>Petronius: Selections from the Satyricon</w:t>
      </w:r>
      <w:r>
        <w:t>. Mundelein, Illinois: Bolchazy-</w:t>
      </w:r>
    </w:p>
    <w:p w14:paraId="03EE5A26" w14:textId="0F2EE4CA" w:rsidR="008062BE" w:rsidRDefault="008062BE" w:rsidP="008062BE">
      <w:pPr>
        <w:ind w:firstLine="720"/>
      </w:pPr>
      <w:r>
        <w:t>Carducci Publishers, Inc.</w:t>
      </w:r>
    </w:p>
    <w:p w14:paraId="4595641F" w14:textId="77777777" w:rsidR="008062BE" w:rsidRDefault="008062BE" w:rsidP="008062BE"/>
    <w:p w14:paraId="50E90536" w14:textId="6DF2640B" w:rsidR="008062BE" w:rsidRPr="008062BE" w:rsidRDefault="008062BE" w:rsidP="008062BE">
      <w:pPr>
        <w:spacing w:line="480" w:lineRule="auto"/>
      </w:pPr>
      <w:r>
        <w:t xml:space="preserve">Sedgwick, W.B. 1964. </w:t>
      </w:r>
      <w:r>
        <w:rPr>
          <w:i/>
          <w:iCs/>
        </w:rPr>
        <w:t>The Cena Trimalchionis of Petronius</w:t>
      </w:r>
      <w:r>
        <w:t>. Oxford: The Clarendon Press.</w:t>
      </w:r>
    </w:p>
    <w:p w14:paraId="1398327A" w14:textId="48FCEBE8" w:rsidR="004A45A0" w:rsidRPr="004A45A0" w:rsidRDefault="004A45A0" w:rsidP="00C25AD9">
      <w:pPr>
        <w:spacing w:line="480" w:lineRule="auto"/>
      </w:pPr>
    </w:p>
    <w:sectPr w:rsidR="004A45A0" w:rsidRPr="004A45A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8C491" w14:textId="77777777" w:rsidR="004B764E" w:rsidRDefault="004B764E" w:rsidP="004B764E">
      <w:r>
        <w:separator/>
      </w:r>
    </w:p>
  </w:endnote>
  <w:endnote w:type="continuationSeparator" w:id="0">
    <w:p w14:paraId="59EA4EF6" w14:textId="77777777" w:rsidR="004B764E" w:rsidRDefault="004B764E" w:rsidP="004B76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B636C" w14:textId="77777777" w:rsidR="004B764E" w:rsidRDefault="004B764E" w:rsidP="004B764E">
      <w:r>
        <w:separator/>
      </w:r>
    </w:p>
  </w:footnote>
  <w:footnote w:type="continuationSeparator" w:id="0">
    <w:p w14:paraId="63AA888A" w14:textId="77777777" w:rsidR="004B764E" w:rsidRDefault="004B764E" w:rsidP="004B764E">
      <w:r>
        <w:continuationSeparator/>
      </w:r>
    </w:p>
  </w:footnote>
  <w:footnote w:id="1">
    <w:p w14:paraId="543AC4BD" w14:textId="13FFAEAD" w:rsidR="006A5F68" w:rsidRDefault="006A5F68">
      <w:pPr>
        <w:pStyle w:val="FootnoteText"/>
      </w:pPr>
      <w:r>
        <w:rPr>
          <w:rStyle w:val="FootnoteReference"/>
        </w:rPr>
        <w:footnoteRef/>
      </w:r>
      <w:r>
        <w:t xml:space="preserve"> </w:t>
      </w:r>
      <w:r>
        <w:rPr>
          <w:i/>
          <w:iCs/>
          <w:shd w:val="clear" w:color="auto" w:fill="FFFFFF"/>
        </w:rPr>
        <w:t>paene resupinatus crura mea fregi</w:t>
      </w:r>
      <w:r>
        <w:rPr>
          <w:shd w:val="clear" w:color="auto" w:fill="FFFFFF"/>
        </w:rPr>
        <w:t>.</w:t>
      </w:r>
    </w:p>
  </w:footnote>
  <w:footnote w:id="2">
    <w:p w14:paraId="227E20E3" w14:textId="68F44ABB" w:rsidR="00D3175B" w:rsidRDefault="00D3175B">
      <w:pPr>
        <w:pStyle w:val="FootnoteText"/>
      </w:pPr>
      <w:r>
        <w:rPr>
          <w:rStyle w:val="FootnoteReference"/>
        </w:rPr>
        <w:footnoteRef/>
      </w:r>
      <w:r>
        <w:t xml:space="preserve"> Sedgwick 1964: 118-119.</w:t>
      </w:r>
    </w:p>
  </w:footnote>
  <w:footnote w:id="3">
    <w:p w14:paraId="33FD709B" w14:textId="428B12F9" w:rsidR="002549D4" w:rsidRDefault="002549D4">
      <w:pPr>
        <w:pStyle w:val="FootnoteText"/>
      </w:pPr>
      <w:r>
        <w:rPr>
          <w:rStyle w:val="FootnoteReference"/>
        </w:rPr>
        <w:footnoteRef/>
      </w:r>
      <w:r>
        <w:t xml:space="preserve"> The translations are that of Sedgwick 1964: 119.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AD9"/>
    <w:rsid w:val="000007C4"/>
    <w:rsid w:val="00036BBF"/>
    <w:rsid w:val="00080758"/>
    <w:rsid w:val="000F4564"/>
    <w:rsid w:val="00133ED1"/>
    <w:rsid w:val="00141344"/>
    <w:rsid w:val="00200889"/>
    <w:rsid w:val="00216330"/>
    <w:rsid w:val="002176B9"/>
    <w:rsid w:val="002235A0"/>
    <w:rsid w:val="002476D2"/>
    <w:rsid w:val="002549D4"/>
    <w:rsid w:val="00290277"/>
    <w:rsid w:val="002F07B1"/>
    <w:rsid w:val="003239E8"/>
    <w:rsid w:val="00337ACA"/>
    <w:rsid w:val="003E609A"/>
    <w:rsid w:val="003F08EF"/>
    <w:rsid w:val="0041433B"/>
    <w:rsid w:val="00435B8C"/>
    <w:rsid w:val="00442ADC"/>
    <w:rsid w:val="004A45A0"/>
    <w:rsid w:val="004B764E"/>
    <w:rsid w:val="004D097B"/>
    <w:rsid w:val="004D307F"/>
    <w:rsid w:val="004F1DB0"/>
    <w:rsid w:val="004F24C2"/>
    <w:rsid w:val="00535480"/>
    <w:rsid w:val="0054689A"/>
    <w:rsid w:val="00550F35"/>
    <w:rsid w:val="005D7FF4"/>
    <w:rsid w:val="00670E8B"/>
    <w:rsid w:val="00690449"/>
    <w:rsid w:val="006A5F68"/>
    <w:rsid w:val="007320C6"/>
    <w:rsid w:val="00796749"/>
    <w:rsid w:val="008062BE"/>
    <w:rsid w:val="008F66FE"/>
    <w:rsid w:val="00926722"/>
    <w:rsid w:val="00940CF7"/>
    <w:rsid w:val="00972D2B"/>
    <w:rsid w:val="00A97903"/>
    <w:rsid w:val="00B264F8"/>
    <w:rsid w:val="00B332CF"/>
    <w:rsid w:val="00B92E6D"/>
    <w:rsid w:val="00C25AD9"/>
    <w:rsid w:val="00D0682E"/>
    <w:rsid w:val="00D3175B"/>
    <w:rsid w:val="00DA7630"/>
    <w:rsid w:val="00DB0EDF"/>
    <w:rsid w:val="00DD71A2"/>
    <w:rsid w:val="00E36CB4"/>
    <w:rsid w:val="00EF0310"/>
    <w:rsid w:val="00F364C1"/>
    <w:rsid w:val="00F64F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F4B3D"/>
  <w15:chartTrackingRefBased/>
  <w15:docId w15:val="{140D7B35-C099-46E5-AFB7-507A636F8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B764E"/>
    <w:rPr>
      <w:sz w:val="20"/>
      <w:szCs w:val="20"/>
    </w:rPr>
  </w:style>
  <w:style w:type="character" w:customStyle="1" w:styleId="FootnoteTextChar">
    <w:name w:val="Footnote Text Char"/>
    <w:basedOn w:val="DefaultParagraphFont"/>
    <w:link w:val="FootnoteText"/>
    <w:uiPriority w:val="99"/>
    <w:semiHidden/>
    <w:rsid w:val="004B764E"/>
    <w:rPr>
      <w:sz w:val="20"/>
      <w:szCs w:val="20"/>
    </w:rPr>
  </w:style>
  <w:style w:type="character" w:styleId="FootnoteReference">
    <w:name w:val="footnote reference"/>
    <w:basedOn w:val="DefaultParagraphFont"/>
    <w:uiPriority w:val="99"/>
    <w:semiHidden/>
    <w:unhideWhenUsed/>
    <w:rsid w:val="004B764E"/>
    <w:rPr>
      <w:vertAlign w:val="superscript"/>
    </w:rPr>
  </w:style>
  <w:style w:type="paragraph" w:styleId="EndnoteText">
    <w:name w:val="endnote text"/>
    <w:basedOn w:val="Normal"/>
    <w:link w:val="EndnoteTextChar"/>
    <w:uiPriority w:val="99"/>
    <w:semiHidden/>
    <w:unhideWhenUsed/>
    <w:rsid w:val="002476D2"/>
    <w:rPr>
      <w:sz w:val="20"/>
      <w:szCs w:val="20"/>
    </w:rPr>
  </w:style>
  <w:style w:type="character" w:customStyle="1" w:styleId="EndnoteTextChar">
    <w:name w:val="Endnote Text Char"/>
    <w:basedOn w:val="DefaultParagraphFont"/>
    <w:link w:val="EndnoteText"/>
    <w:uiPriority w:val="99"/>
    <w:semiHidden/>
    <w:rsid w:val="002476D2"/>
    <w:rPr>
      <w:sz w:val="20"/>
      <w:szCs w:val="20"/>
    </w:rPr>
  </w:style>
  <w:style w:type="character" w:styleId="EndnoteReference">
    <w:name w:val="endnote reference"/>
    <w:basedOn w:val="DefaultParagraphFont"/>
    <w:uiPriority w:val="99"/>
    <w:semiHidden/>
    <w:unhideWhenUsed/>
    <w:rsid w:val="002476D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7CE92436-032F-4E7B-8D9E-651B2420B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3</Pages>
  <Words>719</Words>
  <Characters>4101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10</cp:revision>
  <dcterms:created xsi:type="dcterms:W3CDTF">2019-11-16T02:15:00Z</dcterms:created>
  <dcterms:modified xsi:type="dcterms:W3CDTF">2019-11-17T15:29:00Z</dcterms:modified>
</cp:coreProperties>
</file>