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3C45F016"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28F44B2A" w14:textId="04BB9DC6" w:rsidR="000E5F77" w:rsidRPr="00063B4C" w:rsidRDefault="007F6813" w:rsidP="00122437">
      <w:pPr>
        <w:spacing w:line="813" w:lineRule="exact"/>
        <w:jc w:val="left"/>
        <w:rPr>
          <w:rFonts w:cs="Arial"/>
          <w:sz w:val="60"/>
          <w:szCs w:val="60"/>
        </w:rPr>
      </w:pPr>
      <w:r>
        <w:rPr>
          <w:rFonts w:cs="Arial"/>
          <w:sz w:val="60"/>
          <w:szCs w:val="60"/>
        </w:rPr>
        <w:t>D</w:t>
      </w:r>
      <w:r w:rsidR="00B05FE7">
        <w:rPr>
          <w:rFonts w:cs="Arial"/>
          <w:sz w:val="60"/>
          <w:szCs w:val="60"/>
        </w:rPr>
        <w:t>ISSERTATION</w:t>
      </w:r>
    </w:p>
    <w:p w14:paraId="08ED8C42" w14:textId="680D4510" w:rsidR="00063B4C" w:rsidRDefault="00063B4C" w:rsidP="00063B4C">
      <w:pPr>
        <w:spacing w:line="1342" w:lineRule="exact"/>
        <w:jc w:val="left"/>
        <w:rPr>
          <w:rFonts w:cs="Arial"/>
          <w:sz w:val="70"/>
          <w:szCs w:val="70"/>
        </w:rPr>
      </w:pPr>
    </w:p>
    <w:p w14:paraId="0928DC3C" w14:textId="77777777" w:rsidR="008E526A" w:rsidRDefault="008E526A" w:rsidP="00063B4C">
      <w:pPr>
        <w:spacing w:line="1342" w:lineRule="exact"/>
        <w:jc w:val="left"/>
        <w:rPr>
          <w:rFonts w:cs="Arial"/>
          <w:sz w:val="70"/>
          <w:szCs w:val="70"/>
        </w:rPr>
      </w:pPr>
    </w:p>
    <w:p w14:paraId="1711C891" w14:textId="77777777" w:rsidR="00EF652D" w:rsidRDefault="00EF652D" w:rsidP="00063B4C">
      <w:pPr>
        <w:spacing w:line="1342" w:lineRule="exact"/>
        <w:jc w:val="left"/>
        <w:rPr>
          <w:rFonts w:cs="Arial"/>
          <w:sz w:val="70"/>
          <w:szCs w:val="70"/>
        </w:rPr>
      </w:pPr>
    </w:p>
    <w:p w14:paraId="5ACFE9A7" w14:textId="77777777" w:rsidR="00EF652D" w:rsidRDefault="00EF652D" w:rsidP="00604A87">
      <w:pPr>
        <w:rPr>
          <w:rFonts w:cs="Arial"/>
          <w:sz w:val="70"/>
          <w:szCs w:val="70"/>
        </w:rPr>
      </w:pPr>
    </w:p>
    <w:p w14:paraId="3492E4C4" w14:textId="1F820A40"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44754660"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7B50E2">
        <w:rPr>
          <w:rFonts w:eastAsia="Times New Roman" w:cs="Arial"/>
        </w:rPr>
        <w:t>N.Mahmood</w:t>
      </w:r>
      <w:proofErr w:type="spellEnd"/>
      <w:proofErr w:type="gramEnd"/>
      <w:r w:rsidRPr="00604A87">
        <w:rPr>
          <w:rFonts w:eastAsia="Times New Roman" w:cs="Arial"/>
        </w:rPr>
        <w:t>…………………………………………</w:t>
      </w:r>
    </w:p>
    <w:p w14:paraId="16B6CB34" w14:textId="3E719D7A" w:rsidR="00604A87" w:rsidRPr="00604A87" w:rsidRDefault="00604A87" w:rsidP="00604A87">
      <w:pPr>
        <w:rPr>
          <w:rFonts w:eastAsia="Times New Roman" w:cs="Arial"/>
        </w:rPr>
      </w:pPr>
      <w:r w:rsidRPr="00604A87">
        <w:rPr>
          <w:rFonts w:eastAsia="Times New Roman" w:cs="Arial"/>
        </w:rPr>
        <w:t>Date………………</w:t>
      </w:r>
      <w:r w:rsidR="0072378E">
        <w:rPr>
          <w:rFonts w:eastAsia="Times New Roman" w:cs="Arial"/>
        </w:rPr>
        <w:t>2</w:t>
      </w:r>
      <w:r w:rsidR="00E2434A">
        <w:rPr>
          <w:rFonts w:eastAsia="Times New Roman" w:cs="Arial"/>
        </w:rPr>
        <w:t>5</w:t>
      </w:r>
      <w:r w:rsidR="005B6657">
        <w:rPr>
          <w:rFonts w:eastAsia="Times New Roman" w:cs="Arial"/>
        </w:rPr>
        <w:t>/</w:t>
      </w:r>
      <w:r w:rsidR="00895EFD">
        <w:rPr>
          <w:rFonts w:eastAsia="Times New Roman" w:cs="Arial"/>
        </w:rPr>
        <w:t>7/2026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184E099F"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895EFD">
        <w:rPr>
          <w:rFonts w:eastAsia="Times New Roman" w:cs="Arial"/>
        </w:rPr>
        <w:t>N.Mahmood</w:t>
      </w:r>
      <w:proofErr w:type="spellEnd"/>
      <w:proofErr w:type="gramEnd"/>
      <w:r w:rsidRPr="00604A87">
        <w:rPr>
          <w:rFonts w:eastAsia="Times New Roman" w:cs="Arial"/>
        </w:rPr>
        <w:t xml:space="preserve">……………………………………. </w:t>
      </w:r>
    </w:p>
    <w:p w14:paraId="21F5E413" w14:textId="201E2EF9" w:rsidR="00604A87" w:rsidRPr="00604A87" w:rsidRDefault="00604A87" w:rsidP="00604A87">
      <w:pPr>
        <w:rPr>
          <w:rFonts w:eastAsia="Times New Roman" w:cs="Arial"/>
        </w:rPr>
      </w:pPr>
      <w:r w:rsidRPr="00604A87">
        <w:rPr>
          <w:rFonts w:eastAsia="Times New Roman" w:cs="Arial"/>
        </w:rPr>
        <w:t>Date………………</w:t>
      </w:r>
      <w:r w:rsidR="00895EFD">
        <w:rPr>
          <w:rFonts w:eastAsia="Times New Roman" w:cs="Arial"/>
        </w:rPr>
        <w:t>2</w:t>
      </w:r>
      <w:r w:rsidR="00E2434A">
        <w:rPr>
          <w:rFonts w:eastAsia="Times New Roman" w:cs="Arial"/>
        </w:rPr>
        <w:t>5</w:t>
      </w:r>
      <w:r w:rsidR="00895EFD">
        <w:rPr>
          <w:rFonts w:eastAsia="Times New Roman" w:cs="Arial"/>
        </w:rPr>
        <w:t>/7/2026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6233215F"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895EFD">
        <w:rPr>
          <w:rFonts w:eastAsia="Times New Roman" w:cs="Arial"/>
        </w:rPr>
        <w:t>N.Mahmood</w:t>
      </w:r>
      <w:proofErr w:type="spellEnd"/>
      <w:proofErr w:type="gramEnd"/>
      <w:r w:rsidRPr="00604A87">
        <w:rPr>
          <w:rFonts w:eastAsia="Times New Roman" w:cs="Arial"/>
        </w:rPr>
        <w:t>…………………………………</w:t>
      </w:r>
    </w:p>
    <w:p w14:paraId="1CB40FFB" w14:textId="3D6415BE" w:rsidR="00604A87" w:rsidRPr="00604A87" w:rsidRDefault="00604A87" w:rsidP="00604A87">
      <w:pPr>
        <w:rPr>
          <w:rFonts w:eastAsia="Times New Roman" w:cs="Arial"/>
        </w:rPr>
      </w:pPr>
      <w:r w:rsidRPr="00604A87">
        <w:rPr>
          <w:rFonts w:eastAsia="Times New Roman" w:cs="Arial"/>
        </w:rPr>
        <w:t>Date…………………</w:t>
      </w:r>
      <w:r w:rsidR="00895EFD">
        <w:rPr>
          <w:rFonts w:eastAsia="Times New Roman" w:cs="Arial"/>
        </w:rPr>
        <w:t>2</w:t>
      </w:r>
      <w:r w:rsidR="00E2434A">
        <w:rPr>
          <w:rFonts w:eastAsia="Times New Roman" w:cs="Arial"/>
        </w:rPr>
        <w:t>5</w:t>
      </w:r>
      <w:r w:rsidR="00895EFD">
        <w:rPr>
          <w:rFonts w:eastAsia="Times New Roman" w:cs="Arial"/>
        </w:rPr>
        <w:t>/7/2026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6CDFF970"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895EFD">
        <w:rPr>
          <w:rFonts w:eastAsia="Times New Roman" w:cs="Arial"/>
        </w:rPr>
        <w:t>N.Mahmood</w:t>
      </w:r>
      <w:proofErr w:type="spellEnd"/>
      <w:proofErr w:type="gramEnd"/>
      <w:r w:rsidRPr="00604A87">
        <w:rPr>
          <w:rFonts w:eastAsia="Times New Roman" w:cs="Arial"/>
        </w:rPr>
        <w:t>……………………………………</w:t>
      </w:r>
    </w:p>
    <w:p w14:paraId="021196D1" w14:textId="5D2A5A30"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895EFD">
        <w:rPr>
          <w:rFonts w:eastAsia="Times New Roman" w:cs="Arial"/>
        </w:rPr>
        <w:t>2</w:t>
      </w:r>
      <w:r w:rsidR="00E2434A">
        <w:rPr>
          <w:rFonts w:eastAsia="Times New Roman" w:cs="Arial"/>
        </w:rPr>
        <w:t>5</w:t>
      </w:r>
      <w:r w:rsidR="00895EFD">
        <w:rPr>
          <w:rFonts w:eastAsia="Times New Roman" w:cs="Arial"/>
        </w:rPr>
        <w:t>/7/2026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58AFA9B3" w:rsidR="00604A87" w:rsidRPr="00604A87" w:rsidRDefault="00604A87" w:rsidP="00604A87">
      <w:pPr>
        <w:rPr>
          <w:rFonts w:eastAsia="Times New Roman" w:cs="Arial"/>
        </w:rPr>
      </w:pPr>
      <w:r w:rsidRPr="00604A87">
        <w:rPr>
          <w:rFonts w:eastAsia="Times New Roman" w:cs="Arial"/>
        </w:rPr>
        <w:t>Signed……………</w:t>
      </w:r>
      <w:proofErr w:type="spellStart"/>
      <w:proofErr w:type="gramStart"/>
      <w:r w:rsidR="00895EFD">
        <w:rPr>
          <w:rFonts w:eastAsia="Times New Roman" w:cs="Arial"/>
        </w:rPr>
        <w:t>N.Mahmood</w:t>
      </w:r>
      <w:proofErr w:type="spellEnd"/>
      <w:proofErr w:type="gramEnd"/>
      <w:r w:rsidRPr="00604A87">
        <w:rPr>
          <w:rFonts w:eastAsia="Times New Roman" w:cs="Arial"/>
        </w:rPr>
        <w:t>…………………………………</w:t>
      </w:r>
    </w:p>
    <w:p w14:paraId="2BDDE109" w14:textId="7F93D1D8"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895EFD">
        <w:rPr>
          <w:rFonts w:eastAsia="Times New Roman" w:cs="Arial"/>
        </w:rPr>
        <w:t>2</w:t>
      </w:r>
      <w:r w:rsidR="00E2434A">
        <w:rPr>
          <w:rFonts w:eastAsia="Times New Roman" w:cs="Arial"/>
        </w:rPr>
        <w:t>5</w:t>
      </w:r>
      <w:r w:rsidR="00895EFD">
        <w:rPr>
          <w:rFonts w:eastAsia="Times New Roman" w:cs="Arial"/>
        </w:rPr>
        <w:t>/7/2026</w:t>
      </w:r>
      <w:r w:rsidRPr="00604A87">
        <w:rPr>
          <w:rFonts w:eastAsia="Times New Roman" w:cs="Arial"/>
        </w:rPr>
        <w:t>………………………………</w:t>
      </w:r>
    </w:p>
    <w:p w14:paraId="13649F9E" w14:textId="77777777" w:rsidR="00063B4C" w:rsidRDefault="00063B4C"/>
    <w:p w14:paraId="7CE514EB" w14:textId="77777777" w:rsidR="00995444" w:rsidRDefault="00995444" w:rsidP="00E41D24">
      <w:pPr>
        <w:rPr>
          <w:rFonts w:ascii="Arial" w:eastAsia="Arial Unicode MS" w:hAnsi="Arial" w:cs="Arial"/>
          <w:b/>
          <w:sz w:val="56"/>
          <w:szCs w:val="56"/>
        </w:rPr>
      </w:pPr>
    </w:p>
    <w:p w14:paraId="0FC75915" w14:textId="50C641F4" w:rsidR="00995444" w:rsidRDefault="007235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bookmarkStart w:id="0" w:name="_Hlk231934016"/>
      <w:r w:rsidRPr="00723544">
        <w:rPr>
          <w:rFonts w:eastAsia="Arial Unicode MS" w:cs="Arial"/>
          <w:b/>
          <w:sz w:val="56"/>
          <w:szCs w:val="56"/>
        </w:rPr>
        <w:t xml:space="preserve">Early Recognition </w:t>
      </w:r>
      <w:r w:rsidR="00F039A0" w:rsidRPr="00723544">
        <w:rPr>
          <w:rFonts w:eastAsia="Arial Unicode MS" w:cs="Arial"/>
          <w:b/>
          <w:sz w:val="56"/>
          <w:szCs w:val="56"/>
        </w:rPr>
        <w:t xml:space="preserve">Of </w:t>
      </w:r>
      <w:r w:rsidRPr="00723544">
        <w:rPr>
          <w:rFonts w:eastAsia="Arial Unicode MS" w:cs="Arial"/>
          <w:b/>
          <w:sz w:val="56"/>
          <w:szCs w:val="56"/>
        </w:rPr>
        <w:t xml:space="preserve">Dementia </w:t>
      </w:r>
      <w:r w:rsidR="00F039A0" w:rsidRPr="00723544">
        <w:rPr>
          <w:rFonts w:eastAsia="Arial Unicode MS" w:cs="Arial"/>
          <w:b/>
          <w:sz w:val="56"/>
          <w:szCs w:val="56"/>
        </w:rPr>
        <w:t xml:space="preserve">In </w:t>
      </w:r>
      <w:r w:rsidRPr="00723544">
        <w:rPr>
          <w:rFonts w:eastAsia="Arial Unicode MS" w:cs="Arial"/>
          <w:b/>
          <w:sz w:val="56"/>
          <w:szCs w:val="56"/>
        </w:rPr>
        <w:t>Older Adults</w:t>
      </w:r>
      <w:r w:rsidR="00F039A0" w:rsidRPr="00723544">
        <w:rPr>
          <w:rFonts w:eastAsia="Arial Unicode MS" w:cs="Arial"/>
          <w:b/>
          <w:sz w:val="56"/>
          <w:szCs w:val="56"/>
        </w:rPr>
        <w:t xml:space="preserve">: </w:t>
      </w:r>
      <w:r w:rsidRPr="00723544">
        <w:rPr>
          <w:rFonts w:eastAsia="Arial Unicode MS" w:cs="Arial"/>
          <w:b/>
          <w:sz w:val="56"/>
          <w:szCs w:val="56"/>
        </w:rPr>
        <w:t xml:space="preserve">Distinguishing Normal Ageing </w:t>
      </w:r>
      <w:r w:rsidR="00F039A0" w:rsidRPr="00723544">
        <w:rPr>
          <w:rFonts w:eastAsia="Arial Unicode MS" w:cs="Arial"/>
          <w:b/>
          <w:sz w:val="56"/>
          <w:szCs w:val="56"/>
        </w:rPr>
        <w:t xml:space="preserve">From </w:t>
      </w:r>
      <w:r w:rsidRPr="00723544">
        <w:rPr>
          <w:rFonts w:eastAsia="Arial Unicode MS" w:cs="Arial"/>
          <w:b/>
          <w:sz w:val="56"/>
          <w:szCs w:val="56"/>
        </w:rPr>
        <w:t xml:space="preserve">Cognitive Impairment </w:t>
      </w:r>
      <w:r w:rsidR="00F039A0" w:rsidRPr="00723544">
        <w:rPr>
          <w:rFonts w:eastAsia="Arial Unicode MS" w:cs="Arial"/>
          <w:b/>
          <w:sz w:val="56"/>
          <w:szCs w:val="56"/>
        </w:rPr>
        <w:t xml:space="preserve">In </w:t>
      </w:r>
      <w:r w:rsidRPr="00723544">
        <w:rPr>
          <w:rFonts w:eastAsia="Arial Unicode MS" w:cs="Arial"/>
          <w:b/>
          <w:sz w:val="56"/>
          <w:szCs w:val="56"/>
        </w:rPr>
        <w:t>Nursing Practice</w:t>
      </w:r>
    </w:p>
    <w:bookmarkEnd w:id="0"/>
    <w:p w14:paraId="4E6162AE" w14:textId="77777777" w:rsidR="00E41D24" w:rsidRPr="00995444" w:rsidRDefault="00E41D2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1ADA2030" w:rsidR="00995444" w:rsidRDefault="006032F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Naznin Mahmood</w:t>
      </w:r>
    </w:p>
    <w:p w14:paraId="66FEF5D4" w14:textId="142BC8AD" w:rsidR="006032FF" w:rsidRPr="00995444" w:rsidRDefault="006032F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2215438</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03004EEE" w14:textId="306BF111" w:rsidR="00063B4C" w:rsidRPr="007502B3" w:rsidRDefault="00995444" w:rsidP="007502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F4A849F" w14:textId="0D665E0C" w:rsidR="00995444" w:rsidRPr="007F6813" w:rsidRDefault="00C92775" w:rsidP="006032FF">
      <w:pPr>
        <w:spacing w:line="259" w:lineRule="auto"/>
        <w:jc w:val="left"/>
        <w:rPr>
          <w:b/>
          <w:bCs/>
        </w:rPr>
      </w:pPr>
      <w:r>
        <w:br w:type="page"/>
      </w:r>
      <w:r w:rsidR="00995444" w:rsidRPr="007F6813">
        <w:rPr>
          <w:b/>
          <w:bCs/>
        </w:rPr>
        <w:lastRenderedPageBreak/>
        <w:t>ACKNOWLEDGEMENTS</w:t>
      </w:r>
    </w:p>
    <w:p w14:paraId="40A3E6C2" w14:textId="2C948BD6" w:rsidR="00995444" w:rsidRDefault="007502B3" w:rsidP="007502B3">
      <w:r w:rsidRPr="007502B3">
        <w:rPr>
          <w:lang w:eastAsia="en-GB"/>
        </w:rPr>
        <w:t xml:space="preserve">I want to thank all those who have helped and </w:t>
      </w:r>
      <w:r w:rsidR="00B93818">
        <w:rPr>
          <w:lang w:eastAsia="en-GB"/>
        </w:rPr>
        <w:t>guided me in completing</w:t>
      </w:r>
      <w:r w:rsidRPr="007502B3">
        <w:rPr>
          <w:lang w:eastAsia="en-GB"/>
        </w:rPr>
        <w:t xml:space="preserve"> this dissertation. I would like to express special thanks to my </w:t>
      </w:r>
      <w:r w:rsidR="00B93818">
        <w:rPr>
          <w:lang w:eastAsia="en-GB"/>
        </w:rPr>
        <w:t>lecturer</w:t>
      </w:r>
      <w:r w:rsidR="00834226">
        <w:rPr>
          <w:lang w:eastAsia="en-GB"/>
        </w:rPr>
        <w:t>, Chloe</w:t>
      </w:r>
      <w:r w:rsidR="00B93818">
        <w:rPr>
          <w:lang w:eastAsia="en-GB"/>
        </w:rPr>
        <w:t xml:space="preserve"> Harries</w:t>
      </w:r>
      <w:r w:rsidR="00834226">
        <w:rPr>
          <w:lang w:eastAsia="en-GB"/>
        </w:rPr>
        <w:t>,</w:t>
      </w:r>
      <w:r w:rsidRPr="007502B3">
        <w:rPr>
          <w:lang w:eastAsia="en-GB"/>
        </w:rPr>
        <w:t xml:space="preserve"> for </w:t>
      </w:r>
      <w:r w:rsidR="00B93818">
        <w:rPr>
          <w:lang w:eastAsia="en-GB"/>
        </w:rPr>
        <w:t xml:space="preserve">her </w:t>
      </w:r>
      <w:r w:rsidRPr="007502B3">
        <w:rPr>
          <w:lang w:eastAsia="en-GB"/>
        </w:rPr>
        <w:t xml:space="preserve">valuable suggestions, constructive comments and constant encouragement throughout the research process and during the writing. </w:t>
      </w:r>
      <w:r w:rsidR="00834226">
        <w:rPr>
          <w:lang w:eastAsia="en-GB"/>
        </w:rPr>
        <w:t xml:space="preserve">Her </w:t>
      </w:r>
      <w:r w:rsidR="00834226" w:rsidRPr="007502B3">
        <w:rPr>
          <w:lang w:eastAsia="en-GB"/>
        </w:rPr>
        <w:t>guidance</w:t>
      </w:r>
      <w:r w:rsidRPr="007502B3">
        <w:rPr>
          <w:lang w:eastAsia="en-GB"/>
        </w:rPr>
        <w:t xml:space="preserve"> greatly contributed to the development and completion of this study. I would also like to express my gratitude to the University Library staff and support services for their assistance</w:t>
      </w:r>
      <w:r w:rsidR="00834226">
        <w:rPr>
          <w:lang w:eastAsia="en-GB"/>
        </w:rPr>
        <w:t>;</w:t>
      </w:r>
      <w:r w:rsidR="00B93818">
        <w:rPr>
          <w:lang w:eastAsia="en-GB"/>
        </w:rPr>
        <w:t xml:space="preserve"> this include</w:t>
      </w:r>
      <w:r w:rsidR="00834226">
        <w:rPr>
          <w:lang w:eastAsia="en-GB"/>
        </w:rPr>
        <w:t>s</w:t>
      </w:r>
      <w:r w:rsidR="00B93818">
        <w:rPr>
          <w:lang w:eastAsia="en-GB"/>
        </w:rPr>
        <w:t xml:space="preserve"> Joanne Davies in helping me with my referencing</w:t>
      </w:r>
      <w:r w:rsidRPr="007502B3">
        <w:rPr>
          <w:lang w:eastAsia="en-GB"/>
        </w:rPr>
        <w:t xml:space="preserve"> </w:t>
      </w:r>
      <w:r w:rsidR="00272416">
        <w:rPr>
          <w:lang w:eastAsia="en-GB"/>
        </w:rPr>
        <w:t>and</w:t>
      </w:r>
      <w:r w:rsidRPr="007502B3">
        <w:rPr>
          <w:lang w:eastAsia="en-GB"/>
        </w:rPr>
        <w:t xml:space="preserve"> accessing academic resources and research material</w:t>
      </w:r>
      <w:r w:rsidR="00045B77">
        <w:rPr>
          <w:lang w:eastAsia="en-GB"/>
        </w:rPr>
        <w:t xml:space="preserve"> correctly</w:t>
      </w:r>
      <w:r w:rsidRPr="007502B3">
        <w:rPr>
          <w:lang w:eastAsia="en-GB"/>
        </w:rPr>
        <w:t xml:space="preserve">, which were important for the completion of this dissertation. Appreciation is also extended to fellow students and colleagues who provided support, discussion and motivation during the project. Finally, my gratitude </w:t>
      </w:r>
      <w:r w:rsidR="00834226">
        <w:rPr>
          <w:lang w:eastAsia="en-GB"/>
        </w:rPr>
        <w:t xml:space="preserve">goes </w:t>
      </w:r>
      <w:r w:rsidRPr="007502B3">
        <w:rPr>
          <w:lang w:eastAsia="en-GB"/>
        </w:rPr>
        <w:t xml:space="preserve">to my </w:t>
      </w:r>
      <w:r w:rsidR="00834226">
        <w:rPr>
          <w:lang w:eastAsia="en-GB"/>
        </w:rPr>
        <w:t>husband</w:t>
      </w:r>
      <w:r w:rsidR="00834226" w:rsidRPr="007502B3">
        <w:rPr>
          <w:lang w:eastAsia="en-GB"/>
        </w:rPr>
        <w:t xml:space="preserve"> for</w:t>
      </w:r>
      <w:r w:rsidRPr="007502B3">
        <w:rPr>
          <w:lang w:eastAsia="en-GB"/>
        </w:rPr>
        <w:t xml:space="preserve"> </w:t>
      </w:r>
      <w:r w:rsidR="00272416">
        <w:rPr>
          <w:lang w:eastAsia="en-GB"/>
        </w:rPr>
        <w:t>having</w:t>
      </w:r>
      <w:r w:rsidR="00834226">
        <w:rPr>
          <w:lang w:eastAsia="en-GB"/>
        </w:rPr>
        <w:t xml:space="preserve"> the</w:t>
      </w:r>
      <w:r w:rsidR="00272416">
        <w:rPr>
          <w:lang w:eastAsia="en-GB"/>
        </w:rPr>
        <w:t xml:space="preserve"> </w:t>
      </w:r>
      <w:r w:rsidRPr="007502B3">
        <w:rPr>
          <w:lang w:eastAsia="en-GB"/>
        </w:rPr>
        <w:t>patience, encouragement, and understanding while working on this dissertation. They have greatly helped me to stay focused and committed to this academic pursuit.</w:t>
      </w:r>
    </w:p>
    <w:p w14:paraId="7EA8A979" w14:textId="77777777" w:rsidR="0073280B" w:rsidRDefault="0073280B"/>
    <w:p w14:paraId="24382F47" w14:textId="77777777" w:rsidR="0073280B" w:rsidRDefault="0073280B"/>
    <w:p w14:paraId="2B0735F3" w14:textId="4EAD742F" w:rsidR="0073280B" w:rsidRDefault="007502B3" w:rsidP="007502B3">
      <w:pPr>
        <w:spacing w:line="259" w:lineRule="auto"/>
        <w:jc w:val="left"/>
      </w:pPr>
      <w:r>
        <w:br w:type="page"/>
      </w:r>
    </w:p>
    <w:p w14:paraId="310D40A5" w14:textId="6DE07E34" w:rsidR="0073280B" w:rsidRPr="0025020C" w:rsidRDefault="005216D9" w:rsidP="007502B3">
      <w:pPr>
        <w:pStyle w:val="Heading1"/>
      </w:pPr>
      <w:bookmarkStart w:id="1" w:name="_Toc235909323"/>
      <w:r w:rsidRPr="0025020C">
        <w:lastRenderedPageBreak/>
        <w:t>ABSTRACT</w:t>
      </w:r>
      <w:bookmarkEnd w:id="1"/>
    </w:p>
    <w:p w14:paraId="09295870" w14:textId="498CF6BB" w:rsidR="007502B3" w:rsidRDefault="007502B3" w:rsidP="00A42BAD">
      <w:r>
        <w:t xml:space="preserve">This dissertation explored critical reviews of evidence-based strategies for </w:t>
      </w:r>
      <w:r w:rsidR="004346A6">
        <w:t>identifying normal cognitive ageing from initial dementia in an older population, and specifically the role of the nursing practitioner in improving</w:t>
      </w:r>
      <w:r>
        <w:t xml:space="preserve"> early identification and diagnostic accuracy. </w:t>
      </w:r>
      <w:r w:rsidR="00C642C1">
        <w:t>The research aimed</w:t>
      </w:r>
      <w:r>
        <w:t xml:space="preserve"> to explore clinical and cognitive markers identified with dementia, to evaluate screening tools and approaches used in the nursing and primary care settings, to determine the effectiveness and limitations of screening for early recognition, and to make recommendations to enhance assessment and interventions. Within the field of health and social care, it is significant because a late diagnosis of dementia may impact patients' care, access to support and long-term care planning. The study employed a secondary research method of a desk study based on an analysis of peer-reviewed publications within the past decade.</w:t>
      </w:r>
    </w:p>
    <w:p w14:paraId="101AA6A9" w14:textId="123278F6" w:rsidR="0025020C" w:rsidRDefault="007502B3" w:rsidP="007502B3">
      <w:r>
        <w:t>Structured database searches identified relevant studies, and these were analysed thematically to bring out the patterns and themes from the evidence base. The results revealed three broad themes: clinical/cognitive indicators of dementia versus normal ageing, clinic-based screening tools and assessment practices, and implementation/receptivity issues. The results showed that although there is increasing access to new assessment materials and early recognition tools, there are also challenges to the accuracy of these, to capacity building, to cultural competence and to accessibility of services. The study found that integrated approaches to assessment will facilitate early recognition of dementia; professional training needs should be enhanced; culturally inclusive services are needed; and memory care pathways should be strengthened to ensure prompt, accurate and person-centred dementia care.</w:t>
      </w:r>
    </w:p>
    <w:p w14:paraId="350684A4" w14:textId="77777777" w:rsidR="00804B94" w:rsidRDefault="00804B94" w:rsidP="00C92775"/>
    <w:p w14:paraId="19DA61EC" w14:textId="69EB4C69" w:rsidR="00804B94" w:rsidRDefault="00C92775" w:rsidP="00C92775">
      <w:pPr>
        <w:spacing w:line="259" w:lineRule="auto"/>
        <w:jc w:val="left"/>
      </w:pPr>
      <w:r>
        <w:br w:type="page"/>
      </w:r>
    </w:p>
    <w:p w14:paraId="15BFA27A" w14:textId="49FBF17F" w:rsidR="00804B94" w:rsidRPr="00EF6341" w:rsidRDefault="00804B94" w:rsidP="007502B3">
      <w:pPr>
        <w:pStyle w:val="Heading1"/>
      </w:pPr>
      <w:bookmarkStart w:id="2" w:name="_Toc235909324"/>
      <w:r>
        <w:lastRenderedPageBreak/>
        <w:t>Table of Contents</w:t>
      </w:r>
      <w:bookmarkEnd w:id="2"/>
    </w:p>
    <w:sdt>
      <w:sdtPr>
        <w:rPr>
          <w:rFonts w:ascii="Aptos" w:eastAsiaTheme="minorEastAsia" w:hAnsi="Aptos" w:cstheme="minorBidi"/>
          <w:color w:val="auto"/>
          <w:kern w:val="2"/>
          <w:sz w:val="22"/>
          <w:szCs w:val="22"/>
          <w:lang w:val="en-GB" w:eastAsia="zh-CN"/>
          <w14:ligatures w14:val="standardContextual"/>
        </w:rPr>
        <w:id w:val="1450056387"/>
        <w:docPartObj>
          <w:docPartGallery w:val="Table of Contents"/>
          <w:docPartUnique/>
        </w:docPartObj>
      </w:sdtPr>
      <w:sdtEndPr>
        <w:rPr>
          <w:b/>
          <w:bCs/>
          <w:noProof/>
        </w:rPr>
      </w:sdtEndPr>
      <w:sdtContent>
        <w:p w14:paraId="4D787931" w14:textId="502EB737" w:rsidR="00D232D3" w:rsidRDefault="00D232D3">
          <w:pPr>
            <w:pStyle w:val="TOCHeading"/>
          </w:pPr>
          <w:r>
            <w:t>Table of Contents</w:t>
          </w:r>
        </w:p>
        <w:p w14:paraId="2636D19E" w14:textId="19D263E4" w:rsidR="00246CD9" w:rsidRDefault="00D232D3">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35909323" w:history="1">
            <w:r w:rsidR="00246CD9" w:rsidRPr="00BF1448">
              <w:rPr>
                <w:rStyle w:val="Hyperlink"/>
                <w:noProof/>
                <w:lang w:bidi="en-GB"/>
              </w:rPr>
              <w:t>ABSTRACT</w:t>
            </w:r>
            <w:r w:rsidR="00246CD9">
              <w:rPr>
                <w:noProof/>
                <w:webHidden/>
              </w:rPr>
              <w:tab/>
            </w:r>
            <w:r w:rsidR="00246CD9">
              <w:rPr>
                <w:noProof/>
                <w:webHidden/>
              </w:rPr>
              <w:fldChar w:fldCharType="begin"/>
            </w:r>
            <w:r w:rsidR="00246CD9">
              <w:rPr>
                <w:noProof/>
                <w:webHidden/>
              </w:rPr>
              <w:instrText xml:space="preserve"> PAGEREF _Toc235909323 \h </w:instrText>
            </w:r>
            <w:r w:rsidR="00246CD9">
              <w:rPr>
                <w:noProof/>
                <w:webHidden/>
              </w:rPr>
            </w:r>
            <w:r w:rsidR="00246CD9">
              <w:rPr>
                <w:noProof/>
                <w:webHidden/>
              </w:rPr>
              <w:fldChar w:fldCharType="separate"/>
            </w:r>
            <w:r w:rsidR="00246CD9">
              <w:rPr>
                <w:noProof/>
                <w:webHidden/>
              </w:rPr>
              <w:t>5</w:t>
            </w:r>
            <w:r w:rsidR="00246CD9">
              <w:rPr>
                <w:noProof/>
                <w:webHidden/>
              </w:rPr>
              <w:fldChar w:fldCharType="end"/>
            </w:r>
          </w:hyperlink>
        </w:p>
        <w:p w14:paraId="20146DF2" w14:textId="68314DCC" w:rsidR="00246CD9" w:rsidRDefault="00246CD9">
          <w:pPr>
            <w:pStyle w:val="TOC1"/>
            <w:tabs>
              <w:tab w:val="right" w:leader="dot" w:pos="9016"/>
            </w:tabs>
            <w:rPr>
              <w:rFonts w:asciiTheme="minorHAnsi" w:hAnsiTheme="minorHAnsi"/>
              <w:noProof/>
              <w:sz w:val="24"/>
              <w:szCs w:val="24"/>
              <w:lang w:eastAsia="en-GB"/>
            </w:rPr>
          </w:pPr>
          <w:hyperlink w:anchor="_Toc235909324" w:history="1">
            <w:r w:rsidRPr="00BF1448">
              <w:rPr>
                <w:rStyle w:val="Hyperlink"/>
                <w:noProof/>
                <w:lang w:bidi="en-GB"/>
              </w:rPr>
              <w:t>Table of Contents</w:t>
            </w:r>
            <w:r>
              <w:rPr>
                <w:noProof/>
                <w:webHidden/>
              </w:rPr>
              <w:tab/>
            </w:r>
            <w:r>
              <w:rPr>
                <w:noProof/>
                <w:webHidden/>
              </w:rPr>
              <w:fldChar w:fldCharType="begin"/>
            </w:r>
            <w:r>
              <w:rPr>
                <w:noProof/>
                <w:webHidden/>
              </w:rPr>
              <w:instrText xml:space="preserve"> PAGEREF _Toc235909324 \h </w:instrText>
            </w:r>
            <w:r>
              <w:rPr>
                <w:noProof/>
                <w:webHidden/>
              </w:rPr>
            </w:r>
            <w:r>
              <w:rPr>
                <w:noProof/>
                <w:webHidden/>
              </w:rPr>
              <w:fldChar w:fldCharType="separate"/>
            </w:r>
            <w:r>
              <w:rPr>
                <w:noProof/>
                <w:webHidden/>
              </w:rPr>
              <w:t>6</w:t>
            </w:r>
            <w:r>
              <w:rPr>
                <w:noProof/>
                <w:webHidden/>
              </w:rPr>
              <w:fldChar w:fldCharType="end"/>
            </w:r>
          </w:hyperlink>
        </w:p>
        <w:p w14:paraId="4ACAA4B2" w14:textId="1589B761" w:rsidR="00246CD9" w:rsidRDefault="00246CD9">
          <w:pPr>
            <w:pStyle w:val="TOC1"/>
            <w:tabs>
              <w:tab w:val="right" w:leader="dot" w:pos="9016"/>
            </w:tabs>
            <w:rPr>
              <w:rFonts w:asciiTheme="minorHAnsi" w:hAnsiTheme="minorHAnsi"/>
              <w:noProof/>
              <w:sz w:val="24"/>
              <w:szCs w:val="24"/>
              <w:lang w:eastAsia="en-GB"/>
            </w:rPr>
          </w:pPr>
          <w:hyperlink w:anchor="_Toc235909325" w:history="1">
            <w:r w:rsidRPr="00BF1448">
              <w:rPr>
                <w:rStyle w:val="Hyperlink"/>
                <w:noProof/>
                <w:lang w:bidi="en-GB"/>
              </w:rPr>
              <w:t>CHAPTER 1: Introduction</w:t>
            </w:r>
            <w:r>
              <w:rPr>
                <w:noProof/>
                <w:webHidden/>
              </w:rPr>
              <w:tab/>
            </w:r>
            <w:r>
              <w:rPr>
                <w:noProof/>
                <w:webHidden/>
              </w:rPr>
              <w:fldChar w:fldCharType="begin"/>
            </w:r>
            <w:r>
              <w:rPr>
                <w:noProof/>
                <w:webHidden/>
              </w:rPr>
              <w:instrText xml:space="preserve"> PAGEREF _Toc235909325 \h </w:instrText>
            </w:r>
            <w:r>
              <w:rPr>
                <w:noProof/>
                <w:webHidden/>
              </w:rPr>
            </w:r>
            <w:r>
              <w:rPr>
                <w:noProof/>
                <w:webHidden/>
              </w:rPr>
              <w:fldChar w:fldCharType="separate"/>
            </w:r>
            <w:r>
              <w:rPr>
                <w:noProof/>
                <w:webHidden/>
              </w:rPr>
              <w:t>9</w:t>
            </w:r>
            <w:r>
              <w:rPr>
                <w:noProof/>
                <w:webHidden/>
              </w:rPr>
              <w:fldChar w:fldCharType="end"/>
            </w:r>
          </w:hyperlink>
        </w:p>
        <w:p w14:paraId="5B1D1AF4" w14:textId="208392E0" w:rsidR="00246CD9" w:rsidRDefault="00246CD9">
          <w:pPr>
            <w:pStyle w:val="TOC2"/>
            <w:tabs>
              <w:tab w:val="right" w:leader="dot" w:pos="9016"/>
            </w:tabs>
            <w:rPr>
              <w:rFonts w:asciiTheme="minorHAnsi" w:hAnsiTheme="minorHAnsi"/>
              <w:noProof/>
              <w:sz w:val="24"/>
              <w:szCs w:val="24"/>
              <w:lang w:eastAsia="en-GB"/>
            </w:rPr>
          </w:pPr>
          <w:hyperlink w:anchor="_Toc235909326" w:history="1">
            <w:r w:rsidRPr="00BF1448">
              <w:rPr>
                <w:rStyle w:val="Hyperlink"/>
                <w:noProof/>
              </w:rPr>
              <w:t>1.1 Introduction</w:t>
            </w:r>
            <w:r>
              <w:rPr>
                <w:noProof/>
                <w:webHidden/>
              </w:rPr>
              <w:tab/>
            </w:r>
            <w:r>
              <w:rPr>
                <w:noProof/>
                <w:webHidden/>
              </w:rPr>
              <w:fldChar w:fldCharType="begin"/>
            </w:r>
            <w:r>
              <w:rPr>
                <w:noProof/>
                <w:webHidden/>
              </w:rPr>
              <w:instrText xml:space="preserve"> PAGEREF _Toc235909326 \h </w:instrText>
            </w:r>
            <w:r>
              <w:rPr>
                <w:noProof/>
                <w:webHidden/>
              </w:rPr>
            </w:r>
            <w:r>
              <w:rPr>
                <w:noProof/>
                <w:webHidden/>
              </w:rPr>
              <w:fldChar w:fldCharType="separate"/>
            </w:r>
            <w:r>
              <w:rPr>
                <w:noProof/>
                <w:webHidden/>
              </w:rPr>
              <w:t>9</w:t>
            </w:r>
            <w:r>
              <w:rPr>
                <w:noProof/>
                <w:webHidden/>
              </w:rPr>
              <w:fldChar w:fldCharType="end"/>
            </w:r>
          </w:hyperlink>
        </w:p>
        <w:p w14:paraId="069FD7C3" w14:textId="72458631" w:rsidR="00246CD9" w:rsidRDefault="00246CD9">
          <w:pPr>
            <w:pStyle w:val="TOC2"/>
            <w:tabs>
              <w:tab w:val="right" w:leader="dot" w:pos="9016"/>
            </w:tabs>
            <w:rPr>
              <w:rFonts w:asciiTheme="minorHAnsi" w:hAnsiTheme="minorHAnsi"/>
              <w:noProof/>
              <w:sz w:val="24"/>
              <w:szCs w:val="24"/>
              <w:lang w:eastAsia="en-GB"/>
            </w:rPr>
          </w:pPr>
          <w:hyperlink w:anchor="_Toc235909327" w:history="1">
            <w:r w:rsidRPr="00BF1448">
              <w:rPr>
                <w:rStyle w:val="Hyperlink"/>
                <w:noProof/>
              </w:rPr>
              <w:t>1.2 Definitions and Terminology</w:t>
            </w:r>
            <w:r>
              <w:rPr>
                <w:noProof/>
                <w:webHidden/>
              </w:rPr>
              <w:tab/>
            </w:r>
            <w:r>
              <w:rPr>
                <w:noProof/>
                <w:webHidden/>
              </w:rPr>
              <w:fldChar w:fldCharType="begin"/>
            </w:r>
            <w:r>
              <w:rPr>
                <w:noProof/>
                <w:webHidden/>
              </w:rPr>
              <w:instrText xml:space="preserve"> PAGEREF _Toc235909327 \h </w:instrText>
            </w:r>
            <w:r>
              <w:rPr>
                <w:noProof/>
                <w:webHidden/>
              </w:rPr>
            </w:r>
            <w:r>
              <w:rPr>
                <w:noProof/>
                <w:webHidden/>
              </w:rPr>
              <w:fldChar w:fldCharType="separate"/>
            </w:r>
            <w:r>
              <w:rPr>
                <w:noProof/>
                <w:webHidden/>
              </w:rPr>
              <w:t>10</w:t>
            </w:r>
            <w:r>
              <w:rPr>
                <w:noProof/>
                <w:webHidden/>
              </w:rPr>
              <w:fldChar w:fldCharType="end"/>
            </w:r>
          </w:hyperlink>
        </w:p>
        <w:p w14:paraId="3D251481" w14:textId="79EBC9CD" w:rsidR="00246CD9" w:rsidRDefault="00246CD9">
          <w:pPr>
            <w:pStyle w:val="TOC2"/>
            <w:tabs>
              <w:tab w:val="right" w:leader="dot" w:pos="9016"/>
            </w:tabs>
            <w:rPr>
              <w:rFonts w:asciiTheme="minorHAnsi" w:hAnsiTheme="minorHAnsi"/>
              <w:noProof/>
              <w:sz w:val="24"/>
              <w:szCs w:val="24"/>
              <w:lang w:eastAsia="en-GB"/>
            </w:rPr>
          </w:pPr>
          <w:hyperlink w:anchor="_Toc235909328" w:history="1">
            <w:r w:rsidRPr="00BF1448">
              <w:rPr>
                <w:rStyle w:val="Hyperlink"/>
                <w:noProof/>
              </w:rPr>
              <w:t>1.3 Rationale for Research</w:t>
            </w:r>
            <w:r>
              <w:rPr>
                <w:noProof/>
                <w:webHidden/>
              </w:rPr>
              <w:tab/>
            </w:r>
            <w:r>
              <w:rPr>
                <w:noProof/>
                <w:webHidden/>
              </w:rPr>
              <w:fldChar w:fldCharType="begin"/>
            </w:r>
            <w:r>
              <w:rPr>
                <w:noProof/>
                <w:webHidden/>
              </w:rPr>
              <w:instrText xml:space="preserve"> PAGEREF _Toc235909328 \h </w:instrText>
            </w:r>
            <w:r>
              <w:rPr>
                <w:noProof/>
                <w:webHidden/>
              </w:rPr>
            </w:r>
            <w:r>
              <w:rPr>
                <w:noProof/>
                <w:webHidden/>
              </w:rPr>
              <w:fldChar w:fldCharType="separate"/>
            </w:r>
            <w:r>
              <w:rPr>
                <w:noProof/>
                <w:webHidden/>
              </w:rPr>
              <w:t>11</w:t>
            </w:r>
            <w:r>
              <w:rPr>
                <w:noProof/>
                <w:webHidden/>
              </w:rPr>
              <w:fldChar w:fldCharType="end"/>
            </w:r>
          </w:hyperlink>
        </w:p>
        <w:p w14:paraId="52906956" w14:textId="3AD5F37E" w:rsidR="00246CD9" w:rsidRDefault="00246CD9">
          <w:pPr>
            <w:pStyle w:val="TOC2"/>
            <w:tabs>
              <w:tab w:val="right" w:leader="dot" w:pos="9016"/>
            </w:tabs>
            <w:rPr>
              <w:rFonts w:asciiTheme="minorHAnsi" w:hAnsiTheme="minorHAnsi"/>
              <w:noProof/>
              <w:sz w:val="24"/>
              <w:szCs w:val="24"/>
              <w:lang w:eastAsia="en-GB"/>
            </w:rPr>
          </w:pPr>
          <w:hyperlink w:anchor="_Toc235909329" w:history="1">
            <w:r w:rsidRPr="00BF1448">
              <w:rPr>
                <w:rStyle w:val="Hyperlink"/>
                <w:noProof/>
              </w:rPr>
              <w:t>1.4 Aim and Objectives</w:t>
            </w:r>
            <w:r>
              <w:rPr>
                <w:noProof/>
                <w:webHidden/>
              </w:rPr>
              <w:tab/>
            </w:r>
            <w:r>
              <w:rPr>
                <w:noProof/>
                <w:webHidden/>
              </w:rPr>
              <w:fldChar w:fldCharType="begin"/>
            </w:r>
            <w:r>
              <w:rPr>
                <w:noProof/>
                <w:webHidden/>
              </w:rPr>
              <w:instrText xml:space="preserve"> PAGEREF _Toc235909329 \h </w:instrText>
            </w:r>
            <w:r>
              <w:rPr>
                <w:noProof/>
                <w:webHidden/>
              </w:rPr>
            </w:r>
            <w:r>
              <w:rPr>
                <w:noProof/>
                <w:webHidden/>
              </w:rPr>
              <w:fldChar w:fldCharType="separate"/>
            </w:r>
            <w:r>
              <w:rPr>
                <w:noProof/>
                <w:webHidden/>
              </w:rPr>
              <w:t>11</w:t>
            </w:r>
            <w:r>
              <w:rPr>
                <w:noProof/>
                <w:webHidden/>
              </w:rPr>
              <w:fldChar w:fldCharType="end"/>
            </w:r>
          </w:hyperlink>
        </w:p>
        <w:p w14:paraId="0925E53B" w14:textId="1F1DAF38" w:rsidR="00246CD9" w:rsidRDefault="00246CD9">
          <w:pPr>
            <w:pStyle w:val="TOC3"/>
            <w:tabs>
              <w:tab w:val="right" w:leader="dot" w:pos="9016"/>
            </w:tabs>
            <w:rPr>
              <w:rFonts w:asciiTheme="minorHAnsi" w:hAnsiTheme="minorHAnsi"/>
              <w:noProof/>
              <w:sz w:val="24"/>
              <w:szCs w:val="24"/>
              <w:lang w:eastAsia="en-GB"/>
            </w:rPr>
          </w:pPr>
          <w:hyperlink w:anchor="_Toc235909330" w:history="1">
            <w:r w:rsidRPr="00BF1448">
              <w:rPr>
                <w:rStyle w:val="Hyperlink"/>
                <w:noProof/>
              </w:rPr>
              <w:t>Research Aim</w:t>
            </w:r>
            <w:r>
              <w:rPr>
                <w:noProof/>
                <w:webHidden/>
              </w:rPr>
              <w:tab/>
            </w:r>
            <w:r>
              <w:rPr>
                <w:noProof/>
                <w:webHidden/>
              </w:rPr>
              <w:fldChar w:fldCharType="begin"/>
            </w:r>
            <w:r>
              <w:rPr>
                <w:noProof/>
                <w:webHidden/>
              </w:rPr>
              <w:instrText xml:space="preserve"> PAGEREF _Toc235909330 \h </w:instrText>
            </w:r>
            <w:r>
              <w:rPr>
                <w:noProof/>
                <w:webHidden/>
              </w:rPr>
            </w:r>
            <w:r>
              <w:rPr>
                <w:noProof/>
                <w:webHidden/>
              </w:rPr>
              <w:fldChar w:fldCharType="separate"/>
            </w:r>
            <w:r>
              <w:rPr>
                <w:noProof/>
                <w:webHidden/>
              </w:rPr>
              <w:t>11</w:t>
            </w:r>
            <w:r>
              <w:rPr>
                <w:noProof/>
                <w:webHidden/>
              </w:rPr>
              <w:fldChar w:fldCharType="end"/>
            </w:r>
          </w:hyperlink>
        </w:p>
        <w:p w14:paraId="0DD7CBDF" w14:textId="7D426623" w:rsidR="00246CD9" w:rsidRDefault="00246CD9">
          <w:pPr>
            <w:pStyle w:val="TOC3"/>
            <w:tabs>
              <w:tab w:val="right" w:leader="dot" w:pos="9016"/>
            </w:tabs>
            <w:rPr>
              <w:rFonts w:asciiTheme="minorHAnsi" w:hAnsiTheme="minorHAnsi"/>
              <w:noProof/>
              <w:sz w:val="24"/>
              <w:szCs w:val="24"/>
              <w:lang w:eastAsia="en-GB"/>
            </w:rPr>
          </w:pPr>
          <w:hyperlink w:anchor="_Toc235909331" w:history="1">
            <w:r w:rsidRPr="00BF1448">
              <w:rPr>
                <w:rStyle w:val="Hyperlink"/>
                <w:noProof/>
              </w:rPr>
              <w:t>Research Objectives</w:t>
            </w:r>
            <w:r>
              <w:rPr>
                <w:noProof/>
                <w:webHidden/>
              </w:rPr>
              <w:tab/>
            </w:r>
            <w:r>
              <w:rPr>
                <w:noProof/>
                <w:webHidden/>
              </w:rPr>
              <w:fldChar w:fldCharType="begin"/>
            </w:r>
            <w:r>
              <w:rPr>
                <w:noProof/>
                <w:webHidden/>
              </w:rPr>
              <w:instrText xml:space="preserve"> PAGEREF _Toc235909331 \h </w:instrText>
            </w:r>
            <w:r>
              <w:rPr>
                <w:noProof/>
                <w:webHidden/>
              </w:rPr>
            </w:r>
            <w:r>
              <w:rPr>
                <w:noProof/>
                <w:webHidden/>
              </w:rPr>
              <w:fldChar w:fldCharType="separate"/>
            </w:r>
            <w:r>
              <w:rPr>
                <w:noProof/>
                <w:webHidden/>
              </w:rPr>
              <w:t>12</w:t>
            </w:r>
            <w:r>
              <w:rPr>
                <w:noProof/>
                <w:webHidden/>
              </w:rPr>
              <w:fldChar w:fldCharType="end"/>
            </w:r>
          </w:hyperlink>
        </w:p>
        <w:p w14:paraId="2AB4EFC6" w14:textId="1F57BAFA" w:rsidR="00246CD9" w:rsidRDefault="00246CD9">
          <w:pPr>
            <w:pStyle w:val="TOC2"/>
            <w:tabs>
              <w:tab w:val="right" w:leader="dot" w:pos="9016"/>
            </w:tabs>
            <w:rPr>
              <w:rFonts w:asciiTheme="minorHAnsi" w:hAnsiTheme="minorHAnsi"/>
              <w:noProof/>
              <w:sz w:val="24"/>
              <w:szCs w:val="24"/>
              <w:lang w:eastAsia="en-GB"/>
            </w:rPr>
          </w:pPr>
          <w:hyperlink w:anchor="_Toc235909332" w:history="1">
            <w:r w:rsidRPr="00BF1448">
              <w:rPr>
                <w:rStyle w:val="Hyperlink"/>
                <w:noProof/>
              </w:rPr>
              <w:t>1.5 Conclusion</w:t>
            </w:r>
            <w:r>
              <w:rPr>
                <w:noProof/>
                <w:webHidden/>
              </w:rPr>
              <w:tab/>
            </w:r>
            <w:r>
              <w:rPr>
                <w:noProof/>
                <w:webHidden/>
              </w:rPr>
              <w:fldChar w:fldCharType="begin"/>
            </w:r>
            <w:r>
              <w:rPr>
                <w:noProof/>
                <w:webHidden/>
              </w:rPr>
              <w:instrText xml:space="preserve"> PAGEREF _Toc235909332 \h </w:instrText>
            </w:r>
            <w:r>
              <w:rPr>
                <w:noProof/>
                <w:webHidden/>
              </w:rPr>
            </w:r>
            <w:r>
              <w:rPr>
                <w:noProof/>
                <w:webHidden/>
              </w:rPr>
              <w:fldChar w:fldCharType="separate"/>
            </w:r>
            <w:r>
              <w:rPr>
                <w:noProof/>
                <w:webHidden/>
              </w:rPr>
              <w:t>12</w:t>
            </w:r>
            <w:r>
              <w:rPr>
                <w:noProof/>
                <w:webHidden/>
              </w:rPr>
              <w:fldChar w:fldCharType="end"/>
            </w:r>
          </w:hyperlink>
        </w:p>
        <w:p w14:paraId="7A5F3686" w14:textId="19BCC7DD" w:rsidR="00246CD9" w:rsidRDefault="00246CD9">
          <w:pPr>
            <w:pStyle w:val="TOC1"/>
            <w:tabs>
              <w:tab w:val="right" w:leader="dot" w:pos="9016"/>
            </w:tabs>
            <w:rPr>
              <w:rFonts w:asciiTheme="minorHAnsi" w:hAnsiTheme="minorHAnsi"/>
              <w:noProof/>
              <w:sz w:val="24"/>
              <w:szCs w:val="24"/>
              <w:lang w:eastAsia="en-GB"/>
            </w:rPr>
          </w:pPr>
          <w:hyperlink w:anchor="_Toc235909333" w:history="1">
            <w:r w:rsidRPr="00BF1448">
              <w:rPr>
                <w:rStyle w:val="Hyperlink"/>
                <w:noProof/>
                <w:lang w:bidi="en-GB"/>
              </w:rPr>
              <w:t>CHAPTER 2: Background Information and Analysis</w:t>
            </w:r>
            <w:r>
              <w:rPr>
                <w:noProof/>
                <w:webHidden/>
              </w:rPr>
              <w:tab/>
            </w:r>
            <w:r>
              <w:rPr>
                <w:noProof/>
                <w:webHidden/>
              </w:rPr>
              <w:fldChar w:fldCharType="begin"/>
            </w:r>
            <w:r>
              <w:rPr>
                <w:noProof/>
                <w:webHidden/>
              </w:rPr>
              <w:instrText xml:space="preserve"> PAGEREF _Toc235909333 \h </w:instrText>
            </w:r>
            <w:r>
              <w:rPr>
                <w:noProof/>
                <w:webHidden/>
              </w:rPr>
            </w:r>
            <w:r>
              <w:rPr>
                <w:noProof/>
                <w:webHidden/>
              </w:rPr>
              <w:fldChar w:fldCharType="separate"/>
            </w:r>
            <w:r>
              <w:rPr>
                <w:noProof/>
                <w:webHidden/>
              </w:rPr>
              <w:t>13</w:t>
            </w:r>
            <w:r>
              <w:rPr>
                <w:noProof/>
                <w:webHidden/>
              </w:rPr>
              <w:fldChar w:fldCharType="end"/>
            </w:r>
          </w:hyperlink>
        </w:p>
        <w:p w14:paraId="31BBAA57" w14:textId="56A7631D" w:rsidR="00246CD9" w:rsidRDefault="00246CD9">
          <w:pPr>
            <w:pStyle w:val="TOC2"/>
            <w:tabs>
              <w:tab w:val="right" w:leader="dot" w:pos="9016"/>
            </w:tabs>
            <w:rPr>
              <w:rFonts w:asciiTheme="minorHAnsi" w:hAnsiTheme="minorHAnsi"/>
              <w:noProof/>
              <w:sz w:val="24"/>
              <w:szCs w:val="24"/>
              <w:lang w:eastAsia="en-GB"/>
            </w:rPr>
          </w:pPr>
          <w:hyperlink w:anchor="_Toc235909334" w:history="1">
            <w:r w:rsidRPr="00BF1448">
              <w:rPr>
                <w:rStyle w:val="Hyperlink"/>
                <w:noProof/>
              </w:rPr>
              <w:t>2.1 Introduction</w:t>
            </w:r>
            <w:r>
              <w:rPr>
                <w:noProof/>
                <w:webHidden/>
              </w:rPr>
              <w:tab/>
            </w:r>
            <w:r>
              <w:rPr>
                <w:noProof/>
                <w:webHidden/>
              </w:rPr>
              <w:fldChar w:fldCharType="begin"/>
            </w:r>
            <w:r>
              <w:rPr>
                <w:noProof/>
                <w:webHidden/>
              </w:rPr>
              <w:instrText xml:space="preserve"> PAGEREF _Toc235909334 \h </w:instrText>
            </w:r>
            <w:r>
              <w:rPr>
                <w:noProof/>
                <w:webHidden/>
              </w:rPr>
            </w:r>
            <w:r>
              <w:rPr>
                <w:noProof/>
                <w:webHidden/>
              </w:rPr>
              <w:fldChar w:fldCharType="separate"/>
            </w:r>
            <w:r>
              <w:rPr>
                <w:noProof/>
                <w:webHidden/>
              </w:rPr>
              <w:t>13</w:t>
            </w:r>
            <w:r>
              <w:rPr>
                <w:noProof/>
                <w:webHidden/>
              </w:rPr>
              <w:fldChar w:fldCharType="end"/>
            </w:r>
          </w:hyperlink>
        </w:p>
        <w:p w14:paraId="0782A898" w14:textId="779221D2" w:rsidR="00246CD9" w:rsidRDefault="00246CD9">
          <w:pPr>
            <w:pStyle w:val="TOC2"/>
            <w:tabs>
              <w:tab w:val="right" w:leader="dot" w:pos="9016"/>
            </w:tabs>
            <w:rPr>
              <w:rFonts w:asciiTheme="minorHAnsi" w:hAnsiTheme="minorHAnsi"/>
              <w:noProof/>
              <w:sz w:val="24"/>
              <w:szCs w:val="24"/>
              <w:lang w:eastAsia="en-GB"/>
            </w:rPr>
          </w:pPr>
          <w:hyperlink w:anchor="_Toc235909335" w:history="1">
            <w:r w:rsidRPr="00BF1448">
              <w:rPr>
                <w:rStyle w:val="Hyperlink"/>
                <w:noProof/>
              </w:rPr>
              <w:t>2.2 Historical Background</w:t>
            </w:r>
            <w:r>
              <w:rPr>
                <w:noProof/>
                <w:webHidden/>
              </w:rPr>
              <w:tab/>
            </w:r>
            <w:r>
              <w:rPr>
                <w:noProof/>
                <w:webHidden/>
              </w:rPr>
              <w:fldChar w:fldCharType="begin"/>
            </w:r>
            <w:r>
              <w:rPr>
                <w:noProof/>
                <w:webHidden/>
              </w:rPr>
              <w:instrText xml:space="preserve"> PAGEREF _Toc235909335 \h </w:instrText>
            </w:r>
            <w:r>
              <w:rPr>
                <w:noProof/>
                <w:webHidden/>
              </w:rPr>
            </w:r>
            <w:r>
              <w:rPr>
                <w:noProof/>
                <w:webHidden/>
              </w:rPr>
              <w:fldChar w:fldCharType="separate"/>
            </w:r>
            <w:r>
              <w:rPr>
                <w:noProof/>
                <w:webHidden/>
              </w:rPr>
              <w:t>14</w:t>
            </w:r>
            <w:r>
              <w:rPr>
                <w:noProof/>
                <w:webHidden/>
              </w:rPr>
              <w:fldChar w:fldCharType="end"/>
            </w:r>
          </w:hyperlink>
        </w:p>
        <w:p w14:paraId="3A8A92A8" w14:textId="766CBD50" w:rsidR="00246CD9" w:rsidRDefault="00246CD9">
          <w:pPr>
            <w:pStyle w:val="TOC2"/>
            <w:tabs>
              <w:tab w:val="right" w:leader="dot" w:pos="9016"/>
            </w:tabs>
            <w:rPr>
              <w:rFonts w:asciiTheme="minorHAnsi" w:hAnsiTheme="minorHAnsi"/>
              <w:noProof/>
              <w:sz w:val="24"/>
              <w:szCs w:val="24"/>
              <w:lang w:eastAsia="en-GB"/>
            </w:rPr>
          </w:pPr>
          <w:hyperlink w:anchor="_Toc235909336" w:history="1">
            <w:r w:rsidRPr="00BF1448">
              <w:rPr>
                <w:rStyle w:val="Hyperlink"/>
                <w:noProof/>
              </w:rPr>
              <w:t>2.3 Theoretical Background</w:t>
            </w:r>
            <w:r>
              <w:rPr>
                <w:noProof/>
                <w:webHidden/>
              </w:rPr>
              <w:tab/>
            </w:r>
            <w:r>
              <w:rPr>
                <w:noProof/>
                <w:webHidden/>
              </w:rPr>
              <w:fldChar w:fldCharType="begin"/>
            </w:r>
            <w:r>
              <w:rPr>
                <w:noProof/>
                <w:webHidden/>
              </w:rPr>
              <w:instrText xml:space="preserve"> PAGEREF _Toc235909336 \h </w:instrText>
            </w:r>
            <w:r>
              <w:rPr>
                <w:noProof/>
                <w:webHidden/>
              </w:rPr>
            </w:r>
            <w:r>
              <w:rPr>
                <w:noProof/>
                <w:webHidden/>
              </w:rPr>
              <w:fldChar w:fldCharType="separate"/>
            </w:r>
            <w:r>
              <w:rPr>
                <w:noProof/>
                <w:webHidden/>
              </w:rPr>
              <w:t>15</w:t>
            </w:r>
            <w:r>
              <w:rPr>
                <w:noProof/>
                <w:webHidden/>
              </w:rPr>
              <w:fldChar w:fldCharType="end"/>
            </w:r>
          </w:hyperlink>
        </w:p>
        <w:p w14:paraId="7128FCC9" w14:textId="6B9D1350" w:rsidR="00246CD9" w:rsidRDefault="00246CD9">
          <w:pPr>
            <w:pStyle w:val="TOC2"/>
            <w:tabs>
              <w:tab w:val="right" w:leader="dot" w:pos="9016"/>
            </w:tabs>
            <w:rPr>
              <w:rFonts w:asciiTheme="minorHAnsi" w:hAnsiTheme="minorHAnsi"/>
              <w:noProof/>
              <w:sz w:val="24"/>
              <w:szCs w:val="24"/>
              <w:lang w:eastAsia="en-GB"/>
            </w:rPr>
          </w:pPr>
          <w:hyperlink w:anchor="_Toc235909337" w:history="1">
            <w:r w:rsidRPr="00BF1448">
              <w:rPr>
                <w:rStyle w:val="Hyperlink"/>
                <w:noProof/>
              </w:rPr>
              <w:t>2.4 International Context</w:t>
            </w:r>
            <w:r>
              <w:rPr>
                <w:noProof/>
                <w:webHidden/>
              </w:rPr>
              <w:tab/>
            </w:r>
            <w:r>
              <w:rPr>
                <w:noProof/>
                <w:webHidden/>
              </w:rPr>
              <w:fldChar w:fldCharType="begin"/>
            </w:r>
            <w:r>
              <w:rPr>
                <w:noProof/>
                <w:webHidden/>
              </w:rPr>
              <w:instrText xml:space="preserve"> PAGEREF _Toc235909337 \h </w:instrText>
            </w:r>
            <w:r>
              <w:rPr>
                <w:noProof/>
                <w:webHidden/>
              </w:rPr>
            </w:r>
            <w:r>
              <w:rPr>
                <w:noProof/>
                <w:webHidden/>
              </w:rPr>
              <w:fldChar w:fldCharType="separate"/>
            </w:r>
            <w:r>
              <w:rPr>
                <w:noProof/>
                <w:webHidden/>
              </w:rPr>
              <w:t>18</w:t>
            </w:r>
            <w:r>
              <w:rPr>
                <w:noProof/>
                <w:webHidden/>
              </w:rPr>
              <w:fldChar w:fldCharType="end"/>
            </w:r>
          </w:hyperlink>
        </w:p>
        <w:p w14:paraId="4C76AF58" w14:textId="46C12851" w:rsidR="00246CD9" w:rsidRDefault="00246CD9">
          <w:pPr>
            <w:pStyle w:val="TOC2"/>
            <w:tabs>
              <w:tab w:val="right" w:leader="dot" w:pos="9016"/>
            </w:tabs>
            <w:rPr>
              <w:rFonts w:asciiTheme="minorHAnsi" w:hAnsiTheme="minorHAnsi"/>
              <w:noProof/>
              <w:sz w:val="24"/>
              <w:szCs w:val="24"/>
              <w:lang w:eastAsia="en-GB"/>
            </w:rPr>
          </w:pPr>
          <w:hyperlink w:anchor="_Toc235909338" w:history="1">
            <w:r w:rsidRPr="00BF1448">
              <w:rPr>
                <w:rStyle w:val="Hyperlink"/>
                <w:noProof/>
              </w:rPr>
              <w:t>2.5 National/Local UK Context</w:t>
            </w:r>
            <w:r>
              <w:rPr>
                <w:noProof/>
                <w:webHidden/>
              </w:rPr>
              <w:tab/>
            </w:r>
            <w:r>
              <w:rPr>
                <w:noProof/>
                <w:webHidden/>
              </w:rPr>
              <w:fldChar w:fldCharType="begin"/>
            </w:r>
            <w:r>
              <w:rPr>
                <w:noProof/>
                <w:webHidden/>
              </w:rPr>
              <w:instrText xml:space="preserve"> PAGEREF _Toc235909338 \h </w:instrText>
            </w:r>
            <w:r>
              <w:rPr>
                <w:noProof/>
                <w:webHidden/>
              </w:rPr>
            </w:r>
            <w:r>
              <w:rPr>
                <w:noProof/>
                <w:webHidden/>
              </w:rPr>
              <w:fldChar w:fldCharType="separate"/>
            </w:r>
            <w:r>
              <w:rPr>
                <w:noProof/>
                <w:webHidden/>
              </w:rPr>
              <w:t>19</w:t>
            </w:r>
            <w:r>
              <w:rPr>
                <w:noProof/>
                <w:webHidden/>
              </w:rPr>
              <w:fldChar w:fldCharType="end"/>
            </w:r>
          </w:hyperlink>
        </w:p>
        <w:p w14:paraId="0031946C" w14:textId="273D06A5" w:rsidR="00246CD9" w:rsidRDefault="00246CD9">
          <w:pPr>
            <w:pStyle w:val="TOC2"/>
            <w:tabs>
              <w:tab w:val="right" w:leader="dot" w:pos="9016"/>
            </w:tabs>
            <w:rPr>
              <w:rFonts w:asciiTheme="minorHAnsi" w:hAnsiTheme="minorHAnsi"/>
              <w:noProof/>
              <w:sz w:val="24"/>
              <w:szCs w:val="24"/>
              <w:lang w:eastAsia="en-GB"/>
            </w:rPr>
          </w:pPr>
          <w:hyperlink w:anchor="_Toc235909339" w:history="1">
            <w:r w:rsidRPr="00BF1448">
              <w:rPr>
                <w:rStyle w:val="Hyperlink"/>
                <w:noProof/>
              </w:rPr>
              <w:t>2.6 Conclusion</w:t>
            </w:r>
            <w:r>
              <w:rPr>
                <w:noProof/>
                <w:webHidden/>
              </w:rPr>
              <w:tab/>
            </w:r>
            <w:r>
              <w:rPr>
                <w:noProof/>
                <w:webHidden/>
              </w:rPr>
              <w:fldChar w:fldCharType="begin"/>
            </w:r>
            <w:r>
              <w:rPr>
                <w:noProof/>
                <w:webHidden/>
              </w:rPr>
              <w:instrText xml:space="preserve"> PAGEREF _Toc235909339 \h </w:instrText>
            </w:r>
            <w:r>
              <w:rPr>
                <w:noProof/>
                <w:webHidden/>
              </w:rPr>
            </w:r>
            <w:r>
              <w:rPr>
                <w:noProof/>
                <w:webHidden/>
              </w:rPr>
              <w:fldChar w:fldCharType="separate"/>
            </w:r>
            <w:r>
              <w:rPr>
                <w:noProof/>
                <w:webHidden/>
              </w:rPr>
              <w:t>20</w:t>
            </w:r>
            <w:r>
              <w:rPr>
                <w:noProof/>
                <w:webHidden/>
              </w:rPr>
              <w:fldChar w:fldCharType="end"/>
            </w:r>
          </w:hyperlink>
        </w:p>
        <w:p w14:paraId="0917915C" w14:textId="61F52796" w:rsidR="00246CD9" w:rsidRDefault="00246CD9">
          <w:pPr>
            <w:pStyle w:val="TOC1"/>
            <w:tabs>
              <w:tab w:val="right" w:leader="dot" w:pos="9016"/>
            </w:tabs>
            <w:rPr>
              <w:rFonts w:asciiTheme="minorHAnsi" w:hAnsiTheme="minorHAnsi"/>
              <w:noProof/>
              <w:sz w:val="24"/>
              <w:szCs w:val="24"/>
              <w:lang w:eastAsia="en-GB"/>
            </w:rPr>
          </w:pPr>
          <w:hyperlink w:anchor="_Toc235909340" w:history="1">
            <w:r w:rsidRPr="00BF1448">
              <w:rPr>
                <w:rStyle w:val="Hyperlink"/>
                <w:noProof/>
                <w:lang w:bidi="en-GB"/>
              </w:rPr>
              <w:t>CHAPTER 3: Methods and Search Strategy</w:t>
            </w:r>
            <w:r>
              <w:rPr>
                <w:noProof/>
                <w:webHidden/>
              </w:rPr>
              <w:tab/>
            </w:r>
            <w:r>
              <w:rPr>
                <w:noProof/>
                <w:webHidden/>
              </w:rPr>
              <w:fldChar w:fldCharType="begin"/>
            </w:r>
            <w:r>
              <w:rPr>
                <w:noProof/>
                <w:webHidden/>
              </w:rPr>
              <w:instrText xml:space="preserve"> PAGEREF _Toc235909340 \h </w:instrText>
            </w:r>
            <w:r>
              <w:rPr>
                <w:noProof/>
                <w:webHidden/>
              </w:rPr>
            </w:r>
            <w:r>
              <w:rPr>
                <w:noProof/>
                <w:webHidden/>
              </w:rPr>
              <w:fldChar w:fldCharType="separate"/>
            </w:r>
            <w:r>
              <w:rPr>
                <w:noProof/>
                <w:webHidden/>
              </w:rPr>
              <w:t>21</w:t>
            </w:r>
            <w:r>
              <w:rPr>
                <w:noProof/>
                <w:webHidden/>
              </w:rPr>
              <w:fldChar w:fldCharType="end"/>
            </w:r>
          </w:hyperlink>
        </w:p>
        <w:p w14:paraId="68302AA5" w14:textId="36D8A41A" w:rsidR="00246CD9" w:rsidRDefault="00246CD9">
          <w:pPr>
            <w:pStyle w:val="TOC2"/>
            <w:tabs>
              <w:tab w:val="right" w:leader="dot" w:pos="9016"/>
            </w:tabs>
            <w:rPr>
              <w:rFonts w:asciiTheme="minorHAnsi" w:hAnsiTheme="minorHAnsi"/>
              <w:noProof/>
              <w:sz w:val="24"/>
              <w:szCs w:val="24"/>
              <w:lang w:eastAsia="en-GB"/>
            </w:rPr>
          </w:pPr>
          <w:hyperlink w:anchor="_Toc235909341" w:history="1">
            <w:r w:rsidRPr="00BF1448">
              <w:rPr>
                <w:rStyle w:val="Hyperlink"/>
                <w:noProof/>
              </w:rPr>
              <w:t>3.1 – Introduction</w:t>
            </w:r>
            <w:r>
              <w:rPr>
                <w:noProof/>
                <w:webHidden/>
              </w:rPr>
              <w:tab/>
            </w:r>
            <w:r>
              <w:rPr>
                <w:noProof/>
                <w:webHidden/>
              </w:rPr>
              <w:fldChar w:fldCharType="begin"/>
            </w:r>
            <w:r>
              <w:rPr>
                <w:noProof/>
                <w:webHidden/>
              </w:rPr>
              <w:instrText xml:space="preserve"> PAGEREF _Toc235909341 \h </w:instrText>
            </w:r>
            <w:r>
              <w:rPr>
                <w:noProof/>
                <w:webHidden/>
              </w:rPr>
            </w:r>
            <w:r>
              <w:rPr>
                <w:noProof/>
                <w:webHidden/>
              </w:rPr>
              <w:fldChar w:fldCharType="separate"/>
            </w:r>
            <w:r>
              <w:rPr>
                <w:noProof/>
                <w:webHidden/>
              </w:rPr>
              <w:t>21</w:t>
            </w:r>
            <w:r>
              <w:rPr>
                <w:noProof/>
                <w:webHidden/>
              </w:rPr>
              <w:fldChar w:fldCharType="end"/>
            </w:r>
          </w:hyperlink>
        </w:p>
        <w:p w14:paraId="1AE0FB50" w14:textId="48A5B559" w:rsidR="00246CD9" w:rsidRDefault="00246CD9">
          <w:pPr>
            <w:pStyle w:val="TOC2"/>
            <w:tabs>
              <w:tab w:val="right" w:leader="dot" w:pos="9016"/>
            </w:tabs>
            <w:rPr>
              <w:rFonts w:asciiTheme="minorHAnsi" w:hAnsiTheme="minorHAnsi"/>
              <w:noProof/>
              <w:sz w:val="24"/>
              <w:szCs w:val="24"/>
              <w:lang w:eastAsia="en-GB"/>
            </w:rPr>
          </w:pPr>
          <w:hyperlink w:anchor="_Toc235909342" w:history="1">
            <w:r w:rsidRPr="00BF1448">
              <w:rPr>
                <w:rStyle w:val="Hyperlink"/>
                <w:noProof/>
              </w:rPr>
              <w:t>3.2 – Search Strategy</w:t>
            </w:r>
            <w:r>
              <w:rPr>
                <w:noProof/>
                <w:webHidden/>
              </w:rPr>
              <w:tab/>
            </w:r>
            <w:r>
              <w:rPr>
                <w:noProof/>
                <w:webHidden/>
              </w:rPr>
              <w:fldChar w:fldCharType="begin"/>
            </w:r>
            <w:r>
              <w:rPr>
                <w:noProof/>
                <w:webHidden/>
              </w:rPr>
              <w:instrText xml:space="preserve"> PAGEREF _Toc235909342 \h </w:instrText>
            </w:r>
            <w:r>
              <w:rPr>
                <w:noProof/>
                <w:webHidden/>
              </w:rPr>
            </w:r>
            <w:r>
              <w:rPr>
                <w:noProof/>
                <w:webHidden/>
              </w:rPr>
              <w:fldChar w:fldCharType="separate"/>
            </w:r>
            <w:r>
              <w:rPr>
                <w:noProof/>
                <w:webHidden/>
              </w:rPr>
              <w:t>21</w:t>
            </w:r>
            <w:r>
              <w:rPr>
                <w:noProof/>
                <w:webHidden/>
              </w:rPr>
              <w:fldChar w:fldCharType="end"/>
            </w:r>
          </w:hyperlink>
        </w:p>
        <w:p w14:paraId="4415EE86" w14:textId="42F170F7" w:rsidR="00246CD9" w:rsidRDefault="00246CD9">
          <w:pPr>
            <w:pStyle w:val="TOC2"/>
            <w:tabs>
              <w:tab w:val="right" w:leader="dot" w:pos="9016"/>
            </w:tabs>
            <w:rPr>
              <w:rFonts w:asciiTheme="minorHAnsi" w:hAnsiTheme="minorHAnsi"/>
              <w:noProof/>
              <w:sz w:val="24"/>
              <w:szCs w:val="24"/>
              <w:lang w:eastAsia="en-GB"/>
            </w:rPr>
          </w:pPr>
          <w:hyperlink w:anchor="_Toc235909343" w:history="1">
            <w:r w:rsidRPr="00BF1448">
              <w:rPr>
                <w:rStyle w:val="Hyperlink"/>
                <w:noProof/>
              </w:rPr>
              <w:t>3.3 – Searching for Information</w:t>
            </w:r>
            <w:r>
              <w:rPr>
                <w:noProof/>
                <w:webHidden/>
              </w:rPr>
              <w:tab/>
            </w:r>
            <w:r>
              <w:rPr>
                <w:noProof/>
                <w:webHidden/>
              </w:rPr>
              <w:fldChar w:fldCharType="begin"/>
            </w:r>
            <w:r>
              <w:rPr>
                <w:noProof/>
                <w:webHidden/>
              </w:rPr>
              <w:instrText xml:space="preserve"> PAGEREF _Toc235909343 \h </w:instrText>
            </w:r>
            <w:r>
              <w:rPr>
                <w:noProof/>
                <w:webHidden/>
              </w:rPr>
            </w:r>
            <w:r>
              <w:rPr>
                <w:noProof/>
                <w:webHidden/>
              </w:rPr>
              <w:fldChar w:fldCharType="separate"/>
            </w:r>
            <w:r>
              <w:rPr>
                <w:noProof/>
                <w:webHidden/>
              </w:rPr>
              <w:t>21</w:t>
            </w:r>
            <w:r>
              <w:rPr>
                <w:noProof/>
                <w:webHidden/>
              </w:rPr>
              <w:fldChar w:fldCharType="end"/>
            </w:r>
          </w:hyperlink>
        </w:p>
        <w:p w14:paraId="186C68F1" w14:textId="43D01A62" w:rsidR="00246CD9" w:rsidRDefault="00246CD9">
          <w:pPr>
            <w:pStyle w:val="TOC2"/>
            <w:tabs>
              <w:tab w:val="right" w:leader="dot" w:pos="9016"/>
            </w:tabs>
            <w:rPr>
              <w:rFonts w:asciiTheme="minorHAnsi" w:hAnsiTheme="minorHAnsi"/>
              <w:noProof/>
              <w:sz w:val="24"/>
              <w:szCs w:val="24"/>
              <w:lang w:eastAsia="en-GB"/>
            </w:rPr>
          </w:pPr>
          <w:hyperlink w:anchor="_Toc235909344" w:history="1">
            <w:r w:rsidRPr="00BF1448">
              <w:rPr>
                <w:rStyle w:val="Hyperlink"/>
                <w:noProof/>
              </w:rPr>
              <w:t>3.4 – Research Validation</w:t>
            </w:r>
            <w:r>
              <w:rPr>
                <w:noProof/>
                <w:webHidden/>
              </w:rPr>
              <w:tab/>
            </w:r>
            <w:r>
              <w:rPr>
                <w:noProof/>
                <w:webHidden/>
              </w:rPr>
              <w:fldChar w:fldCharType="begin"/>
            </w:r>
            <w:r>
              <w:rPr>
                <w:noProof/>
                <w:webHidden/>
              </w:rPr>
              <w:instrText xml:space="preserve"> PAGEREF _Toc235909344 \h </w:instrText>
            </w:r>
            <w:r>
              <w:rPr>
                <w:noProof/>
                <w:webHidden/>
              </w:rPr>
            </w:r>
            <w:r>
              <w:rPr>
                <w:noProof/>
                <w:webHidden/>
              </w:rPr>
              <w:fldChar w:fldCharType="separate"/>
            </w:r>
            <w:r>
              <w:rPr>
                <w:noProof/>
                <w:webHidden/>
              </w:rPr>
              <w:t>22</w:t>
            </w:r>
            <w:r>
              <w:rPr>
                <w:noProof/>
                <w:webHidden/>
              </w:rPr>
              <w:fldChar w:fldCharType="end"/>
            </w:r>
          </w:hyperlink>
        </w:p>
        <w:p w14:paraId="1202AC5C" w14:textId="4FB50A9F" w:rsidR="00246CD9" w:rsidRDefault="00246CD9">
          <w:pPr>
            <w:pStyle w:val="TOC2"/>
            <w:tabs>
              <w:tab w:val="right" w:leader="dot" w:pos="9016"/>
            </w:tabs>
            <w:rPr>
              <w:rFonts w:asciiTheme="minorHAnsi" w:hAnsiTheme="minorHAnsi"/>
              <w:noProof/>
              <w:sz w:val="24"/>
              <w:szCs w:val="24"/>
              <w:lang w:eastAsia="en-GB"/>
            </w:rPr>
          </w:pPr>
          <w:hyperlink w:anchor="_Toc235909345" w:history="1">
            <w:r w:rsidRPr="00BF1448">
              <w:rPr>
                <w:rStyle w:val="Hyperlink"/>
                <w:noProof/>
              </w:rPr>
              <w:t>3.5 - Inclusion and Exclusion Criteria</w:t>
            </w:r>
            <w:r>
              <w:rPr>
                <w:noProof/>
                <w:webHidden/>
              </w:rPr>
              <w:tab/>
            </w:r>
            <w:r>
              <w:rPr>
                <w:noProof/>
                <w:webHidden/>
              </w:rPr>
              <w:fldChar w:fldCharType="begin"/>
            </w:r>
            <w:r>
              <w:rPr>
                <w:noProof/>
                <w:webHidden/>
              </w:rPr>
              <w:instrText xml:space="preserve"> PAGEREF _Toc235909345 \h </w:instrText>
            </w:r>
            <w:r>
              <w:rPr>
                <w:noProof/>
                <w:webHidden/>
              </w:rPr>
            </w:r>
            <w:r>
              <w:rPr>
                <w:noProof/>
                <w:webHidden/>
              </w:rPr>
              <w:fldChar w:fldCharType="separate"/>
            </w:r>
            <w:r>
              <w:rPr>
                <w:noProof/>
                <w:webHidden/>
              </w:rPr>
              <w:t>23</w:t>
            </w:r>
            <w:r>
              <w:rPr>
                <w:noProof/>
                <w:webHidden/>
              </w:rPr>
              <w:fldChar w:fldCharType="end"/>
            </w:r>
          </w:hyperlink>
        </w:p>
        <w:p w14:paraId="0B9B11DA" w14:textId="1E9442A2" w:rsidR="00246CD9" w:rsidRDefault="00246CD9">
          <w:pPr>
            <w:pStyle w:val="TOC2"/>
            <w:tabs>
              <w:tab w:val="right" w:leader="dot" w:pos="9016"/>
            </w:tabs>
            <w:rPr>
              <w:rFonts w:asciiTheme="minorHAnsi" w:hAnsiTheme="minorHAnsi"/>
              <w:noProof/>
              <w:sz w:val="24"/>
              <w:szCs w:val="24"/>
              <w:lang w:eastAsia="en-GB"/>
            </w:rPr>
          </w:pPr>
          <w:hyperlink w:anchor="_Toc235909346" w:history="1">
            <w:r w:rsidRPr="00BF1448">
              <w:rPr>
                <w:rStyle w:val="Hyperlink"/>
                <w:noProof/>
              </w:rPr>
              <w:t>3.6 – Analysing Research</w:t>
            </w:r>
            <w:r>
              <w:rPr>
                <w:noProof/>
                <w:webHidden/>
              </w:rPr>
              <w:tab/>
            </w:r>
            <w:r>
              <w:rPr>
                <w:noProof/>
                <w:webHidden/>
              </w:rPr>
              <w:fldChar w:fldCharType="begin"/>
            </w:r>
            <w:r>
              <w:rPr>
                <w:noProof/>
                <w:webHidden/>
              </w:rPr>
              <w:instrText xml:space="preserve"> PAGEREF _Toc235909346 \h </w:instrText>
            </w:r>
            <w:r>
              <w:rPr>
                <w:noProof/>
                <w:webHidden/>
              </w:rPr>
            </w:r>
            <w:r>
              <w:rPr>
                <w:noProof/>
                <w:webHidden/>
              </w:rPr>
              <w:fldChar w:fldCharType="separate"/>
            </w:r>
            <w:r>
              <w:rPr>
                <w:noProof/>
                <w:webHidden/>
              </w:rPr>
              <w:t>23</w:t>
            </w:r>
            <w:r>
              <w:rPr>
                <w:noProof/>
                <w:webHidden/>
              </w:rPr>
              <w:fldChar w:fldCharType="end"/>
            </w:r>
          </w:hyperlink>
        </w:p>
        <w:p w14:paraId="57089629" w14:textId="2DF35C14" w:rsidR="00246CD9" w:rsidRDefault="00246CD9">
          <w:pPr>
            <w:pStyle w:val="TOC2"/>
            <w:tabs>
              <w:tab w:val="right" w:leader="dot" w:pos="9016"/>
            </w:tabs>
            <w:rPr>
              <w:rFonts w:asciiTheme="minorHAnsi" w:hAnsiTheme="minorHAnsi"/>
              <w:noProof/>
              <w:sz w:val="24"/>
              <w:szCs w:val="24"/>
              <w:lang w:eastAsia="en-GB"/>
            </w:rPr>
          </w:pPr>
          <w:hyperlink w:anchor="_Toc235909347" w:history="1">
            <w:r w:rsidRPr="00BF1448">
              <w:rPr>
                <w:rStyle w:val="Hyperlink"/>
                <w:noProof/>
              </w:rPr>
              <w:t>3.7 – Ethical Considerations</w:t>
            </w:r>
            <w:r>
              <w:rPr>
                <w:noProof/>
                <w:webHidden/>
              </w:rPr>
              <w:tab/>
            </w:r>
            <w:r>
              <w:rPr>
                <w:noProof/>
                <w:webHidden/>
              </w:rPr>
              <w:fldChar w:fldCharType="begin"/>
            </w:r>
            <w:r>
              <w:rPr>
                <w:noProof/>
                <w:webHidden/>
              </w:rPr>
              <w:instrText xml:space="preserve"> PAGEREF _Toc235909347 \h </w:instrText>
            </w:r>
            <w:r>
              <w:rPr>
                <w:noProof/>
                <w:webHidden/>
              </w:rPr>
            </w:r>
            <w:r>
              <w:rPr>
                <w:noProof/>
                <w:webHidden/>
              </w:rPr>
              <w:fldChar w:fldCharType="separate"/>
            </w:r>
            <w:r>
              <w:rPr>
                <w:noProof/>
                <w:webHidden/>
              </w:rPr>
              <w:t>24</w:t>
            </w:r>
            <w:r>
              <w:rPr>
                <w:noProof/>
                <w:webHidden/>
              </w:rPr>
              <w:fldChar w:fldCharType="end"/>
            </w:r>
          </w:hyperlink>
        </w:p>
        <w:p w14:paraId="7F75850C" w14:textId="2D302CAC" w:rsidR="00246CD9" w:rsidRDefault="00246CD9">
          <w:pPr>
            <w:pStyle w:val="TOC2"/>
            <w:tabs>
              <w:tab w:val="right" w:leader="dot" w:pos="9016"/>
            </w:tabs>
            <w:rPr>
              <w:rFonts w:asciiTheme="minorHAnsi" w:hAnsiTheme="minorHAnsi"/>
              <w:noProof/>
              <w:sz w:val="24"/>
              <w:szCs w:val="24"/>
              <w:lang w:eastAsia="en-GB"/>
            </w:rPr>
          </w:pPr>
          <w:hyperlink w:anchor="_Toc235909348" w:history="1">
            <w:r w:rsidRPr="00BF1448">
              <w:rPr>
                <w:rStyle w:val="Hyperlink"/>
                <w:noProof/>
              </w:rPr>
              <w:t>3.8 – Chapter Conclusion</w:t>
            </w:r>
            <w:r>
              <w:rPr>
                <w:noProof/>
                <w:webHidden/>
              </w:rPr>
              <w:tab/>
            </w:r>
            <w:r>
              <w:rPr>
                <w:noProof/>
                <w:webHidden/>
              </w:rPr>
              <w:fldChar w:fldCharType="begin"/>
            </w:r>
            <w:r>
              <w:rPr>
                <w:noProof/>
                <w:webHidden/>
              </w:rPr>
              <w:instrText xml:space="preserve"> PAGEREF _Toc235909348 \h </w:instrText>
            </w:r>
            <w:r>
              <w:rPr>
                <w:noProof/>
                <w:webHidden/>
              </w:rPr>
            </w:r>
            <w:r>
              <w:rPr>
                <w:noProof/>
                <w:webHidden/>
              </w:rPr>
              <w:fldChar w:fldCharType="separate"/>
            </w:r>
            <w:r>
              <w:rPr>
                <w:noProof/>
                <w:webHidden/>
              </w:rPr>
              <w:t>24</w:t>
            </w:r>
            <w:r>
              <w:rPr>
                <w:noProof/>
                <w:webHidden/>
              </w:rPr>
              <w:fldChar w:fldCharType="end"/>
            </w:r>
          </w:hyperlink>
        </w:p>
        <w:p w14:paraId="5A7E1B9D" w14:textId="10390FF8" w:rsidR="00246CD9" w:rsidRDefault="00246CD9">
          <w:pPr>
            <w:pStyle w:val="TOC1"/>
            <w:tabs>
              <w:tab w:val="right" w:leader="dot" w:pos="9016"/>
            </w:tabs>
            <w:rPr>
              <w:rFonts w:asciiTheme="minorHAnsi" w:hAnsiTheme="minorHAnsi"/>
              <w:noProof/>
              <w:sz w:val="24"/>
              <w:szCs w:val="24"/>
              <w:lang w:eastAsia="en-GB"/>
            </w:rPr>
          </w:pPr>
          <w:hyperlink w:anchor="_Toc235909349" w:history="1">
            <w:r w:rsidRPr="00BF1448">
              <w:rPr>
                <w:rStyle w:val="Hyperlink"/>
                <w:noProof/>
                <w:lang w:bidi="en-GB"/>
              </w:rPr>
              <w:t>CHAPTER 4 – Findings and Discussion</w:t>
            </w:r>
            <w:r>
              <w:rPr>
                <w:noProof/>
                <w:webHidden/>
              </w:rPr>
              <w:tab/>
            </w:r>
            <w:r>
              <w:rPr>
                <w:noProof/>
                <w:webHidden/>
              </w:rPr>
              <w:fldChar w:fldCharType="begin"/>
            </w:r>
            <w:r>
              <w:rPr>
                <w:noProof/>
                <w:webHidden/>
              </w:rPr>
              <w:instrText xml:space="preserve"> PAGEREF _Toc235909349 \h </w:instrText>
            </w:r>
            <w:r>
              <w:rPr>
                <w:noProof/>
                <w:webHidden/>
              </w:rPr>
            </w:r>
            <w:r>
              <w:rPr>
                <w:noProof/>
                <w:webHidden/>
              </w:rPr>
              <w:fldChar w:fldCharType="separate"/>
            </w:r>
            <w:r>
              <w:rPr>
                <w:noProof/>
                <w:webHidden/>
              </w:rPr>
              <w:t>25</w:t>
            </w:r>
            <w:r>
              <w:rPr>
                <w:noProof/>
                <w:webHidden/>
              </w:rPr>
              <w:fldChar w:fldCharType="end"/>
            </w:r>
          </w:hyperlink>
        </w:p>
        <w:p w14:paraId="32F6326C" w14:textId="72ED6BB0" w:rsidR="00246CD9" w:rsidRDefault="00246CD9">
          <w:pPr>
            <w:pStyle w:val="TOC2"/>
            <w:tabs>
              <w:tab w:val="right" w:leader="dot" w:pos="9016"/>
            </w:tabs>
            <w:rPr>
              <w:rFonts w:asciiTheme="minorHAnsi" w:hAnsiTheme="minorHAnsi"/>
              <w:noProof/>
              <w:sz w:val="24"/>
              <w:szCs w:val="24"/>
              <w:lang w:eastAsia="en-GB"/>
            </w:rPr>
          </w:pPr>
          <w:hyperlink w:anchor="_Toc235909350" w:history="1">
            <w:r w:rsidRPr="00BF1448">
              <w:rPr>
                <w:rStyle w:val="Hyperlink"/>
                <w:noProof/>
              </w:rPr>
              <w:t>4.1 – Introduction</w:t>
            </w:r>
            <w:r>
              <w:rPr>
                <w:noProof/>
                <w:webHidden/>
              </w:rPr>
              <w:tab/>
            </w:r>
            <w:r>
              <w:rPr>
                <w:noProof/>
                <w:webHidden/>
              </w:rPr>
              <w:fldChar w:fldCharType="begin"/>
            </w:r>
            <w:r>
              <w:rPr>
                <w:noProof/>
                <w:webHidden/>
              </w:rPr>
              <w:instrText xml:space="preserve"> PAGEREF _Toc235909350 \h </w:instrText>
            </w:r>
            <w:r>
              <w:rPr>
                <w:noProof/>
                <w:webHidden/>
              </w:rPr>
            </w:r>
            <w:r>
              <w:rPr>
                <w:noProof/>
                <w:webHidden/>
              </w:rPr>
              <w:fldChar w:fldCharType="separate"/>
            </w:r>
            <w:r>
              <w:rPr>
                <w:noProof/>
                <w:webHidden/>
              </w:rPr>
              <w:t>25</w:t>
            </w:r>
            <w:r>
              <w:rPr>
                <w:noProof/>
                <w:webHidden/>
              </w:rPr>
              <w:fldChar w:fldCharType="end"/>
            </w:r>
          </w:hyperlink>
        </w:p>
        <w:p w14:paraId="29F931A7" w14:textId="2944A29F" w:rsidR="00246CD9" w:rsidRDefault="00246CD9">
          <w:pPr>
            <w:pStyle w:val="TOC2"/>
            <w:tabs>
              <w:tab w:val="right" w:leader="dot" w:pos="9016"/>
            </w:tabs>
            <w:rPr>
              <w:rFonts w:asciiTheme="minorHAnsi" w:hAnsiTheme="minorHAnsi"/>
              <w:noProof/>
              <w:sz w:val="24"/>
              <w:szCs w:val="24"/>
              <w:lang w:eastAsia="en-GB"/>
            </w:rPr>
          </w:pPr>
          <w:hyperlink w:anchor="_Toc235909351" w:history="1">
            <w:r w:rsidRPr="00BF1448">
              <w:rPr>
                <w:rStyle w:val="Hyperlink"/>
                <w:noProof/>
              </w:rPr>
              <w:t>4.2 – Thematic Analysis</w:t>
            </w:r>
            <w:r>
              <w:rPr>
                <w:noProof/>
                <w:webHidden/>
              </w:rPr>
              <w:tab/>
            </w:r>
            <w:r>
              <w:rPr>
                <w:noProof/>
                <w:webHidden/>
              </w:rPr>
              <w:fldChar w:fldCharType="begin"/>
            </w:r>
            <w:r>
              <w:rPr>
                <w:noProof/>
                <w:webHidden/>
              </w:rPr>
              <w:instrText xml:space="preserve"> PAGEREF _Toc235909351 \h </w:instrText>
            </w:r>
            <w:r>
              <w:rPr>
                <w:noProof/>
                <w:webHidden/>
              </w:rPr>
            </w:r>
            <w:r>
              <w:rPr>
                <w:noProof/>
                <w:webHidden/>
              </w:rPr>
              <w:fldChar w:fldCharType="separate"/>
            </w:r>
            <w:r>
              <w:rPr>
                <w:noProof/>
                <w:webHidden/>
              </w:rPr>
              <w:t>25</w:t>
            </w:r>
            <w:r>
              <w:rPr>
                <w:noProof/>
                <w:webHidden/>
              </w:rPr>
              <w:fldChar w:fldCharType="end"/>
            </w:r>
          </w:hyperlink>
        </w:p>
        <w:p w14:paraId="57F29408" w14:textId="569CB368" w:rsidR="00246CD9" w:rsidRDefault="00246CD9">
          <w:pPr>
            <w:pStyle w:val="TOC2"/>
            <w:tabs>
              <w:tab w:val="right" w:leader="dot" w:pos="9016"/>
            </w:tabs>
            <w:rPr>
              <w:rFonts w:asciiTheme="minorHAnsi" w:hAnsiTheme="minorHAnsi"/>
              <w:noProof/>
              <w:sz w:val="24"/>
              <w:szCs w:val="24"/>
              <w:lang w:eastAsia="en-GB"/>
            </w:rPr>
          </w:pPr>
          <w:hyperlink w:anchor="_Toc235909352" w:history="1">
            <w:r w:rsidRPr="00BF1448">
              <w:rPr>
                <w:rStyle w:val="Hyperlink"/>
                <w:noProof/>
              </w:rPr>
              <w:t>4.3 – Theme 1: Clinical And Cognitive Markers That Help Distinguish Normal Ageing From Early Dementia</w:t>
            </w:r>
            <w:r>
              <w:rPr>
                <w:noProof/>
                <w:webHidden/>
              </w:rPr>
              <w:tab/>
            </w:r>
            <w:r>
              <w:rPr>
                <w:noProof/>
                <w:webHidden/>
              </w:rPr>
              <w:fldChar w:fldCharType="begin"/>
            </w:r>
            <w:r>
              <w:rPr>
                <w:noProof/>
                <w:webHidden/>
              </w:rPr>
              <w:instrText xml:space="preserve"> PAGEREF _Toc235909352 \h </w:instrText>
            </w:r>
            <w:r>
              <w:rPr>
                <w:noProof/>
                <w:webHidden/>
              </w:rPr>
            </w:r>
            <w:r>
              <w:rPr>
                <w:noProof/>
                <w:webHidden/>
              </w:rPr>
              <w:fldChar w:fldCharType="separate"/>
            </w:r>
            <w:r>
              <w:rPr>
                <w:noProof/>
                <w:webHidden/>
              </w:rPr>
              <w:t>25</w:t>
            </w:r>
            <w:r>
              <w:rPr>
                <w:noProof/>
                <w:webHidden/>
              </w:rPr>
              <w:fldChar w:fldCharType="end"/>
            </w:r>
          </w:hyperlink>
        </w:p>
        <w:p w14:paraId="1025D1DF" w14:textId="6A78EB10" w:rsidR="00246CD9" w:rsidRDefault="00246CD9">
          <w:pPr>
            <w:pStyle w:val="TOC3"/>
            <w:tabs>
              <w:tab w:val="right" w:leader="dot" w:pos="9016"/>
            </w:tabs>
            <w:rPr>
              <w:rFonts w:asciiTheme="minorHAnsi" w:hAnsiTheme="minorHAnsi"/>
              <w:noProof/>
              <w:sz w:val="24"/>
              <w:szCs w:val="24"/>
              <w:lang w:eastAsia="en-GB"/>
            </w:rPr>
          </w:pPr>
          <w:hyperlink w:anchor="_Toc235909353" w:history="1">
            <w:r w:rsidRPr="00BF1448">
              <w:rPr>
                <w:rStyle w:val="Hyperlink"/>
                <w:noProof/>
              </w:rPr>
              <w:t>Definition</w:t>
            </w:r>
            <w:r>
              <w:rPr>
                <w:noProof/>
                <w:webHidden/>
              </w:rPr>
              <w:tab/>
            </w:r>
            <w:r>
              <w:rPr>
                <w:noProof/>
                <w:webHidden/>
              </w:rPr>
              <w:fldChar w:fldCharType="begin"/>
            </w:r>
            <w:r>
              <w:rPr>
                <w:noProof/>
                <w:webHidden/>
              </w:rPr>
              <w:instrText xml:space="preserve"> PAGEREF _Toc235909353 \h </w:instrText>
            </w:r>
            <w:r>
              <w:rPr>
                <w:noProof/>
                <w:webHidden/>
              </w:rPr>
            </w:r>
            <w:r>
              <w:rPr>
                <w:noProof/>
                <w:webHidden/>
              </w:rPr>
              <w:fldChar w:fldCharType="separate"/>
            </w:r>
            <w:r>
              <w:rPr>
                <w:noProof/>
                <w:webHidden/>
              </w:rPr>
              <w:t>26</w:t>
            </w:r>
            <w:r>
              <w:rPr>
                <w:noProof/>
                <w:webHidden/>
              </w:rPr>
              <w:fldChar w:fldCharType="end"/>
            </w:r>
          </w:hyperlink>
        </w:p>
        <w:p w14:paraId="15F11F1F" w14:textId="685948BE" w:rsidR="00246CD9" w:rsidRDefault="00246CD9">
          <w:pPr>
            <w:pStyle w:val="TOC3"/>
            <w:tabs>
              <w:tab w:val="right" w:leader="dot" w:pos="9016"/>
            </w:tabs>
            <w:rPr>
              <w:rFonts w:asciiTheme="minorHAnsi" w:hAnsiTheme="minorHAnsi"/>
              <w:noProof/>
              <w:sz w:val="24"/>
              <w:szCs w:val="24"/>
              <w:lang w:eastAsia="en-GB"/>
            </w:rPr>
          </w:pPr>
          <w:hyperlink w:anchor="_Toc235909354" w:history="1">
            <w:r w:rsidRPr="00BF1448">
              <w:rPr>
                <w:rStyle w:val="Hyperlink"/>
                <w:noProof/>
              </w:rPr>
              <w:t>Background Information</w:t>
            </w:r>
            <w:r>
              <w:rPr>
                <w:noProof/>
                <w:webHidden/>
              </w:rPr>
              <w:tab/>
            </w:r>
            <w:r>
              <w:rPr>
                <w:noProof/>
                <w:webHidden/>
              </w:rPr>
              <w:fldChar w:fldCharType="begin"/>
            </w:r>
            <w:r>
              <w:rPr>
                <w:noProof/>
                <w:webHidden/>
              </w:rPr>
              <w:instrText xml:space="preserve"> PAGEREF _Toc235909354 \h </w:instrText>
            </w:r>
            <w:r>
              <w:rPr>
                <w:noProof/>
                <w:webHidden/>
              </w:rPr>
            </w:r>
            <w:r>
              <w:rPr>
                <w:noProof/>
                <w:webHidden/>
              </w:rPr>
              <w:fldChar w:fldCharType="separate"/>
            </w:r>
            <w:r>
              <w:rPr>
                <w:noProof/>
                <w:webHidden/>
              </w:rPr>
              <w:t>26</w:t>
            </w:r>
            <w:r>
              <w:rPr>
                <w:noProof/>
                <w:webHidden/>
              </w:rPr>
              <w:fldChar w:fldCharType="end"/>
            </w:r>
          </w:hyperlink>
        </w:p>
        <w:p w14:paraId="5E43AA32" w14:textId="2BE61EBA" w:rsidR="00246CD9" w:rsidRDefault="00246CD9">
          <w:pPr>
            <w:pStyle w:val="TOC3"/>
            <w:tabs>
              <w:tab w:val="right" w:leader="dot" w:pos="9016"/>
            </w:tabs>
            <w:rPr>
              <w:rFonts w:asciiTheme="minorHAnsi" w:hAnsiTheme="minorHAnsi"/>
              <w:noProof/>
              <w:sz w:val="24"/>
              <w:szCs w:val="24"/>
              <w:lang w:eastAsia="en-GB"/>
            </w:rPr>
          </w:pPr>
          <w:hyperlink w:anchor="_Toc235909355" w:history="1">
            <w:r w:rsidRPr="00BF1448">
              <w:rPr>
                <w:rStyle w:val="Hyperlink"/>
                <w:noProof/>
              </w:rPr>
              <w:t>Impact on Research Question</w:t>
            </w:r>
            <w:r>
              <w:rPr>
                <w:noProof/>
                <w:webHidden/>
              </w:rPr>
              <w:tab/>
            </w:r>
            <w:r>
              <w:rPr>
                <w:noProof/>
                <w:webHidden/>
              </w:rPr>
              <w:fldChar w:fldCharType="begin"/>
            </w:r>
            <w:r>
              <w:rPr>
                <w:noProof/>
                <w:webHidden/>
              </w:rPr>
              <w:instrText xml:space="preserve"> PAGEREF _Toc235909355 \h </w:instrText>
            </w:r>
            <w:r>
              <w:rPr>
                <w:noProof/>
                <w:webHidden/>
              </w:rPr>
            </w:r>
            <w:r>
              <w:rPr>
                <w:noProof/>
                <w:webHidden/>
              </w:rPr>
              <w:fldChar w:fldCharType="separate"/>
            </w:r>
            <w:r>
              <w:rPr>
                <w:noProof/>
                <w:webHidden/>
              </w:rPr>
              <w:t>26</w:t>
            </w:r>
            <w:r>
              <w:rPr>
                <w:noProof/>
                <w:webHidden/>
              </w:rPr>
              <w:fldChar w:fldCharType="end"/>
            </w:r>
          </w:hyperlink>
        </w:p>
        <w:p w14:paraId="64E53A5F" w14:textId="3E2F1EFC" w:rsidR="00246CD9" w:rsidRDefault="00246CD9">
          <w:pPr>
            <w:pStyle w:val="TOC3"/>
            <w:tabs>
              <w:tab w:val="right" w:leader="dot" w:pos="9016"/>
            </w:tabs>
            <w:rPr>
              <w:rFonts w:asciiTheme="minorHAnsi" w:hAnsiTheme="minorHAnsi"/>
              <w:noProof/>
              <w:sz w:val="24"/>
              <w:szCs w:val="24"/>
              <w:lang w:eastAsia="en-GB"/>
            </w:rPr>
          </w:pPr>
          <w:hyperlink w:anchor="_Toc235909356" w:history="1">
            <w:r w:rsidRPr="00BF1448">
              <w:rPr>
                <w:rStyle w:val="Hyperlink"/>
                <w:noProof/>
              </w:rPr>
              <w:t>Theories, Policies, and Legislation</w:t>
            </w:r>
            <w:r>
              <w:rPr>
                <w:noProof/>
                <w:webHidden/>
              </w:rPr>
              <w:tab/>
            </w:r>
            <w:r>
              <w:rPr>
                <w:noProof/>
                <w:webHidden/>
              </w:rPr>
              <w:fldChar w:fldCharType="begin"/>
            </w:r>
            <w:r>
              <w:rPr>
                <w:noProof/>
                <w:webHidden/>
              </w:rPr>
              <w:instrText xml:space="preserve"> PAGEREF _Toc235909356 \h </w:instrText>
            </w:r>
            <w:r>
              <w:rPr>
                <w:noProof/>
                <w:webHidden/>
              </w:rPr>
            </w:r>
            <w:r>
              <w:rPr>
                <w:noProof/>
                <w:webHidden/>
              </w:rPr>
              <w:fldChar w:fldCharType="separate"/>
            </w:r>
            <w:r>
              <w:rPr>
                <w:noProof/>
                <w:webHidden/>
              </w:rPr>
              <w:t>27</w:t>
            </w:r>
            <w:r>
              <w:rPr>
                <w:noProof/>
                <w:webHidden/>
              </w:rPr>
              <w:fldChar w:fldCharType="end"/>
            </w:r>
          </w:hyperlink>
        </w:p>
        <w:p w14:paraId="48FD322B" w14:textId="7FE28842" w:rsidR="00246CD9" w:rsidRDefault="00246CD9">
          <w:pPr>
            <w:pStyle w:val="TOC3"/>
            <w:tabs>
              <w:tab w:val="right" w:leader="dot" w:pos="9016"/>
            </w:tabs>
            <w:rPr>
              <w:rFonts w:asciiTheme="minorHAnsi" w:hAnsiTheme="minorHAnsi"/>
              <w:noProof/>
              <w:sz w:val="24"/>
              <w:szCs w:val="24"/>
              <w:lang w:eastAsia="en-GB"/>
            </w:rPr>
          </w:pPr>
          <w:hyperlink w:anchor="_Toc235909357" w:history="1">
            <w:r w:rsidRPr="00BF1448">
              <w:rPr>
                <w:rStyle w:val="Hyperlink"/>
                <w:noProof/>
              </w:rPr>
              <w:t>Implications</w:t>
            </w:r>
            <w:r>
              <w:rPr>
                <w:noProof/>
                <w:webHidden/>
              </w:rPr>
              <w:tab/>
            </w:r>
            <w:r>
              <w:rPr>
                <w:noProof/>
                <w:webHidden/>
              </w:rPr>
              <w:fldChar w:fldCharType="begin"/>
            </w:r>
            <w:r>
              <w:rPr>
                <w:noProof/>
                <w:webHidden/>
              </w:rPr>
              <w:instrText xml:space="preserve"> PAGEREF _Toc235909357 \h </w:instrText>
            </w:r>
            <w:r>
              <w:rPr>
                <w:noProof/>
                <w:webHidden/>
              </w:rPr>
            </w:r>
            <w:r>
              <w:rPr>
                <w:noProof/>
                <w:webHidden/>
              </w:rPr>
              <w:fldChar w:fldCharType="separate"/>
            </w:r>
            <w:r>
              <w:rPr>
                <w:noProof/>
                <w:webHidden/>
              </w:rPr>
              <w:t>28</w:t>
            </w:r>
            <w:r>
              <w:rPr>
                <w:noProof/>
                <w:webHidden/>
              </w:rPr>
              <w:fldChar w:fldCharType="end"/>
            </w:r>
          </w:hyperlink>
        </w:p>
        <w:p w14:paraId="347A656D" w14:textId="79D457C2" w:rsidR="00246CD9" w:rsidRDefault="00246CD9">
          <w:pPr>
            <w:pStyle w:val="TOC3"/>
            <w:tabs>
              <w:tab w:val="right" w:leader="dot" w:pos="9016"/>
            </w:tabs>
            <w:rPr>
              <w:rFonts w:asciiTheme="minorHAnsi" w:hAnsiTheme="minorHAnsi"/>
              <w:noProof/>
              <w:sz w:val="24"/>
              <w:szCs w:val="24"/>
              <w:lang w:eastAsia="en-GB"/>
            </w:rPr>
          </w:pPr>
          <w:hyperlink w:anchor="_Toc235909358" w:history="1">
            <w:r w:rsidRPr="00BF1448">
              <w:rPr>
                <w:rStyle w:val="Hyperlink"/>
                <w:noProof/>
              </w:rPr>
              <w:t>Examples from Your Articles</w:t>
            </w:r>
            <w:r>
              <w:rPr>
                <w:noProof/>
                <w:webHidden/>
              </w:rPr>
              <w:tab/>
            </w:r>
            <w:r>
              <w:rPr>
                <w:noProof/>
                <w:webHidden/>
              </w:rPr>
              <w:fldChar w:fldCharType="begin"/>
            </w:r>
            <w:r>
              <w:rPr>
                <w:noProof/>
                <w:webHidden/>
              </w:rPr>
              <w:instrText xml:space="preserve"> PAGEREF _Toc235909358 \h </w:instrText>
            </w:r>
            <w:r>
              <w:rPr>
                <w:noProof/>
                <w:webHidden/>
              </w:rPr>
            </w:r>
            <w:r>
              <w:rPr>
                <w:noProof/>
                <w:webHidden/>
              </w:rPr>
              <w:fldChar w:fldCharType="separate"/>
            </w:r>
            <w:r>
              <w:rPr>
                <w:noProof/>
                <w:webHidden/>
              </w:rPr>
              <w:t>28</w:t>
            </w:r>
            <w:r>
              <w:rPr>
                <w:noProof/>
                <w:webHidden/>
              </w:rPr>
              <w:fldChar w:fldCharType="end"/>
            </w:r>
          </w:hyperlink>
        </w:p>
        <w:p w14:paraId="5691DD37" w14:textId="0DB85668" w:rsidR="00246CD9" w:rsidRDefault="00246CD9">
          <w:pPr>
            <w:pStyle w:val="TOC3"/>
            <w:tabs>
              <w:tab w:val="right" w:leader="dot" w:pos="9016"/>
            </w:tabs>
            <w:rPr>
              <w:rFonts w:asciiTheme="minorHAnsi" w:hAnsiTheme="minorHAnsi"/>
              <w:noProof/>
              <w:sz w:val="24"/>
              <w:szCs w:val="24"/>
              <w:lang w:eastAsia="en-GB"/>
            </w:rPr>
          </w:pPr>
          <w:hyperlink w:anchor="_Toc235909359" w:history="1">
            <w:r w:rsidRPr="00BF1448">
              <w:rPr>
                <w:rStyle w:val="Hyperlink"/>
                <w:noProof/>
              </w:rPr>
              <w:t>Connections to Other Themes</w:t>
            </w:r>
            <w:r>
              <w:rPr>
                <w:noProof/>
                <w:webHidden/>
              </w:rPr>
              <w:tab/>
            </w:r>
            <w:r>
              <w:rPr>
                <w:noProof/>
                <w:webHidden/>
              </w:rPr>
              <w:fldChar w:fldCharType="begin"/>
            </w:r>
            <w:r>
              <w:rPr>
                <w:noProof/>
                <w:webHidden/>
              </w:rPr>
              <w:instrText xml:space="preserve"> PAGEREF _Toc235909359 \h </w:instrText>
            </w:r>
            <w:r>
              <w:rPr>
                <w:noProof/>
                <w:webHidden/>
              </w:rPr>
            </w:r>
            <w:r>
              <w:rPr>
                <w:noProof/>
                <w:webHidden/>
              </w:rPr>
              <w:fldChar w:fldCharType="separate"/>
            </w:r>
            <w:r>
              <w:rPr>
                <w:noProof/>
                <w:webHidden/>
              </w:rPr>
              <w:t>29</w:t>
            </w:r>
            <w:r>
              <w:rPr>
                <w:noProof/>
                <w:webHidden/>
              </w:rPr>
              <w:fldChar w:fldCharType="end"/>
            </w:r>
          </w:hyperlink>
        </w:p>
        <w:p w14:paraId="34E05FEC" w14:textId="2E80DFBF" w:rsidR="00246CD9" w:rsidRDefault="00246CD9">
          <w:pPr>
            <w:pStyle w:val="TOC2"/>
            <w:tabs>
              <w:tab w:val="right" w:leader="dot" w:pos="9016"/>
            </w:tabs>
            <w:rPr>
              <w:rFonts w:asciiTheme="minorHAnsi" w:hAnsiTheme="minorHAnsi"/>
              <w:noProof/>
              <w:sz w:val="24"/>
              <w:szCs w:val="24"/>
              <w:lang w:eastAsia="en-GB"/>
            </w:rPr>
          </w:pPr>
          <w:hyperlink w:anchor="_Toc235909360" w:history="1">
            <w:r w:rsidRPr="00BF1448">
              <w:rPr>
                <w:rStyle w:val="Hyperlink"/>
                <w:noProof/>
              </w:rPr>
              <w:t>4.4 – Theme 2: Screening Tools and Assessment Practices Used in Nursing or Primary Care</w:t>
            </w:r>
            <w:r>
              <w:rPr>
                <w:noProof/>
                <w:webHidden/>
              </w:rPr>
              <w:tab/>
            </w:r>
            <w:r>
              <w:rPr>
                <w:noProof/>
                <w:webHidden/>
              </w:rPr>
              <w:fldChar w:fldCharType="begin"/>
            </w:r>
            <w:r>
              <w:rPr>
                <w:noProof/>
                <w:webHidden/>
              </w:rPr>
              <w:instrText xml:space="preserve"> PAGEREF _Toc235909360 \h </w:instrText>
            </w:r>
            <w:r>
              <w:rPr>
                <w:noProof/>
                <w:webHidden/>
              </w:rPr>
            </w:r>
            <w:r>
              <w:rPr>
                <w:noProof/>
                <w:webHidden/>
              </w:rPr>
              <w:fldChar w:fldCharType="separate"/>
            </w:r>
            <w:r>
              <w:rPr>
                <w:noProof/>
                <w:webHidden/>
              </w:rPr>
              <w:t>29</w:t>
            </w:r>
            <w:r>
              <w:rPr>
                <w:noProof/>
                <w:webHidden/>
              </w:rPr>
              <w:fldChar w:fldCharType="end"/>
            </w:r>
          </w:hyperlink>
        </w:p>
        <w:p w14:paraId="1ECCAB84" w14:textId="258D812E" w:rsidR="00246CD9" w:rsidRDefault="00246CD9">
          <w:pPr>
            <w:pStyle w:val="TOC3"/>
            <w:tabs>
              <w:tab w:val="right" w:leader="dot" w:pos="9016"/>
            </w:tabs>
            <w:rPr>
              <w:rFonts w:asciiTheme="minorHAnsi" w:hAnsiTheme="minorHAnsi"/>
              <w:noProof/>
              <w:sz w:val="24"/>
              <w:szCs w:val="24"/>
              <w:lang w:eastAsia="en-GB"/>
            </w:rPr>
          </w:pPr>
          <w:hyperlink w:anchor="_Toc235909361" w:history="1">
            <w:r w:rsidRPr="00BF1448">
              <w:rPr>
                <w:rStyle w:val="Hyperlink"/>
                <w:noProof/>
              </w:rPr>
              <w:t>Definition</w:t>
            </w:r>
            <w:r>
              <w:rPr>
                <w:noProof/>
                <w:webHidden/>
              </w:rPr>
              <w:tab/>
            </w:r>
            <w:r>
              <w:rPr>
                <w:noProof/>
                <w:webHidden/>
              </w:rPr>
              <w:fldChar w:fldCharType="begin"/>
            </w:r>
            <w:r>
              <w:rPr>
                <w:noProof/>
                <w:webHidden/>
              </w:rPr>
              <w:instrText xml:space="preserve"> PAGEREF _Toc235909361 \h </w:instrText>
            </w:r>
            <w:r>
              <w:rPr>
                <w:noProof/>
                <w:webHidden/>
              </w:rPr>
            </w:r>
            <w:r>
              <w:rPr>
                <w:noProof/>
                <w:webHidden/>
              </w:rPr>
              <w:fldChar w:fldCharType="separate"/>
            </w:r>
            <w:r>
              <w:rPr>
                <w:noProof/>
                <w:webHidden/>
              </w:rPr>
              <w:t>29</w:t>
            </w:r>
            <w:r>
              <w:rPr>
                <w:noProof/>
                <w:webHidden/>
              </w:rPr>
              <w:fldChar w:fldCharType="end"/>
            </w:r>
          </w:hyperlink>
        </w:p>
        <w:p w14:paraId="2CDCA512" w14:textId="122CC9A8" w:rsidR="00246CD9" w:rsidRDefault="00246CD9">
          <w:pPr>
            <w:pStyle w:val="TOC3"/>
            <w:tabs>
              <w:tab w:val="right" w:leader="dot" w:pos="9016"/>
            </w:tabs>
            <w:rPr>
              <w:rFonts w:asciiTheme="minorHAnsi" w:hAnsiTheme="minorHAnsi"/>
              <w:noProof/>
              <w:sz w:val="24"/>
              <w:szCs w:val="24"/>
              <w:lang w:eastAsia="en-GB"/>
            </w:rPr>
          </w:pPr>
          <w:hyperlink w:anchor="_Toc235909362" w:history="1">
            <w:r w:rsidRPr="00BF1448">
              <w:rPr>
                <w:rStyle w:val="Hyperlink"/>
                <w:noProof/>
              </w:rPr>
              <w:t>Background Information</w:t>
            </w:r>
            <w:r>
              <w:rPr>
                <w:noProof/>
                <w:webHidden/>
              </w:rPr>
              <w:tab/>
            </w:r>
            <w:r>
              <w:rPr>
                <w:noProof/>
                <w:webHidden/>
              </w:rPr>
              <w:fldChar w:fldCharType="begin"/>
            </w:r>
            <w:r>
              <w:rPr>
                <w:noProof/>
                <w:webHidden/>
              </w:rPr>
              <w:instrText xml:space="preserve"> PAGEREF _Toc235909362 \h </w:instrText>
            </w:r>
            <w:r>
              <w:rPr>
                <w:noProof/>
                <w:webHidden/>
              </w:rPr>
            </w:r>
            <w:r>
              <w:rPr>
                <w:noProof/>
                <w:webHidden/>
              </w:rPr>
              <w:fldChar w:fldCharType="separate"/>
            </w:r>
            <w:r>
              <w:rPr>
                <w:noProof/>
                <w:webHidden/>
              </w:rPr>
              <w:t>30</w:t>
            </w:r>
            <w:r>
              <w:rPr>
                <w:noProof/>
                <w:webHidden/>
              </w:rPr>
              <w:fldChar w:fldCharType="end"/>
            </w:r>
          </w:hyperlink>
        </w:p>
        <w:p w14:paraId="27B56D45" w14:textId="662FA130" w:rsidR="00246CD9" w:rsidRDefault="00246CD9">
          <w:pPr>
            <w:pStyle w:val="TOC3"/>
            <w:tabs>
              <w:tab w:val="right" w:leader="dot" w:pos="9016"/>
            </w:tabs>
            <w:rPr>
              <w:rFonts w:asciiTheme="minorHAnsi" w:hAnsiTheme="minorHAnsi"/>
              <w:noProof/>
              <w:sz w:val="24"/>
              <w:szCs w:val="24"/>
              <w:lang w:eastAsia="en-GB"/>
            </w:rPr>
          </w:pPr>
          <w:hyperlink w:anchor="_Toc235909363" w:history="1">
            <w:r w:rsidRPr="00BF1448">
              <w:rPr>
                <w:rStyle w:val="Hyperlink"/>
                <w:noProof/>
              </w:rPr>
              <w:t>Impact on Research Question</w:t>
            </w:r>
            <w:r>
              <w:rPr>
                <w:noProof/>
                <w:webHidden/>
              </w:rPr>
              <w:tab/>
            </w:r>
            <w:r>
              <w:rPr>
                <w:noProof/>
                <w:webHidden/>
              </w:rPr>
              <w:fldChar w:fldCharType="begin"/>
            </w:r>
            <w:r>
              <w:rPr>
                <w:noProof/>
                <w:webHidden/>
              </w:rPr>
              <w:instrText xml:space="preserve"> PAGEREF _Toc235909363 \h </w:instrText>
            </w:r>
            <w:r>
              <w:rPr>
                <w:noProof/>
                <w:webHidden/>
              </w:rPr>
            </w:r>
            <w:r>
              <w:rPr>
                <w:noProof/>
                <w:webHidden/>
              </w:rPr>
              <w:fldChar w:fldCharType="separate"/>
            </w:r>
            <w:r>
              <w:rPr>
                <w:noProof/>
                <w:webHidden/>
              </w:rPr>
              <w:t>30</w:t>
            </w:r>
            <w:r>
              <w:rPr>
                <w:noProof/>
                <w:webHidden/>
              </w:rPr>
              <w:fldChar w:fldCharType="end"/>
            </w:r>
          </w:hyperlink>
        </w:p>
        <w:p w14:paraId="762DBFB6" w14:textId="7012D427" w:rsidR="00246CD9" w:rsidRDefault="00246CD9">
          <w:pPr>
            <w:pStyle w:val="TOC3"/>
            <w:tabs>
              <w:tab w:val="right" w:leader="dot" w:pos="9016"/>
            </w:tabs>
            <w:rPr>
              <w:rFonts w:asciiTheme="minorHAnsi" w:hAnsiTheme="minorHAnsi"/>
              <w:noProof/>
              <w:sz w:val="24"/>
              <w:szCs w:val="24"/>
              <w:lang w:eastAsia="en-GB"/>
            </w:rPr>
          </w:pPr>
          <w:hyperlink w:anchor="_Toc235909364" w:history="1">
            <w:r w:rsidRPr="00BF1448">
              <w:rPr>
                <w:rStyle w:val="Hyperlink"/>
                <w:noProof/>
              </w:rPr>
              <w:t>Theories, Policies, and Legislation</w:t>
            </w:r>
            <w:r>
              <w:rPr>
                <w:noProof/>
                <w:webHidden/>
              </w:rPr>
              <w:tab/>
            </w:r>
            <w:r>
              <w:rPr>
                <w:noProof/>
                <w:webHidden/>
              </w:rPr>
              <w:fldChar w:fldCharType="begin"/>
            </w:r>
            <w:r>
              <w:rPr>
                <w:noProof/>
                <w:webHidden/>
              </w:rPr>
              <w:instrText xml:space="preserve"> PAGEREF _Toc235909364 \h </w:instrText>
            </w:r>
            <w:r>
              <w:rPr>
                <w:noProof/>
                <w:webHidden/>
              </w:rPr>
            </w:r>
            <w:r>
              <w:rPr>
                <w:noProof/>
                <w:webHidden/>
              </w:rPr>
              <w:fldChar w:fldCharType="separate"/>
            </w:r>
            <w:r>
              <w:rPr>
                <w:noProof/>
                <w:webHidden/>
              </w:rPr>
              <w:t>31</w:t>
            </w:r>
            <w:r>
              <w:rPr>
                <w:noProof/>
                <w:webHidden/>
              </w:rPr>
              <w:fldChar w:fldCharType="end"/>
            </w:r>
          </w:hyperlink>
        </w:p>
        <w:p w14:paraId="5420AC8A" w14:textId="4A05EBA9" w:rsidR="00246CD9" w:rsidRDefault="00246CD9">
          <w:pPr>
            <w:pStyle w:val="TOC3"/>
            <w:tabs>
              <w:tab w:val="right" w:leader="dot" w:pos="9016"/>
            </w:tabs>
            <w:rPr>
              <w:rFonts w:asciiTheme="minorHAnsi" w:hAnsiTheme="minorHAnsi"/>
              <w:noProof/>
              <w:sz w:val="24"/>
              <w:szCs w:val="24"/>
              <w:lang w:eastAsia="en-GB"/>
            </w:rPr>
          </w:pPr>
          <w:hyperlink w:anchor="_Toc235909365" w:history="1">
            <w:r w:rsidRPr="00BF1448">
              <w:rPr>
                <w:rStyle w:val="Hyperlink"/>
                <w:noProof/>
              </w:rPr>
              <w:t>Implications</w:t>
            </w:r>
            <w:r>
              <w:rPr>
                <w:noProof/>
                <w:webHidden/>
              </w:rPr>
              <w:tab/>
            </w:r>
            <w:r>
              <w:rPr>
                <w:noProof/>
                <w:webHidden/>
              </w:rPr>
              <w:fldChar w:fldCharType="begin"/>
            </w:r>
            <w:r>
              <w:rPr>
                <w:noProof/>
                <w:webHidden/>
              </w:rPr>
              <w:instrText xml:space="preserve"> PAGEREF _Toc235909365 \h </w:instrText>
            </w:r>
            <w:r>
              <w:rPr>
                <w:noProof/>
                <w:webHidden/>
              </w:rPr>
            </w:r>
            <w:r>
              <w:rPr>
                <w:noProof/>
                <w:webHidden/>
              </w:rPr>
              <w:fldChar w:fldCharType="separate"/>
            </w:r>
            <w:r>
              <w:rPr>
                <w:noProof/>
                <w:webHidden/>
              </w:rPr>
              <w:t>31</w:t>
            </w:r>
            <w:r>
              <w:rPr>
                <w:noProof/>
                <w:webHidden/>
              </w:rPr>
              <w:fldChar w:fldCharType="end"/>
            </w:r>
          </w:hyperlink>
        </w:p>
        <w:p w14:paraId="04881B0E" w14:textId="75F47DE3" w:rsidR="00246CD9" w:rsidRDefault="00246CD9">
          <w:pPr>
            <w:pStyle w:val="TOC3"/>
            <w:tabs>
              <w:tab w:val="right" w:leader="dot" w:pos="9016"/>
            </w:tabs>
            <w:rPr>
              <w:rFonts w:asciiTheme="minorHAnsi" w:hAnsiTheme="minorHAnsi"/>
              <w:noProof/>
              <w:sz w:val="24"/>
              <w:szCs w:val="24"/>
              <w:lang w:eastAsia="en-GB"/>
            </w:rPr>
          </w:pPr>
          <w:hyperlink w:anchor="_Toc235909366" w:history="1">
            <w:r w:rsidRPr="00BF1448">
              <w:rPr>
                <w:rStyle w:val="Hyperlink"/>
                <w:noProof/>
              </w:rPr>
              <w:t>Examples from Your Articles</w:t>
            </w:r>
            <w:r>
              <w:rPr>
                <w:noProof/>
                <w:webHidden/>
              </w:rPr>
              <w:tab/>
            </w:r>
            <w:r>
              <w:rPr>
                <w:noProof/>
                <w:webHidden/>
              </w:rPr>
              <w:fldChar w:fldCharType="begin"/>
            </w:r>
            <w:r>
              <w:rPr>
                <w:noProof/>
                <w:webHidden/>
              </w:rPr>
              <w:instrText xml:space="preserve"> PAGEREF _Toc235909366 \h </w:instrText>
            </w:r>
            <w:r>
              <w:rPr>
                <w:noProof/>
                <w:webHidden/>
              </w:rPr>
            </w:r>
            <w:r>
              <w:rPr>
                <w:noProof/>
                <w:webHidden/>
              </w:rPr>
              <w:fldChar w:fldCharType="separate"/>
            </w:r>
            <w:r>
              <w:rPr>
                <w:noProof/>
                <w:webHidden/>
              </w:rPr>
              <w:t>32</w:t>
            </w:r>
            <w:r>
              <w:rPr>
                <w:noProof/>
                <w:webHidden/>
              </w:rPr>
              <w:fldChar w:fldCharType="end"/>
            </w:r>
          </w:hyperlink>
        </w:p>
        <w:p w14:paraId="7482914B" w14:textId="5465BE36" w:rsidR="00246CD9" w:rsidRDefault="00246CD9">
          <w:pPr>
            <w:pStyle w:val="TOC3"/>
            <w:tabs>
              <w:tab w:val="right" w:leader="dot" w:pos="9016"/>
            </w:tabs>
            <w:rPr>
              <w:rFonts w:asciiTheme="minorHAnsi" w:hAnsiTheme="minorHAnsi"/>
              <w:noProof/>
              <w:sz w:val="24"/>
              <w:szCs w:val="24"/>
              <w:lang w:eastAsia="en-GB"/>
            </w:rPr>
          </w:pPr>
          <w:hyperlink w:anchor="_Toc235909367" w:history="1">
            <w:r w:rsidRPr="00BF1448">
              <w:rPr>
                <w:rStyle w:val="Hyperlink"/>
                <w:noProof/>
              </w:rPr>
              <w:t>Connections to Other Themes</w:t>
            </w:r>
            <w:r>
              <w:rPr>
                <w:noProof/>
                <w:webHidden/>
              </w:rPr>
              <w:tab/>
            </w:r>
            <w:r>
              <w:rPr>
                <w:noProof/>
                <w:webHidden/>
              </w:rPr>
              <w:fldChar w:fldCharType="begin"/>
            </w:r>
            <w:r>
              <w:rPr>
                <w:noProof/>
                <w:webHidden/>
              </w:rPr>
              <w:instrText xml:space="preserve"> PAGEREF _Toc235909367 \h </w:instrText>
            </w:r>
            <w:r>
              <w:rPr>
                <w:noProof/>
                <w:webHidden/>
              </w:rPr>
            </w:r>
            <w:r>
              <w:rPr>
                <w:noProof/>
                <w:webHidden/>
              </w:rPr>
              <w:fldChar w:fldCharType="separate"/>
            </w:r>
            <w:r>
              <w:rPr>
                <w:noProof/>
                <w:webHidden/>
              </w:rPr>
              <w:t>33</w:t>
            </w:r>
            <w:r>
              <w:rPr>
                <w:noProof/>
                <w:webHidden/>
              </w:rPr>
              <w:fldChar w:fldCharType="end"/>
            </w:r>
          </w:hyperlink>
        </w:p>
        <w:p w14:paraId="500CE6B4" w14:textId="32B61D83" w:rsidR="00246CD9" w:rsidRDefault="00246CD9">
          <w:pPr>
            <w:pStyle w:val="TOC2"/>
            <w:tabs>
              <w:tab w:val="right" w:leader="dot" w:pos="9016"/>
            </w:tabs>
            <w:rPr>
              <w:rFonts w:asciiTheme="minorHAnsi" w:hAnsiTheme="minorHAnsi"/>
              <w:noProof/>
              <w:sz w:val="24"/>
              <w:szCs w:val="24"/>
              <w:lang w:eastAsia="en-GB"/>
            </w:rPr>
          </w:pPr>
          <w:hyperlink w:anchor="_Toc235909368" w:history="1">
            <w:r w:rsidRPr="00BF1448">
              <w:rPr>
                <w:rStyle w:val="Hyperlink"/>
                <w:noProof/>
              </w:rPr>
              <w:t>4.5 – Theme 3: Effectiveness and Limitations of Early Recognition Strategies, Service Readiness, And Implementation Barriers</w:t>
            </w:r>
            <w:r>
              <w:rPr>
                <w:noProof/>
                <w:webHidden/>
              </w:rPr>
              <w:tab/>
            </w:r>
            <w:r>
              <w:rPr>
                <w:noProof/>
                <w:webHidden/>
              </w:rPr>
              <w:fldChar w:fldCharType="begin"/>
            </w:r>
            <w:r>
              <w:rPr>
                <w:noProof/>
                <w:webHidden/>
              </w:rPr>
              <w:instrText xml:space="preserve"> PAGEREF _Toc235909368 \h </w:instrText>
            </w:r>
            <w:r>
              <w:rPr>
                <w:noProof/>
                <w:webHidden/>
              </w:rPr>
            </w:r>
            <w:r>
              <w:rPr>
                <w:noProof/>
                <w:webHidden/>
              </w:rPr>
              <w:fldChar w:fldCharType="separate"/>
            </w:r>
            <w:r>
              <w:rPr>
                <w:noProof/>
                <w:webHidden/>
              </w:rPr>
              <w:t>33</w:t>
            </w:r>
            <w:r>
              <w:rPr>
                <w:noProof/>
                <w:webHidden/>
              </w:rPr>
              <w:fldChar w:fldCharType="end"/>
            </w:r>
          </w:hyperlink>
        </w:p>
        <w:p w14:paraId="19FB55FE" w14:textId="2BB7CDFE" w:rsidR="00246CD9" w:rsidRDefault="00246CD9">
          <w:pPr>
            <w:pStyle w:val="TOC3"/>
            <w:tabs>
              <w:tab w:val="right" w:leader="dot" w:pos="9016"/>
            </w:tabs>
            <w:rPr>
              <w:rFonts w:asciiTheme="minorHAnsi" w:hAnsiTheme="minorHAnsi"/>
              <w:noProof/>
              <w:sz w:val="24"/>
              <w:szCs w:val="24"/>
              <w:lang w:eastAsia="en-GB"/>
            </w:rPr>
          </w:pPr>
          <w:hyperlink w:anchor="_Toc235909369" w:history="1">
            <w:r w:rsidRPr="00BF1448">
              <w:rPr>
                <w:rStyle w:val="Hyperlink"/>
                <w:noProof/>
              </w:rPr>
              <w:t>Definition</w:t>
            </w:r>
            <w:r>
              <w:rPr>
                <w:noProof/>
                <w:webHidden/>
              </w:rPr>
              <w:tab/>
            </w:r>
            <w:r>
              <w:rPr>
                <w:noProof/>
                <w:webHidden/>
              </w:rPr>
              <w:fldChar w:fldCharType="begin"/>
            </w:r>
            <w:r>
              <w:rPr>
                <w:noProof/>
                <w:webHidden/>
              </w:rPr>
              <w:instrText xml:space="preserve"> PAGEREF _Toc235909369 \h </w:instrText>
            </w:r>
            <w:r>
              <w:rPr>
                <w:noProof/>
                <w:webHidden/>
              </w:rPr>
            </w:r>
            <w:r>
              <w:rPr>
                <w:noProof/>
                <w:webHidden/>
              </w:rPr>
              <w:fldChar w:fldCharType="separate"/>
            </w:r>
            <w:r>
              <w:rPr>
                <w:noProof/>
                <w:webHidden/>
              </w:rPr>
              <w:t>33</w:t>
            </w:r>
            <w:r>
              <w:rPr>
                <w:noProof/>
                <w:webHidden/>
              </w:rPr>
              <w:fldChar w:fldCharType="end"/>
            </w:r>
          </w:hyperlink>
        </w:p>
        <w:p w14:paraId="5A1EB981" w14:textId="0300CC34" w:rsidR="00246CD9" w:rsidRDefault="00246CD9">
          <w:pPr>
            <w:pStyle w:val="TOC3"/>
            <w:tabs>
              <w:tab w:val="right" w:leader="dot" w:pos="9016"/>
            </w:tabs>
            <w:rPr>
              <w:rFonts w:asciiTheme="minorHAnsi" w:hAnsiTheme="minorHAnsi"/>
              <w:noProof/>
              <w:sz w:val="24"/>
              <w:szCs w:val="24"/>
              <w:lang w:eastAsia="en-GB"/>
            </w:rPr>
          </w:pPr>
          <w:hyperlink w:anchor="_Toc235909370" w:history="1">
            <w:r w:rsidRPr="00BF1448">
              <w:rPr>
                <w:rStyle w:val="Hyperlink"/>
                <w:noProof/>
              </w:rPr>
              <w:t>Background Information</w:t>
            </w:r>
            <w:r>
              <w:rPr>
                <w:noProof/>
                <w:webHidden/>
              </w:rPr>
              <w:tab/>
            </w:r>
            <w:r>
              <w:rPr>
                <w:noProof/>
                <w:webHidden/>
              </w:rPr>
              <w:fldChar w:fldCharType="begin"/>
            </w:r>
            <w:r>
              <w:rPr>
                <w:noProof/>
                <w:webHidden/>
              </w:rPr>
              <w:instrText xml:space="preserve"> PAGEREF _Toc235909370 \h </w:instrText>
            </w:r>
            <w:r>
              <w:rPr>
                <w:noProof/>
                <w:webHidden/>
              </w:rPr>
            </w:r>
            <w:r>
              <w:rPr>
                <w:noProof/>
                <w:webHidden/>
              </w:rPr>
              <w:fldChar w:fldCharType="separate"/>
            </w:r>
            <w:r>
              <w:rPr>
                <w:noProof/>
                <w:webHidden/>
              </w:rPr>
              <w:t>33</w:t>
            </w:r>
            <w:r>
              <w:rPr>
                <w:noProof/>
                <w:webHidden/>
              </w:rPr>
              <w:fldChar w:fldCharType="end"/>
            </w:r>
          </w:hyperlink>
        </w:p>
        <w:p w14:paraId="67BF6799" w14:textId="232C31F0" w:rsidR="00246CD9" w:rsidRDefault="00246CD9">
          <w:pPr>
            <w:pStyle w:val="TOC3"/>
            <w:tabs>
              <w:tab w:val="right" w:leader="dot" w:pos="9016"/>
            </w:tabs>
            <w:rPr>
              <w:rFonts w:asciiTheme="minorHAnsi" w:hAnsiTheme="minorHAnsi"/>
              <w:noProof/>
              <w:sz w:val="24"/>
              <w:szCs w:val="24"/>
              <w:lang w:eastAsia="en-GB"/>
            </w:rPr>
          </w:pPr>
          <w:hyperlink w:anchor="_Toc235909371" w:history="1">
            <w:r w:rsidRPr="00BF1448">
              <w:rPr>
                <w:rStyle w:val="Hyperlink"/>
                <w:noProof/>
              </w:rPr>
              <w:t>Impact on Research Question</w:t>
            </w:r>
            <w:r>
              <w:rPr>
                <w:noProof/>
                <w:webHidden/>
              </w:rPr>
              <w:tab/>
            </w:r>
            <w:r>
              <w:rPr>
                <w:noProof/>
                <w:webHidden/>
              </w:rPr>
              <w:fldChar w:fldCharType="begin"/>
            </w:r>
            <w:r>
              <w:rPr>
                <w:noProof/>
                <w:webHidden/>
              </w:rPr>
              <w:instrText xml:space="preserve"> PAGEREF _Toc235909371 \h </w:instrText>
            </w:r>
            <w:r>
              <w:rPr>
                <w:noProof/>
                <w:webHidden/>
              </w:rPr>
            </w:r>
            <w:r>
              <w:rPr>
                <w:noProof/>
                <w:webHidden/>
              </w:rPr>
              <w:fldChar w:fldCharType="separate"/>
            </w:r>
            <w:r>
              <w:rPr>
                <w:noProof/>
                <w:webHidden/>
              </w:rPr>
              <w:t>34</w:t>
            </w:r>
            <w:r>
              <w:rPr>
                <w:noProof/>
                <w:webHidden/>
              </w:rPr>
              <w:fldChar w:fldCharType="end"/>
            </w:r>
          </w:hyperlink>
        </w:p>
        <w:p w14:paraId="34F63B57" w14:textId="0223441B" w:rsidR="00246CD9" w:rsidRDefault="00246CD9">
          <w:pPr>
            <w:pStyle w:val="TOC3"/>
            <w:tabs>
              <w:tab w:val="right" w:leader="dot" w:pos="9016"/>
            </w:tabs>
            <w:rPr>
              <w:rFonts w:asciiTheme="minorHAnsi" w:hAnsiTheme="minorHAnsi"/>
              <w:noProof/>
              <w:sz w:val="24"/>
              <w:szCs w:val="24"/>
              <w:lang w:eastAsia="en-GB"/>
            </w:rPr>
          </w:pPr>
          <w:hyperlink w:anchor="_Toc235909372" w:history="1">
            <w:r w:rsidRPr="00BF1448">
              <w:rPr>
                <w:rStyle w:val="Hyperlink"/>
                <w:noProof/>
              </w:rPr>
              <w:t>Theories, Policies, and Legislation</w:t>
            </w:r>
            <w:r>
              <w:rPr>
                <w:noProof/>
                <w:webHidden/>
              </w:rPr>
              <w:tab/>
            </w:r>
            <w:r>
              <w:rPr>
                <w:noProof/>
                <w:webHidden/>
              </w:rPr>
              <w:fldChar w:fldCharType="begin"/>
            </w:r>
            <w:r>
              <w:rPr>
                <w:noProof/>
                <w:webHidden/>
              </w:rPr>
              <w:instrText xml:space="preserve"> PAGEREF _Toc235909372 \h </w:instrText>
            </w:r>
            <w:r>
              <w:rPr>
                <w:noProof/>
                <w:webHidden/>
              </w:rPr>
            </w:r>
            <w:r>
              <w:rPr>
                <w:noProof/>
                <w:webHidden/>
              </w:rPr>
              <w:fldChar w:fldCharType="separate"/>
            </w:r>
            <w:r>
              <w:rPr>
                <w:noProof/>
                <w:webHidden/>
              </w:rPr>
              <w:t>34</w:t>
            </w:r>
            <w:r>
              <w:rPr>
                <w:noProof/>
                <w:webHidden/>
              </w:rPr>
              <w:fldChar w:fldCharType="end"/>
            </w:r>
          </w:hyperlink>
        </w:p>
        <w:p w14:paraId="654F3B84" w14:textId="5FBC0592" w:rsidR="00246CD9" w:rsidRDefault="00246CD9">
          <w:pPr>
            <w:pStyle w:val="TOC3"/>
            <w:tabs>
              <w:tab w:val="right" w:leader="dot" w:pos="9016"/>
            </w:tabs>
            <w:rPr>
              <w:rFonts w:asciiTheme="minorHAnsi" w:hAnsiTheme="minorHAnsi"/>
              <w:noProof/>
              <w:sz w:val="24"/>
              <w:szCs w:val="24"/>
              <w:lang w:eastAsia="en-GB"/>
            </w:rPr>
          </w:pPr>
          <w:hyperlink w:anchor="_Toc235909373" w:history="1">
            <w:r w:rsidRPr="00BF1448">
              <w:rPr>
                <w:rStyle w:val="Hyperlink"/>
                <w:noProof/>
              </w:rPr>
              <w:t>Implications</w:t>
            </w:r>
            <w:r>
              <w:rPr>
                <w:noProof/>
                <w:webHidden/>
              </w:rPr>
              <w:tab/>
            </w:r>
            <w:r>
              <w:rPr>
                <w:noProof/>
                <w:webHidden/>
              </w:rPr>
              <w:fldChar w:fldCharType="begin"/>
            </w:r>
            <w:r>
              <w:rPr>
                <w:noProof/>
                <w:webHidden/>
              </w:rPr>
              <w:instrText xml:space="preserve"> PAGEREF _Toc235909373 \h </w:instrText>
            </w:r>
            <w:r>
              <w:rPr>
                <w:noProof/>
                <w:webHidden/>
              </w:rPr>
            </w:r>
            <w:r>
              <w:rPr>
                <w:noProof/>
                <w:webHidden/>
              </w:rPr>
              <w:fldChar w:fldCharType="separate"/>
            </w:r>
            <w:r>
              <w:rPr>
                <w:noProof/>
                <w:webHidden/>
              </w:rPr>
              <w:t>35</w:t>
            </w:r>
            <w:r>
              <w:rPr>
                <w:noProof/>
                <w:webHidden/>
              </w:rPr>
              <w:fldChar w:fldCharType="end"/>
            </w:r>
          </w:hyperlink>
        </w:p>
        <w:p w14:paraId="2BAB18A9" w14:textId="570EC200" w:rsidR="00246CD9" w:rsidRDefault="00246CD9">
          <w:pPr>
            <w:pStyle w:val="TOC3"/>
            <w:tabs>
              <w:tab w:val="right" w:leader="dot" w:pos="9016"/>
            </w:tabs>
            <w:rPr>
              <w:rFonts w:asciiTheme="minorHAnsi" w:hAnsiTheme="minorHAnsi"/>
              <w:noProof/>
              <w:sz w:val="24"/>
              <w:szCs w:val="24"/>
              <w:lang w:eastAsia="en-GB"/>
            </w:rPr>
          </w:pPr>
          <w:hyperlink w:anchor="_Toc235909374" w:history="1">
            <w:r w:rsidRPr="00BF1448">
              <w:rPr>
                <w:rStyle w:val="Hyperlink"/>
                <w:noProof/>
              </w:rPr>
              <w:t>Examples from Your Articles</w:t>
            </w:r>
            <w:r>
              <w:rPr>
                <w:noProof/>
                <w:webHidden/>
              </w:rPr>
              <w:tab/>
            </w:r>
            <w:r>
              <w:rPr>
                <w:noProof/>
                <w:webHidden/>
              </w:rPr>
              <w:fldChar w:fldCharType="begin"/>
            </w:r>
            <w:r>
              <w:rPr>
                <w:noProof/>
                <w:webHidden/>
              </w:rPr>
              <w:instrText xml:space="preserve"> PAGEREF _Toc235909374 \h </w:instrText>
            </w:r>
            <w:r>
              <w:rPr>
                <w:noProof/>
                <w:webHidden/>
              </w:rPr>
            </w:r>
            <w:r>
              <w:rPr>
                <w:noProof/>
                <w:webHidden/>
              </w:rPr>
              <w:fldChar w:fldCharType="separate"/>
            </w:r>
            <w:r>
              <w:rPr>
                <w:noProof/>
                <w:webHidden/>
              </w:rPr>
              <w:t>36</w:t>
            </w:r>
            <w:r>
              <w:rPr>
                <w:noProof/>
                <w:webHidden/>
              </w:rPr>
              <w:fldChar w:fldCharType="end"/>
            </w:r>
          </w:hyperlink>
        </w:p>
        <w:p w14:paraId="5DDDDFD6" w14:textId="5559CB37" w:rsidR="00246CD9" w:rsidRDefault="00246CD9">
          <w:pPr>
            <w:pStyle w:val="TOC3"/>
            <w:tabs>
              <w:tab w:val="right" w:leader="dot" w:pos="9016"/>
            </w:tabs>
            <w:rPr>
              <w:rFonts w:asciiTheme="minorHAnsi" w:hAnsiTheme="minorHAnsi"/>
              <w:noProof/>
              <w:sz w:val="24"/>
              <w:szCs w:val="24"/>
              <w:lang w:eastAsia="en-GB"/>
            </w:rPr>
          </w:pPr>
          <w:hyperlink w:anchor="_Toc235909375" w:history="1">
            <w:r w:rsidRPr="00BF1448">
              <w:rPr>
                <w:rStyle w:val="Hyperlink"/>
                <w:noProof/>
              </w:rPr>
              <w:t>Connections to Other Themes</w:t>
            </w:r>
            <w:r>
              <w:rPr>
                <w:noProof/>
                <w:webHidden/>
              </w:rPr>
              <w:tab/>
            </w:r>
            <w:r>
              <w:rPr>
                <w:noProof/>
                <w:webHidden/>
              </w:rPr>
              <w:fldChar w:fldCharType="begin"/>
            </w:r>
            <w:r>
              <w:rPr>
                <w:noProof/>
                <w:webHidden/>
              </w:rPr>
              <w:instrText xml:space="preserve"> PAGEREF _Toc235909375 \h </w:instrText>
            </w:r>
            <w:r>
              <w:rPr>
                <w:noProof/>
                <w:webHidden/>
              </w:rPr>
            </w:r>
            <w:r>
              <w:rPr>
                <w:noProof/>
                <w:webHidden/>
              </w:rPr>
              <w:fldChar w:fldCharType="separate"/>
            </w:r>
            <w:r>
              <w:rPr>
                <w:noProof/>
                <w:webHidden/>
              </w:rPr>
              <w:t>36</w:t>
            </w:r>
            <w:r>
              <w:rPr>
                <w:noProof/>
                <w:webHidden/>
              </w:rPr>
              <w:fldChar w:fldCharType="end"/>
            </w:r>
          </w:hyperlink>
        </w:p>
        <w:p w14:paraId="23E109C8" w14:textId="58C12F63" w:rsidR="00246CD9" w:rsidRDefault="00246CD9">
          <w:pPr>
            <w:pStyle w:val="TOC2"/>
            <w:tabs>
              <w:tab w:val="right" w:leader="dot" w:pos="9016"/>
            </w:tabs>
            <w:rPr>
              <w:rFonts w:asciiTheme="minorHAnsi" w:hAnsiTheme="minorHAnsi"/>
              <w:noProof/>
              <w:sz w:val="24"/>
              <w:szCs w:val="24"/>
              <w:lang w:eastAsia="en-GB"/>
            </w:rPr>
          </w:pPr>
          <w:hyperlink w:anchor="_Toc235909376" w:history="1">
            <w:r w:rsidRPr="00BF1448">
              <w:rPr>
                <w:rStyle w:val="Hyperlink"/>
                <w:noProof/>
              </w:rPr>
              <w:t>4.6 – Chapter Conclusion</w:t>
            </w:r>
            <w:r>
              <w:rPr>
                <w:noProof/>
                <w:webHidden/>
              </w:rPr>
              <w:tab/>
            </w:r>
            <w:r>
              <w:rPr>
                <w:noProof/>
                <w:webHidden/>
              </w:rPr>
              <w:fldChar w:fldCharType="begin"/>
            </w:r>
            <w:r>
              <w:rPr>
                <w:noProof/>
                <w:webHidden/>
              </w:rPr>
              <w:instrText xml:space="preserve"> PAGEREF _Toc235909376 \h </w:instrText>
            </w:r>
            <w:r>
              <w:rPr>
                <w:noProof/>
                <w:webHidden/>
              </w:rPr>
            </w:r>
            <w:r>
              <w:rPr>
                <w:noProof/>
                <w:webHidden/>
              </w:rPr>
              <w:fldChar w:fldCharType="separate"/>
            </w:r>
            <w:r>
              <w:rPr>
                <w:noProof/>
                <w:webHidden/>
              </w:rPr>
              <w:t>37</w:t>
            </w:r>
            <w:r>
              <w:rPr>
                <w:noProof/>
                <w:webHidden/>
              </w:rPr>
              <w:fldChar w:fldCharType="end"/>
            </w:r>
          </w:hyperlink>
        </w:p>
        <w:p w14:paraId="0B410CDC" w14:textId="73E80439" w:rsidR="00246CD9" w:rsidRDefault="00246CD9">
          <w:pPr>
            <w:pStyle w:val="TOC1"/>
            <w:tabs>
              <w:tab w:val="right" w:leader="dot" w:pos="9016"/>
            </w:tabs>
            <w:rPr>
              <w:rFonts w:asciiTheme="minorHAnsi" w:hAnsiTheme="minorHAnsi"/>
              <w:noProof/>
              <w:sz w:val="24"/>
              <w:szCs w:val="24"/>
              <w:lang w:eastAsia="en-GB"/>
            </w:rPr>
          </w:pPr>
          <w:hyperlink w:anchor="_Toc235909377" w:history="1">
            <w:r w:rsidRPr="00BF1448">
              <w:rPr>
                <w:rStyle w:val="Hyperlink"/>
                <w:noProof/>
                <w:lang w:bidi="en-GB"/>
              </w:rPr>
              <w:t>CHAPTER 5: Conclusion and Recommendations</w:t>
            </w:r>
            <w:r>
              <w:rPr>
                <w:noProof/>
                <w:webHidden/>
              </w:rPr>
              <w:tab/>
            </w:r>
            <w:r>
              <w:rPr>
                <w:noProof/>
                <w:webHidden/>
              </w:rPr>
              <w:fldChar w:fldCharType="begin"/>
            </w:r>
            <w:r>
              <w:rPr>
                <w:noProof/>
                <w:webHidden/>
              </w:rPr>
              <w:instrText xml:space="preserve"> PAGEREF _Toc235909377 \h </w:instrText>
            </w:r>
            <w:r>
              <w:rPr>
                <w:noProof/>
                <w:webHidden/>
              </w:rPr>
            </w:r>
            <w:r>
              <w:rPr>
                <w:noProof/>
                <w:webHidden/>
              </w:rPr>
              <w:fldChar w:fldCharType="separate"/>
            </w:r>
            <w:r>
              <w:rPr>
                <w:noProof/>
                <w:webHidden/>
              </w:rPr>
              <w:t>38</w:t>
            </w:r>
            <w:r>
              <w:rPr>
                <w:noProof/>
                <w:webHidden/>
              </w:rPr>
              <w:fldChar w:fldCharType="end"/>
            </w:r>
          </w:hyperlink>
        </w:p>
        <w:p w14:paraId="5997072C" w14:textId="6DB7B5B7" w:rsidR="00246CD9" w:rsidRDefault="00246CD9">
          <w:pPr>
            <w:pStyle w:val="TOC2"/>
            <w:tabs>
              <w:tab w:val="right" w:leader="dot" w:pos="9016"/>
            </w:tabs>
            <w:rPr>
              <w:rFonts w:asciiTheme="minorHAnsi" w:hAnsiTheme="minorHAnsi"/>
              <w:noProof/>
              <w:sz w:val="24"/>
              <w:szCs w:val="24"/>
              <w:lang w:eastAsia="en-GB"/>
            </w:rPr>
          </w:pPr>
          <w:hyperlink w:anchor="_Toc235909378" w:history="1">
            <w:r w:rsidRPr="00BF1448">
              <w:rPr>
                <w:rStyle w:val="Hyperlink"/>
                <w:noProof/>
              </w:rPr>
              <w:t>5.1 – Overall Conclusion</w:t>
            </w:r>
            <w:r>
              <w:rPr>
                <w:noProof/>
                <w:webHidden/>
              </w:rPr>
              <w:tab/>
            </w:r>
            <w:r>
              <w:rPr>
                <w:noProof/>
                <w:webHidden/>
              </w:rPr>
              <w:fldChar w:fldCharType="begin"/>
            </w:r>
            <w:r>
              <w:rPr>
                <w:noProof/>
                <w:webHidden/>
              </w:rPr>
              <w:instrText xml:space="preserve"> PAGEREF _Toc235909378 \h </w:instrText>
            </w:r>
            <w:r>
              <w:rPr>
                <w:noProof/>
                <w:webHidden/>
              </w:rPr>
            </w:r>
            <w:r>
              <w:rPr>
                <w:noProof/>
                <w:webHidden/>
              </w:rPr>
              <w:fldChar w:fldCharType="separate"/>
            </w:r>
            <w:r>
              <w:rPr>
                <w:noProof/>
                <w:webHidden/>
              </w:rPr>
              <w:t>38</w:t>
            </w:r>
            <w:r>
              <w:rPr>
                <w:noProof/>
                <w:webHidden/>
              </w:rPr>
              <w:fldChar w:fldCharType="end"/>
            </w:r>
          </w:hyperlink>
        </w:p>
        <w:p w14:paraId="11FB061E" w14:textId="47AE5BEA" w:rsidR="00246CD9" w:rsidRDefault="00246CD9">
          <w:pPr>
            <w:pStyle w:val="TOC2"/>
            <w:tabs>
              <w:tab w:val="right" w:leader="dot" w:pos="9016"/>
            </w:tabs>
            <w:rPr>
              <w:rFonts w:asciiTheme="minorHAnsi" w:hAnsiTheme="minorHAnsi"/>
              <w:noProof/>
              <w:sz w:val="24"/>
              <w:szCs w:val="24"/>
              <w:lang w:eastAsia="en-GB"/>
            </w:rPr>
          </w:pPr>
          <w:hyperlink w:anchor="_Toc235909379" w:history="1">
            <w:r w:rsidRPr="00BF1448">
              <w:rPr>
                <w:rStyle w:val="Hyperlink"/>
                <w:noProof/>
              </w:rPr>
              <w:t>5.2 – Recommendations</w:t>
            </w:r>
            <w:r>
              <w:rPr>
                <w:noProof/>
                <w:webHidden/>
              </w:rPr>
              <w:tab/>
            </w:r>
            <w:r>
              <w:rPr>
                <w:noProof/>
                <w:webHidden/>
              </w:rPr>
              <w:fldChar w:fldCharType="begin"/>
            </w:r>
            <w:r>
              <w:rPr>
                <w:noProof/>
                <w:webHidden/>
              </w:rPr>
              <w:instrText xml:space="preserve"> PAGEREF _Toc235909379 \h </w:instrText>
            </w:r>
            <w:r>
              <w:rPr>
                <w:noProof/>
                <w:webHidden/>
              </w:rPr>
            </w:r>
            <w:r>
              <w:rPr>
                <w:noProof/>
                <w:webHidden/>
              </w:rPr>
              <w:fldChar w:fldCharType="separate"/>
            </w:r>
            <w:r>
              <w:rPr>
                <w:noProof/>
                <w:webHidden/>
              </w:rPr>
              <w:t>38</w:t>
            </w:r>
            <w:r>
              <w:rPr>
                <w:noProof/>
                <w:webHidden/>
              </w:rPr>
              <w:fldChar w:fldCharType="end"/>
            </w:r>
          </w:hyperlink>
        </w:p>
        <w:p w14:paraId="66266C49" w14:textId="7C5D82E9" w:rsidR="00246CD9" w:rsidRDefault="00246CD9">
          <w:pPr>
            <w:pStyle w:val="TOC3"/>
            <w:tabs>
              <w:tab w:val="right" w:leader="dot" w:pos="9016"/>
            </w:tabs>
            <w:rPr>
              <w:rFonts w:asciiTheme="minorHAnsi" w:hAnsiTheme="minorHAnsi"/>
              <w:noProof/>
              <w:sz w:val="24"/>
              <w:szCs w:val="24"/>
              <w:lang w:eastAsia="en-GB"/>
            </w:rPr>
          </w:pPr>
          <w:hyperlink w:anchor="_Toc235909380" w:history="1">
            <w:r w:rsidRPr="00BF1448">
              <w:rPr>
                <w:rStyle w:val="Hyperlink"/>
                <w:noProof/>
              </w:rPr>
              <w:t>5.2.1 – Recommendation 1</w:t>
            </w:r>
            <w:r>
              <w:rPr>
                <w:noProof/>
                <w:webHidden/>
              </w:rPr>
              <w:tab/>
            </w:r>
            <w:r>
              <w:rPr>
                <w:noProof/>
                <w:webHidden/>
              </w:rPr>
              <w:fldChar w:fldCharType="begin"/>
            </w:r>
            <w:r>
              <w:rPr>
                <w:noProof/>
                <w:webHidden/>
              </w:rPr>
              <w:instrText xml:space="preserve"> PAGEREF _Toc235909380 \h </w:instrText>
            </w:r>
            <w:r>
              <w:rPr>
                <w:noProof/>
                <w:webHidden/>
              </w:rPr>
            </w:r>
            <w:r>
              <w:rPr>
                <w:noProof/>
                <w:webHidden/>
              </w:rPr>
              <w:fldChar w:fldCharType="separate"/>
            </w:r>
            <w:r>
              <w:rPr>
                <w:noProof/>
                <w:webHidden/>
              </w:rPr>
              <w:t>38</w:t>
            </w:r>
            <w:r>
              <w:rPr>
                <w:noProof/>
                <w:webHidden/>
              </w:rPr>
              <w:fldChar w:fldCharType="end"/>
            </w:r>
          </w:hyperlink>
        </w:p>
        <w:p w14:paraId="6B151FFB" w14:textId="4171F023" w:rsidR="00246CD9" w:rsidRDefault="00246CD9">
          <w:pPr>
            <w:pStyle w:val="TOC3"/>
            <w:tabs>
              <w:tab w:val="right" w:leader="dot" w:pos="9016"/>
            </w:tabs>
            <w:rPr>
              <w:rFonts w:asciiTheme="minorHAnsi" w:hAnsiTheme="minorHAnsi"/>
              <w:noProof/>
              <w:sz w:val="24"/>
              <w:szCs w:val="24"/>
              <w:lang w:eastAsia="en-GB"/>
            </w:rPr>
          </w:pPr>
          <w:hyperlink w:anchor="_Toc235909381" w:history="1">
            <w:r w:rsidRPr="00BF1448">
              <w:rPr>
                <w:rStyle w:val="Hyperlink"/>
                <w:noProof/>
              </w:rPr>
              <w:t>5.2.2 – Recommendation 2</w:t>
            </w:r>
            <w:r>
              <w:rPr>
                <w:noProof/>
                <w:webHidden/>
              </w:rPr>
              <w:tab/>
            </w:r>
            <w:r>
              <w:rPr>
                <w:noProof/>
                <w:webHidden/>
              </w:rPr>
              <w:fldChar w:fldCharType="begin"/>
            </w:r>
            <w:r>
              <w:rPr>
                <w:noProof/>
                <w:webHidden/>
              </w:rPr>
              <w:instrText xml:space="preserve"> PAGEREF _Toc235909381 \h </w:instrText>
            </w:r>
            <w:r>
              <w:rPr>
                <w:noProof/>
                <w:webHidden/>
              </w:rPr>
            </w:r>
            <w:r>
              <w:rPr>
                <w:noProof/>
                <w:webHidden/>
              </w:rPr>
              <w:fldChar w:fldCharType="separate"/>
            </w:r>
            <w:r>
              <w:rPr>
                <w:noProof/>
                <w:webHidden/>
              </w:rPr>
              <w:t>39</w:t>
            </w:r>
            <w:r>
              <w:rPr>
                <w:noProof/>
                <w:webHidden/>
              </w:rPr>
              <w:fldChar w:fldCharType="end"/>
            </w:r>
          </w:hyperlink>
        </w:p>
        <w:p w14:paraId="2478DCDE" w14:textId="325750D6" w:rsidR="00246CD9" w:rsidRDefault="00246CD9">
          <w:pPr>
            <w:pStyle w:val="TOC3"/>
            <w:tabs>
              <w:tab w:val="right" w:leader="dot" w:pos="9016"/>
            </w:tabs>
            <w:rPr>
              <w:rFonts w:asciiTheme="minorHAnsi" w:hAnsiTheme="minorHAnsi"/>
              <w:noProof/>
              <w:sz w:val="24"/>
              <w:szCs w:val="24"/>
              <w:lang w:eastAsia="en-GB"/>
            </w:rPr>
          </w:pPr>
          <w:hyperlink w:anchor="_Toc235909382" w:history="1">
            <w:r w:rsidRPr="00BF1448">
              <w:rPr>
                <w:rStyle w:val="Hyperlink"/>
                <w:noProof/>
              </w:rPr>
              <w:t>5.2.3 – Recommendation 3</w:t>
            </w:r>
            <w:r>
              <w:rPr>
                <w:noProof/>
                <w:webHidden/>
              </w:rPr>
              <w:tab/>
            </w:r>
            <w:r>
              <w:rPr>
                <w:noProof/>
                <w:webHidden/>
              </w:rPr>
              <w:fldChar w:fldCharType="begin"/>
            </w:r>
            <w:r>
              <w:rPr>
                <w:noProof/>
                <w:webHidden/>
              </w:rPr>
              <w:instrText xml:space="preserve"> PAGEREF _Toc235909382 \h </w:instrText>
            </w:r>
            <w:r>
              <w:rPr>
                <w:noProof/>
                <w:webHidden/>
              </w:rPr>
            </w:r>
            <w:r>
              <w:rPr>
                <w:noProof/>
                <w:webHidden/>
              </w:rPr>
              <w:fldChar w:fldCharType="separate"/>
            </w:r>
            <w:r>
              <w:rPr>
                <w:noProof/>
                <w:webHidden/>
              </w:rPr>
              <w:t>40</w:t>
            </w:r>
            <w:r>
              <w:rPr>
                <w:noProof/>
                <w:webHidden/>
              </w:rPr>
              <w:fldChar w:fldCharType="end"/>
            </w:r>
          </w:hyperlink>
        </w:p>
        <w:p w14:paraId="4BBDEDB7" w14:textId="4E316020" w:rsidR="00246CD9" w:rsidRDefault="00246CD9">
          <w:pPr>
            <w:pStyle w:val="TOC3"/>
            <w:tabs>
              <w:tab w:val="right" w:leader="dot" w:pos="9016"/>
            </w:tabs>
            <w:rPr>
              <w:rFonts w:asciiTheme="minorHAnsi" w:hAnsiTheme="minorHAnsi"/>
              <w:noProof/>
              <w:sz w:val="24"/>
              <w:szCs w:val="24"/>
              <w:lang w:eastAsia="en-GB"/>
            </w:rPr>
          </w:pPr>
          <w:hyperlink w:anchor="_Toc235909383" w:history="1">
            <w:r w:rsidRPr="00BF1448">
              <w:rPr>
                <w:rStyle w:val="Hyperlink"/>
                <w:noProof/>
              </w:rPr>
              <w:t>5.2.4 – Recommendation 4</w:t>
            </w:r>
            <w:r>
              <w:rPr>
                <w:noProof/>
                <w:webHidden/>
              </w:rPr>
              <w:tab/>
            </w:r>
            <w:r>
              <w:rPr>
                <w:noProof/>
                <w:webHidden/>
              </w:rPr>
              <w:fldChar w:fldCharType="begin"/>
            </w:r>
            <w:r>
              <w:rPr>
                <w:noProof/>
                <w:webHidden/>
              </w:rPr>
              <w:instrText xml:space="preserve"> PAGEREF _Toc235909383 \h </w:instrText>
            </w:r>
            <w:r>
              <w:rPr>
                <w:noProof/>
                <w:webHidden/>
              </w:rPr>
            </w:r>
            <w:r>
              <w:rPr>
                <w:noProof/>
                <w:webHidden/>
              </w:rPr>
              <w:fldChar w:fldCharType="separate"/>
            </w:r>
            <w:r>
              <w:rPr>
                <w:noProof/>
                <w:webHidden/>
              </w:rPr>
              <w:t>40</w:t>
            </w:r>
            <w:r>
              <w:rPr>
                <w:noProof/>
                <w:webHidden/>
              </w:rPr>
              <w:fldChar w:fldCharType="end"/>
            </w:r>
          </w:hyperlink>
        </w:p>
        <w:p w14:paraId="505560BE" w14:textId="07849996" w:rsidR="00246CD9" w:rsidRDefault="00246CD9">
          <w:pPr>
            <w:pStyle w:val="TOC1"/>
            <w:tabs>
              <w:tab w:val="right" w:leader="dot" w:pos="9016"/>
            </w:tabs>
            <w:rPr>
              <w:rFonts w:asciiTheme="minorHAnsi" w:hAnsiTheme="minorHAnsi"/>
              <w:noProof/>
              <w:sz w:val="24"/>
              <w:szCs w:val="24"/>
              <w:lang w:eastAsia="en-GB"/>
            </w:rPr>
          </w:pPr>
          <w:hyperlink w:anchor="_Toc235909384" w:history="1">
            <w:r w:rsidRPr="00BF1448">
              <w:rPr>
                <w:rStyle w:val="Hyperlink"/>
                <w:noProof/>
                <w:lang w:bidi="en-GB"/>
              </w:rPr>
              <w:t>6.1 – References</w:t>
            </w:r>
            <w:r>
              <w:rPr>
                <w:noProof/>
                <w:webHidden/>
              </w:rPr>
              <w:tab/>
            </w:r>
            <w:r>
              <w:rPr>
                <w:noProof/>
                <w:webHidden/>
              </w:rPr>
              <w:fldChar w:fldCharType="begin"/>
            </w:r>
            <w:r>
              <w:rPr>
                <w:noProof/>
                <w:webHidden/>
              </w:rPr>
              <w:instrText xml:space="preserve"> PAGEREF _Toc235909384 \h </w:instrText>
            </w:r>
            <w:r>
              <w:rPr>
                <w:noProof/>
                <w:webHidden/>
              </w:rPr>
            </w:r>
            <w:r>
              <w:rPr>
                <w:noProof/>
                <w:webHidden/>
              </w:rPr>
              <w:fldChar w:fldCharType="separate"/>
            </w:r>
            <w:r>
              <w:rPr>
                <w:noProof/>
                <w:webHidden/>
              </w:rPr>
              <w:t>41</w:t>
            </w:r>
            <w:r>
              <w:rPr>
                <w:noProof/>
                <w:webHidden/>
              </w:rPr>
              <w:fldChar w:fldCharType="end"/>
            </w:r>
          </w:hyperlink>
        </w:p>
        <w:p w14:paraId="766D3C00" w14:textId="24EEBC4A" w:rsidR="00246CD9" w:rsidRDefault="00246CD9">
          <w:pPr>
            <w:pStyle w:val="TOC1"/>
            <w:tabs>
              <w:tab w:val="right" w:leader="dot" w:pos="9016"/>
            </w:tabs>
            <w:rPr>
              <w:rFonts w:asciiTheme="minorHAnsi" w:hAnsiTheme="minorHAnsi"/>
              <w:noProof/>
              <w:sz w:val="24"/>
              <w:szCs w:val="24"/>
              <w:lang w:eastAsia="en-GB"/>
            </w:rPr>
          </w:pPr>
          <w:hyperlink w:anchor="_Toc235909385" w:history="1">
            <w:r w:rsidRPr="00BF1448">
              <w:rPr>
                <w:rStyle w:val="Hyperlink"/>
                <w:noProof/>
                <w:lang w:bidi="en-GB"/>
              </w:rPr>
              <w:t>6.2 – Appendices</w:t>
            </w:r>
            <w:r>
              <w:rPr>
                <w:noProof/>
                <w:webHidden/>
              </w:rPr>
              <w:tab/>
            </w:r>
            <w:r>
              <w:rPr>
                <w:noProof/>
                <w:webHidden/>
              </w:rPr>
              <w:fldChar w:fldCharType="begin"/>
            </w:r>
            <w:r>
              <w:rPr>
                <w:noProof/>
                <w:webHidden/>
              </w:rPr>
              <w:instrText xml:space="preserve"> PAGEREF _Toc235909385 \h </w:instrText>
            </w:r>
            <w:r>
              <w:rPr>
                <w:noProof/>
                <w:webHidden/>
              </w:rPr>
            </w:r>
            <w:r>
              <w:rPr>
                <w:noProof/>
                <w:webHidden/>
              </w:rPr>
              <w:fldChar w:fldCharType="separate"/>
            </w:r>
            <w:r>
              <w:rPr>
                <w:noProof/>
                <w:webHidden/>
              </w:rPr>
              <w:t>48</w:t>
            </w:r>
            <w:r>
              <w:rPr>
                <w:noProof/>
                <w:webHidden/>
              </w:rPr>
              <w:fldChar w:fldCharType="end"/>
            </w:r>
          </w:hyperlink>
        </w:p>
        <w:p w14:paraId="57A3CA2E" w14:textId="03B88265" w:rsidR="00246CD9" w:rsidRDefault="00246CD9">
          <w:pPr>
            <w:pStyle w:val="TOC2"/>
            <w:tabs>
              <w:tab w:val="right" w:leader="dot" w:pos="9016"/>
            </w:tabs>
            <w:rPr>
              <w:rFonts w:asciiTheme="minorHAnsi" w:hAnsiTheme="minorHAnsi"/>
              <w:noProof/>
              <w:sz w:val="24"/>
              <w:szCs w:val="24"/>
              <w:lang w:eastAsia="en-GB"/>
            </w:rPr>
          </w:pPr>
          <w:hyperlink w:anchor="_Toc235909386" w:history="1">
            <w:r w:rsidRPr="00BF1448">
              <w:rPr>
                <w:rStyle w:val="Hyperlink"/>
                <w:noProof/>
              </w:rPr>
              <w:t>Appendix 1: Source Tracking Table</w:t>
            </w:r>
            <w:r>
              <w:rPr>
                <w:noProof/>
                <w:webHidden/>
              </w:rPr>
              <w:tab/>
            </w:r>
            <w:r>
              <w:rPr>
                <w:noProof/>
                <w:webHidden/>
              </w:rPr>
              <w:fldChar w:fldCharType="begin"/>
            </w:r>
            <w:r>
              <w:rPr>
                <w:noProof/>
                <w:webHidden/>
              </w:rPr>
              <w:instrText xml:space="preserve"> PAGEREF _Toc235909386 \h </w:instrText>
            </w:r>
            <w:r>
              <w:rPr>
                <w:noProof/>
                <w:webHidden/>
              </w:rPr>
            </w:r>
            <w:r>
              <w:rPr>
                <w:noProof/>
                <w:webHidden/>
              </w:rPr>
              <w:fldChar w:fldCharType="separate"/>
            </w:r>
            <w:r>
              <w:rPr>
                <w:noProof/>
                <w:webHidden/>
              </w:rPr>
              <w:t>48</w:t>
            </w:r>
            <w:r>
              <w:rPr>
                <w:noProof/>
                <w:webHidden/>
              </w:rPr>
              <w:fldChar w:fldCharType="end"/>
            </w:r>
          </w:hyperlink>
        </w:p>
        <w:p w14:paraId="41901C0E" w14:textId="3536F10A" w:rsidR="00246CD9" w:rsidRDefault="00246CD9">
          <w:pPr>
            <w:pStyle w:val="TOC2"/>
            <w:tabs>
              <w:tab w:val="right" w:leader="dot" w:pos="9016"/>
            </w:tabs>
            <w:rPr>
              <w:rFonts w:asciiTheme="minorHAnsi" w:hAnsiTheme="minorHAnsi"/>
              <w:noProof/>
              <w:sz w:val="24"/>
              <w:szCs w:val="24"/>
              <w:lang w:eastAsia="en-GB"/>
            </w:rPr>
          </w:pPr>
          <w:hyperlink w:anchor="_Toc235909387" w:history="1">
            <w:r w:rsidRPr="00BF1448">
              <w:rPr>
                <w:rStyle w:val="Hyperlink"/>
                <w:noProof/>
              </w:rPr>
              <w:t>Appendix 2: CRAAP Test</w:t>
            </w:r>
            <w:r>
              <w:rPr>
                <w:noProof/>
                <w:webHidden/>
              </w:rPr>
              <w:tab/>
            </w:r>
            <w:r>
              <w:rPr>
                <w:noProof/>
                <w:webHidden/>
              </w:rPr>
              <w:fldChar w:fldCharType="begin"/>
            </w:r>
            <w:r>
              <w:rPr>
                <w:noProof/>
                <w:webHidden/>
              </w:rPr>
              <w:instrText xml:space="preserve"> PAGEREF _Toc235909387 \h </w:instrText>
            </w:r>
            <w:r>
              <w:rPr>
                <w:noProof/>
                <w:webHidden/>
              </w:rPr>
            </w:r>
            <w:r>
              <w:rPr>
                <w:noProof/>
                <w:webHidden/>
              </w:rPr>
              <w:fldChar w:fldCharType="separate"/>
            </w:r>
            <w:r>
              <w:rPr>
                <w:noProof/>
                <w:webHidden/>
              </w:rPr>
              <w:t>53</w:t>
            </w:r>
            <w:r>
              <w:rPr>
                <w:noProof/>
                <w:webHidden/>
              </w:rPr>
              <w:fldChar w:fldCharType="end"/>
            </w:r>
          </w:hyperlink>
        </w:p>
        <w:p w14:paraId="21CE1B2E" w14:textId="50911AA7" w:rsidR="00D232D3" w:rsidRDefault="00D232D3">
          <w:r>
            <w:rPr>
              <w:b/>
              <w:bCs/>
              <w:noProof/>
            </w:rPr>
            <w:fldChar w:fldCharType="end"/>
          </w:r>
        </w:p>
      </w:sdtContent>
    </w:sdt>
    <w:p w14:paraId="756C3EE0" w14:textId="20F79D65" w:rsidR="00804B94" w:rsidRDefault="00804B94" w:rsidP="00AC01F9"/>
    <w:p w14:paraId="565DF4AC" w14:textId="77777777" w:rsidR="00AC01F9" w:rsidRDefault="00AC01F9" w:rsidP="00AC01F9"/>
    <w:p w14:paraId="3C16BC88" w14:textId="4F4B909C" w:rsidR="00804B94" w:rsidRDefault="00AC01F9" w:rsidP="00AC01F9">
      <w:pPr>
        <w:spacing w:line="259" w:lineRule="auto"/>
        <w:jc w:val="left"/>
      </w:pPr>
      <w:r>
        <w:br w:type="page"/>
      </w:r>
    </w:p>
    <w:p w14:paraId="69941E5D" w14:textId="3646B24C" w:rsidR="00EF6341" w:rsidRPr="00AC01F9" w:rsidRDefault="00730C3C" w:rsidP="004620D2">
      <w:pPr>
        <w:pStyle w:val="Heading1"/>
      </w:pPr>
      <w:bookmarkStart w:id="3" w:name="_Hlk231933991"/>
      <w:bookmarkStart w:id="4" w:name="_Toc235909325"/>
      <w:r w:rsidRPr="00730C3C">
        <w:lastRenderedPageBreak/>
        <w:t>CHAPTER 1: Introducti</w:t>
      </w:r>
      <w:r w:rsidR="00AC01F9">
        <w:t>on</w:t>
      </w:r>
      <w:bookmarkEnd w:id="4"/>
    </w:p>
    <w:p w14:paraId="18072CD8" w14:textId="3B8ADF0B" w:rsidR="00BD2909" w:rsidRDefault="00BD2909" w:rsidP="00AE0BB5">
      <w:pPr>
        <w:pStyle w:val="Heading2"/>
        <w:rPr>
          <w:rStyle w:val="normaltextrun"/>
        </w:rPr>
      </w:pPr>
      <w:bookmarkStart w:id="5" w:name="_Toc235909326"/>
      <w:r w:rsidRPr="00AE0BB5">
        <w:rPr>
          <w:rStyle w:val="normaltextrun"/>
        </w:rPr>
        <w:t>1.1 Introduction</w:t>
      </w:r>
      <w:bookmarkEnd w:id="5"/>
    </w:p>
    <w:p w14:paraId="6FBDE580" w14:textId="049F9B8B" w:rsidR="00F312F7" w:rsidRPr="00A22C70" w:rsidRDefault="00F312F7" w:rsidP="008D126F">
      <w:pPr>
        <w:rPr>
          <w:rFonts w:ascii="Arial" w:hAnsi="Arial" w:cs="Arial"/>
        </w:rPr>
      </w:pPr>
      <w:r w:rsidRPr="00A22C70">
        <w:rPr>
          <w:rFonts w:ascii="Arial" w:hAnsi="Arial" w:cs="Arial"/>
        </w:rPr>
        <w:t>Early diagnosis of older adults with dementia has emerged as a fast-growing healthcare issue because of the rapid increase in the ageing population and the greater prevalence of cognitive disorders on the global scene. The prevalence of dementia is high: more than 57 million individuals are diagnosed annually worldwide, and the numbers are likely to increase tremendously in the next decades (World Health Organisation, 2025). Normal cognitive ageing involves mild, non-progressive changes such as slower processing and minor memory decline, changing without affecting everyday functioning, but on the other hand, early-stage dementia is linked to gradual and progressive deterioration in cognitive functions, accompanied by a loss in functional capabilities. The distinction between normal ageing and early-stage dementia is often unclear, as early symptoms can be subtle and are often mistaken for</w:t>
      </w:r>
      <w:r w:rsidR="00015FC0" w:rsidRPr="00A22C70">
        <w:rPr>
          <w:rFonts w:ascii="Arial" w:hAnsi="Arial" w:cs="Arial"/>
        </w:rPr>
        <w:t xml:space="preserve"> </w:t>
      </w:r>
      <w:r w:rsidRPr="00A22C70">
        <w:rPr>
          <w:rFonts w:ascii="Arial" w:hAnsi="Arial" w:cs="Arial"/>
        </w:rPr>
        <w:t>normal ageing, making intervention and diagnosis slow.</w:t>
      </w:r>
    </w:p>
    <w:p w14:paraId="631A4E78" w14:textId="77777777" w:rsidR="00F312F7" w:rsidRDefault="00F312F7" w:rsidP="00F312F7">
      <w:pPr>
        <w:keepNext/>
        <w:jc w:val="center"/>
      </w:pPr>
      <w:r>
        <w:rPr>
          <w:noProof/>
        </w:rPr>
        <w:drawing>
          <wp:inline distT="0" distB="0" distL="0" distR="0" wp14:anchorId="29881560" wp14:editId="64A8C4FC">
            <wp:extent cx="2999489" cy="26515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003450" cy="2655048"/>
                    </a:xfrm>
                    <a:prstGeom prst="rect">
                      <a:avLst/>
                    </a:prstGeom>
                    <a:noFill/>
                  </pic:spPr>
                </pic:pic>
              </a:graphicData>
            </a:graphic>
          </wp:inline>
        </w:drawing>
      </w:r>
    </w:p>
    <w:p w14:paraId="03412BE3" w14:textId="4F7612FB" w:rsidR="00F312F7" w:rsidRDefault="00F312F7" w:rsidP="004E5C5A">
      <w:pPr>
        <w:pStyle w:val="Caption"/>
        <w:jc w:val="center"/>
      </w:pPr>
      <w:r>
        <w:t xml:space="preserve">Figure </w:t>
      </w:r>
      <w:fldSimple w:instr=" SEQ Figure \* ARABIC ">
        <w:r w:rsidR="00813F71">
          <w:rPr>
            <w:noProof/>
          </w:rPr>
          <w:t>1</w:t>
        </w:r>
      </w:fldSimple>
      <w:r>
        <w:t xml:space="preserve"> </w:t>
      </w:r>
      <w:r w:rsidRPr="00796FED">
        <w:t>(</w:t>
      </w:r>
      <w:r w:rsidR="004E5C5A">
        <w:t>Javed et al., 2023</w:t>
      </w:r>
      <w:r w:rsidRPr="00796FED">
        <w:t>)</w:t>
      </w:r>
    </w:p>
    <w:p w14:paraId="763D5238" w14:textId="6FBBD028" w:rsidR="00F312F7" w:rsidRPr="00A514B4" w:rsidRDefault="00F312F7" w:rsidP="008D126F">
      <w:r w:rsidRPr="00B460D3">
        <w:rPr>
          <w:rFonts w:ascii="Arial" w:hAnsi="Arial" w:cs="Arial"/>
        </w:rPr>
        <w:t xml:space="preserve">Cognitive impairment must be detected promptly because </w:t>
      </w:r>
      <w:r w:rsidR="00B460D3">
        <w:rPr>
          <w:rFonts w:ascii="Arial" w:hAnsi="Arial" w:cs="Arial"/>
        </w:rPr>
        <w:t>early detection is associated with planning care, improved symptom management, and better quality of</w:t>
      </w:r>
      <w:r w:rsidRPr="00B460D3">
        <w:rPr>
          <w:rFonts w:ascii="Arial" w:hAnsi="Arial" w:cs="Arial"/>
        </w:rPr>
        <w:t xml:space="preserve"> life; better outcomes were reported for both patients and caregivers (Fowler </w:t>
      </w:r>
      <w:r w:rsidRPr="00B460D3">
        <w:rPr>
          <w:rFonts w:ascii="Arial" w:hAnsi="Arial" w:cs="Arial"/>
          <w:i/>
          <w:iCs/>
        </w:rPr>
        <w:t>et al.,</w:t>
      </w:r>
      <w:r w:rsidRPr="00B460D3">
        <w:rPr>
          <w:rFonts w:ascii="Arial" w:hAnsi="Arial" w:cs="Arial"/>
        </w:rPr>
        <w:t xml:space="preserve"> 2025). This process is significant because nursing practitioners spend most of their time with older adults, which puts them in an advantageous position to notice the initial changes in their behaviour and cognition. The structured tools of cognitive assessment, including the Mini-Mental State Examination and Montreal Cognitive Assessment, have been </w:t>
      </w:r>
      <w:r w:rsidR="00B460D3">
        <w:rPr>
          <w:rFonts w:ascii="Arial" w:hAnsi="Arial" w:cs="Arial"/>
        </w:rPr>
        <w:t>widely used to supplement clinical judgement, but issues with sensitivity and practicality remain</w:t>
      </w:r>
      <w:r w:rsidRPr="00B460D3">
        <w:rPr>
          <w:rFonts w:ascii="Arial" w:hAnsi="Arial" w:cs="Arial"/>
        </w:rPr>
        <w:t xml:space="preserve"> (Wang</w:t>
      </w:r>
      <w:r w:rsidRPr="00B460D3">
        <w:rPr>
          <w:rFonts w:ascii="Arial" w:hAnsi="Arial" w:cs="Arial"/>
          <w:i/>
          <w:iCs/>
        </w:rPr>
        <w:t xml:space="preserve"> et al</w:t>
      </w:r>
      <w:r w:rsidRPr="00B460D3">
        <w:rPr>
          <w:rFonts w:ascii="Arial" w:hAnsi="Arial" w:cs="Arial"/>
        </w:rPr>
        <w:t>., 2022).</w:t>
      </w:r>
      <w:r w:rsidRPr="000413AC">
        <w:t xml:space="preserve"> This dissertation will be </w:t>
      </w:r>
      <w:r w:rsidRPr="000714C1">
        <w:rPr>
          <w:rFonts w:ascii="Arial" w:hAnsi="Arial" w:cs="Arial"/>
        </w:rPr>
        <w:lastRenderedPageBreak/>
        <w:t xml:space="preserve">primarily aimed at critically reviewing evidence-based methods of differentiating between normal cognitive </w:t>
      </w:r>
      <w:r w:rsidR="000714C1">
        <w:rPr>
          <w:rFonts w:ascii="Arial" w:hAnsi="Arial" w:cs="Arial"/>
        </w:rPr>
        <w:t xml:space="preserve">function </w:t>
      </w:r>
      <w:r w:rsidRPr="000714C1">
        <w:rPr>
          <w:rFonts w:ascii="Arial" w:hAnsi="Arial" w:cs="Arial"/>
        </w:rPr>
        <w:t>and early-stage dementia, particularly in how nursing practise can enhance the accuracy of diagnosis.</w:t>
      </w:r>
    </w:p>
    <w:p w14:paraId="599B79FE" w14:textId="77777777" w:rsidR="00AE0BB5" w:rsidRPr="00AE0BB5" w:rsidRDefault="00AE0BB5" w:rsidP="00AE0BB5"/>
    <w:p w14:paraId="4BC66D2F" w14:textId="3F78ED37" w:rsidR="00BD2909" w:rsidRDefault="00BD2909" w:rsidP="00AE0BB5">
      <w:pPr>
        <w:pStyle w:val="Heading2"/>
        <w:rPr>
          <w:rStyle w:val="normaltextrun"/>
        </w:rPr>
      </w:pPr>
      <w:bookmarkStart w:id="6" w:name="_Toc235909327"/>
      <w:r w:rsidRPr="00BD2909">
        <w:rPr>
          <w:rStyle w:val="normaltextrun"/>
        </w:rPr>
        <w:t>1.2 Definitions and Terminology</w:t>
      </w:r>
      <w:bookmarkEnd w:id="6"/>
    </w:p>
    <w:p w14:paraId="6C568B97" w14:textId="77777777" w:rsidR="00B956B3" w:rsidRPr="000714C1" w:rsidRDefault="00B956B3" w:rsidP="00042579">
      <w:pPr>
        <w:rPr>
          <w:rFonts w:ascii="Arial" w:hAnsi="Arial" w:cs="Arial"/>
        </w:rPr>
      </w:pPr>
      <w:r w:rsidRPr="000714C1">
        <w:rPr>
          <w:rFonts w:ascii="Arial" w:hAnsi="Arial" w:cs="Arial"/>
        </w:rPr>
        <w:t xml:space="preserve">The definition of Terminology and Concepts is vital in the identification of early stages of dementia in nursing practice. Dementia is a condition marked by progressive cognitive deterioration, which includes loss of memory, impaired thought process, lack of proper orientation, and poor decision-making, which impacts daily life activities (World Health Organisation, 2025). In contrast, age-related cognitive decline entails non-pathological changes, such as slowed processing speed and occasional forgetting, without any significant impact on autonomy. Mild Cognitive Impairment (MCI) entails a condition between normal ageing and dementia, with cognitive dysfunction but with preserved functionality (Bradfield, 2023). </w:t>
      </w:r>
    </w:p>
    <w:p w14:paraId="4F360C80" w14:textId="77777777" w:rsidR="00B956B3" w:rsidRDefault="00B956B3" w:rsidP="00B956B3">
      <w:pPr>
        <w:keepNext/>
        <w:jc w:val="center"/>
      </w:pPr>
      <w:r>
        <w:rPr>
          <w:noProof/>
        </w:rPr>
        <w:drawing>
          <wp:inline distT="0" distB="0" distL="0" distR="0" wp14:anchorId="4B63A2C1" wp14:editId="4867910B">
            <wp:extent cx="3292426" cy="3002508"/>
            <wp:effectExtent l="0" t="0" r="3810" b="7620"/>
            <wp:docPr id="1" name="Picture 1" descr="https://continentalhospitals.com/uploads/mceu_113766089117008054948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https://continentalhospitals.com/uploads/mceu_11376608911700805494857.jpg"/>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325959" cy="3033088"/>
                    </a:xfrm>
                    <a:prstGeom prst="rect">
                      <a:avLst/>
                    </a:prstGeom>
                    <a:noFill/>
                    <a:ln>
                      <a:noFill/>
                    </a:ln>
                  </pic:spPr>
                </pic:pic>
              </a:graphicData>
            </a:graphic>
          </wp:inline>
        </w:drawing>
      </w:r>
    </w:p>
    <w:p w14:paraId="678A7306" w14:textId="6F383D2E" w:rsidR="00B956B3" w:rsidRPr="008E72A3" w:rsidRDefault="00B956B3" w:rsidP="00B956B3">
      <w:pPr>
        <w:pStyle w:val="Caption"/>
        <w:jc w:val="center"/>
        <w:rPr>
          <w:highlight w:val="yellow"/>
        </w:rPr>
      </w:pPr>
      <w:r>
        <w:t xml:space="preserve">Figure </w:t>
      </w:r>
      <w:fldSimple w:instr=" SEQ Figure \* ARABIC ">
        <w:r w:rsidR="00813F71">
          <w:rPr>
            <w:noProof/>
          </w:rPr>
          <w:t>2</w:t>
        </w:r>
      </w:fldSimple>
      <w:r>
        <w:t xml:space="preserve"> (Continental Hospital, 2025)</w:t>
      </w:r>
    </w:p>
    <w:p w14:paraId="456B95EE" w14:textId="77777777" w:rsidR="00B956B3" w:rsidRPr="00C3607E" w:rsidRDefault="00B956B3" w:rsidP="00042579">
      <w:pPr>
        <w:rPr>
          <w:highlight w:val="yellow"/>
        </w:rPr>
      </w:pPr>
      <w:r w:rsidRPr="00EC270F">
        <w:rPr>
          <w:rFonts w:ascii="Arial" w:hAnsi="Arial" w:cs="Arial"/>
        </w:rPr>
        <w:t xml:space="preserve">Differentiating among the above conditions is fundamental in identifying early stages of dementia, when symptoms are subtle, however progressive. Cognitive assessment is the systematic evaluation of brain functions such as memory, concentration, and language, utilising evidence-based assessment tools (Cubillos and Rienzo, 2023). Cognitive assessment within nursing practice enables the differentiation of normal and pathological cognitive decline. The most common screening tools used in clinical settings are the Mini-Mental State </w:t>
      </w:r>
      <w:r w:rsidRPr="00EC270F">
        <w:rPr>
          <w:rFonts w:ascii="Arial" w:hAnsi="Arial" w:cs="Arial"/>
        </w:rPr>
        <w:lastRenderedPageBreak/>
        <w:t xml:space="preserve">Examination (MMSE) and Montreal Cognitive Assessment (MoCA) (Wang </w:t>
      </w:r>
      <w:r w:rsidRPr="00EC270F">
        <w:rPr>
          <w:rFonts w:ascii="Arial" w:hAnsi="Arial" w:cs="Arial"/>
          <w:i/>
          <w:iCs/>
        </w:rPr>
        <w:t>et al.,</w:t>
      </w:r>
      <w:r w:rsidRPr="00EC270F">
        <w:rPr>
          <w:rFonts w:ascii="Arial" w:hAnsi="Arial" w:cs="Arial"/>
        </w:rPr>
        <w:t xml:space="preserve"> 2022). Abbreviations commonly utilised include MCI (Mild Cognitive Impairment) and AD (Alzheimer’s disease).</w:t>
      </w:r>
      <w:r>
        <w:t xml:space="preserve"> </w:t>
      </w:r>
    </w:p>
    <w:p w14:paraId="1D312ECD" w14:textId="77777777" w:rsidR="00F312F7" w:rsidRPr="00F312F7" w:rsidRDefault="00F312F7" w:rsidP="00F312F7"/>
    <w:p w14:paraId="75E17D56" w14:textId="02DD1D75" w:rsidR="00BD2909" w:rsidRDefault="00BD2909" w:rsidP="00AE0BB5">
      <w:pPr>
        <w:pStyle w:val="Heading2"/>
        <w:rPr>
          <w:rStyle w:val="normaltextrun"/>
        </w:rPr>
      </w:pPr>
      <w:bookmarkStart w:id="7" w:name="_Toc235909328"/>
      <w:r w:rsidRPr="00BD2909">
        <w:rPr>
          <w:rStyle w:val="normaltextrun"/>
        </w:rPr>
        <w:t>1.3 Rationale for Research</w:t>
      </w:r>
      <w:bookmarkEnd w:id="7"/>
    </w:p>
    <w:p w14:paraId="1E0B3545" w14:textId="1F1C6939" w:rsidR="005F78FB" w:rsidRPr="00EC270F" w:rsidRDefault="005F78FB" w:rsidP="005F78FB">
      <w:pPr>
        <w:rPr>
          <w:rFonts w:ascii="Arial" w:hAnsi="Arial" w:cs="Arial"/>
        </w:rPr>
      </w:pPr>
      <w:r w:rsidRPr="00EC270F">
        <w:rPr>
          <w:rFonts w:ascii="Arial" w:hAnsi="Arial" w:cs="Arial"/>
        </w:rPr>
        <w:t xml:space="preserve">This study is justified by the growing need to identify dementia in older adults at an early age more accurately. With the increasing life expectancy among the global population, dementia remains on the rise, posing a big challenge to healthcare systems and highlighting the importance of timely diagnosis and treatment (World Health Organisation, 2025). It is especially applicable to nursing practise because </w:t>
      </w:r>
      <w:r w:rsidR="00EE1F9D" w:rsidRPr="00EC270F">
        <w:rPr>
          <w:rFonts w:ascii="Arial" w:hAnsi="Arial" w:cs="Arial"/>
        </w:rPr>
        <w:t xml:space="preserve">primary care nurses </w:t>
      </w:r>
      <w:r w:rsidRPr="00EC270F">
        <w:rPr>
          <w:rFonts w:ascii="Arial" w:hAnsi="Arial" w:cs="Arial"/>
        </w:rPr>
        <w:t xml:space="preserve">often care for older patients and are better placed to identify early signs of cognitive and behavioural change. Nevertheless, the signs of dementia are often insidious and easily confused with age, so they are not promptly diagnosed and thus do not leave a chance to plan and arrange care </w:t>
      </w:r>
      <w:r w:rsidR="00EC270F">
        <w:rPr>
          <w:rFonts w:ascii="Arial" w:hAnsi="Arial" w:cs="Arial"/>
        </w:rPr>
        <w:t>before</w:t>
      </w:r>
      <w:r w:rsidRPr="00EC270F">
        <w:rPr>
          <w:rFonts w:ascii="Arial" w:hAnsi="Arial" w:cs="Arial"/>
        </w:rPr>
        <w:t xml:space="preserve"> its onset (Fowler </w:t>
      </w:r>
      <w:r w:rsidRPr="00EC270F">
        <w:rPr>
          <w:rFonts w:ascii="Arial" w:hAnsi="Arial" w:cs="Arial"/>
          <w:i/>
          <w:iCs/>
        </w:rPr>
        <w:t>et al.,</w:t>
      </w:r>
      <w:r w:rsidRPr="00EC270F">
        <w:rPr>
          <w:rFonts w:ascii="Arial" w:hAnsi="Arial" w:cs="Arial"/>
        </w:rPr>
        <w:t xml:space="preserve"> 2025).</w:t>
      </w:r>
    </w:p>
    <w:p w14:paraId="77BFC0B5" w14:textId="37BC4129" w:rsidR="00F312F7" w:rsidRPr="00674ABB" w:rsidRDefault="005F78FB" w:rsidP="005F78FB">
      <w:pPr>
        <w:rPr>
          <w:rFonts w:ascii="Arial" w:hAnsi="Arial" w:cs="Arial"/>
        </w:rPr>
      </w:pPr>
      <w:r w:rsidRPr="00674ABB">
        <w:rPr>
          <w:rFonts w:ascii="Arial" w:hAnsi="Arial" w:cs="Arial"/>
        </w:rPr>
        <w:t>Existing literature points to relevant gaps in the diagnosis and appraisal of early-stage dementia. Even though cognitive screening instruments, including MMSE and MoCA, are applicable and popular, the sensitivity of these tests and cultural bias, along with inconsistent implementation in practice, can limit their effectiveness (</w:t>
      </w:r>
      <w:proofErr w:type="spellStart"/>
      <w:r w:rsidRPr="00674ABB">
        <w:rPr>
          <w:rFonts w:ascii="Arial" w:hAnsi="Arial" w:cs="Arial"/>
        </w:rPr>
        <w:t>Chithiramohan</w:t>
      </w:r>
      <w:proofErr w:type="spellEnd"/>
      <w:r w:rsidRPr="00674ABB">
        <w:rPr>
          <w:rFonts w:ascii="Arial" w:hAnsi="Arial" w:cs="Arial"/>
        </w:rPr>
        <w:t xml:space="preserve"> </w:t>
      </w:r>
      <w:r w:rsidRPr="00674ABB">
        <w:rPr>
          <w:rFonts w:ascii="Arial" w:hAnsi="Arial" w:cs="Arial"/>
          <w:i/>
          <w:iCs/>
        </w:rPr>
        <w:t>et al</w:t>
      </w:r>
      <w:r w:rsidRPr="00674ABB">
        <w:rPr>
          <w:rFonts w:ascii="Arial" w:hAnsi="Arial" w:cs="Arial"/>
        </w:rPr>
        <w:t xml:space="preserve">., 2024). It has been indicated that nursing professionals do not have sufficient resources to train and feel confident about the use of those tools, and this aspect can impact diagnostic accuracy and patient </w:t>
      </w:r>
      <w:r w:rsidR="00674ABB">
        <w:rPr>
          <w:rFonts w:ascii="Arial" w:hAnsi="Arial" w:cs="Arial"/>
        </w:rPr>
        <w:t>outcomes</w:t>
      </w:r>
      <w:r w:rsidRPr="00674ABB">
        <w:rPr>
          <w:rFonts w:ascii="Arial" w:hAnsi="Arial" w:cs="Arial"/>
        </w:rPr>
        <w:t xml:space="preserve"> (Alharbi </w:t>
      </w:r>
      <w:r w:rsidRPr="00674ABB">
        <w:rPr>
          <w:rFonts w:ascii="Arial" w:hAnsi="Arial" w:cs="Arial"/>
          <w:i/>
          <w:iCs/>
        </w:rPr>
        <w:t>et al.,</w:t>
      </w:r>
      <w:r w:rsidRPr="00674ABB">
        <w:rPr>
          <w:rFonts w:ascii="Arial" w:hAnsi="Arial" w:cs="Arial"/>
        </w:rPr>
        <w:t xml:space="preserve"> 2025). Also, no consensus exists regarding </w:t>
      </w:r>
      <w:r w:rsidR="007D5AE0" w:rsidRPr="00674ABB">
        <w:rPr>
          <w:rFonts w:ascii="Arial" w:hAnsi="Arial" w:cs="Arial"/>
        </w:rPr>
        <w:t>clinical</w:t>
      </w:r>
      <w:r w:rsidRPr="00674ABB">
        <w:rPr>
          <w:rFonts w:ascii="Arial" w:hAnsi="Arial" w:cs="Arial"/>
        </w:rPr>
        <w:t xml:space="preserve"> indicators that can best differentiate normal ageing and early cognitive impairment. The current study fills in the existing gaps, however, critically assesses current findings on the assessment strategies and determines the best practises. There is limited consistency in how early-stage dementia is identified in clinical practices, particularly nursing assessments.</w:t>
      </w:r>
    </w:p>
    <w:p w14:paraId="6DB9C9E9" w14:textId="77777777" w:rsidR="005F78FB" w:rsidRPr="00F312F7" w:rsidRDefault="005F78FB" w:rsidP="005F78FB"/>
    <w:p w14:paraId="7FA3F3C5" w14:textId="1250CA3C" w:rsidR="00BD2909" w:rsidRDefault="00BD2909" w:rsidP="00AE0BB5">
      <w:pPr>
        <w:pStyle w:val="Heading2"/>
        <w:rPr>
          <w:rStyle w:val="normaltextrun"/>
        </w:rPr>
      </w:pPr>
      <w:bookmarkStart w:id="8" w:name="_Toc235909329"/>
      <w:r w:rsidRPr="00BD2909">
        <w:rPr>
          <w:rStyle w:val="normaltextrun"/>
        </w:rPr>
        <w:t>1.4 Aim and Objectives</w:t>
      </w:r>
      <w:bookmarkEnd w:id="8"/>
    </w:p>
    <w:p w14:paraId="5DD45948" w14:textId="77777777" w:rsidR="005F78FB" w:rsidRPr="00D53576" w:rsidRDefault="005F78FB" w:rsidP="00705FBB">
      <w:pPr>
        <w:pStyle w:val="Heading3"/>
      </w:pPr>
      <w:bookmarkStart w:id="9" w:name="_Toc235909330"/>
      <w:r w:rsidRPr="00D53576">
        <w:t>Research Aim</w:t>
      </w:r>
      <w:bookmarkEnd w:id="9"/>
    </w:p>
    <w:p w14:paraId="50F67771" w14:textId="7BB9318F" w:rsidR="005F78FB" w:rsidRPr="00674ABB" w:rsidRDefault="005F78FB" w:rsidP="005F78FB">
      <w:pPr>
        <w:rPr>
          <w:rFonts w:ascii="Arial" w:hAnsi="Arial" w:cs="Arial"/>
        </w:rPr>
      </w:pPr>
      <w:r w:rsidRPr="00674ABB">
        <w:rPr>
          <w:rFonts w:ascii="Arial" w:hAnsi="Arial" w:cs="Arial"/>
        </w:rPr>
        <w:t>The purpose of this research is to critically examine evidence-based approaches to effectively distinguishing normal cognitive ageing from early-stage dementia in older individuals, with a specific emphasis on the role of nursing practitioners in using clinical tools to enhance diagnostic accuracy.</w:t>
      </w:r>
    </w:p>
    <w:p w14:paraId="1A51058A" w14:textId="77777777" w:rsidR="005F78FB" w:rsidRDefault="005F78FB" w:rsidP="00705FBB">
      <w:pPr>
        <w:pStyle w:val="Heading3"/>
      </w:pPr>
      <w:bookmarkStart w:id="10" w:name="_Toc235909331"/>
      <w:r>
        <w:lastRenderedPageBreak/>
        <w:t>Research Objectives</w:t>
      </w:r>
      <w:bookmarkEnd w:id="10"/>
    </w:p>
    <w:p w14:paraId="314E50A8" w14:textId="32C7496A" w:rsidR="005F78FB" w:rsidRPr="00A0453E" w:rsidRDefault="005F78FB" w:rsidP="00A0453E">
      <w:pPr>
        <w:pStyle w:val="ListParagraph"/>
        <w:numPr>
          <w:ilvl w:val="0"/>
          <w:numId w:val="108"/>
        </w:numPr>
        <w:spacing w:line="360" w:lineRule="auto"/>
        <w:ind w:left="714" w:hanging="357"/>
        <w:jc w:val="both"/>
        <w:rPr>
          <w:rFonts w:ascii="Arial" w:hAnsi="Arial" w:cs="Arial"/>
        </w:rPr>
      </w:pPr>
      <w:r w:rsidRPr="00A0453E">
        <w:rPr>
          <w:rFonts w:ascii="Arial" w:hAnsi="Arial" w:cs="Arial"/>
        </w:rPr>
        <w:t>Define and examine the clinical and cognitive markers that differentiate normal ageing from early-stage dementia in older adults.</w:t>
      </w:r>
    </w:p>
    <w:p w14:paraId="2479087C" w14:textId="22582FD1" w:rsidR="005F78FB" w:rsidRPr="00A0453E" w:rsidRDefault="005F78FB" w:rsidP="00A0453E">
      <w:pPr>
        <w:pStyle w:val="ListParagraph"/>
        <w:numPr>
          <w:ilvl w:val="0"/>
          <w:numId w:val="108"/>
        </w:numPr>
        <w:spacing w:line="360" w:lineRule="auto"/>
        <w:ind w:left="714" w:hanging="357"/>
        <w:jc w:val="both"/>
        <w:rPr>
          <w:rFonts w:ascii="Arial" w:hAnsi="Arial" w:cs="Arial"/>
        </w:rPr>
      </w:pPr>
      <w:r w:rsidRPr="00A0453E">
        <w:rPr>
          <w:rFonts w:ascii="Arial" w:hAnsi="Arial" w:cs="Arial"/>
        </w:rPr>
        <w:t>Analyse current screening tools and assessment practices used in nursing to detect cognitive impairment.</w:t>
      </w:r>
    </w:p>
    <w:p w14:paraId="52475383" w14:textId="2C2F2345" w:rsidR="005F78FB" w:rsidRPr="00A0453E" w:rsidRDefault="005F78FB" w:rsidP="00A0453E">
      <w:pPr>
        <w:pStyle w:val="ListParagraph"/>
        <w:numPr>
          <w:ilvl w:val="0"/>
          <w:numId w:val="108"/>
        </w:numPr>
        <w:spacing w:line="360" w:lineRule="auto"/>
        <w:ind w:left="714" w:hanging="357"/>
        <w:jc w:val="both"/>
        <w:rPr>
          <w:rFonts w:ascii="Arial" w:hAnsi="Arial" w:cs="Arial"/>
        </w:rPr>
      </w:pPr>
      <w:r w:rsidRPr="00A0453E">
        <w:rPr>
          <w:rFonts w:ascii="Arial" w:hAnsi="Arial" w:cs="Arial"/>
        </w:rPr>
        <w:t>Evaluate the effectiveness and limitations of early recognition strategies in improving patient outcomes.</w:t>
      </w:r>
    </w:p>
    <w:p w14:paraId="155BB9F6" w14:textId="2768C657" w:rsidR="005F78FB" w:rsidRPr="00A0453E" w:rsidRDefault="005F78FB" w:rsidP="00A0453E">
      <w:pPr>
        <w:pStyle w:val="ListParagraph"/>
        <w:numPr>
          <w:ilvl w:val="0"/>
          <w:numId w:val="108"/>
        </w:numPr>
        <w:spacing w:line="360" w:lineRule="auto"/>
        <w:ind w:left="714" w:hanging="357"/>
        <w:jc w:val="both"/>
        <w:rPr>
          <w:rFonts w:ascii="Arial" w:hAnsi="Arial" w:cs="Arial"/>
        </w:rPr>
      </w:pPr>
      <w:r w:rsidRPr="00A0453E">
        <w:rPr>
          <w:rFonts w:ascii="Arial" w:hAnsi="Arial" w:cs="Arial"/>
        </w:rPr>
        <w:t>Provide evidence-based recommendations to enhance nursing assessment, training, and early intervention for older adults at risk of dementia.</w:t>
      </w:r>
    </w:p>
    <w:p w14:paraId="406B082F" w14:textId="77777777" w:rsidR="00F312F7" w:rsidRPr="00F312F7" w:rsidRDefault="00F312F7" w:rsidP="00F312F7"/>
    <w:p w14:paraId="1E1A58B1" w14:textId="6525C93D" w:rsidR="00804B94" w:rsidRDefault="00BD2909" w:rsidP="00AE0BB5">
      <w:pPr>
        <w:pStyle w:val="Heading2"/>
        <w:rPr>
          <w:rStyle w:val="normaltextrun"/>
        </w:rPr>
      </w:pPr>
      <w:bookmarkStart w:id="11" w:name="_Toc235909332"/>
      <w:r w:rsidRPr="00BD2909">
        <w:rPr>
          <w:rStyle w:val="normaltextrun"/>
        </w:rPr>
        <w:t>1.5 Conclusion</w:t>
      </w:r>
      <w:bookmarkEnd w:id="11"/>
    </w:p>
    <w:p w14:paraId="75A62503" w14:textId="4E732361" w:rsidR="00F312F7" w:rsidRPr="00A0453E" w:rsidRDefault="00C773EE" w:rsidP="00C773EE">
      <w:pPr>
        <w:rPr>
          <w:rFonts w:ascii="Arial" w:hAnsi="Arial" w:cs="Arial"/>
        </w:rPr>
      </w:pPr>
      <w:r w:rsidRPr="00A0453E">
        <w:rPr>
          <w:rFonts w:ascii="Arial" w:hAnsi="Arial" w:cs="Arial"/>
        </w:rPr>
        <w:t xml:space="preserve">Chapter 1 has presented the focus of the research on recognising dementia in older adults at its early stages in relation to the significance of differentiating between the normal ageing of cognitive functions and the condition of early-stage cognitive impairment in nursing practice. It identified the main ideas, defined the terms clearly, and explained the topicality of the topic against the backdrop of the increasing prevalence of dementia and clinical difficulties. The research </w:t>
      </w:r>
      <w:r w:rsidR="00A0453E" w:rsidRPr="00A0453E">
        <w:rPr>
          <w:rFonts w:ascii="Arial" w:hAnsi="Arial" w:cs="Arial"/>
        </w:rPr>
        <w:t>aims</w:t>
      </w:r>
      <w:r w:rsidRPr="00A0453E">
        <w:rPr>
          <w:rFonts w:ascii="Arial" w:hAnsi="Arial" w:cs="Arial"/>
        </w:rPr>
        <w:t xml:space="preserve"> and objectives were also provided in the chapter, where there is a requirement to compare existing assessment tools</w:t>
      </w:r>
      <w:r w:rsidR="00A0453E">
        <w:rPr>
          <w:rFonts w:ascii="Arial" w:hAnsi="Arial" w:cs="Arial"/>
        </w:rPr>
        <w:t xml:space="preserve"> and</w:t>
      </w:r>
      <w:r w:rsidRPr="00A0453E">
        <w:rPr>
          <w:rFonts w:ascii="Arial" w:hAnsi="Arial" w:cs="Arial"/>
        </w:rPr>
        <w:t xml:space="preserve"> clinical markers, and improve early detection modalities. All these factors show the importance of upgrading the knowledge and practise of nursing to aid correct and prompt diagnosis. The chapter that follows will give a background and analysis of the subject by looking at the available literature, theoretical viewpoints, and the current practises surrounding dementia recognition. It will provide a solid evidence basis on which to justify the research and find some important themes to guide further analysis.</w:t>
      </w:r>
    </w:p>
    <w:p w14:paraId="5E3C622C" w14:textId="77777777" w:rsidR="00AE0BB5" w:rsidRDefault="00AE0BB5" w:rsidP="00AE0BB5"/>
    <w:p w14:paraId="20976BAD" w14:textId="6C0A8FBB" w:rsidR="00AE0BB5" w:rsidRPr="00AE0BB5" w:rsidRDefault="00AE0BB5" w:rsidP="00AE0BB5">
      <w:pPr>
        <w:spacing w:line="259" w:lineRule="auto"/>
        <w:jc w:val="left"/>
      </w:pPr>
      <w:r>
        <w:br w:type="page"/>
      </w:r>
    </w:p>
    <w:p w14:paraId="6BA7DF87" w14:textId="1BA221A4" w:rsidR="00BD2909" w:rsidRPr="004463E6" w:rsidRDefault="000D0641" w:rsidP="004463E6">
      <w:pPr>
        <w:pStyle w:val="Heading1"/>
      </w:pPr>
      <w:bookmarkStart w:id="12" w:name="_Toc235909333"/>
      <w:r w:rsidRPr="000D0641">
        <w:lastRenderedPageBreak/>
        <w:t>CHAPTER 2</w:t>
      </w:r>
      <w:r w:rsidR="00D41129">
        <w:t>:</w:t>
      </w:r>
      <w:r w:rsidRPr="000D0641">
        <w:t xml:space="preserve"> </w:t>
      </w:r>
      <w:r w:rsidR="00BD2909">
        <w:t xml:space="preserve">Background </w:t>
      </w:r>
      <w:r w:rsidR="00F44833">
        <w:t xml:space="preserve">Information and </w:t>
      </w:r>
      <w:r w:rsidR="00BD2909">
        <w:t>Analysis</w:t>
      </w:r>
      <w:bookmarkEnd w:id="12"/>
    </w:p>
    <w:p w14:paraId="56551CA0" w14:textId="19CF8F58" w:rsidR="004463E6" w:rsidRDefault="00BD2909" w:rsidP="004463E6">
      <w:pPr>
        <w:pStyle w:val="Heading2"/>
        <w:rPr>
          <w:rStyle w:val="eop"/>
          <w:rFonts w:eastAsia="Calibri Light"/>
          <w:sz w:val="22"/>
          <w:szCs w:val="22"/>
        </w:rPr>
      </w:pPr>
      <w:bookmarkStart w:id="13" w:name="_Toc235909334"/>
      <w:r w:rsidRPr="00F44833">
        <w:rPr>
          <w:rStyle w:val="normaltextrun"/>
        </w:rPr>
        <w:t>2.1 Introduction</w:t>
      </w:r>
      <w:bookmarkEnd w:id="13"/>
    </w:p>
    <w:p w14:paraId="453ADE30" w14:textId="77777777" w:rsidR="004463E6" w:rsidRPr="00A0453E" w:rsidRDefault="004463E6" w:rsidP="004463E6">
      <w:pPr>
        <w:rPr>
          <w:rFonts w:ascii="Arial" w:hAnsi="Arial" w:cs="Arial"/>
        </w:rPr>
      </w:pPr>
      <w:r w:rsidRPr="00A0453E">
        <w:rPr>
          <w:rFonts w:ascii="Arial" w:hAnsi="Arial" w:cs="Arial"/>
        </w:rPr>
        <w:t xml:space="preserve">The chapter is designed to give an in-depth background of the research area, which forms the basis for the conceptualisation of early detection of dementia among the geriatric population. It explores the history of dementia research, including the most significant achievements and milestones that have influenced the modern state of knowledge and clinical practises. The chapter also examines appropriate theoretical frameworks that support the diagnostic differentiation of normal ageing and early-stage cognitive impairment, which offers a critical understanding of models that inform assessment and intervention. </w:t>
      </w:r>
    </w:p>
    <w:p w14:paraId="7E6AB731" w14:textId="77777777" w:rsidR="004463E6" w:rsidRDefault="004463E6" w:rsidP="004463E6">
      <w:pPr>
        <w:keepNext/>
        <w:jc w:val="center"/>
      </w:pPr>
      <w:r>
        <w:rPr>
          <w:noProof/>
          <w:highlight w:val="yellow"/>
        </w:rPr>
        <w:drawing>
          <wp:inline distT="0" distB="0" distL="0" distR="0" wp14:anchorId="1ED6C9E1" wp14:editId="310B7AB5">
            <wp:extent cx="3223762" cy="4664190"/>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233804" cy="4678718"/>
                    </a:xfrm>
                    <a:prstGeom prst="rect">
                      <a:avLst/>
                    </a:prstGeom>
                    <a:noFill/>
                  </pic:spPr>
                </pic:pic>
              </a:graphicData>
            </a:graphic>
          </wp:inline>
        </w:drawing>
      </w:r>
    </w:p>
    <w:p w14:paraId="7DCECB38" w14:textId="2BB08EF3" w:rsidR="00F0489F" w:rsidRPr="005D45B1" w:rsidRDefault="004463E6" w:rsidP="005D45B1">
      <w:pPr>
        <w:pStyle w:val="Caption"/>
        <w:jc w:val="center"/>
      </w:pPr>
      <w:r>
        <w:t xml:space="preserve">Figure </w:t>
      </w:r>
      <w:fldSimple w:instr=" SEQ Figure \* ARABIC ">
        <w:r w:rsidR="00813F71">
          <w:rPr>
            <w:noProof/>
          </w:rPr>
          <w:t>3</w:t>
        </w:r>
      </w:fldSimple>
      <w:r>
        <w:t xml:space="preserve"> </w:t>
      </w:r>
      <w:r w:rsidR="005D45B1">
        <w:t>(Jehangir et al., 2026)</w:t>
      </w:r>
    </w:p>
    <w:p w14:paraId="0B2ED610" w14:textId="77777777" w:rsidR="004463E6" w:rsidRPr="00A75049" w:rsidRDefault="004463E6" w:rsidP="004463E6">
      <w:r w:rsidRPr="00A0453E">
        <w:rPr>
          <w:rFonts w:ascii="Arial" w:hAnsi="Arial" w:cs="Arial"/>
        </w:rPr>
        <w:t xml:space="preserve">Secondly, it contextualises the subject matter at the international and national levels, as well as in policies, practises, and emerging practises that shape dementia care and nursing participation. This chapter provides the research with a solid conceptual foundation by including historical, theoretical, and contextual information, proving the applicability of early </w:t>
      </w:r>
      <w:r w:rsidRPr="00A0453E">
        <w:rPr>
          <w:rFonts w:ascii="Arial" w:hAnsi="Arial" w:cs="Arial"/>
        </w:rPr>
        <w:lastRenderedPageBreak/>
        <w:t>recognition in enhancing patient outcomes. This background knowledge will be used in the next chapter, which will make up the research methodology.</w:t>
      </w:r>
    </w:p>
    <w:p w14:paraId="4ABADDA3" w14:textId="77777777" w:rsidR="004463E6" w:rsidRPr="004463E6" w:rsidRDefault="004463E6" w:rsidP="004463E6"/>
    <w:p w14:paraId="17F08F5F" w14:textId="329CF86A" w:rsidR="004463E6" w:rsidRDefault="00BD2909" w:rsidP="004463E6">
      <w:pPr>
        <w:pStyle w:val="Heading2"/>
        <w:rPr>
          <w:rStyle w:val="eop"/>
          <w:rFonts w:eastAsia="Calibri Light"/>
          <w:sz w:val="22"/>
          <w:szCs w:val="22"/>
        </w:rPr>
      </w:pPr>
      <w:bookmarkStart w:id="14" w:name="_Toc235909335"/>
      <w:r w:rsidRPr="00F44833">
        <w:rPr>
          <w:rStyle w:val="normaltextrun"/>
        </w:rPr>
        <w:t>2.2 Historical Background</w:t>
      </w:r>
      <w:bookmarkEnd w:id="14"/>
    </w:p>
    <w:p w14:paraId="78FA7300" w14:textId="77777777" w:rsidR="00CE55A9" w:rsidRPr="00A0453E" w:rsidRDefault="00CE55A9" w:rsidP="00CE55A9">
      <w:pPr>
        <w:rPr>
          <w:rFonts w:ascii="Arial" w:hAnsi="Arial" w:cs="Arial"/>
        </w:rPr>
      </w:pPr>
      <w:r w:rsidRPr="00A0453E">
        <w:rPr>
          <w:rFonts w:ascii="Arial" w:hAnsi="Arial" w:cs="Arial"/>
        </w:rPr>
        <w:t xml:space="preserve">The history of dementia recognition has changed substantially over the years, from the initial descriptive observations to systematic clinical judgement methods employed in contemporary practice. The word dementia finds its origins in Latin </w:t>
      </w:r>
      <w:proofErr w:type="spellStart"/>
      <w:r w:rsidRPr="00A0453E">
        <w:rPr>
          <w:rFonts w:ascii="Arial" w:hAnsi="Arial" w:cs="Arial"/>
        </w:rPr>
        <w:t>demens</w:t>
      </w:r>
      <w:proofErr w:type="spellEnd"/>
      <w:r w:rsidRPr="00A0453E">
        <w:rPr>
          <w:rFonts w:ascii="Arial" w:hAnsi="Arial" w:cs="Arial"/>
        </w:rPr>
        <w:t>, which translates to out of mind, and was previously a generalised label of cognitive decline in relation to ageing. Dementia started to be distinguished in the 19</w:t>
      </w:r>
      <w:r w:rsidRPr="00A0453E">
        <w:rPr>
          <w:rFonts w:ascii="Arial" w:hAnsi="Arial" w:cs="Arial"/>
          <w:vertAlign w:val="superscript"/>
        </w:rPr>
        <w:t>th</w:t>
      </w:r>
      <w:r w:rsidRPr="00A0453E">
        <w:rPr>
          <w:rFonts w:ascii="Arial" w:hAnsi="Arial" w:cs="Arial"/>
        </w:rPr>
        <w:t xml:space="preserve"> and early 20</w:t>
      </w:r>
      <w:r w:rsidRPr="00A0453E">
        <w:rPr>
          <w:rFonts w:ascii="Arial" w:hAnsi="Arial" w:cs="Arial"/>
          <w:vertAlign w:val="superscript"/>
        </w:rPr>
        <w:t>th</w:t>
      </w:r>
      <w:r w:rsidRPr="00A0453E">
        <w:rPr>
          <w:rFonts w:ascii="Arial" w:hAnsi="Arial" w:cs="Arial"/>
        </w:rPr>
        <w:t xml:space="preserve"> centuries, with Alois Alzheimer discovering new neuropathological signs, such as amyloid plaques and tangles of neurofibrils in a patient who had progressive memory impairment (Behl, 2023). This was a decisive point in clarifying the difference between the pathological failure of cognitive processing and the passage of age. Earlier research in the 1970s and 1980s broke this notion, and nowadays, dementia has become a separate clinical phenomenon that needs diagnosis and treatment (Collins and Fletcher, 2024).</w:t>
      </w:r>
    </w:p>
    <w:p w14:paraId="3B1AAE2D" w14:textId="77777777" w:rsidR="00CE55A9" w:rsidRDefault="00CE55A9" w:rsidP="00CE55A9">
      <w:pPr>
        <w:keepNext/>
        <w:jc w:val="center"/>
      </w:pPr>
      <w:r>
        <w:rPr>
          <w:noProof/>
        </w:rPr>
        <w:drawing>
          <wp:inline distT="0" distB="0" distL="0" distR="0" wp14:anchorId="654A2F1B" wp14:editId="69FE1CC3">
            <wp:extent cx="5877041" cy="230647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27279" cy="2326188"/>
                    </a:xfrm>
                    <a:prstGeom prst="rect">
                      <a:avLst/>
                    </a:prstGeom>
                    <a:noFill/>
                  </pic:spPr>
                </pic:pic>
              </a:graphicData>
            </a:graphic>
          </wp:inline>
        </w:drawing>
      </w:r>
    </w:p>
    <w:p w14:paraId="0998D2D6" w14:textId="72A31683" w:rsidR="00CE55A9" w:rsidRDefault="00CE55A9" w:rsidP="00CE55A9">
      <w:pPr>
        <w:pStyle w:val="Caption"/>
        <w:jc w:val="center"/>
      </w:pPr>
      <w:r>
        <w:t xml:space="preserve">Figure </w:t>
      </w:r>
      <w:fldSimple w:instr=" SEQ Figure \* ARABIC ">
        <w:r w:rsidR="00813F71">
          <w:rPr>
            <w:noProof/>
          </w:rPr>
          <w:t>4</w:t>
        </w:r>
      </w:fldSimple>
      <w:r>
        <w:t xml:space="preserve"> (</w:t>
      </w:r>
      <w:r w:rsidRPr="001B619E">
        <w:t>The University of Queensland</w:t>
      </w:r>
      <w:r>
        <w:t>, 2017)</w:t>
      </w:r>
    </w:p>
    <w:p w14:paraId="46DD1117" w14:textId="439D69D3" w:rsidR="00CE55A9" w:rsidRDefault="00CE55A9" w:rsidP="00CE55A9">
      <w:r w:rsidRPr="00A0453E">
        <w:rPr>
          <w:rFonts w:ascii="Arial" w:hAnsi="Arial" w:cs="Arial"/>
        </w:rPr>
        <w:t xml:space="preserve">The field was further enhanced by the development of the standardised diagnostic criteria. With the introduction of the Diagnostic and Statistical Manual of Mental Disorders (DSM) criteria and the International Classification of Diseases (ICD), the dementia classification and diagnosis became more consistent. Simultaneously, </w:t>
      </w:r>
      <w:r w:rsidR="00A0453E">
        <w:rPr>
          <w:rFonts w:ascii="Arial" w:hAnsi="Arial" w:cs="Arial"/>
        </w:rPr>
        <w:t>clinicians</w:t>
      </w:r>
      <w:r w:rsidRPr="00A0453E">
        <w:rPr>
          <w:rFonts w:ascii="Arial" w:hAnsi="Arial" w:cs="Arial"/>
        </w:rPr>
        <w:t xml:space="preserve"> received a convenient way of measuring cognitive impairment through cognitive screening tests, including the MMSE (Wang </w:t>
      </w:r>
      <w:r w:rsidRPr="00A0453E">
        <w:rPr>
          <w:rFonts w:ascii="Arial" w:hAnsi="Arial" w:cs="Arial"/>
          <w:i/>
          <w:iCs/>
        </w:rPr>
        <w:t>et al</w:t>
      </w:r>
      <w:r w:rsidRPr="00A0453E">
        <w:rPr>
          <w:rFonts w:ascii="Arial" w:hAnsi="Arial" w:cs="Arial"/>
        </w:rPr>
        <w:t xml:space="preserve">., 2022). More recently, a new assessment </w:t>
      </w:r>
      <w:r w:rsidR="00A0453E">
        <w:rPr>
          <w:rFonts w:ascii="Arial" w:hAnsi="Arial" w:cs="Arial"/>
        </w:rPr>
        <w:t>was presented:</w:t>
      </w:r>
      <w:r w:rsidRPr="00A0453E">
        <w:rPr>
          <w:rFonts w:ascii="Arial" w:hAnsi="Arial" w:cs="Arial"/>
        </w:rPr>
        <w:t xml:space="preserve"> the MoCA to enhance sensitivity in identifying mild cognitive impairment and early-stage dementia to overcome shortcomings established in other instruments (Carton </w:t>
      </w:r>
      <w:r w:rsidRPr="00A0453E">
        <w:rPr>
          <w:rFonts w:ascii="Arial" w:hAnsi="Arial" w:cs="Arial"/>
          <w:i/>
          <w:iCs/>
        </w:rPr>
        <w:t>et al</w:t>
      </w:r>
      <w:r w:rsidRPr="00A0453E">
        <w:rPr>
          <w:rFonts w:ascii="Arial" w:hAnsi="Arial" w:cs="Arial"/>
        </w:rPr>
        <w:t xml:space="preserve">., 2025). The developments have </w:t>
      </w:r>
      <w:r w:rsidRPr="00936389">
        <w:rPr>
          <w:rFonts w:ascii="Arial" w:hAnsi="Arial" w:cs="Arial"/>
        </w:rPr>
        <w:lastRenderedPageBreak/>
        <w:t>played a critical role in changing the emphasis to early detection and the distinction between normal ageing of the mind and cognitive ageing.</w:t>
      </w:r>
    </w:p>
    <w:p w14:paraId="29E585C9" w14:textId="02023BE3" w:rsidR="00CE55A9" w:rsidRPr="00936389" w:rsidRDefault="00CE55A9" w:rsidP="00CE55A9">
      <w:pPr>
        <w:rPr>
          <w:rFonts w:ascii="Arial" w:hAnsi="Arial" w:cs="Arial"/>
        </w:rPr>
      </w:pPr>
      <w:r w:rsidRPr="00936389">
        <w:rPr>
          <w:rFonts w:ascii="Arial" w:hAnsi="Arial" w:cs="Arial"/>
        </w:rPr>
        <w:t xml:space="preserve">Organisational contributions have also been influential to present-day knowledge and practise. The World Health Organisation has been at the forefront in stating dementia as a global public health priority to promote early diagnosis and integrated care approaches (World Health Organisation, 2025). Likewise, the Alzheimer's Association and Alzheimer's Disease International have helped to raise awareness, finance research and come up with clinical guidelines that help support early recognition and intervention. These organisations have particularly focused on how timely diagnosis is relevant to achieving a better outcome and less burden on healthcare systems. Altogether, the progress in history has turned dementia, a poorly comprehended side effect of ageing, into a clear clinical picture with a developed diagnostic system. The work of major players, diagnostic systems, and organisations has provided the basis of modern nursing practise in which early identification and proper distinction between normal ageing and </w:t>
      </w:r>
      <w:r w:rsidR="00936389">
        <w:rPr>
          <w:rFonts w:ascii="Arial" w:hAnsi="Arial" w:cs="Arial"/>
        </w:rPr>
        <w:t>dementia</w:t>
      </w:r>
      <w:r w:rsidRPr="00936389">
        <w:rPr>
          <w:rFonts w:ascii="Arial" w:hAnsi="Arial" w:cs="Arial"/>
        </w:rPr>
        <w:t xml:space="preserve"> are now viewed as vital aspects of quality care.</w:t>
      </w:r>
    </w:p>
    <w:p w14:paraId="4AF2B9BD" w14:textId="77777777" w:rsidR="004463E6" w:rsidRPr="004463E6" w:rsidRDefault="004463E6" w:rsidP="004463E6"/>
    <w:p w14:paraId="1787DF7C" w14:textId="11EC4A13" w:rsidR="00BD2909" w:rsidRDefault="00BD2909" w:rsidP="004463E6">
      <w:pPr>
        <w:pStyle w:val="Heading2"/>
        <w:rPr>
          <w:rStyle w:val="normaltextrun"/>
        </w:rPr>
      </w:pPr>
      <w:bookmarkStart w:id="15" w:name="_Toc235909336"/>
      <w:r w:rsidRPr="00F44833">
        <w:rPr>
          <w:rStyle w:val="normaltextrun"/>
        </w:rPr>
        <w:t>2.3 Theoretical Backgroun</w:t>
      </w:r>
      <w:r w:rsidR="004463E6">
        <w:rPr>
          <w:rStyle w:val="normaltextrun"/>
        </w:rPr>
        <w:t>d</w:t>
      </w:r>
      <w:bookmarkEnd w:id="15"/>
    </w:p>
    <w:p w14:paraId="17A31DCE" w14:textId="51B457D6" w:rsidR="00C42324" w:rsidRPr="00936389" w:rsidRDefault="00C42324" w:rsidP="00C42324">
      <w:pPr>
        <w:rPr>
          <w:rFonts w:ascii="Arial" w:hAnsi="Arial" w:cs="Arial"/>
        </w:rPr>
      </w:pPr>
      <w:r w:rsidRPr="00936389">
        <w:rPr>
          <w:rFonts w:ascii="Arial" w:hAnsi="Arial" w:cs="Arial"/>
        </w:rPr>
        <w:t xml:space="preserve">The conceptual literature that underlies the early identification of dementia includes </w:t>
      </w:r>
      <w:r w:rsidR="00936389">
        <w:rPr>
          <w:rFonts w:ascii="Arial" w:hAnsi="Arial" w:cs="Arial"/>
        </w:rPr>
        <w:t>several</w:t>
      </w:r>
      <w:r w:rsidRPr="00936389">
        <w:rPr>
          <w:rFonts w:ascii="Arial" w:hAnsi="Arial" w:cs="Arial"/>
        </w:rPr>
        <w:t xml:space="preserve"> important models that describe cognitive ageing, impairment, and </w:t>
      </w:r>
      <w:r w:rsidR="00936389">
        <w:rPr>
          <w:rFonts w:ascii="Arial" w:hAnsi="Arial" w:cs="Arial"/>
        </w:rPr>
        <w:t>progression</w:t>
      </w:r>
      <w:r w:rsidRPr="00936389">
        <w:rPr>
          <w:rFonts w:ascii="Arial" w:hAnsi="Arial" w:cs="Arial"/>
        </w:rPr>
        <w:t xml:space="preserve"> to dementia. The cognitive reserve theory is one of the most referenced models that may imply that academically cultured individuals with occupations related to rather complicated roles </w:t>
      </w:r>
      <w:r w:rsidR="00936389" w:rsidRPr="00936389">
        <w:rPr>
          <w:rFonts w:ascii="Arial" w:hAnsi="Arial" w:cs="Arial"/>
        </w:rPr>
        <w:t>can withstand</w:t>
      </w:r>
      <w:r w:rsidRPr="00936389">
        <w:rPr>
          <w:rFonts w:ascii="Arial" w:hAnsi="Arial" w:cs="Arial"/>
        </w:rPr>
        <w:t xml:space="preserve"> underlying neuropathology, thus </w:t>
      </w:r>
      <w:r w:rsidR="00936389">
        <w:rPr>
          <w:rFonts w:ascii="Arial" w:hAnsi="Arial" w:cs="Arial"/>
        </w:rPr>
        <w:t>delaying</w:t>
      </w:r>
      <w:r w:rsidRPr="00936389">
        <w:rPr>
          <w:rFonts w:ascii="Arial" w:hAnsi="Arial" w:cs="Arial"/>
        </w:rPr>
        <w:t xml:space="preserve"> the expression of the symptoms of dementia (Oosterhuis </w:t>
      </w:r>
      <w:r w:rsidRPr="00936389">
        <w:rPr>
          <w:rFonts w:ascii="Arial" w:hAnsi="Arial" w:cs="Arial"/>
          <w:i/>
          <w:iCs/>
        </w:rPr>
        <w:t>et al.,</w:t>
      </w:r>
      <w:r w:rsidRPr="00936389">
        <w:rPr>
          <w:rFonts w:ascii="Arial" w:hAnsi="Arial" w:cs="Arial"/>
        </w:rPr>
        <w:t xml:space="preserve"> 2023). The theory is especially useful in explaining why some geriatric patients with severe brain lesions can have periods of functional independence. Nevertheless, cognitive reserve theory has faced criticism </w:t>
      </w:r>
      <w:r w:rsidR="00936389">
        <w:rPr>
          <w:rFonts w:ascii="Arial" w:hAnsi="Arial" w:cs="Arial"/>
        </w:rPr>
        <w:t>for</w:t>
      </w:r>
      <w:r w:rsidRPr="00936389">
        <w:rPr>
          <w:rFonts w:ascii="Arial" w:hAnsi="Arial" w:cs="Arial"/>
        </w:rPr>
        <w:t xml:space="preserve"> its variability and difficulties in operationalising the concept in clinical practise. Akimova </w:t>
      </w:r>
      <w:r w:rsidRPr="00936389">
        <w:rPr>
          <w:rFonts w:ascii="Arial" w:hAnsi="Arial" w:cs="Arial"/>
          <w:i/>
          <w:iCs/>
        </w:rPr>
        <w:t>et al</w:t>
      </w:r>
      <w:r w:rsidRPr="00936389">
        <w:rPr>
          <w:rFonts w:ascii="Arial" w:hAnsi="Arial" w:cs="Arial"/>
        </w:rPr>
        <w:t>. (2025) state that while cognitive reserve theory explains delayed symptom onset, it may make early detection more difficult in individuals with high cognitive resilience. This is directly relevant to this study as it highlights the importance of accurate early detection in nursing practice.</w:t>
      </w:r>
    </w:p>
    <w:p w14:paraId="67BB18D6" w14:textId="77777777" w:rsidR="00C42324" w:rsidRDefault="00C42324" w:rsidP="00C42324">
      <w:pPr>
        <w:keepNext/>
        <w:jc w:val="center"/>
      </w:pPr>
      <w:r>
        <w:rPr>
          <w:noProof/>
        </w:rPr>
        <w:lastRenderedPageBreak/>
        <w:drawing>
          <wp:inline distT="0" distB="0" distL="0" distR="0" wp14:anchorId="64B1D081" wp14:editId="1498D269">
            <wp:extent cx="5943600" cy="6201266"/>
            <wp:effectExtent l="0" t="0" r="0" b="9525"/>
            <wp:docPr id="7" name="Picture 7" descr="https://static.cambridge.org/binary/version/id/urn:cambridge.org:id:binary:20190710091318913-0820:S1355617719000250:S1355617719000250_fig1g.gif?pub-status=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3" descr="https://static.cambridge.org/binary/version/id/urn:cambridge.org:id:binary:20190710091318913-0820:S1355617719000250:S1355617719000250_fig1g.gif?pub-status=live"/>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6201266"/>
                    </a:xfrm>
                    <a:prstGeom prst="rect">
                      <a:avLst/>
                    </a:prstGeom>
                    <a:noFill/>
                    <a:ln>
                      <a:noFill/>
                    </a:ln>
                  </pic:spPr>
                </pic:pic>
              </a:graphicData>
            </a:graphic>
          </wp:inline>
        </w:drawing>
      </w:r>
    </w:p>
    <w:p w14:paraId="0FB4C201" w14:textId="612DBE24" w:rsidR="00C42324" w:rsidRDefault="00C42324" w:rsidP="00C42324">
      <w:pPr>
        <w:pStyle w:val="Caption"/>
        <w:jc w:val="center"/>
      </w:pPr>
      <w:r>
        <w:t xml:space="preserve">Figure </w:t>
      </w:r>
      <w:fldSimple w:instr=" SEQ Figure \* ARABIC ">
        <w:r w:rsidR="00813F71">
          <w:rPr>
            <w:noProof/>
          </w:rPr>
          <w:t>5</w:t>
        </w:r>
      </w:fldSimple>
      <w:r>
        <w:t xml:space="preserve"> (Cambridge University Press</w:t>
      </w:r>
      <w:r>
        <w:rPr>
          <w:noProof/>
        </w:rPr>
        <w:t>, 2019)</w:t>
      </w:r>
    </w:p>
    <w:p w14:paraId="2483684C" w14:textId="20D87B6B" w:rsidR="00C42324" w:rsidRDefault="00C42324" w:rsidP="00C42324">
      <w:r w:rsidRPr="005A6ECC">
        <w:rPr>
          <w:rFonts w:ascii="Arial" w:hAnsi="Arial" w:cs="Arial"/>
        </w:rPr>
        <w:t xml:space="preserve">The other paradigm on which it is based is the neurodegenerative disease model, which focuses on the biological processes that underlie dementia, especially Alzheimer's disease. This model emphasises the beta-amyloid sheet aggregates, tau </w:t>
      </w:r>
      <w:r w:rsidR="005A6ECC">
        <w:rPr>
          <w:rFonts w:ascii="Arial" w:hAnsi="Arial" w:cs="Arial"/>
        </w:rPr>
        <w:t>pathology</w:t>
      </w:r>
      <w:r w:rsidRPr="005A6ECC">
        <w:rPr>
          <w:rFonts w:ascii="Arial" w:hAnsi="Arial" w:cs="Arial"/>
        </w:rPr>
        <w:t xml:space="preserve">, and neuronal death as the major factors of cognitive impairments (Chai </w:t>
      </w:r>
      <w:r w:rsidRPr="005A6ECC">
        <w:rPr>
          <w:rFonts w:ascii="Arial" w:hAnsi="Arial" w:cs="Arial"/>
          <w:i/>
          <w:iCs/>
        </w:rPr>
        <w:t>et al</w:t>
      </w:r>
      <w:r w:rsidRPr="005A6ECC">
        <w:rPr>
          <w:rFonts w:ascii="Arial" w:hAnsi="Arial" w:cs="Arial"/>
        </w:rPr>
        <w:t xml:space="preserve">., 2022). Its robustness </w:t>
      </w:r>
      <w:r w:rsidR="005A6ECC">
        <w:rPr>
          <w:rFonts w:ascii="Arial" w:hAnsi="Arial" w:cs="Arial"/>
        </w:rPr>
        <w:t>lies in providing</w:t>
      </w:r>
      <w:r w:rsidRPr="005A6ECC">
        <w:rPr>
          <w:rFonts w:ascii="Arial" w:hAnsi="Arial" w:cs="Arial"/>
        </w:rPr>
        <w:t xml:space="preserve"> quantifiable and objective indicators that can inform early detection priorities and biomarker interventions. Nevertheless, critics suggest that the neurodegenerative model is reductionist, in which it overemphasises pathology and underestimates the environmental and psychosocial factors</w:t>
      </w:r>
      <w:r w:rsidRPr="00762742">
        <w:t xml:space="preserve"> </w:t>
      </w:r>
      <w:r w:rsidRPr="005A6ECC">
        <w:rPr>
          <w:rFonts w:ascii="Arial" w:hAnsi="Arial" w:cs="Arial"/>
        </w:rPr>
        <w:t xml:space="preserve">(Pasko </w:t>
      </w:r>
      <w:r w:rsidRPr="005A6ECC">
        <w:rPr>
          <w:rFonts w:ascii="Arial" w:hAnsi="Arial" w:cs="Arial"/>
          <w:i/>
          <w:iCs/>
        </w:rPr>
        <w:t>et al</w:t>
      </w:r>
      <w:r w:rsidRPr="005A6ECC">
        <w:rPr>
          <w:rFonts w:ascii="Arial" w:hAnsi="Arial" w:cs="Arial"/>
        </w:rPr>
        <w:t>., 2022).</w:t>
      </w:r>
      <w:r w:rsidRPr="00762742">
        <w:t xml:space="preserve"> </w:t>
      </w:r>
      <w:r w:rsidRPr="005A6ECC">
        <w:rPr>
          <w:rFonts w:ascii="Arial" w:hAnsi="Arial" w:cs="Arial"/>
        </w:rPr>
        <w:t>In addition, not every individual with severe</w:t>
      </w:r>
      <w:r w:rsidRPr="00762742">
        <w:t xml:space="preserve"> </w:t>
      </w:r>
      <w:r w:rsidRPr="005A6ECC">
        <w:rPr>
          <w:rFonts w:ascii="Arial" w:hAnsi="Arial" w:cs="Arial"/>
        </w:rPr>
        <w:lastRenderedPageBreak/>
        <w:t>neuropathology has severe cognitive impairment, which questions the predictive validity of a purely biological approach.</w:t>
      </w:r>
    </w:p>
    <w:p w14:paraId="6044ED78" w14:textId="77777777" w:rsidR="00C42324" w:rsidRDefault="00C42324" w:rsidP="00C42324">
      <w:pPr>
        <w:keepNext/>
        <w:jc w:val="center"/>
      </w:pPr>
      <w:r>
        <w:rPr>
          <w:noProof/>
        </w:rPr>
        <w:drawing>
          <wp:inline distT="0" distB="0" distL="0" distR="0" wp14:anchorId="45CCCF0D" wp14:editId="5D2FF572">
            <wp:extent cx="5454618" cy="3491345"/>
            <wp:effectExtent l="0" t="0" r="0" b="0"/>
            <wp:docPr id="8" name="Picture 8" descr="https://www.labtoo.com/hubfs/Neuro_E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5" descr="https://www.labtoo.com/hubfs/Neuro_EN-1.png"/>
                    <pic:cNvPicPr>
                      <a:picLocks noChangeAspect="1" noChangeArrowheads="1"/>
                    </pic:cNvPicPr>
                  </pic:nvPicPr>
                  <pic:blipFill>
                    <a:blip r:embed="rId14">
                      <a:extLst>
                        <a:ext uri="{28A0092B-C50C-407E-A947-70E740481C1C}">
                          <a14:useLocalDpi xmlns:a14="http://schemas.microsoft.com/office/drawing/2010/main" val="0"/>
                        </a:ext>
                      </a:extLst>
                    </a:blip>
                    <a:srcRect b="9614"/>
                    <a:stretch>
                      <a:fillRect/>
                    </a:stretch>
                  </pic:blipFill>
                  <pic:spPr bwMode="auto">
                    <a:xfrm>
                      <a:off x="0" y="0"/>
                      <a:ext cx="5454650" cy="3491366"/>
                    </a:xfrm>
                    <a:prstGeom prst="rect">
                      <a:avLst/>
                    </a:prstGeom>
                    <a:noFill/>
                    <a:ln>
                      <a:noFill/>
                    </a:ln>
                    <a:extLst>
                      <a:ext uri="{53640926-AAD7-44D8-BBD7-CCE9431645EC}">
                        <a14:shadowObscured xmlns:a14="http://schemas.microsoft.com/office/drawing/2010/main"/>
                      </a:ext>
                    </a:extLst>
                  </pic:spPr>
                </pic:pic>
              </a:graphicData>
            </a:graphic>
          </wp:inline>
        </w:drawing>
      </w:r>
    </w:p>
    <w:p w14:paraId="4F5707D5" w14:textId="339C47CE" w:rsidR="00C42324" w:rsidRDefault="00C42324" w:rsidP="00C42324">
      <w:pPr>
        <w:pStyle w:val="Caption"/>
        <w:jc w:val="center"/>
      </w:pPr>
      <w:r>
        <w:t xml:space="preserve">Figure </w:t>
      </w:r>
      <w:fldSimple w:instr=" SEQ Figure \* ARABIC ">
        <w:r w:rsidR="00813F71">
          <w:rPr>
            <w:noProof/>
          </w:rPr>
          <w:t>6</w:t>
        </w:r>
      </w:fldSimple>
      <w:r>
        <w:t xml:space="preserve"> (</w:t>
      </w:r>
      <w:proofErr w:type="spellStart"/>
      <w:r>
        <w:t>Labtoo</w:t>
      </w:r>
      <w:proofErr w:type="spellEnd"/>
      <w:r>
        <w:t>, 2022)</w:t>
      </w:r>
    </w:p>
    <w:p w14:paraId="58D45E27" w14:textId="5328C400" w:rsidR="00C42324" w:rsidRPr="005A6ECC" w:rsidRDefault="00C42324" w:rsidP="00C42324">
      <w:pPr>
        <w:rPr>
          <w:rFonts w:ascii="Arial" w:hAnsi="Arial" w:cs="Arial"/>
        </w:rPr>
      </w:pPr>
      <w:r w:rsidRPr="005A6ECC">
        <w:rPr>
          <w:rFonts w:ascii="Arial" w:hAnsi="Arial" w:cs="Arial"/>
        </w:rPr>
        <w:t xml:space="preserve">The continuum model of cognitive ageing is relevant to these views by theorising normal ageing, mild cognitive impairment (MCI), and dementia as existing along a scale and not as separate features (O'Connor </w:t>
      </w:r>
      <w:r w:rsidRPr="005A6ECC">
        <w:rPr>
          <w:rFonts w:ascii="Arial" w:hAnsi="Arial" w:cs="Arial"/>
          <w:i/>
          <w:iCs/>
        </w:rPr>
        <w:t>et al</w:t>
      </w:r>
      <w:r w:rsidRPr="005A6ECC">
        <w:rPr>
          <w:rFonts w:ascii="Arial" w:hAnsi="Arial" w:cs="Arial"/>
        </w:rPr>
        <w:t xml:space="preserve">., 2023). This paradigm led to the creation of sensitive cognitive screening instruments, including the MoCA, which is meant to identify minor functional impairments in people before much deterioration has impacted their functions (Wang </w:t>
      </w:r>
      <w:r w:rsidRPr="005A6ECC">
        <w:rPr>
          <w:rFonts w:ascii="Arial" w:hAnsi="Arial" w:cs="Arial"/>
          <w:i/>
          <w:iCs/>
        </w:rPr>
        <w:t>et al</w:t>
      </w:r>
      <w:r w:rsidRPr="005A6ECC">
        <w:rPr>
          <w:rFonts w:ascii="Arial" w:hAnsi="Arial" w:cs="Arial"/>
        </w:rPr>
        <w:t xml:space="preserve">., 2022). However, the continuum model is discussed, and opponents state that it might result in unclear demarcation of diagnoses, and thus, possibly in overdiagnosis and providing patients and their caregivers with unwarranted anxiety. Studies also show that the use of this model might lead to inconsistent interpretation by practitioners, especially those </w:t>
      </w:r>
      <w:r w:rsidR="00301C30" w:rsidRPr="005A6ECC">
        <w:rPr>
          <w:rFonts w:ascii="Arial" w:hAnsi="Arial" w:cs="Arial"/>
        </w:rPr>
        <w:t>primary care nurses</w:t>
      </w:r>
      <w:r w:rsidRPr="005A6ECC">
        <w:rPr>
          <w:rFonts w:ascii="Arial" w:hAnsi="Arial" w:cs="Arial"/>
        </w:rPr>
        <w:t xml:space="preserve"> who lack any specialist training in cognitive assessment (Visser </w:t>
      </w:r>
      <w:r w:rsidRPr="005A6ECC">
        <w:rPr>
          <w:rFonts w:ascii="Arial" w:hAnsi="Arial" w:cs="Arial"/>
          <w:i/>
          <w:iCs/>
        </w:rPr>
        <w:t>et al.,</w:t>
      </w:r>
      <w:r w:rsidRPr="005A6ECC">
        <w:rPr>
          <w:rFonts w:ascii="Arial" w:hAnsi="Arial" w:cs="Arial"/>
        </w:rPr>
        <w:t xml:space="preserve"> 2025).</w:t>
      </w:r>
    </w:p>
    <w:p w14:paraId="662CEDF5" w14:textId="77777777" w:rsidR="00C42324" w:rsidRDefault="00C42324" w:rsidP="00C42324">
      <w:r w:rsidRPr="00C76A5A">
        <w:rPr>
          <w:rFonts w:ascii="Arial" w:hAnsi="Arial" w:cs="Arial"/>
        </w:rPr>
        <w:t xml:space="preserve">These theories are used in combination </w:t>
      </w:r>
      <w:proofErr w:type="gramStart"/>
      <w:r w:rsidRPr="00C76A5A">
        <w:rPr>
          <w:rFonts w:ascii="Arial" w:hAnsi="Arial" w:cs="Arial"/>
        </w:rPr>
        <w:t>and also</w:t>
      </w:r>
      <w:proofErr w:type="gramEnd"/>
      <w:r w:rsidRPr="00C76A5A">
        <w:rPr>
          <w:rFonts w:ascii="Arial" w:hAnsi="Arial" w:cs="Arial"/>
        </w:rPr>
        <w:t xml:space="preserve"> have limitations as shown by their empirical applications. An example is that papers that combine cognitive and neurodegenerative theories indicate that some individuals who have a larger reserve can be diagnosed with progressive pathology but with similar functional capabilities, making them difficult to detect earlier (Huang </w:t>
      </w:r>
      <w:r w:rsidRPr="00C76A5A">
        <w:rPr>
          <w:rFonts w:ascii="Arial" w:hAnsi="Arial" w:cs="Arial"/>
          <w:i/>
          <w:iCs/>
        </w:rPr>
        <w:t>et al.,</w:t>
      </w:r>
      <w:r w:rsidRPr="00C76A5A">
        <w:rPr>
          <w:rFonts w:ascii="Arial" w:hAnsi="Arial" w:cs="Arial"/>
        </w:rPr>
        <w:t xml:space="preserve"> 2025). Longitudinal studies have also utilised the continuum model to determine the progression between MCI and dementia, which points to the usefulness of the </w:t>
      </w:r>
      <w:r w:rsidRPr="00C76A5A">
        <w:rPr>
          <w:rFonts w:ascii="Arial" w:hAnsi="Arial" w:cs="Arial"/>
        </w:rPr>
        <w:lastRenderedPageBreak/>
        <w:t>model in research but raises practical issues related to clinical classification (Lee, 2023). Overall, these theories explain the understanding of dementia and its progression on a fundamental level; however, the limitation reduces the reliability of the model in distinguishing between normal ageing and early-stage dementia in clinical settings.</w:t>
      </w:r>
      <w:r>
        <w:t xml:space="preserve"> </w:t>
      </w:r>
    </w:p>
    <w:p w14:paraId="30E262C4" w14:textId="77777777" w:rsidR="004463E6" w:rsidRPr="004463E6" w:rsidRDefault="004463E6" w:rsidP="004463E6"/>
    <w:p w14:paraId="302C6B72" w14:textId="77F3C4F4" w:rsidR="00BD2909" w:rsidRDefault="00BD2909" w:rsidP="004463E6">
      <w:pPr>
        <w:pStyle w:val="Heading2"/>
        <w:rPr>
          <w:rStyle w:val="normaltextrun"/>
        </w:rPr>
      </w:pPr>
      <w:bookmarkStart w:id="16" w:name="_Toc235909337"/>
      <w:r w:rsidRPr="00F44833">
        <w:rPr>
          <w:rStyle w:val="normaltextrun"/>
        </w:rPr>
        <w:t>2.4 International Context</w:t>
      </w:r>
      <w:bookmarkEnd w:id="16"/>
    </w:p>
    <w:p w14:paraId="6306A874" w14:textId="77777777" w:rsidR="00C42324" w:rsidRPr="00C76A5A" w:rsidRDefault="00C42324" w:rsidP="00C42324">
      <w:pPr>
        <w:rPr>
          <w:rFonts w:ascii="Arial" w:hAnsi="Arial" w:cs="Arial"/>
        </w:rPr>
      </w:pPr>
      <w:r w:rsidRPr="00C76A5A">
        <w:rPr>
          <w:rFonts w:ascii="Arial" w:hAnsi="Arial" w:cs="Arial"/>
        </w:rPr>
        <w:t xml:space="preserve">Dementia has begun to be accepted as a problem by global public health, and there is a marked diversity in Forms of addressing early recognition, care, and support of affected individuals across nations. Such innovations as dementia-specific villages have been created in the Netherlands, where residents have safe and stimulating conditions, and people can become independent in these villages, although adequate care is offered (Chadborn </w:t>
      </w:r>
      <w:r w:rsidRPr="00C76A5A">
        <w:rPr>
          <w:rFonts w:ascii="Arial" w:hAnsi="Arial" w:cs="Arial"/>
          <w:i/>
          <w:iCs/>
        </w:rPr>
        <w:t>et al.,</w:t>
      </w:r>
      <w:r w:rsidRPr="00C76A5A">
        <w:rPr>
          <w:rFonts w:ascii="Arial" w:hAnsi="Arial" w:cs="Arial"/>
        </w:rPr>
        <w:t xml:space="preserve"> 2024). This model is a person-centred method which places emphasis on quality of life and social interrelationships and shows how the environment and society can be modified to assist people with cognitive impairment. Likewise, other nations like Japan and Sweden have established community-based memory clinics and systematic home-visit schemes to access early detection and continued supervision of elderly people, as it has been observed that primary healthcare is critical in identifying dementia at its early stages (Baba </w:t>
      </w:r>
      <w:r w:rsidRPr="00C76A5A">
        <w:rPr>
          <w:rFonts w:ascii="Arial" w:hAnsi="Arial" w:cs="Arial"/>
          <w:i/>
          <w:iCs/>
        </w:rPr>
        <w:t>et al</w:t>
      </w:r>
      <w:r w:rsidRPr="00C76A5A">
        <w:rPr>
          <w:rFonts w:ascii="Arial" w:hAnsi="Arial" w:cs="Arial"/>
        </w:rPr>
        <w:t>., 2024). Overall, these approaches demonstrated that early detection strategies must be adapted to healthcare systems and resource availability.</w:t>
      </w:r>
    </w:p>
    <w:p w14:paraId="117963C1" w14:textId="7E571131" w:rsidR="00C42324" w:rsidRPr="00C76A5A" w:rsidRDefault="00C42324" w:rsidP="00C42324">
      <w:pPr>
        <w:rPr>
          <w:rFonts w:ascii="Arial" w:hAnsi="Arial" w:cs="Arial"/>
        </w:rPr>
      </w:pPr>
      <w:r w:rsidRPr="00C76A5A">
        <w:rPr>
          <w:rFonts w:ascii="Arial" w:hAnsi="Arial" w:cs="Arial"/>
        </w:rPr>
        <w:t>Early diagnosis and early intervention are becoming a priority in policies internationally. Global Action Plan on the Public Health Response to Dementia 20172025 by the World Health Organisation proposes early identification, follow-up care trajectories, and staff education to enhance the management of dementia globally (World Health Organisation, 2017). Nations vary in how much these recommendations are operationalised</w:t>
      </w:r>
      <w:r w:rsidR="00C76A5A">
        <w:rPr>
          <w:rFonts w:ascii="Arial" w:hAnsi="Arial" w:cs="Arial"/>
        </w:rPr>
        <w:t>;</w:t>
      </w:r>
      <w:r w:rsidRPr="00C76A5A">
        <w:rPr>
          <w:rFonts w:ascii="Arial" w:hAnsi="Arial" w:cs="Arial"/>
        </w:rPr>
        <w:t xml:space="preserve"> the UK has invested in memory assessment services as well as national dementia strategies, whilst low- and middle-income countries may have issues in terms of resources, lack of awareness, and untrained staff (Smith and Surr, 2024).</w:t>
      </w:r>
    </w:p>
    <w:p w14:paraId="78F48F05" w14:textId="4B075786" w:rsidR="00C42324" w:rsidRDefault="00C42324" w:rsidP="00C42324">
      <w:r w:rsidRPr="00C76A5A">
        <w:rPr>
          <w:rFonts w:ascii="Arial" w:hAnsi="Arial" w:cs="Arial"/>
        </w:rPr>
        <w:t xml:space="preserve">Comparison brings out similarities and differences. Higher-income countries tend to use structured screening and early intervention and multidisciplinary models, and the setting with fewer resources will have to depend more on family caregivers and community awareness of cognitive impairment. The European Dementia Monitor and Alzheimer's Disease International efforts are cross-national initiatives that strive to exchange best practices, standardise policies, and fund research on a novel care model (Saunders </w:t>
      </w:r>
      <w:r w:rsidRPr="00C76A5A">
        <w:rPr>
          <w:rFonts w:ascii="Arial" w:hAnsi="Arial" w:cs="Arial"/>
          <w:i/>
          <w:iCs/>
        </w:rPr>
        <w:t>et al.,</w:t>
      </w:r>
      <w:r w:rsidRPr="00C76A5A">
        <w:rPr>
          <w:rFonts w:ascii="Arial" w:hAnsi="Arial" w:cs="Arial"/>
        </w:rPr>
        <w:t xml:space="preserve"> 2022). Primary care nurse training at the national level in Denmark has enhanced the rate of early identification, whereas in</w:t>
      </w:r>
      <w:r w:rsidRPr="00E15D0F">
        <w:t xml:space="preserve"> India, </w:t>
      </w:r>
      <w:r w:rsidRPr="0095285B">
        <w:rPr>
          <w:rFonts w:ascii="Arial" w:hAnsi="Arial" w:cs="Arial"/>
        </w:rPr>
        <w:lastRenderedPageBreak/>
        <w:t xml:space="preserve">pilots with mobile technology can be used to perform cognitive screening on the rural population, but cultural stigma and lack of awareness pose obstacles (Bray </w:t>
      </w:r>
      <w:r w:rsidRPr="0095285B">
        <w:rPr>
          <w:rFonts w:ascii="Arial" w:hAnsi="Arial" w:cs="Arial"/>
          <w:i/>
          <w:iCs/>
        </w:rPr>
        <w:t xml:space="preserve">et al., </w:t>
      </w:r>
      <w:r w:rsidRPr="0095285B">
        <w:rPr>
          <w:rFonts w:ascii="Arial" w:hAnsi="Arial" w:cs="Arial"/>
        </w:rPr>
        <w:t xml:space="preserve">2025). The Dutch dementia villages, Japanese community clinics and UK memory services all share the essentials of a contextual, situation-specific approach that considers early detection, patient autonomy and support </w:t>
      </w:r>
      <w:r w:rsidR="0095285B">
        <w:rPr>
          <w:rFonts w:ascii="Arial" w:hAnsi="Arial" w:cs="Arial"/>
        </w:rPr>
        <w:t>for</w:t>
      </w:r>
      <w:r w:rsidRPr="0095285B">
        <w:rPr>
          <w:rFonts w:ascii="Arial" w:hAnsi="Arial" w:cs="Arial"/>
        </w:rPr>
        <w:t xml:space="preserve"> caregivers. In general, these international experiences have highlighted that although the objective is to recognise dementia at its early stages, strategies need to consider cultural, economic and healthcare system contexts.</w:t>
      </w:r>
    </w:p>
    <w:p w14:paraId="5DD7B6FB" w14:textId="77777777" w:rsidR="004463E6" w:rsidRPr="004463E6" w:rsidRDefault="004463E6" w:rsidP="004463E6"/>
    <w:p w14:paraId="09099AFE" w14:textId="37939C37" w:rsidR="00BD2909" w:rsidRDefault="00BD2909" w:rsidP="004463E6">
      <w:pPr>
        <w:pStyle w:val="Heading2"/>
        <w:rPr>
          <w:rStyle w:val="normaltextrun"/>
        </w:rPr>
      </w:pPr>
      <w:bookmarkStart w:id="17" w:name="_Toc235909338"/>
      <w:r w:rsidRPr="00F44833">
        <w:rPr>
          <w:rStyle w:val="normaltextrun"/>
        </w:rPr>
        <w:t>2.5 National/Local UK Context</w:t>
      </w:r>
      <w:bookmarkEnd w:id="17"/>
    </w:p>
    <w:p w14:paraId="5FCB7298" w14:textId="150FB9B7" w:rsidR="00C42324" w:rsidRPr="0095285B" w:rsidRDefault="00C42324" w:rsidP="00C42324">
      <w:pPr>
        <w:rPr>
          <w:rFonts w:ascii="Arial" w:hAnsi="Arial" w:cs="Arial"/>
        </w:rPr>
      </w:pPr>
      <w:r w:rsidRPr="0095285B">
        <w:rPr>
          <w:rFonts w:ascii="Arial" w:hAnsi="Arial" w:cs="Arial"/>
        </w:rPr>
        <w:t>Dementia has recently assumed a central role as a public health concern in the United Kingdom due to the rising incidence of cancer and mental illnesses</w:t>
      </w:r>
      <w:r w:rsidR="005268A4" w:rsidRPr="0095285B">
        <w:rPr>
          <w:rFonts w:ascii="Arial" w:hAnsi="Arial" w:cs="Arial"/>
        </w:rPr>
        <w:t xml:space="preserve">, </w:t>
      </w:r>
      <w:r w:rsidR="0095285B">
        <w:rPr>
          <w:rFonts w:ascii="Arial" w:hAnsi="Arial" w:cs="Arial"/>
        </w:rPr>
        <w:t>brought</w:t>
      </w:r>
      <w:r w:rsidR="005268A4" w:rsidRPr="0095285B">
        <w:rPr>
          <w:rFonts w:ascii="Arial" w:hAnsi="Arial" w:cs="Arial"/>
        </w:rPr>
        <w:t xml:space="preserve"> on by </w:t>
      </w:r>
      <w:r w:rsidR="004B6CA8" w:rsidRPr="0095285B">
        <w:rPr>
          <w:rFonts w:ascii="Arial" w:hAnsi="Arial" w:cs="Arial"/>
        </w:rPr>
        <w:t>ageing</w:t>
      </w:r>
      <w:r w:rsidRPr="0095285B">
        <w:rPr>
          <w:rFonts w:ascii="Arial" w:hAnsi="Arial" w:cs="Arial"/>
        </w:rPr>
        <w:t xml:space="preserve">. Dementia </w:t>
      </w:r>
      <w:r w:rsidR="0095285B">
        <w:rPr>
          <w:rFonts w:ascii="Arial" w:hAnsi="Arial" w:cs="Arial"/>
        </w:rPr>
        <w:t>affects</w:t>
      </w:r>
      <w:r w:rsidRPr="0095285B">
        <w:rPr>
          <w:rFonts w:ascii="Arial" w:hAnsi="Arial" w:cs="Arial"/>
        </w:rPr>
        <w:t xml:space="preserve"> more than 900,000 individuals in the UK, with estimates suggesting its increase to above 1.5 million by 2040 (Reeves </w:t>
      </w:r>
      <w:r w:rsidRPr="00001A1C">
        <w:rPr>
          <w:rFonts w:ascii="Arial" w:hAnsi="Arial" w:cs="Arial"/>
          <w:i/>
          <w:iCs/>
        </w:rPr>
        <w:t>et al</w:t>
      </w:r>
      <w:r w:rsidRPr="0095285B">
        <w:rPr>
          <w:rFonts w:ascii="Arial" w:hAnsi="Arial" w:cs="Arial"/>
        </w:rPr>
        <w:t xml:space="preserve">., 2023). National strategies revolve around early recognition and early diagnosis because early intervention has the potential to enhance planning of care, access to support services, and quality of life of both patients and caregivers. The UK strategy focuses on individual care provision, multidisciplinary teamwork, and </w:t>
      </w:r>
      <w:r w:rsidR="00001A1C">
        <w:rPr>
          <w:rFonts w:ascii="Arial" w:hAnsi="Arial" w:cs="Arial"/>
        </w:rPr>
        <w:t>integration</w:t>
      </w:r>
      <w:r w:rsidRPr="0095285B">
        <w:rPr>
          <w:rFonts w:ascii="Arial" w:hAnsi="Arial" w:cs="Arial"/>
        </w:rPr>
        <w:t xml:space="preserve"> of health and social care services to deal efficiently with cognitive impairment. The major role in this arrangement is played by nursing practitioners, who often perform assessments, oversee cognitive alterations, and plan care both in primary and secondary care (</w:t>
      </w:r>
      <w:r w:rsidR="00A079E7" w:rsidRPr="0095285B">
        <w:rPr>
          <w:rFonts w:ascii="Arial" w:hAnsi="Arial" w:cs="Arial"/>
          <w:szCs w:val="20"/>
          <w:shd w:val="clear" w:color="auto" w:fill="FFFFFF"/>
        </w:rPr>
        <w:t>Søndergaard</w:t>
      </w:r>
      <w:r w:rsidR="00A079E7" w:rsidRPr="0095285B">
        <w:rPr>
          <w:rFonts w:ascii="Arial" w:hAnsi="Arial" w:cs="Arial"/>
        </w:rPr>
        <w:t xml:space="preserve"> </w:t>
      </w:r>
      <w:r w:rsidRPr="00001A1C">
        <w:rPr>
          <w:rFonts w:ascii="Arial" w:hAnsi="Arial" w:cs="Arial"/>
          <w:i/>
          <w:iCs/>
        </w:rPr>
        <w:t>et al.,</w:t>
      </w:r>
      <w:r w:rsidRPr="0095285B">
        <w:rPr>
          <w:rFonts w:ascii="Arial" w:hAnsi="Arial" w:cs="Arial"/>
        </w:rPr>
        <w:t xml:space="preserve"> 2024).</w:t>
      </w:r>
    </w:p>
    <w:p w14:paraId="1AF82D74" w14:textId="60564FEC" w:rsidR="00C42324" w:rsidRPr="00001A1C" w:rsidRDefault="00C42324" w:rsidP="00C42324">
      <w:pPr>
        <w:rPr>
          <w:rFonts w:ascii="Arial" w:hAnsi="Arial" w:cs="Arial"/>
        </w:rPr>
      </w:pPr>
      <w:r w:rsidRPr="00001A1C">
        <w:rPr>
          <w:rFonts w:ascii="Arial" w:hAnsi="Arial" w:cs="Arial"/>
        </w:rPr>
        <w:t xml:space="preserve">Dementia care is influenced by policies and legislation on a national level. The Prime Minister's Challenge on Dementia 2020 updated the National Dementia Strategy that encourages early diagnosis, training of the workforce, and interventions in the community (Giebel </w:t>
      </w:r>
      <w:r w:rsidRPr="006B25C1">
        <w:rPr>
          <w:rFonts w:ascii="Arial" w:hAnsi="Arial" w:cs="Arial"/>
          <w:i/>
          <w:iCs/>
        </w:rPr>
        <w:t xml:space="preserve">et al., </w:t>
      </w:r>
      <w:r w:rsidRPr="00001A1C">
        <w:rPr>
          <w:rFonts w:ascii="Arial" w:hAnsi="Arial" w:cs="Arial"/>
        </w:rPr>
        <w:t xml:space="preserve">2025). Such undertakings promote standardised cognitive assessment </w:t>
      </w:r>
      <w:r w:rsidR="00001A1C">
        <w:rPr>
          <w:rFonts w:ascii="Arial" w:hAnsi="Arial" w:cs="Arial"/>
        </w:rPr>
        <w:t>in</w:t>
      </w:r>
      <w:r w:rsidRPr="00001A1C">
        <w:rPr>
          <w:rFonts w:ascii="Arial" w:hAnsi="Arial" w:cs="Arial"/>
        </w:rPr>
        <w:t xml:space="preserve"> primary care and development of memory clinics offering organised routes of assessment, surveillance and referral. Besides, both the Care Act 2014 and the Health and Social Care Act 2012 introduce the statutory obligations of the local authorities and healthcare organisations to deliver appropriate care, protection, and person-centred treatment of older adults with cognitive impairment (England, 2022). All these policies support the significance of early assessment and health care providers, especially </w:t>
      </w:r>
      <w:r w:rsidR="00301C30" w:rsidRPr="00001A1C">
        <w:rPr>
          <w:rFonts w:ascii="Arial" w:hAnsi="Arial" w:cs="Arial"/>
        </w:rPr>
        <w:t>primary care nurses</w:t>
      </w:r>
      <w:r w:rsidRPr="00001A1C">
        <w:rPr>
          <w:rFonts w:ascii="Arial" w:hAnsi="Arial" w:cs="Arial"/>
        </w:rPr>
        <w:t xml:space="preserve">, in adopting evidence-based assessment and intervention practises. On a local level, the implementation is provided differently in regions based on resource availability, services, and demographics of the population. </w:t>
      </w:r>
    </w:p>
    <w:p w14:paraId="3DF474C3" w14:textId="4A522C9E" w:rsidR="00C42324" w:rsidRPr="006B25C1" w:rsidRDefault="00C42324" w:rsidP="00C42324">
      <w:pPr>
        <w:rPr>
          <w:rFonts w:ascii="Arial" w:hAnsi="Arial" w:cs="Arial"/>
        </w:rPr>
      </w:pPr>
      <w:r w:rsidRPr="006B25C1">
        <w:rPr>
          <w:rFonts w:ascii="Arial" w:hAnsi="Arial" w:cs="Arial"/>
        </w:rPr>
        <w:lastRenderedPageBreak/>
        <w:t>For example, London and Manchester have incorporated nurse-led cognitive screening into their memory assessment services that can be performed during primary care and enhance the rate of early diagnosis and referrals (Smith and Surr, 2024). Rural settings, in turn, are characterised by such issues as insufficient access to expert services, shortages of staff, and deficient patient and caregiver awareness. Community-based cognitive health programmes, collaboration with voluntary organisations, and dementia-friendly hospital programmes are local initiatives that are meant to address these disparities and build specific support to cater to the needs of the regions (</w:t>
      </w:r>
      <w:proofErr w:type="spellStart"/>
      <w:r w:rsidRPr="006B25C1">
        <w:rPr>
          <w:rFonts w:ascii="Arial" w:hAnsi="Arial" w:cs="Arial"/>
        </w:rPr>
        <w:t>Agbana</w:t>
      </w:r>
      <w:proofErr w:type="spellEnd"/>
      <w:r w:rsidRPr="006B25C1">
        <w:rPr>
          <w:rFonts w:ascii="Arial" w:hAnsi="Arial" w:cs="Arial"/>
        </w:rPr>
        <w:t xml:space="preserve">, 2025). The UK situation, at large, depicts a full implementation of dementia awareness and intervention strategies that integrate the national policy frameworks, systematic clinical pathways, and </w:t>
      </w:r>
      <w:r w:rsidR="00D65CC4" w:rsidRPr="006B25C1">
        <w:rPr>
          <w:rFonts w:ascii="Arial" w:hAnsi="Arial" w:cs="Arial"/>
        </w:rPr>
        <w:t>locally oriented</w:t>
      </w:r>
      <w:r w:rsidRPr="006B25C1">
        <w:rPr>
          <w:rFonts w:ascii="Arial" w:hAnsi="Arial" w:cs="Arial"/>
        </w:rPr>
        <w:t xml:space="preserve"> efforts and interventions. Although some achievements have been realised in terms of standardisation of early detection and care, there are still issues in equitable access, especially in the underserved areas. The </w:t>
      </w:r>
      <w:r w:rsidR="006B25C1">
        <w:rPr>
          <w:rFonts w:ascii="Arial" w:hAnsi="Arial" w:cs="Arial"/>
        </w:rPr>
        <w:t xml:space="preserve">integration of </w:t>
      </w:r>
      <w:r w:rsidRPr="006B25C1">
        <w:rPr>
          <w:rFonts w:ascii="Arial" w:hAnsi="Arial" w:cs="Arial"/>
        </w:rPr>
        <w:t>nursing practise, policy</w:t>
      </w:r>
      <w:r w:rsidR="006B25C1">
        <w:rPr>
          <w:rFonts w:ascii="Arial" w:hAnsi="Arial" w:cs="Arial"/>
        </w:rPr>
        <w:t>,</w:t>
      </w:r>
      <w:r w:rsidRPr="006B25C1">
        <w:rPr>
          <w:rFonts w:ascii="Arial" w:hAnsi="Arial" w:cs="Arial"/>
        </w:rPr>
        <w:t xml:space="preserve"> and community support integration remain significant in improving the overall results and promoting earlier identification of individuals with dementia risk.</w:t>
      </w:r>
    </w:p>
    <w:p w14:paraId="34DCCC70" w14:textId="77777777" w:rsidR="004463E6" w:rsidRPr="004463E6" w:rsidRDefault="004463E6" w:rsidP="004463E6"/>
    <w:p w14:paraId="44658AF6" w14:textId="159BB217" w:rsidR="00BD2909" w:rsidRDefault="00BD2909" w:rsidP="004463E6">
      <w:pPr>
        <w:pStyle w:val="Heading2"/>
        <w:rPr>
          <w:rStyle w:val="normaltextrun"/>
        </w:rPr>
      </w:pPr>
      <w:bookmarkStart w:id="18" w:name="_Toc235909339"/>
      <w:r w:rsidRPr="00F44833">
        <w:rPr>
          <w:rStyle w:val="normaltextrun"/>
        </w:rPr>
        <w:t>2.6 Conclusion</w:t>
      </w:r>
      <w:bookmarkEnd w:id="18"/>
    </w:p>
    <w:p w14:paraId="60D9F7F6" w14:textId="7713F2BB" w:rsidR="00C42324" w:rsidRPr="0068718F" w:rsidRDefault="00C42324" w:rsidP="00C42324">
      <w:pPr>
        <w:rPr>
          <w:rFonts w:ascii="Arial" w:hAnsi="Arial" w:cs="Arial"/>
        </w:rPr>
      </w:pPr>
      <w:r w:rsidRPr="0068718F">
        <w:rPr>
          <w:rFonts w:ascii="Arial" w:hAnsi="Arial" w:cs="Arial"/>
        </w:rPr>
        <w:t xml:space="preserve">The background chapter has presented an in-depth summary of the historical, theoretical, global, and country-specific situation in early dementia recognition. It </w:t>
      </w:r>
      <w:r w:rsidR="0068718F">
        <w:rPr>
          <w:rFonts w:ascii="Arial" w:hAnsi="Arial" w:cs="Arial"/>
        </w:rPr>
        <w:t>placed</w:t>
      </w:r>
      <w:r w:rsidRPr="0068718F">
        <w:rPr>
          <w:rFonts w:ascii="Arial" w:hAnsi="Arial" w:cs="Arial"/>
        </w:rPr>
        <w:t xml:space="preserve"> a notable emphasis on the progression of the study on dementia, pivotal figures, and how clinical assessment models have evolved to guide nursing practise. The chapter is also critical of foundational theories, illustrating how they have been used and constrained to inform early detection strategies. The comparisons of international practises, such as innovative care models and international initiatives, with the UK policies and local approaches highlighted the significance of context-specific planning for effective dementia management. This literature review is a full scope that can be used to formulate a knowledge base and inform the research design, which involves selecting methods and evaluation approaches to be used. This understanding would inform the systematic section in Chapter 3, where the research would be based on known evidence and be able to fill gaps in the nursing practise.</w:t>
      </w:r>
    </w:p>
    <w:p w14:paraId="110BE830" w14:textId="77777777" w:rsidR="004463E6" w:rsidRPr="004463E6" w:rsidRDefault="004463E6" w:rsidP="004463E6"/>
    <w:p w14:paraId="0A075791" w14:textId="385AB4F0" w:rsidR="00880B2D" w:rsidRDefault="00880B2D"/>
    <w:p w14:paraId="0ADC38C7" w14:textId="3D7AD8C0" w:rsidR="00E65AF0" w:rsidRDefault="00E65AF0">
      <w:pPr>
        <w:spacing w:line="259" w:lineRule="auto"/>
        <w:jc w:val="left"/>
      </w:pPr>
      <w:r>
        <w:br w:type="page"/>
      </w:r>
    </w:p>
    <w:p w14:paraId="6F7343CF" w14:textId="77777777" w:rsidR="00E65AF0" w:rsidRDefault="00E65AF0" w:rsidP="00E65AF0">
      <w:pPr>
        <w:pStyle w:val="Heading1"/>
      </w:pPr>
      <w:bookmarkStart w:id="19" w:name="_Toc235909340"/>
      <w:r>
        <w:lastRenderedPageBreak/>
        <w:t>CHAPTER 3: Methods and Search Strategy</w:t>
      </w:r>
      <w:bookmarkEnd w:id="19"/>
      <w:r>
        <w:t xml:space="preserve"> </w:t>
      </w:r>
    </w:p>
    <w:p w14:paraId="33FD598E" w14:textId="77777777" w:rsidR="00E65AF0" w:rsidRDefault="00E65AF0" w:rsidP="00E65AF0">
      <w:pPr>
        <w:pStyle w:val="Heading2"/>
      </w:pPr>
      <w:bookmarkStart w:id="20" w:name="_Toc235909341"/>
      <w:r>
        <w:t>3.1 – Introduction</w:t>
      </w:r>
      <w:bookmarkEnd w:id="20"/>
    </w:p>
    <w:p w14:paraId="19617215" w14:textId="77777777" w:rsidR="00E65AF0" w:rsidRPr="0068718F" w:rsidRDefault="00E65AF0" w:rsidP="00E65AF0">
      <w:pPr>
        <w:rPr>
          <w:rFonts w:ascii="Arial" w:hAnsi="Arial" w:cs="Arial"/>
        </w:rPr>
      </w:pPr>
      <w:r w:rsidRPr="0068718F">
        <w:rPr>
          <w:rFonts w:ascii="Arial" w:hAnsi="Arial" w:cs="Arial"/>
        </w:rPr>
        <w:t>This chapter discusses the process used for the secondary research investigation of early dementia identification among older adults. The study uses a descriptive and literature-based approach, systematic identification, selection and analysis of peer-reviewed academic literature related to dementia recognition, assessment of cognition and nursing practice. This chapter details each of the student's research steps; the academic methodology poster offers a visual overview of the research process. Secondary research is suitable for compiling together the knowledge that has been generated before and looking for patterns of studies (Ralph and Baltes, 2022). The methods discussed will inform the thematic findings and analysis presented in Chapter 4.</w:t>
      </w:r>
    </w:p>
    <w:p w14:paraId="4A624CC5" w14:textId="77777777" w:rsidR="00E65AF0" w:rsidRDefault="00E65AF0" w:rsidP="00E65AF0"/>
    <w:p w14:paraId="382803CC" w14:textId="77777777" w:rsidR="00E65AF0" w:rsidRDefault="00E65AF0" w:rsidP="00E65AF0">
      <w:pPr>
        <w:pStyle w:val="Heading2"/>
      </w:pPr>
      <w:bookmarkStart w:id="21" w:name="_Toc235909342"/>
      <w:r>
        <w:t>3.2 – Search Strategy</w:t>
      </w:r>
      <w:bookmarkEnd w:id="21"/>
    </w:p>
    <w:p w14:paraId="722687F7" w14:textId="09E84B93" w:rsidR="00E65AF0" w:rsidRPr="00C15BFE" w:rsidRDefault="00E65AF0" w:rsidP="0099107C">
      <w:pPr>
        <w:rPr>
          <w:rFonts w:ascii="Arial" w:hAnsi="Arial" w:cs="Arial"/>
        </w:rPr>
      </w:pPr>
      <w:r w:rsidRPr="00C15BFE">
        <w:rPr>
          <w:rFonts w:ascii="Arial" w:hAnsi="Arial" w:cs="Arial"/>
        </w:rPr>
        <w:t xml:space="preserve">The research title and objectives were used to create a structured search strategy using the following keywords: “dementia”, “normal ageing”, “cognitive impairment”, “early recognition”, “nursing practice”, “cognitive assessment”. To enhance search sensitivity, additional search terms were used related to the profession, including “mild cognitive impairment,” “screening tools,” and “older adults.” Boolean operators were used to narrow results down, "AND" added concepts to combine and "OR" added alternatives of terms, and "NOT" was added to exclude irrelevant studies. </w:t>
      </w:r>
      <w:r w:rsidR="0099107C" w:rsidRPr="00C15BFE">
        <w:rPr>
          <w:rFonts w:ascii="Arial" w:hAnsi="Arial" w:cs="Arial"/>
        </w:rPr>
        <w:t xml:space="preserve">The literature search methodology adopted was deemed most suitable as it allowed for the identification of literature directly relevant to the research objective of differentiating normal cognitive ageing from early dementia, whilst concentrating specifically on nursing assessments and clinical practice. </w:t>
      </w:r>
      <w:r w:rsidRPr="00C15BFE">
        <w:rPr>
          <w:rFonts w:ascii="Arial" w:hAnsi="Arial" w:cs="Arial"/>
        </w:rPr>
        <w:t xml:space="preserve">A systematic approach to searching was employed to capture combinations of keywords, database outputs, and articles that would be relevant to the process of reviewing to provide transparency and consistency in the search process (Haddaway </w:t>
      </w:r>
      <w:r w:rsidRPr="00C15BFE">
        <w:rPr>
          <w:rFonts w:ascii="Arial" w:hAnsi="Arial" w:cs="Arial"/>
          <w:i/>
          <w:iCs/>
        </w:rPr>
        <w:t>et al.,</w:t>
      </w:r>
      <w:r w:rsidRPr="00C15BFE">
        <w:rPr>
          <w:rFonts w:ascii="Arial" w:hAnsi="Arial" w:cs="Arial"/>
        </w:rPr>
        <w:t xml:space="preserve"> 2022).</w:t>
      </w:r>
    </w:p>
    <w:p w14:paraId="4B3B0D49" w14:textId="77777777" w:rsidR="00E65AF0" w:rsidRDefault="00E65AF0" w:rsidP="00E65AF0"/>
    <w:p w14:paraId="33797B6B" w14:textId="77777777" w:rsidR="00E65AF0" w:rsidRDefault="00E65AF0" w:rsidP="00E65AF0">
      <w:pPr>
        <w:pStyle w:val="Heading2"/>
      </w:pPr>
      <w:bookmarkStart w:id="22" w:name="_Toc235909343"/>
      <w:r>
        <w:t>3.3 – Searching for Information</w:t>
      </w:r>
      <w:bookmarkEnd w:id="22"/>
    </w:p>
    <w:p w14:paraId="2C530526" w14:textId="0AC6701A" w:rsidR="0002337B" w:rsidRPr="00C15BFE" w:rsidRDefault="0002337B" w:rsidP="008B643A">
      <w:pPr>
        <w:rPr>
          <w:rFonts w:ascii="Arial" w:hAnsi="Arial" w:cs="Arial"/>
          <w:highlight w:val="yellow"/>
        </w:rPr>
      </w:pPr>
      <w:r w:rsidRPr="00C15BFE">
        <w:rPr>
          <w:rFonts w:ascii="Arial" w:hAnsi="Arial" w:cs="Arial"/>
        </w:rPr>
        <w:t>Academic literature was identified using well-established databases within the healthcare and multidisciplinary fields such as PubMed, CINAHL, PsycINFO and Google Scholar. These databases were selected due to their credibility in the literature that is presented</w:t>
      </w:r>
      <w:r w:rsidR="00C15BFE">
        <w:rPr>
          <w:rFonts w:ascii="Arial" w:hAnsi="Arial" w:cs="Arial"/>
        </w:rPr>
        <w:t>,</w:t>
      </w:r>
      <w:r w:rsidRPr="00C15BFE">
        <w:rPr>
          <w:rFonts w:ascii="Arial" w:hAnsi="Arial" w:cs="Arial"/>
        </w:rPr>
        <w:t xml:space="preserve"> and they are</w:t>
      </w:r>
      <w:r w:rsidRPr="0002337B">
        <w:t xml:space="preserve"> </w:t>
      </w:r>
      <w:r w:rsidRPr="00C15BFE">
        <w:rPr>
          <w:rFonts w:ascii="Arial" w:hAnsi="Arial" w:cs="Arial"/>
        </w:rPr>
        <w:lastRenderedPageBreak/>
        <w:t>appropriate to answering the research question as they focus on quality evidence that is relevant to the study of nursing, medicine, psychology, ageing and dementia care. PubMed and CINAHL were particularly helpful in finding evidence-based nursing and clinical studies on the recognition of dementia, cognitive assessment and health-care interventions, while PsycINFO was valuable for cognitive and behavioural studies on psychological aspects of cognitive impairment and dementia. The search was extended to Google Scholar to help identify additional relevant studies, and to make sure that potentially relevant peer-reviewed studies that had not been found in one search were included.</w:t>
      </w:r>
    </w:p>
    <w:p w14:paraId="4735D456" w14:textId="6D12AD1C" w:rsidR="0002337B" w:rsidRPr="00C15BFE" w:rsidRDefault="00E83DB5" w:rsidP="008B643A">
      <w:pPr>
        <w:rPr>
          <w:rFonts w:ascii="Arial" w:hAnsi="Arial" w:cs="Arial"/>
          <w:highlight w:val="yellow"/>
        </w:rPr>
      </w:pPr>
      <w:r w:rsidRPr="00C15BFE">
        <w:rPr>
          <w:rFonts w:ascii="Arial" w:hAnsi="Arial" w:cs="Arial"/>
        </w:rPr>
        <w:t xml:space="preserve">Employing several databases allowed the literature review process to be comprehensive and reliable (Shaheen </w:t>
      </w:r>
      <w:r w:rsidRPr="00C15BFE">
        <w:rPr>
          <w:rFonts w:ascii="Arial" w:hAnsi="Arial" w:cs="Arial"/>
          <w:i/>
          <w:iCs/>
        </w:rPr>
        <w:t>et al</w:t>
      </w:r>
      <w:r w:rsidRPr="00C15BFE">
        <w:rPr>
          <w:rFonts w:ascii="Arial" w:hAnsi="Arial" w:cs="Arial"/>
        </w:rPr>
        <w:t xml:space="preserve">., 2023). Multiple filters were used to improve the relevance and quality of results. The articles required to be peer-reviewed, published in English within the last 10 years, in an online format and focused on the detection or cognition assessment of older people with a diagnosis of dementia. In the search process, keywords/phrases were modified when the search results were either too general or too specific to improve the relevance of the retrieved studies and minimise irrelevant results. A comprehensive record of databases visited, search terms used, inclusion/exclusion of studies and selected studies </w:t>
      </w:r>
      <w:r w:rsidR="00C15BFE">
        <w:rPr>
          <w:rFonts w:ascii="Arial" w:hAnsi="Arial" w:cs="Arial"/>
        </w:rPr>
        <w:t>was</w:t>
      </w:r>
      <w:r w:rsidRPr="00C15BFE">
        <w:rPr>
          <w:rFonts w:ascii="Arial" w:hAnsi="Arial" w:cs="Arial"/>
        </w:rPr>
        <w:t xml:space="preserve"> recorded in Appendix 1: Source Tracking Table to enable transparency and organisation of the review process.</w:t>
      </w:r>
    </w:p>
    <w:p w14:paraId="4CF70EAC" w14:textId="77777777" w:rsidR="00933490" w:rsidRDefault="00933490" w:rsidP="00E65AF0"/>
    <w:p w14:paraId="054963B3" w14:textId="77777777" w:rsidR="00E65AF0" w:rsidRDefault="00E65AF0" w:rsidP="00E65AF0">
      <w:pPr>
        <w:pStyle w:val="Heading2"/>
      </w:pPr>
      <w:bookmarkStart w:id="23" w:name="_Toc235909344"/>
      <w:r>
        <w:t>3.4 – Research Validation</w:t>
      </w:r>
      <w:bookmarkEnd w:id="23"/>
    </w:p>
    <w:p w14:paraId="6B826D2B" w14:textId="2F61E766" w:rsidR="00E65AF0" w:rsidRPr="00D65CC4" w:rsidRDefault="00E65AF0" w:rsidP="00E65AF0">
      <w:pPr>
        <w:rPr>
          <w:rFonts w:ascii="Arial" w:hAnsi="Arial" w:cs="Arial"/>
        </w:rPr>
      </w:pPr>
      <w:r w:rsidRPr="00D65CC4">
        <w:rPr>
          <w:rFonts w:ascii="Arial" w:hAnsi="Arial" w:cs="Arial"/>
        </w:rPr>
        <w:t xml:space="preserve">Research validation was carried out to make sure that the study included only credible and relevant sources. Initial screening included reading the titles, abstracts, introduction and conclusions of articles to determine their relevance to dementia diagnosis, cognitive screening and nursing practice. This process was very effective </w:t>
      </w:r>
      <w:r w:rsidR="00181BC5" w:rsidRPr="00D65CC4">
        <w:rPr>
          <w:rFonts w:ascii="Arial" w:hAnsi="Arial" w:cs="Arial"/>
        </w:rPr>
        <w:t>in excluding</w:t>
      </w:r>
      <w:r w:rsidRPr="00D65CC4">
        <w:rPr>
          <w:rFonts w:ascii="Arial" w:hAnsi="Arial" w:cs="Arial"/>
        </w:rPr>
        <w:t xml:space="preserve"> unrelated or poor-quality studies. Then, the selected literature was evaluated using the CRAAP test instrument, designed to measure the quality and reliability of the literature. The results of the assessment were written and documented in Appendix 2: CRAAP Test Table (Muis </w:t>
      </w:r>
      <w:r w:rsidRPr="00D65CC4">
        <w:rPr>
          <w:rFonts w:ascii="Arial" w:hAnsi="Arial" w:cs="Arial"/>
          <w:i/>
          <w:iCs/>
        </w:rPr>
        <w:t xml:space="preserve">et al., </w:t>
      </w:r>
      <w:r w:rsidRPr="00D65CC4">
        <w:rPr>
          <w:rFonts w:ascii="Arial" w:hAnsi="Arial" w:cs="Arial"/>
        </w:rPr>
        <w:t>2022). Sources that highly matched the standards for currency, relevance and authority were prioritised. Peer-reviewed studies from the last ten years by reputable health sciences researchers were deemed to be more appropriate than more dated or non-academic studies with less evidence or methodological clarity.</w:t>
      </w:r>
    </w:p>
    <w:p w14:paraId="05A2EBBB" w14:textId="77777777" w:rsidR="00E65AF0" w:rsidRDefault="00E65AF0" w:rsidP="00E65AF0"/>
    <w:p w14:paraId="2383315D" w14:textId="77777777" w:rsidR="001E5E36" w:rsidRDefault="001E5E36" w:rsidP="00E65AF0"/>
    <w:p w14:paraId="563A27FE" w14:textId="77777777" w:rsidR="00E65AF0" w:rsidRDefault="00E65AF0" w:rsidP="00E65AF0">
      <w:pPr>
        <w:pStyle w:val="Heading2"/>
      </w:pPr>
      <w:bookmarkStart w:id="24" w:name="_Toc235909345"/>
      <w:r>
        <w:lastRenderedPageBreak/>
        <w:t>3.5 - Inclusion and Exclusion Criteria</w:t>
      </w:r>
      <w:bookmarkEnd w:id="24"/>
    </w:p>
    <w:p w14:paraId="322AE9D0" w14:textId="79C42547" w:rsidR="000130ED" w:rsidRPr="001E5E36" w:rsidRDefault="008B643A" w:rsidP="00E65AF0">
      <w:pPr>
        <w:rPr>
          <w:rFonts w:ascii="Arial" w:hAnsi="Arial" w:cs="Arial"/>
        </w:rPr>
      </w:pPr>
      <w:r w:rsidRPr="001E5E36">
        <w:rPr>
          <w:rFonts w:ascii="Arial" w:hAnsi="Arial" w:cs="Arial"/>
        </w:rPr>
        <w:t xml:space="preserve">The inclusion criteria used were developed to select studies that best answered the research question. All studies included were peer-reviewed, English-language journal articles published in the last 10 years, available online and related to either the detection of dementia or cognitive assessment of older adults. Studies pertinent to healthcare and nursing practice were given preference in the United Kingdom to ensure that they would </w:t>
      </w:r>
      <w:r w:rsidR="001E5E36" w:rsidRPr="001E5E36">
        <w:rPr>
          <w:rFonts w:ascii="Arial" w:hAnsi="Arial" w:cs="Arial"/>
        </w:rPr>
        <w:t>apply</w:t>
      </w:r>
      <w:r w:rsidRPr="001E5E36">
        <w:rPr>
          <w:rFonts w:ascii="Arial" w:hAnsi="Arial" w:cs="Arial"/>
        </w:rPr>
        <w:t xml:space="preserve"> to the research context. </w:t>
      </w:r>
      <w:r w:rsidR="000130ED" w:rsidRPr="001E5E36">
        <w:rPr>
          <w:rFonts w:ascii="Arial" w:hAnsi="Arial" w:cs="Arial"/>
        </w:rPr>
        <w:t xml:space="preserve">The criteria for exclusion </w:t>
      </w:r>
      <w:r w:rsidR="001E5E36" w:rsidRPr="001E5E36">
        <w:rPr>
          <w:rFonts w:ascii="Arial" w:hAnsi="Arial" w:cs="Arial"/>
        </w:rPr>
        <w:t>were</w:t>
      </w:r>
      <w:r w:rsidR="000130ED" w:rsidRPr="001E5E36">
        <w:rPr>
          <w:rFonts w:ascii="Arial" w:hAnsi="Arial" w:cs="Arial"/>
        </w:rPr>
        <w:t xml:space="preserve"> non-peer-reviewed papers, opinion blogs, papers published </w:t>
      </w:r>
      <w:r w:rsidR="001E5E36" w:rsidRPr="001E5E36">
        <w:rPr>
          <w:rFonts w:ascii="Arial" w:hAnsi="Arial" w:cs="Arial"/>
        </w:rPr>
        <w:t>more</w:t>
      </w:r>
      <w:r w:rsidR="000130ED" w:rsidRPr="001E5E36">
        <w:rPr>
          <w:rFonts w:ascii="Arial" w:hAnsi="Arial" w:cs="Arial"/>
        </w:rPr>
        <w:t xml:space="preserve"> than 10 years</w:t>
      </w:r>
      <w:r w:rsidR="001E5E36" w:rsidRPr="001E5E36">
        <w:rPr>
          <w:rFonts w:ascii="Arial" w:hAnsi="Arial" w:cs="Arial"/>
        </w:rPr>
        <w:t xml:space="preserve"> ago</w:t>
      </w:r>
      <w:r w:rsidR="000130ED" w:rsidRPr="001E5E36">
        <w:rPr>
          <w:rFonts w:ascii="Arial" w:hAnsi="Arial" w:cs="Arial"/>
        </w:rPr>
        <w:t xml:space="preserve">, papers that were not relevant to the context in the UK and those that were not available online. By applying these criteria, the quality, reliability, and focus of the research were ensured, and only current and academically credible evidence informed the study findings (Shaheen </w:t>
      </w:r>
      <w:r w:rsidR="000130ED" w:rsidRPr="001E5E36">
        <w:rPr>
          <w:rFonts w:ascii="Arial" w:hAnsi="Arial" w:cs="Arial"/>
          <w:i/>
          <w:iCs/>
        </w:rPr>
        <w:t>et al</w:t>
      </w:r>
      <w:r w:rsidR="000130ED" w:rsidRPr="001E5E36">
        <w:rPr>
          <w:rFonts w:ascii="Arial" w:hAnsi="Arial" w:cs="Arial"/>
        </w:rPr>
        <w:t>., 2023).</w:t>
      </w:r>
    </w:p>
    <w:p w14:paraId="485664EA" w14:textId="77777777" w:rsidR="006961D2" w:rsidRDefault="006961D2" w:rsidP="00E65AF0"/>
    <w:p w14:paraId="20EDE7D4" w14:textId="77777777" w:rsidR="00E65AF0" w:rsidRDefault="00E65AF0" w:rsidP="00E65AF0">
      <w:pPr>
        <w:pStyle w:val="Heading2"/>
      </w:pPr>
      <w:bookmarkStart w:id="25" w:name="_Toc235909346"/>
      <w:r>
        <w:t>3.6 – Analysing Research</w:t>
      </w:r>
      <w:bookmarkEnd w:id="25"/>
    </w:p>
    <w:p w14:paraId="298C950A" w14:textId="03AA5139" w:rsidR="00DB7D9B" w:rsidRPr="001E5E36" w:rsidRDefault="002C630C" w:rsidP="002C630C">
      <w:pPr>
        <w:rPr>
          <w:rFonts w:ascii="Arial" w:hAnsi="Arial" w:cs="Arial"/>
        </w:rPr>
      </w:pPr>
      <w:r w:rsidRPr="001E5E36">
        <w:rPr>
          <w:rFonts w:ascii="Arial" w:hAnsi="Arial" w:cs="Arial"/>
        </w:rPr>
        <w:t xml:space="preserve">Selected literature was analysed by using a thematic coding technique in a structured and organised manner. </w:t>
      </w:r>
      <w:r w:rsidR="00F56011">
        <w:rPr>
          <w:rFonts w:ascii="Arial" w:hAnsi="Arial" w:cs="Arial"/>
        </w:rPr>
        <w:t>To</w:t>
      </w:r>
      <w:r w:rsidRPr="001E5E36">
        <w:rPr>
          <w:rFonts w:ascii="Arial" w:hAnsi="Arial" w:cs="Arial"/>
        </w:rPr>
        <w:t xml:space="preserve"> identify concepts, findings and issues of recognition of dementia, cognitive assessment and nursing practice in each article, each of the articles was analysed in detail to find repeated concepts, findings and issues. Words, phrases and patterns were found to be recurring in the studies</w:t>
      </w:r>
      <w:r w:rsidR="001E5E36">
        <w:rPr>
          <w:rFonts w:ascii="Arial" w:hAnsi="Arial" w:cs="Arial"/>
        </w:rPr>
        <w:t>,</w:t>
      </w:r>
      <w:r w:rsidRPr="001E5E36">
        <w:rPr>
          <w:rFonts w:ascii="Arial" w:hAnsi="Arial" w:cs="Arial"/>
        </w:rPr>
        <w:t xml:space="preserve"> and initial codes were created from these recurring words and phrases. The codes included recognition memory, screening accuracy, barriers to diagnosis, readiness to provide services, and cultural factors and dementia care. These initial codes were subsequently systematically analysed in all the included studies, and codes that were presented repeatedly, or represented similar concepts, were clustered </w:t>
      </w:r>
      <w:r w:rsidR="00F56011">
        <w:rPr>
          <w:rFonts w:ascii="Arial" w:hAnsi="Arial" w:cs="Arial"/>
        </w:rPr>
        <w:t>based on</w:t>
      </w:r>
      <w:r w:rsidRPr="001E5E36">
        <w:rPr>
          <w:rFonts w:ascii="Arial" w:hAnsi="Arial" w:cs="Arial"/>
        </w:rPr>
        <w:t xml:space="preserve"> conceptual similarity and relevance to the research aim and objectives. Once coded, similar codes were combined into themes that focused on the general research purpose and research goals. This process was repeated so new themes would be based on the evidence, and not on any individual study, and would also have a clear and organised basis for the findings presented in Chapter 4. They identified key themes regarding clinical/cognitive markers, assessment tools used in primary care and effectiveness and challenges of early recognition strategies. Codes were documented in tables and spreadsheets to ensure organisation and consistency and to provide for comparison of codes across studies and for tracking the development of the themes.</w:t>
      </w:r>
    </w:p>
    <w:p w14:paraId="6098E671" w14:textId="77777777" w:rsidR="00D86CA5" w:rsidRDefault="00D86CA5" w:rsidP="00E65AF0"/>
    <w:p w14:paraId="23DEFF92" w14:textId="77777777" w:rsidR="00210D79" w:rsidRDefault="00210D79" w:rsidP="00E65AF0"/>
    <w:p w14:paraId="26BDDAA1" w14:textId="77777777" w:rsidR="00E65AF0" w:rsidRDefault="00E65AF0" w:rsidP="00E65AF0">
      <w:pPr>
        <w:pStyle w:val="Heading2"/>
      </w:pPr>
      <w:bookmarkStart w:id="26" w:name="_Toc235909347"/>
      <w:r>
        <w:lastRenderedPageBreak/>
        <w:t>3.7 – Ethical Considerations</w:t>
      </w:r>
      <w:bookmarkEnd w:id="26"/>
    </w:p>
    <w:p w14:paraId="5C791519" w14:textId="63248694" w:rsidR="00E65AF0" w:rsidRPr="00210D79" w:rsidRDefault="00E65AF0" w:rsidP="00E65AF0">
      <w:pPr>
        <w:rPr>
          <w:rFonts w:ascii="Arial" w:hAnsi="Arial" w:cs="Arial"/>
        </w:rPr>
      </w:pPr>
      <w:r w:rsidRPr="00210D79">
        <w:rPr>
          <w:rFonts w:ascii="Arial" w:hAnsi="Arial" w:cs="Arial"/>
        </w:rPr>
        <w:t xml:space="preserve">This study was secondary, and no primary data were collected from the participants, thereby reducing the ethical risks of primary research. Ethical responsibility was upheld by giving appropriate credit to all sources, using a Harvard </w:t>
      </w:r>
      <w:r w:rsidR="00F56011" w:rsidRPr="00210D79">
        <w:rPr>
          <w:rFonts w:ascii="Arial" w:hAnsi="Arial" w:cs="Arial"/>
        </w:rPr>
        <w:t>referencing system</w:t>
      </w:r>
      <w:r w:rsidRPr="00210D79">
        <w:rPr>
          <w:rFonts w:ascii="Arial" w:hAnsi="Arial" w:cs="Arial"/>
        </w:rPr>
        <w:t xml:space="preserve"> and avoiding plagiarism or misquoting of findings. The research also sought to provide transparency in a systematic literature selection and an objective presentation of evidence without violating the rules of logic or the personal biases of the researchers. Academic integrity and fairness in interpreting published research are fundamental to ensuring credibility, reliability and trustworthiness in secondary research within academic investigation (</w:t>
      </w:r>
      <w:proofErr w:type="spellStart"/>
      <w:r w:rsidRPr="00210D79">
        <w:rPr>
          <w:rFonts w:ascii="Arial" w:hAnsi="Arial" w:cs="Arial"/>
        </w:rPr>
        <w:t>Zhaksylyk</w:t>
      </w:r>
      <w:proofErr w:type="spellEnd"/>
      <w:r w:rsidRPr="00210D79">
        <w:rPr>
          <w:rFonts w:ascii="Arial" w:hAnsi="Arial" w:cs="Arial"/>
        </w:rPr>
        <w:t xml:space="preserve"> </w:t>
      </w:r>
      <w:r w:rsidRPr="00210D79">
        <w:rPr>
          <w:rFonts w:ascii="Arial" w:hAnsi="Arial" w:cs="Arial"/>
          <w:i/>
          <w:iCs/>
        </w:rPr>
        <w:t>et al.,</w:t>
      </w:r>
      <w:r w:rsidRPr="00210D79">
        <w:rPr>
          <w:rFonts w:ascii="Arial" w:hAnsi="Arial" w:cs="Arial"/>
        </w:rPr>
        <w:t xml:space="preserve"> 2023).</w:t>
      </w:r>
    </w:p>
    <w:p w14:paraId="2C2B4C48" w14:textId="77777777" w:rsidR="00E65AF0" w:rsidRDefault="00E65AF0" w:rsidP="00E65AF0"/>
    <w:p w14:paraId="141A24B9" w14:textId="77777777" w:rsidR="00E65AF0" w:rsidRDefault="00E65AF0" w:rsidP="00E65AF0">
      <w:pPr>
        <w:pStyle w:val="Heading2"/>
      </w:pPr>
      <w:bookmarkStart w:id="27" w:name="_Toc235909348"/>
      <w:r>
        <w:t>3.8 – Chapter Conclusion</w:t>
      </w:r>
      <w:bookmarkEnd w:id="27"/>
    </w:p>
    <w:p w14:paraId="6592C15B" w14:textId="05578F04" w:rsidR="00A77835" w:rsidRPr="00210D79" w:rsidRDefault="00E65AF0" w:rsidP="00E65AF0">
      <w:pPr>
        <w:rPr>
          <w:rFonts w:ascii="Arial" w:hAnsi="Arial" w:cs="Arial"/>
        </w:rPr>
      </w:pPr>
      <w:r w:rsidRPr="00210D79">
        <w:rPr>
          <w:rFonts w:ascii="Arial" w:hAnsi="Arial" w:cs="Arial"/>
        </w:rPr>
        <w:t xml:space="preserve">The methodology employed in identifying, evaluating and analysing literature on early dementia recognition in older people was described in this chapter. It described how data were searched, how databases were chosen, inclusion and exclusion criteria, validation procedures, and </w:t>
      </w:r>
      <w:r w:rsidR="00210D79">
        <w:rPr>
          <w:rFonts w:ascii="Arial" w:hAnsi="Arial" w:cs="Arial"/>
        </w:rPr>
        <w:t xml:space="preserve">how </w:t>
      </w:r>
      <w:r w:rsidRPr="00210D79">
        <w:rPr>
          <w:rFonts w:ascii="Arial" w:hAnsi="Arial" w:cs="Arial"/>
        </w:rPr>
        <w:t>ethical issues were observed to ensure the quality and relevance of research. Systematic searching and structured analysis were emphasised as helpful to credible findings for the chapter, as well. The results of the literature analysis will be presented in the fourth chapter and clearly organised in themes, directly related to the research aim and objectives.</w:t>
      </w:r>
    </w:p>
    <w:p w14:paraId="4B842BE9" w14:textId="666CFFC1" w:rsidR="00E65AF0" w:rsidRPr="005446BF" w:rsidRDefault="00E65AF0" w:rsidP="00A77835">
      <w:pPr>
        <w:spacing w:line="259" w:lineRule="auto"/>
        <w:jc w:val="left"/>
      </w:pPr>
      <w:r>
        <w:br w:type="page"/>
      </w:r>
    </w:p>
    <w:p w14:paraId="7991C57B" w14:textId="594B018D" w:rsidR="00636D9A" w:rsidRDefault="001C3AF6" w:rsidP="002F386A">
      <w:pPr>
        <w:pStyle w:val="Heading1"/>
      </w:pPr>
      <w:bookmarkStart w:id="28" w:name="_Toc235909349"/>
      <w:r w:rsidRPr="00636D9A">
        <w:lastRenderedPageBreak/>
        <w:t>C</w:t>
      </w:r>
      <w:r w:rsidR="00636D9A">
        <w:t>HAPTER</w:t>
      </w:r>
      <w:r w:rsidRPr="00636D9A">
        <w:t xml:space="preserve"> 4 – Findings and Discussion</w:t>
      </w:r>
      <w:bookmarkEnd w:id="28"/>
    </w:p>
    <w:p w14:paraId="29DB00E7" w14:textId="65D31EE4" w:rsidR="00407EB3" w:rsidRDefault="00407EB3" w:rsidP="006F50DC">
      <w:pPr>
        <w:pStyle w:val="Heading2"/>
      </w:pPr>
      <w:bookmarkStart w:id="29" w:name="_Toc235909350"/>
      <w:r>
        <w:t>4.1 – Introduction</w:t>
      </w:r>
      <w:bookmarkEnd w:id="29"/>
    </w:p>
    <w:p w14:paraId="6F54F528" w14:textId="7A639E00" w:rsidR="000E5493" w:rsidRPr="00210D79" w:rsidRDefault="00AA63FF" w:rsidP="000E5493">
      <w:pPr>
        <w:rPr>
          <w:rFonts w:ascii="Arial" w:hAnsi="Arial" w:cs="Arial"/>
        </w:rPr>
      </w:pPr>
      <w:r w:rsidRPr="00210D79">
        <w:rPr>
          <w:rFonts w:ascii="Arial" w:hAnsi="Arial" w:cs="Arial"/>
        </w:rPr>
        <w:t>This chapter is a summary of secondary research findings and a discussion of early recognition of dementia in older adults. It reviews work across three broad themes: clinical and cognitive indicators of early dementia and normal ageing, screening processes and assessment practices in care settings, and the impact and challenges of early recognition strategies and readiness and implementation of services. Each theme is explored, and patterns, inconsistencies and implications for practice are identified. The findings are directly related to the research question and are underlined as being relevant to the diagnosis of dementia and nursing assessment.</w:t>
      </w:r>
    </w:p>
    <w:p w14:paraId="5AB15ABD" w14:textId="77777777" w:rsidR="008A2116" w:rsidRPr="000E5493" w:rsidRDefault="008A2116" w:rsidP="000E5493"/>
    <w:p w14:paraId="51BE6925" w14:textId="294DE1B0" w:rsidR="00407EB3" w:rsidRDefault="00407EB3" w:rsidP="006F50DC">
      <w:pPr>
        <w:pStyle w:val="Heading2"/>
      </w:pPr>
      <w:bookmarkStart w:id="30" w:name="_Toc235909351"/>
      <w:r>
        <w:t>4.2 – Thematic Analysis</w:t>
      </w:r>
      <w:bookmarkEnd w:id="30"/>
    </w:p>
    <w:p w14:paraId="2BD7F4FB" w14:textId="12F0FFD2" w:rsidR="000E5493" w:rsidRPr="00210D79" w:rsidRDefault="008A2116" w:rsidP="000E5493">
      <w:pPr>
        <w:rPr>
          <w:rFonts w:ascii="Arial" w:hAnsi="Arial" w:cs="Arial"/>
        </w:rPr>
      </w:pPr>
      <w:r w:rsidRPr="00210D79">
        <w:rPr>
          <w:rFonts w:ascii="Arial" w:hAnsi="Arial" w:cs="Arial"/>
        </w:rPr>
        <w:t>Thematic analysis is a qualitative analytical approach that helps identify, categorise and elaborate on themes or patterns in the data collected (Ahmed et al., 2025). Thematic analysis was used in the secondary research to analyse the findings from several studies for the purpose of identifying themes, relationships, and controversy in the research topic. This method was chosen as it enables structured evidence to be interpreted in relation to early recognition of dementia and evidence from different settings within the Healthcare and Nursing sector to be compared. The literature reviewed was examined using a coding procedure which involved identifying key findings, concepts that were repeated in the literature and key arguments. To maintain transparency and consistency in the analysis process, these categories were entered into the coding and results table in the appendices. Following this process, three major themes were identified. This comprises clinical and cognitive indicators of normal ageing from early dementia and screening, including strengths and weaknesses of dementia assessment practices in nursing and primary care, and implementation challenges and barriers to early recognition strategies. The following themes serve as the outline of the findings and discussion chapter.</w:t>
      </w:r>
    </w:p>
    <w:p w14:paraId="4292E64B" w14:textId="77777777" w:rsidR="008A2116" w:rsidRPr="000E5493" w:rsidRDefault="008A2116" w:rsidP="000E5493"/>
    <w:p w14:paraId="10D4985F" w14:textId="4B69BE33" w:rsidR="00407EB3" w:rsidRDefault="00407EB3" w:rsidP="006F50DC">
      <w:pPr>
        <w:pStyle w:val="Heading2"/>
      </w:pPr>
      <w:bookmarkStart w:id="31" w:name="_Toc235909352"/>
      <w:r>
        <w:t>4.3 – Theme 1</w:t>
      </w:r>
      <w:r w:rsidR="00EB3C2A">
        <w:t xml:space="preserve">: </w:t>
      </w:r>
      <w:r w:rsidR="00EB3C2A" w:rsidRPr="00EB3C2A">
        <w:t xml:space="preserve">Clinical </w:t>
      </w:r>
      <w:proofErr w:type="gramStart"/>
      <w:r w:rsidR="00EB3C2A" w:rsidRPr="00EB3C2A">
        <w:t>And</w:t>
      </w:r>
      <w:proofErr w:type="gramEnd"/>
      <w:r w:rsidR="00EB3C2A" w:rsidRPr="00EB3C2A">
        <w:t xml:space="preserve"> Cognitive Markers That Help Distinguish Normal Ageing </w:t>
      </w:r>
      <w:proofErr w:type="gramStart"/>
      <w:r w:rsidR="00EB3C2A" w:rsidRPr="00EB3C2A">
        <w:t>From</w:t>
      </w:r>
      <w:proofErr w:type="gramEnd"/>
      <w:r w:rsidR="00EB3C2A" w:rsidRPr="00EB3C2A">
        <w:t xml:space="preserve"> Early Dementia</w:t>
      </w:r>
      <w:bookmarkEnd w:id="31"/>
    </w:p>
    <w:p w14:paraId="46E62584" w14:textId="16DE0512" w:rsidR="00407EB3" w:rsidRDefault="00407EB3" w:rsidP="00D02F34">
      <w:pPr>
        <w:pStyle w:val="Heading3"/>
      </w:pPr>
      <w:bookmarkStart w:id="32" w:name="_Toc235909353"/>
      <w:r>
        <w:lastRenderedPageBreak/>
        <w:t>Definition</w:t>
      </w:r>
      <w:bookmarkEnd w:id="32"/>
    </w:p>
    <w:p w14:paraId="5E754CBE" w14:textId="6DFB8C1E" w:rsidR="000E5493" w:rsidRPr="00210D79" w:rsidRDefault="008A2116" w:rsidP="00D664E2">
      <w:pPr>
        <w:rPr>
          <w:rFonts w:ascii="Arial" w:hAnsi="Arial" w:cs="Arial"/>
        </w:rPr>
      </w:pPr>
      <w:r w:rsidRPr="00210D79">
        <w:rPr>
          <w:rFonts w:ascii="Arial" w:hAnsi="Arial" w:cs="Arial"/>
        </w:rPr>
        <w:t>Clinical and cognitive markers are neurological, behavioural and psychological observations that can be used to distinguish normal cognitive ageing from early dementia (</w:t>
      </w:r>
      <w:proofErr w:type="spellStart"/>
      <w:r w:rsidRPr="00210D79">
        <w:rPr>
          <w:rFonts w:ascii="Arial" w:hAnsi="Arial" w:cs="Arial"/>
        </w:rPr>
        <w:t>Kerminen</w:t>
      </w:r>
      <w:proofErr w:type="spellEnd"/>
      <w:r w:rsidRPr="00210D79">
        <w:rPr>
          <w:rFonts w:ascii="Arial" w:hAnsi="Arial" w:cs="Arial"/>
        </w:rPr>
        <w:t xml:space="preserve"> </w:t>
      </w:r>
      <w:r w:rsidRPr="00210D79">
        <w:rPr>
          <w:rFonts w:ascii="Arial" w:hAnsi="Arial" w:cs="Arial"/>
          <w:i/>
          <w:iCs/>
        </w:rPr>
        <w:t>et al.,</w:t>
      </w:r>
      <w:r w:rsidRPr="00210D79">
        <w:rPr>
          <w:rFonts w:ascii="Arial" w:hAnsi="Arial" w:cs="Arial"/>
        </w:rPr>
        <w:t xml:space="preserve"> 2024). The common features of normal ageing are slight forgetfulness, a slower rate of information processing, and forgetting names occasionally, whereas early dementia is marked by a gradual loss of memory, reasoning, language ability, and daily functioning. The initial symptoms of dementia may involve memory loss, problem-solving difficulties, and abnormal patterns of neural connections (</w:t>
      </w:r>
      <w:proofErr w:type="spellStart"/>
      <w:r w:rsidRPr="00210D79">
        <w:rPr>
          <w:rFonts w:ascii="Arial" w:hAnsi="Arial" w:cs="Arial"/>
        </w:rPr>
        <w:t>Ribarič</w:t>
      </w:r>
      <w:proofErr w:type="spellEnd"/>
      <w:r w:rsidRPr="00210D79">
        <w:rPr>
          <w:rFonts w:ascii="Arial" w:hAnsi="Arial" w:cs="Arial"/>
        </w:rPr>
        <w:t>, 2023). These signs are crucial as they may be overlooked as "old age", and a diagnosis and intervention are not made until later. As such, reliable markers have become a key focus of research on and assessment practices for dementia in the context of ageing populations.</w:t>
      </w:r>
    </w:p>
    <w:p w14:paraId="663B3A81" w14:textId="77777777" w:rsidR="008A2116" w:rsidRPr="000E5493" w:rsidRDefault="008A2116" w:rsidP="000E5493"/>
    <w:p w14:paraId="063A0ADB" w14:textId="550E009F" w:rsidR="00407EB3" w:rsidRDefault="00407EB3" w:rsidP="00D02F34">
      <w:pPr>
        <w:pStyle w:val="Heading3"/>
      </w:pPr>
      <w:bookmarkStart w:id="33" w:name="_Toc235909354"/>
      <w:r>
        <w:t>Background Information</w:t>
      </w:r>
      <w:bookmarkEnd w:id="33"/>
    </w:p>
    <w:p w14:paraId="153AA74F" w14:textId="747C1CA9" w:rsidR="000E5493" w:rsidRPr="00210D79" w:rsidRDefault="008A2116" w:rsidP="009A5EE2">
      <w:pPr>
        <w:rPr>
          <w:rFonts w:ascii="Arial" w:hAnsi="Arial" w:cs="Arial"/>
        </w:rPr>
      </w:pPr>
      <w:r w:rsidRPr="00210D79">
        <w:rPr>
          <w:rFonts w:ascii="Arial" w:hAnsi="Arial" w:cs="Arial"/>
        </w:rPr>
        <w:t xml:space="preserve">Traditionally, the diagnosis of dementia was made largely from behavioural observation and/or patient-reported symptoms, leading to the diagnosis being made only when functional impairments were substantial. With the development of neuroscience and neuroimaging, though, researchers have focused attention on earlier and more objective disease markers. Stothart </w:t>
      </w:r>
      <w:r w:rsidRPr="00210D79">
        <w:rPr>
          <w:rFonts w:ascii="Arial" w:hAnsi="Arial" w:cs="Arial"/>
          <w:i/>
          <w:iCs/>
        </w:rPr>
        <w:t>et al</w:t>
      </w:r>
      <w:r w:rsidRPr="00210D79">
        <w:rPr>
          <w:rFonts w:ascii="Arial" w:hAnsi="Arial" w:cs="Arial"/>
        </w:rPr>
        <w:t xml:space="preserve"> (2021) suggest that conventional behavioural memory evaluations might not capture subtle memory loss due to effort, education, and patient understanding. In the same vein, Keshavan </w:t>
      </w:r>
      <w:r w:rsidRPr="00210D79">
        <w:rPr>
          <w:rFonts w:ascii="Arial" w:hAnsi="Arial" w:cs="Arial"/>
          <w:i/>
          <w:iCs/>
        </w:rPr>
        <w:t>et al</w:t>
      </w:r>
      <w:r w:rsidRPr="00210D79">
        <w:rPr>
          <w:rFonts w:ascii="Arial" w:hAnsi="Arial" w:cs="Arial"/>
        </w:rPr>
        <w:t xml:space="preserve">. (2021) argue that blood screening for biomarkers can detect Alzheimer's-related disease changes that occur in the absence of any observed symptoms. Similarly, </w:t>
      </w:r>
      <w:proofErr w:type="spellStart"/>
      <w:r w:rsidRPr="00210D79">
        <w:rPr>
          <w:rFonts w:ascii="Arial" w:hAnsi="Arial" w:cs="Arial"/>
        </w:rPr>
        <w:t>Ereira</w:t>
      </w:r>
      <w:proofErr w:type="spellEnd"/>
      <w:r w:rsidRPr="00210D79">
        <w:rPr>
          <w:rFonts w:ascii="Arial" w:hAnsi="Arial" w:cs="Arial"/>
        </w:rPr>
        <w:t xml:space="preserve"> </w:t>
      </w:r>
      <w:r w:rsidRPr="00210D79">
        <w:rPr>
          <w:rFonts w:ascii="Arial" w:hAnsi="Arial" w:cs="Arial"/>
          <w:i/>
          <w:iCs/>
        </w:rPr>
        <w:t>et al.</w:t>
      </w:r>
      <w:r w:rsidRPr="00210D79">
        <w:rPr>
          <w:rFonts w:ascii="Arial" w:hAnsi="Arial" w:cs="Arial"/>
        </w:rPr>
        <w:t xml:space="preserve"> (2024) proposed that changes in functional connectivity in the brain's default-mode network have predictive value for dementia several years ahead of the diagnosis. These studies all show a shift from observational diagnosis to biology-based detection strategies. However, issues surrounding access, cost and practicality of incorporating into regular nursing assessment remain.</w:t>
      </w:r>
    </w:p>
    <w:p w14:paraId="58646DC3" w14:textId="77777777" w:rsidR="008A2116" w:rsidRPr="000E5493" w:rsidRDefault="008A2116" w:rsidP="000E5493"/>
    <w:p w14:paraId="7BBF1520" w14:textId="0631497C" w:rsidR="00407EB3" w:rsidRDefault="00407EB3" w:rsidP="00D02F34">
      <w:pPr>
        <w:pStyle w:val="Heading3"/>
      </w:pPr>
      <w:bookmarkStart w:id="34" w:name="_Toc235909355"/>
      <w:r>
        <w:t>Impact on Research Question</w:t>
      </w:r>
      <w:bookmarkEnd w:id="34"/>
    </w:p>
    <w:p w14:paraId="213D243A" w14:textId="22DA1DA1" w:rsidR="00B4294B" w:rsidRDefault="00855A02" w:rsidP="000E5493">
      <w:r w:rsidRPr="00A420C9">
        <w:rPr>
          <w:rFonts w:ascii="Arial" w:hAnsi="Arial" w:cs="Arial"/>
        </w:rPr>
        <w:t xml:space="preserve">This theme is directly related to the research question, as it is a discussion about how </w:t>
      </w:r>
      <w:r w:rsidR="00301C30" w:rsidRPr="00A420C9">
        <w:rPr>
          <w:rFonts w:ascii="Arial" w:hAnsi="Arial" w:cs="Arial"/>
        </w:rPr>
        <w:t>primary care nurses</w:t>
      </w:r>
      <w:r w:rsidRPr="00A420C9">
        <w:rPr>
          <w:rFonts w:ascii="Arial" w:hAnsi="Arial" w:cs="Arial"/>
        </w:rPr>
        <w:t xml:space="preserve"> and healthcare professionals may better differentiate normal ageing from early dementia. In Alzheimer's disease, Stothart </w:t>
      </w:r>
      <w:r w:rsidRPr="00A420C9">
        <w:rPr>
          <w:rFonts w:ascii="Arial" w:hAnsi="Arial" w:cs="Arial"/>
          <w:i/>
          <w:iCs/>
        </w:rPr>
        <w:t>et al.</w:t>
      </w:r>
      <w:r w:rsidRPr="00A420C9">
        <w:rPr>
          <w:rFonts w:ascii="Arial" w:hAnsi="Arial" w:cs="Arial"/>
        </w:rPr>
        <w:t xml:space="preserve"> (2021) showed that the Fastball EEG technology was able to reveal impairments in recognition memory despite minimal between-</w:t>
      </w:r>
      <w:r w:rsidRPr="00A420C9">
        <w:rPr>
          <w:rFonts w:ascii="Arial" w:hAnsi="Arial" w:cs="Arial"/>
        </w:rPr>
        <w:lastRenderedPageBreak/>
        <w:t xml:space="preserve">group differences on behavioural measures, indicating that objective neurological measures may provide earlier detection of pathology than traditional cognitive measures. </w:t>
      </w:r>
      <w:r w:rsidR="0084640E" w:rsidRPr="00A420C9">
        <w:rPr>
          <w:rFonts w:ascii="Arial" w:hAnsi="Arial" w:cs="Arial"/>
        </w:rPr>
        <w:t xml:space="preserve">Likewise, </w:t>
      </w:r>
      <w:proofErr w:type="spellStart"/>
      <w:r w:rsidR="0084640E" w:rsidRPr="00A420C9">
        <w:rPr>
          <w:rFonts w:ascii="Arial" w:hAnsi="Arial" w:cs="Arial"/>
        </w:rPr>
        <w:t>Ereira</w:t>
      </w:r>
      <w:proofErr w:type="spellEnd"/>
      <w:r w:rsidR="0084640E" w:rsidRPr="00A420C9">
        <w:rPr>
          <w:rFonts w:ascii="Arial" w:hAnsi="Arial" w:cs="Arial"/>
        </w:rPr>
        <w:t xml:space="preserve"> </w:t>
      </w:r>
      <w:r w:rsidR="0084640E" w:rsidRPr="00A420C9">
        <w:rPr>
          <w:rFonts w:ascii="Arial" w:hAnsi="Arial" w:cs="Arial"/>
          <w:i/>
          <w:iCs/>
        </w:rPr>
        <w:t>et al.</w:t>
      </w:r>
      <w:r w:rsidR="0084640E" w:rsidRPr="00A420C9">
        <w:rPr>
          <w:rFonts w:ascii="Arial" w:hAnsi="Arial" w:cs="Arial"/>
        </w:rPr>
        <w:t xml:space="preserve"> (2024) proposed that default-mode network dysconnectivity is a potential early biomarker for dementia before the clinical diagnosis. These results, however, are subject to some limitations in the sample, potential for </w:t>
      </w:r>
      <w:r w:rsidR="00A420C9">
        <w:rPr>
          <w:rFonts w:ascii="Arial" w:hAnsi="Arial" w:cs="Arial"/>
        </w:rPr>
        <w:t>false positives</w:t>
      </w:r>
      <w:r w:rsidR="0084640E" w:rsidRPr="00A420C9">
        <w:rPr>
          <w:rFonts w:ascii="Arial" w:hAnsi="Arial" w:cs="Arial"/>
        </w:rPr>
        <w:t>, and the uncertainty of their replicability in routine clinical practice.</w:t>
      </w:r>
      <w:r w:rsidR="0084640E">
        <w:t xml:space="preserve"> </w:t>
      </w:r>
    </w:p>
    <w:p w14:paraId="54E406EE" w14:textId="4829322A" w:rsidR="00C6785F" w:rsidRPr="00A420C9" w:rsidRDefault="00855A02" w:rsidP="000E5493">
      <w:pPr>
        <w:rPr>
          <w:rFonts w:ascii="Arial" w:hAnsi="Arial" w:cs="Arial"/>
          <w:highlight w:val="yellow"/>
        </w:rPr>
      </w:pPr>
      <w:r w:rsidRPr="00A420C9">
        <w:rPr>
          <w:rFonts w:ascii="Arial" w:hAnsi="Arial" w:cs="Arial"/>
        </w:rPr>
        <w:t xml:space="preserve">Keshavan </w:t>
      </w:r>
      <w:r w:rsidRPr="00A420C9">
        <w:rPr>
          <w:rFonts w:ascii="Arial" w:hAnsi="Arial" w:cs="Arial"/>
          <w:i/>
          <w:iCs/>
        </w:rPr>
        <w:t>et al.</w:t>
      </w:r>
      <w:r w:rsidRPr="00A420C9">
        <w:rPr>
          <w:rFonts w:ascii="Arial" w:hAnsi="Arial" w:cs="Arial"/>
        </w:rPr>
        <w:t xml:space="preserve"> (2021) challenge the notion of the equal effectiveness of all biomarker methods, however, and find that some blood-based screening techniques did not work as well as mass spectrometry techniques. This was a highlight of the continuing challenges with finding generally applicable diagnostic markers. </w:t>
      </w:r>
      <w:r w:rsidR="00C6785F" w:rsidRPr="00A420C9">
        <w:rPr>
          <w:rFonts w:ascii="Arial" w:hAnsi="Arial" w:cs="Arial"/>
        </w:rPr>
        <w:t>The research together suggests that behavioural symptoms would not necessarily distinguish early dementia. Advanced tests should be used in conjunction with clinical judgment</w:t>
      </w:r>
      <w:r w:rsidR="00A420C9">
        <w:rPr>
          <w:rFonts w:ascii="Arial" w:hAnsi="Arial" w:cs="Arial"/>
        </w:rPr>
        <w:t>;</w:t>
      </w:r>
      <w:r w:rsidR="00C6785F" w:rsidRPr="00A420C9">
        <w:rPr>
          <w:rFonts w:ascii="Arial" w:hAnsi="Arial" w:cs="Arial"/>
        </w:rPr>
        <w:t xml:space="preserve"> </w:t>
      </w:r>
      <w:r w:rsidR="009A7EF3" w:rsidRPr="00A420C9">
        <w:rPr>
          <w:rFonts w:ascii="Arial" w:hAnsi="Arial" w:cs="Arial"/>
        </w:rPr>
        <w:t>however</w:t>
      </w:r>
      <w:r w:rsidR="00A420C9">
        <w:rPr>
          <w:rFonts w:ascii="Arial" w:hAnsi="Arial" w:cs="Arial"/>
        </w:rPr>
        <w:t>,</w:t>
      </w:r>
      <w:r w:rsidR="00C6785F" w:rsidRPr="00A420C9">
        <w:rPr>
          <w:rFonts w:ascii="Arial" w:hAnsi="Arial" w:cs="Arial"/>
        </w:rPr>
        <w:t xml:space="preserve"> primary care nurses are not alone in the interpretation of neuroimaging or biomarker results. </w:t>
      </w:r>
      <w:r w:rsidR="009A7EF3" w:rsidRPr="00A420C9">
        <w:rPr>
          <w:rFonts w:ascii="Arial" w:hAnsi="Arial" w:cs="Arial"/>
        </w:rPr>
        <w:t>Instead</w:t>
      </w:r>
      <w:r w:rsidR="00C6785F" w:rsidRPr="00A420C9">
        <w:rPr>
          <w:rFonts w:ascii="Arial" w:hAnsi="Arial" w:cs="Arial"/>
        </w:rPr>
        <w:t xml:space="preserve">, subtle changes in memory, orientation, and </w:t>
      </w:r>
      <w:r w:rsidR="00DA1E2D" w:rsidRPr="00A420C9">
        <w:rPr>
          <w:rFonts w:ascii="Arial" w:hAnsi="Arial" w:cs="Arial"/>
        </w:rPr>
        <w:t>daily</w:t>
      </w:r>
      <w:r w:rsidR="00C6785F" w:rsidRPr="00A420C9">
        <w:rPr>
          <w:rFonts w:ascii="Arial" w:hAnsi="Arial" w:cs="Arial"/>
        </w:rPr>
        <w:t xml:space="preserve"> function are important cues for specialist referral based upon nursing observations. </w:t>
      </w:r>
    </w:p>
    <w:p w14:paraId="4F5293A2" w14:textId="77777777" w:rsidR="00855A02" w:rsidRPr="000E5493" w:rsidRDefault="00855A02" w:rsidP="000E5493"/>
    <w:p w14:paraId="77B5FC25" w14:textId="7349D06E" w:rsidR="00407EB3" w:rsidRDefault="00407EB3" w:rsidP="00D02F34">
      <w:pPr>
        <w:pStyle w:val="Heading3"/>
      </w:pPr>
      <w:bookmarkStart w:id="35" w:name="_Toc235909356"/>
      <w:r>
        <w:t>Theories, Policies, and Legislation</w:t>
      </w:r>
      <w:bookmarkEnd w:id="35"/>
    </w:p>
    <w:p w14:paraId="01701330" w14:textId="4BEC29DF" w:rsidR="00855A02" w:rsidRPr="00A420C9" w:rsidRDefault="00855A02" w:rsidP="00855A02">
      <w:pPr>
        <w:rPr>
          <w:rFonts w:ascii="Arial" w:hAnsi="Arial" w:cs="Arial"/>
        </w:rPr>
      </w:pPr>
      <w:r w:rsidRPr="00A420C9">
        <w:rPr>
          <w:rFonts w:ascii="Arial" w:hAnsi="Arial" w:cs="Arial"/>
        </w:rPr>
        <w:t xml:space="preserve">There are several theoretical approaches underlying the understanding of clinical and cognitive markers for dementia research. The neurodegenerative theory suggests that dementia is a result of the progressive loss of neurons due to pathological mechanisms such as the deposition of amyloid and abnormalities in tau proteins. This is supported by the results of Keshavan </w:t>
      </w:r>
      <w:r w:rsidRPr="00A420C9">
        <w:rPr>
          <w:rFonts w:ascii="Arial" w:hAnsi="Arial" w:cs="Arial"/>
          <w:i/>
          <w:iCs/>
        </w:rPr>
        <w:t>et al.</w:t>
      </w:r>
      <w:r w:rsidRPr="00A420C9">
        <w:rPr>
          <w:rFonts w:ascii="Arial" w:hAnsi="Arial" w:cs="Arial"/>
        </w:rPr>
        <w:t xml:space="preserve"> (2021), which showed that plasma amyloid-beta levels could detect preclinical Alzheimer's disease. Likewise, </w:t>
      </w:r>
      <w:proofErr w:type="spellStart"/>
      <w:r w:rsidRPr="00A420C9">
        <w:rPr>
          <w:rFonts w:ascii="Arial" w:hAnsi="Arial" w:cs="Arial"/>
        </w:rPr>
        <w:t>Ereira</w:t>
      </w:r>
      <w:proofErr w:type="spellEnd"/>
      <w:r w:rsidRPr="00A420C9">
        <w:rPr>
          <w:rFonts w:ascii="Arial" w:hAnsi="Arial" w:cs="Arial"/>
        </w:rPr>
        <w:t xml:space="preserve"> </w:t>
      </w:r>
      <w:r w:rsidRPr="00A420C9">
        <w:rPr>
          <w:rFonts w:ascii="Arial" w:hAnsi="Arial" w:cs="Arial"/>
          <w:i/>
          <w:iCs/>
        </w:rPr>
        <w:t>et al.</w:t>
      </w:r>
      <w:r w:rsidRPr="00A420C9">
        <w:rPr>
          <w:rFonts w:ascii="Arial" w:hAnsi="Arial" w:cs="Arial"/>
        </w:rPr>
        <w:t xml:space="preserve"> (2024) employ the connectivity-based theory of the brain, which posits that disturbance of the default-mode network is the first pathological change in the brain, before structural deterioration. Stothart </w:t>
      </w:r>
      <w:r w:rsidRPr="00A420C9">
        <w:rPr>
          <w:rFonts w:ascii="Arial" w:hAnsi="Arial" w:cs="Arial"/>
          <w:i/>
          <w:iCs/>
        </w:rPr>
        <w:t>et al.</w:t>
      </w:r>
      <w:r w:rsidRPr="00A420C9">
        <w:rPr>
          <w:rFonts w:ascii="Arial" w:hAnsi="Arial" w:cs="Arial"/>
        </w:rPr>
        <w:t xml:space="preserve"> (2021), on the other hand, question structural-only approaches by proposing that functional cognitive impairment could occur </w:t>
      </w:r>
      <w:r w:rsidR="00A420C9">
        <w:rPr>
          <w:rFonts w:ascii="Arial" w:hAnsi="Arial" w:cs="Arial"/>
        </w:rPr>
        <w:t>before</w:t>
      </w:r>
      <w:r w:rsidRPr="00A420C9">
        <w:rPr>
          <w:rFonts w:ascii="Arial" w:hAnsi="Arial" w:cs="Arial"/>
        </w:rPr>
        <w:t xml:space="preserve"> the onset of traditional behavioural impairments.</w:t>
      </w:r>
    </w:p>
    <w:p w14:paraId="71CE0F4F" w14:textId="7809B054" w:rsidR="000E5493" w:rsidRDefault="00855A02" w:rsidP="00855A02">
      <w:r w:rsidRPr="004E4BD1">
        <w:rPr>
          <w:rFonts w:ascii="Arial" w:hAnsi="Arial" w:cs="Arial"/>
        </w:rPr>
        <w:t xml:space="preserve">Thus, their EEG method is in line with the theories of recognition memory disruption in the early period, which are central to cognitive processing theories. Policy frameworks continue to signal </w:t>
      </w:r>
      <w:r w:rsidR="002D041B" w:rsidRPr="004E4BD1">
        <w:rPr>
          <w:rFonts w:ascii="Arial" w:hAnsi="Arial" w:cs="Arial"/>
        </w:rPr>
        <w:t>more</w:t>
      </w:r>
      <w:r w:rsidRPr="004E4BD1">
        <w:rPr>
          <w:rFonts w:ascii="Arial" w:hAnsi="Arial" w:cs="Arial"/>
        </w:rPr>
        <w:t xml:space="preserve"> the need for earlier diagnoses of dementia and interventions that prevent the onset of dementia. The National Dementia Strategy in the United Kingdom aims to ensure that dementia is diagnosed early, and there are increased opportunities for access to assessment services (</w:t>
      </w:r>
      <w:r w:rsidR="00DE1B35" w:rsidRPr="004E4BD1">
        <w:rPr>
          <w:rFonts w:ascii="Arial" w:hAnsi="Arial" w:cs="Arial"/>
        </w:rPr>
        <w:t>Department of Health</w:t>
      </w:r>
      <w:r w:rsidRPr="004E4BD1">
        <w:rPr>
          <w:rFonts w:ascii="Arial" w:hAnsi="Arial" w:cs="Arial"/>
        </w:rPr>
        <w:t xml:space="preserve">, 2009). Similarly, the NHS Long Term Plan will back innovation in new technologies for diagnosis, and faster pathways to earlier interventions will be </w:t>
      </w:r>
      <w:r w:rsidRPr="004E4BD1">
        <w:rPr>
          <w:rFonts w:ascii="Arial" w:hAnsi="Arial" w:cs="Arial"/>
        </w:rPr>
        <w:lastRenderedPageBreak/>
        <w:t>supported (</w:t>
      </w:r>
      <w:r w:rsidR="00EC5609" w:rsidRPr="004E4BD1">
        <w:rPr>
          <w:rFonts w:ascii="Arial" w:hAnsi="Arial" w:cs="Arial"/>
        </w:rPr>
        <w:t>UK Government</w:t>
      </w:r>
      <w:r w:rsidRPr="004E4BD1">
        <w:rPr>
          <w:rFonts w:ascii="Arial" w:hAnsi="Arial" w:cs="Arial"/>
        </w:rPr>
        <w:t xml:space="preserve">, 2025). The difficulty, however, in implementing early detection is significant despite the policy support. EEG and other advanced neuro-imaging techniques, </w:t>
      </w:r>
      <w:r w:rsidR="004E4BD1">
        <w:rPr>
          <w:rFonts w:ascii="Arial" w:hAnsi="Arial" w:cs="Arial"/>
        </w:rPr>
        <w:t xml:space="preserve">and </w:t>
      </w:r>
      <w:r w:rsidRPr="004E4BD1">
        <w:rPr>
          <w:rFonts w:ascii="Arial" w:hAnsi="Arial" w:cs="Arial"/>
        </w:rPr>
        <w:t xml:space="preserve">blood biomarker testing </w:t>
      </w:r>
      <w:r w:rsidR="004E4BD1">
        <w:rPr>
          <w:rFonts w:ascii="Arial" w:hAnsi="Arial" w:cs="Arial"/>
        </w:rPr>
        <w:t>require</w:t>
      </w:r>
      <w:r w:rsidRPr="004E4BD1">
        <w:rPr>
          <w:rFonts w:ascii="Arial" w:hAnsi="Arial" w:cs="Arial"/>
        </w:rPr>
        <w:t xml:space="preserve"> special training and equipment and funding that is not consistently available throughout the healthcare environment.</w:t>
      </w:r>
    </w:p>
    <w:p w14:paraId="0B91A3A1" w14:textId="77777777" w:rsidR="00855A02" w:rsidRPr="000E5493" w:rsidRDefault="00855A02" w:rsidP="00855A02"/>
    <w:p w14:paraId="1B970643" w14:textId="092E3394" w:rsidR="00407EB3" w:rsidRDefault="00407EB3" w:rsidP="00D02F34">
      <w:pPr>
        <w:pStyle w:val="Heading3"/>
      </w:pPr>
      <w:bookmarkStart w:id="36" w:name="_Toc235909357"/>
      <w:r>
        <w:t>Implications</w:t>
      </w:r>
      <w:bookmarkEnd w:id="36"/>
    </w:p>
    <w:p w14:paraId="4970CE92" w14:textId="70A2F1FD" w:rsidR="00806C62" w:rsidRPr="004E4BD1" w:rsidRDefault="00855A02" w:rsidP="00A30665">
      <w:pPr>
        <w:rPr>
          <w:rFonts w:ascii="Arial" w:hAnsi="Arial" w:cs="Arial"/>
        </w:rPr>
      </w:pPr>
      <w:r w:rsidRPr="004E4BD1">
        <w:rPr>
          <w:rFonts w:ascii="Arial" w:hAnsi="Arial" w:cs="Arial"/>
        </w:rPr>
        <w:t xml:space="preserve">It is crucial to identify reliable clinical and cognitive markers as they have implications for nursing assessment, patient outcomes and healthcare planning. </w:t>
      </w:r>
      <w:r w:rsidR="004F3D6C" w:rsidRPr="004E4BD1">
        <w:rPr>
          <w:rFonts w:ascii="Arial" w:hAnsi="Arial" w:cs="Arial"/>
        </w:rPr>
        <w:t xml:space="preserve">One of the potential benefits reported by Stothart </w:t>
      </w:r>
      <w:r w:rsidR="004F3D6C" w:rsidRPr="004E4BD1">
        <w:rPr>
          <w:rFonts w:ascii="Arial" w:hAnsi="Arial" w:cs="Arial"/>
          <w:i/>
          <w:iCs/>
        </w:rPr>
        <w:t>et al.</w:t>
      </w:r>
      <w:r w:rsidR="004F3D6C" w:rsidRPr="004E4BD1">
        <w:rPr>
          <w:rFonts w:ascii="Arial" w:hAnsi="Arial" w:cs="Arial"/>
        </w:rPr>
        <w:t xml:space="preserve"> (2021) is that the passive assessment may not require patient effort or educational background, thereby enhancing accessibility in different patient groups. </w:t>
      </w:r>
      <w:r w:rsidRPr="004E4BD1">
        <w:rPr>
          <w:rFonts w:ascii="Arial" w:hAnsi="Arial" w:cs="Arial"/>
        </w:rPr>
        <w:t xml:space="preserve">Similarly, </w:t>
      </w:r>
      <w:proofErr w:type="spellStart"/>
      <w:r w:rsidRPr="004E4BD1">
        <w:rPr>
          <w:rFonts w:ascii="Arial" w:hAnsi="Arial" w:cs="Arial"/>
        </w:rPr>
        <w:t>Ereira</w:t>
      </w:r>
      <w:proofErr w:type="spellEnd"/>
      <w:r w:rsidRPr="004E4BD1">
        <w:rPr>
          <w:rFonts w:ascii="Arial" w:hAnsi="Arial" w:cs="Arial"/>
        </w:rPr>
        <w:t xml:space="preserve"> </w:t>
      </w:r>
      <w:r w:rsidRPr="004E4BD1">
        <w:rPr>
          <w:rFonts w:ascii="Arial" w:hAnsi="Arial" w:cs="Arial"/>
          <w:i/>
          <w:iCs/>
        </w:rPr>
        <w:t>et al.</w:t>
      </w:r>
      <w:r w:rsidRPr="004E4BD1">
        <w:rPr>
          <w:rFonts w:ascii="Arial" w:hAnsi="Arial" w:cs="Arial"/>
        </w:rPr>
        <w:t xml:space="preserve"> (2024) suggest that detecting brain connectivity changes years before diagnosis could allow for early support and preventative interventions for individuals at risk. </w:t>
      </w:r>
      <w:r w:rsidR="00806C62" w:rsidRPr="004E4BD1">
        <w:rPr>
          <w:rFonts w:ascii="Arial" w:hAnsi="Arial" w:cs="Arial"/>
        </w:rPr>
        <w:t xml:space="preserve">These specialist findings are not intended to replace bedside assessment, but will inform nurse-led care planning, which will enable nursing staff to lead and support patients and families through diagnostic assessment pathways. </w:t>
      </w:r>
    </w:p>
    <w:p w14:paraId="4C7D5B34" w14:textId="145C8CD4" w:rsidR="000E5493" w:rsidRPr="0000444E" w:rsidRDefault="00855A02" w:rsidP="00855A02">
      <w:pPr>
        <w:rPr>
          <w:rFonts w:ascii="Arial" w:hAnsi="Arial" w:cs="Arial"/>
        </w:rPr>
      </w:pPr>
      <w:r w:rsidRPr="0000444E">
        <w:rPr>
          <w:rFonts w:ascii="Arial" w:hAnsi="Arial" w:cs="Arial"/>
        </w:rPr>
        <w:t xml:space="preserve">In addition, Keshavan </w:t>
      </w:r>
      <w:r w:rsidRPr="0000444E">
        <w:rPr>
          <w:rFonts w:ascii="Arial" w:hAnsi="Arial" w:cs="Arial"/>
          <w:i/>
          <w:iCs/>
        </w:rPr>
        <w:t>et al</w:t>
      </w:r>
      <w:r w:rsidRPr="0000444E">
        <w:rPr>
          <w:rFonts w:ascii="Arial" w:hAnsi="Arial" w:cs="Arial"/>
        </w:rPr>
        <w:t xml:space="preserve">. (2021) show that blood testing could help cut down the number of unnecessary PET scans, which would make healthcare more efficient and help save money. However, the number of participants in each category was comparatively small, with only twenty in each category by Stothart </w:t>
      </w:r>
      <w:r w:rsidRPr="0000444E">
        <w:rPr>
          <w:rFonts w:ascii="Arial" w:hAnsi="Arial" w:cs="Arial"/>
          <w:i/>
          <w:iCs/>
        </w:rPr>
        <w:t>et al.</w:t>
      </w:r>
      <w:r w:rsidRPr="0000444E">
        <w:rPr>
          <w:rFonts w:ascii="Arial" w:hAnsi="Arial" w:cs="Arial"/>
        </w:rPr>
        <w:t xml:space="preserve"> (2021), which may limit generalisability. In contrast to this, while the study by </w:t>
      </w:r>
      <w:proofErr w:type="spellStart"/>
      <w:r w:rsidRPr="0000444E">
        <w:rPr>
          <w:rFonts w:ascii="Arial" w:hAnsi="Arial" w:cs="Arial"/>
        </w:rPr>
        <w:t>Ereira</w:t>
      </w:r>
      <w:proofErr w:type="spellEnd"/>
      <w:r w:rsidRPr="0000444E">
        <w:rPr>
          <w:rFonts w:ascii="Arial" w:hAnsi="Arial" w:cs="Arial"/>
        </w:rPr>
        <w:t xml:space="preserve"> </w:t>
      </w:r>
      <w:r w:rsidRPr="0000444E">
        <w:rPr>
          <w:rFonts w:ascii="Arial" w:hAnsi="Arial" w:cs="Arial"/>
          <w:i/>
          <w:iCs/>
        </w:rPr>
        <w:t>et al.</w:t>
      </w:r>
      <w:r w:rsidRPr="0000444E">
        <w:rPr>
          <w:rFonts w:ascii="Arial" w:hAnsi="Arial" w:cs="Arial"/>
        </w:rPr>
        <w:t xml:space="preserve"> (2024) included a large sample of the UK Biobank, one might question the feasibility of using neuroimaging techniques for clinical implementation due to the limitations of cost and technical complexity. Keshavan </w:t>
      </w:r>
      <w:r w:rsidRPr="0000444E">
        <w:rPr>
          <w:rFonts w:ascii="Arial" w:hAnsi="Arial" w:cs="Arial"/>
          <w:i/>
          <w:iCs/>
        </w:rPr>
        <w:t>et al.</w:t>
      </w:r>
      <w:r w:rsidRPr="0000444E">
        <w:rPr>
          <w:rFonts w:ascii="Arial" w:hAnsi="Arial" w:cs="Arial"/>
        </w:rPr>
        <w:t xml:space="preserve"> (2021) also show discrepancies in the results of different biomarker methods, revealing that not all screening technologies have the same reliability.</w:t>
      </w:r>
    </w:p>
    <w:p w14:paraId="3D936726" w14:textId="77777777" w:rsidR="00855A02" w:rsidRPr="000E5493" w:rsidRDefault="00855A02" w:rsidP="00855A02"/>
    <w:p w14:paraId="0BD804B2" w14:textId="0020BAB4" w:rsidR="00407EB3" w:rsidRDefault="00407EB3" w:rsidP="00D02F34">
      <w:pPr>
        <w:pStyle w:val="Heading3"/>
      </w:pPr>
      <w:bookmarkStart w:id="37" w:name="_Toc235909358"/>
      <w:r>
        <w:t>Examples from Your Articles</w:t>
      </w:r>
      <w:bookmarkEnd w:id="37"/>
    </w:p>
    <w:p w14:paraId="3CD20871" w14:textId="1E15CB07" w:rsidR="00855A02" w:rsidRPr="00C63BB4" w:rsidRDefault="00855A02" w:rsidP="00855A02">
      <w:pPr>
        <w:rPr>
          <w:rFonts w:ascii="Arial" w:hAnsi="Arial" w:cs="Arial"/>
        </w:rPr>
      </w:pPr>
      <w:r w:rsidRPr="00D70456">
        <w:rPr>
          <w:rFonts w:ascii="Arial" w:hAnsi="Arial" w:cs="Arial"/>
        </w:rPr>
        <w:t xml:space="preserve">The chosen studies offer good examples of the role that clinical and cognitive features can play in the early recognition of dementia. Stothart </w:t>
      </w:r>
      <w:r w:rsidRPr="00D70456">
        <w:rPr>
          <w:rFonts w:ascii="Arial" w:hAnsi="Arial" w:cs="Arial"/>
          <w:i/>
          <w:iCs/>
        </w:rPr>
        <w:t>et al</w:t>
      </w:r>
      <w:r w:rsidRPr="00D70456">
        <w:rPr>
          <w:rFonts w:ascii="Arial" w:hAnsi="Arial" w:cs="Arial"/>
        </w:rPr>
        <w:t>. (2021) studied recognition memory with the Fastball EEG technology in young, healthy older</w:t>
      </w:r>
      <w:r w:rsidR="00DC6861">
        <w:rPr>
          <w:rFonts w:ascii="Arial" w:hAnsi="Arial" w:cs="Arial"/>
        </w:rPr>
        <w:t xml:space="preserve"> adults</w:t>
      </w:r>
      <w:r w:rsidRPr="00D70456">
        <w:rPr>
          <w:rFonts w:ascii="Arial" w:hAnsi="Arial" w:cs="Arial"/>
        </w:rPr>
        <w:t xml:space="preserve"> and Alzheimer's </w:t>
      </w:r>
      <w:r w:rsidR="00D70456">
        <w:rPr>
          <w:rFonts w:ascii="Arial" w:hAnsi="Arial" w:cs="Arial"/>
        </w:rPr>
        <w:t>patients</w:t>
      </w:r>
      <w:r w:rsidRPr="00D70456">
        <w:rPr>
          <w:rFonts w:ascii="Arial" w:hAnsi="Arial" w:cs="Arial"/>
        </w:rPr>
        <w:t xml:space="preserve">. Their results indicated that the ability of recognition memory in Alzheimer's patients was impaired, and there was a minimal level of differentiation among the groups in behavioural testing. This helps illustrate the point that objective neurological assessments can detect cognitive decline earlier than classical behavioural assessments. Likewise, a study by </w:t>
      </w:r>
      <w:proofErr w:type="spellStart"/>
      <w:r w:rsidRPr="00D70456">
        <w:rPr>
          <w:rFonts w:ascii="Arial" w:hAnsi="Arial" w:cs="Arial"/>
        </w:rPr>
        <w:t>Ereira</w:t>
      </w:r>
      <w:proofErr w:type="spellEnd"/>
      <w:r w:rsidRPr="00D70456">
        <w:rPr>
          <w:rFonts w:ascii="Arial" w:hAnsi="Arial" w:cs="Arial"/>
        </w:rPr>
        <w:t xml:space="preserve"> </w:t>
      </w:r>
      <w:r w:rsidRPr="00D70456">
        <w:rPr>
          <w:rFonts w:ascii="Arial" w:hAnsi="Arial" w:cs="Arial"/>
          <w:i/>
          <w:iCs/>
        </w:rPr>
        <w:lastRenderedPageBreak/>
        <w:t xml:space="preserve">et al. </w:t>
      </w:r>
      <w:r w:rsidRPr="00D70456">
        <w:rPr>
          <w:rFonts w:ascii="Arial" w:hAnsi="Arial" w:cs="Arial"/>
        </w:rPr>
        <w:t xml:space="preserve">(2024) </w:t>
      </w:r>
      <w:r w:rsidRPr="00C63BB4">
        <w:rPr>
          <w:rFonts w:ascii="Arial" w:hAnsi="Arial" w:cs="Arial"/>
        </w:rPr>
        <w:t>revealed that dysconnectivity in the default-mode network was associated with a future diagnosis of dementia nine years prior. This contributes to the reliability of the findings and the capacity of neurobiological markers to predict at the population level.</w:t>
      </w:r>
    </w:p>
    <w:p w14:paraId="25B08A92" w14:textId="75295F43" w:rsidR="0039357C" w:rsidRPr="00C63BB4" w:rsidRDefault="00855A02" w:rsidP="003A2EB7">
      <w:pPr>
        <w:rPr>
          <w:rFonts w:ascii="Arial" w:hAnsi="Arial" w:cs="Arial"/>
          <w:highlight w:val="yellow"/>
        </w:rPr>
      </w:pPr>
      <w:r w:rsidRPr="00C63BB4">
        <w:rPr>
          <w:rFonts w:ascii="Arial" w:hAnsi="Arial" w:cs="Arial"/>
        </w:rPr>
        <w:t xml:space="preserve">Likewise, Keshavan </w:t>
      </w:r>
      <w:r w:rsidRPr="00C63BB4">
        <w:rPr>
          <w:rFonts w:ascii="Arial" w:hAnsi="Arial" w:cs="Arial"/>
          <w:i/>
          <w:iCs/>
        </w:rPr>
        <w:t>et al</w:t>
      </w:r>
      <w:r w:rsidRPr="00C63BB4">
        <w:rPr>
          <w:rFonts w:ascii="Arial" w:hAnsi="Arial" w:cs="Arial"/>
        </w:rPr>
        <w:t xml:space="preserve">. (2021) compared mass spectrometry-based plasma biomarkers against </w:t>
      </w:r>
      <w:r w:rsidR="00C63BB4" w:rsidRPr="00C63BB4">
        <w:rPr>
          <w:rFonts w:ascii="Arial" w:hAnsi="Arial" w:cs="Arial"/>
        </w:rPr>
        <w:t>several</w:t>
      </w:r>
      <w:r w:rsidRPr="00C63BB4">
        <w:rPr>
          <w:rFonts w:ascii="Arial" w:hAnsi="Arial" w:cs="Arial"/>
        </w:rPr>
        <w:t xml:space="preserve"> other alternative methods of biomarker measurement in a British birth cohort. Unlike Stothart </w:t>
      </w:r>
      <w:r w:rsidRPr="00C63BB4">
        <w:rPr>
          <w:rFonts w:ascii="Arial" w:hAnsi="Arial" w:cs="Arial"/>
          <w:i/>
          <w:iCs/>
        </w:rPr>
        <w:t>et al.</w:t>
      </w:r>
      <w:r w:rsidRPr="00C63BB4">
        <w:rPr>
          <w:rFonts w:ascii="Arial" w:hAnsi="Arial" w:cs="Arial"/>
        </w:rPr>
        <w:t xml:space="preserve"> (2021), they also found that some of the blood biomarkers discussed were not superior to demographic risk models. This partly contradicts the notion that all biomarker technologies offer better diagnostic accuracy. </w:t>
      </w:r>
      <w:r w:rsidR="0039357C" w:rsidRPr="00C63BB4">
        <w:rPr>
          <w:rFonts w:ascii="Arial" w:hAnsi="Arial" w:cs="Arial"/>
        </w:rPr>
        <w:t xml:space="preserve">These studies are well-designed with high internal </w:t>
      </w:r>
      <w:r w:rsidR="002D041B" w:rsidRPr="00C63BB4">
        <w:rPr>
          <w:rFonts w:ascii="Arial" w:hAnsi="Arial" w:cs="Arial"/>
        </w:rPr>
        <w:t>validity but</w:t>
      </w:r>
      <w:r w:rsidR="0039357C" w:rsidRPr="00C63BB4">
        <w:rPr>
          <w:rFonts w:ascii="Arial" w:hAnsi="Arial" w:cs="Arial"/>
        </w:rPr>
        <w:t xml:space="preserve"> have faced different degrees of clinical relevance in daily practice. In contrast, small specialist research samples are used in Stothart </w:t>
      </w:r>
      <w:r w:rsidR="0039357C" w:rsidRPr="00C63BB4">
        <w:rPr>
          <w:rFonts w:ascii="Arial" w:hAnsi="Arial" w:cs="Arial"/>
          <w:i/>
          <w:iCs/>
        </w:rPr>
        <w:t>et al.</w:t>
      </w:r>
      <w:r w:rsidR="0039357C" w:rsidRPr="00C63BB4">
        <w:rPr>
          <w:rFonts w:ascii="Arial" w:hAnsi="Arial" w:cs="Arial"/>
        </w:rPr>
        <w:t xml:space="preserve"> (2021), providing little population-level insight, while </w:t>
      </w:r>
      <w:proofErr w:type="spellStart"/>
      <w:r w:rsidR="0039357C" w:rsidRPr="00C63BB4">
        <w:rPr>
          <w:rFonts w:ascii="Arial" w:hAnsi="Arial" w:cs="Arial"/>
        </w:rPr>
        <w:t>Ereira</w:t>
      </w:r>
      <w:proofErr w:type="spellEnd"/>
      <w:r w:rsidR="0039357C" w:rsidRPr="00C63BB4">
        <w:rPr>
          <w:rFonts w:ascii="Arial" w:hAnsi="Arial" w:cs="Arial"/>
        </w:rPr>
        <w:t xml:space="preserve"> </w:t>
      </w:r>
      <w:r w:rsidR="0039357C" w:rsidRPr="00C63BB4">
        <w:rPr>
          <w:rFonts w:ascii="Arial" w:hAnsi="Arial" w:cs="Arial"/>
          <w:i/>
          <w:iCs/>
        </w:rPr>
        <w:t>et al.</w:t>
      </w:r>
      <w:r w:rsidR="0039357C" w:rsidRPr="00C63BB4">
        <w:rPr>
          <w:rFonts w:ascii="Arial" w:hAnsi="Arial" w:cs="Arial"/>
        </w:rPr>
        <w:t xml:space="preserve"> (2024) use the UK Biobank for robust population-level insight. Blood biomarkers (Keshavan </w:t>
      </w:r>
      <w:r w:rsidR="0039357C" w:rsidRPr="00C63BB4">
        <w:rPr>
          <w:rFonts w:ascii="Arial" w:hAnsi="Arial" w:cs="Arial"/>
          <w:i/>
          <w:iCs/>
        </w:rPr>
        <w:t>et al.,</w:t>
      </w:r>
      <w:r w:rsidR="0039357C" w:rsidRPr="00C63BB4">
        <w:rPr>
          <w:rFonts w:ascii="Arial" w:hAnsi="Arial" w:cs="Arial"/>
        </w:rPr>
        <w:t xml:space="preserve"> 2021) therefore have greater potential to be clinically meaningful and transferable in scalable ways to wider UK healthcare pathways at this point, as they provide strong theoretical evidence. </w:t>
      </w:r>
    </w:p>
    <w:p w14:paraId="738C1388" w14:textId="77777777" w:rsidR="00855A02" w:rsidRPr="000E5493" w:rsidRDefault="00855A02" w:rsidP="00855A02"/>
    <w:p w14:paraId="7938D7A9" w14:textId="634C3188" w:rsidR="00407EB3" w:rsidRDefault="00407EB3" w:rsidP="00D02F34">
      <w:pPr>
        <w:pStyle w:val="Heading3"/>
      </w:pPr>
      <w:bookmarkStart w:id="38" w:name="_Toc235909359"/>
      <w:r>
        <w:t>Connections to Other Themes</w:t>
      </w:r>
      <w:bookmarkEnd w:id="38"/>
    </w:p>
    <w:p w14:paraId="7D15077B" w14:textId="69E732FE" w:rsidR="000E5493" w:rsidRPr="00AB0D62" w:rsidRDefault="00855A02" w:rsidP="000E5493">
      <w:pPr>
        <w:rPr>
          <w:rFonts w:ascii="Arial" w:hAnsi="Arial" w:cs="Arial"/>
        </w:rPr>
      </w:pPr>
      <w:r w:rsidRPr="00AB0D62">
        <w:rPr>
          <w:rFonts w:ascii="Arial" w:hAnsi="Arial" w:cs="Arial"/>
        </w:rPr>
        <w:t xml:space="preserve">This theme relates well to the following themes on screening tools, nursing assessment practices and obstacles to implementation. Screening tools are developed and evaluated </w:t>
      </w:r>
      <w:r w:rsidR="00AB0D62" w:rsidRPr="00AB0D62">
        <w:rPr>
          <w:rFonts w:ascii="Arial" w:hAnsi="Arial" w:cs="Arial"/>
        </w:rPr>
        <w:t>based on</w:t>
      </w:r>
      <w:r w:rsidRPr="00AB0D62">
        <w:rPr>
          <w:rFonts w:ascii="Arial" w:hAnsi="Arial" w:cs="Arial"/>
        </w:rPr>
        <w:t xml:space="preserve"> clinical markers and cognitive markers. The results, for instance, have implications for the design of cognitive assessments and biomarker screening procedures. Similarly, issues in implementation identified in this theme, such as technological complexity and resource constraints, are directly tied to the larger issues of service readiness and accessibility. Hence, knowledge of the clinical markers is vital to assess the effectiveness and feasibility of early dementia recognition strategies and their application to nursing practice in healthcare.</w:t>
      </w:r>
    </w:p>
    <w:p w14:paraId="37CB2D9C" w14:textId="77777777" w:rsidR="00855A02" w:rsidRPr="000E5493" w:rsidRDefault="00855A02" w:rsidP="000E5493"/>
    <w:p w14:paraId="14B654AD" w14:textId="258C2C59" w:rsidR="00407EB3" w:rsidRDefault="00407EB3" w:rsidP="006F50DC">
      <w:pPr>
        <w:pStyle w:val="Heading2"/>
      </w:pPr>
      <w:bookmarkStart w:id="39" w:name="_Toc235909360"/>
      <w:r>
        <w:t>4.4 – Theme 2</w:t>
      </w:r>
      <w:r w:rsidR="00C142E3">
        <w:t xml:space="preserve">: </w:t>
      </w:r>
      <w:r w:rsidR="00C142E3" w:rsidRPr="00C142E3">
        <w:t xml:space="preserve">Screening Tools </w:t>
      </w:r>
      <w:r w:rsidR="009F021E" w:rsidRPr="00C142E3">
        <w:t>and</w:t>
      </w:r>
      <w:r w:rsidR="00C142E3" w:rsidRPr="00C142E3">
        <w:t xml:space="preserve"> Assessment Practices Used </w:t>
      </w:r>
      <w:r w:rsidR="007D5AE0" w:rsidRPr="00C142E3">
        <w:t>in</w:t>
      </w:r>
      <w:r w:rsidR="00C142E3" w:rsidRPr="00C142E3">
        <w:t xml:space="preserve"> Nursing </w:t>
      </w:r>
      <w:r w:rsidR="008C0094">
        <w:t>or</w:t>
      </w:r>
      <w:r w:rsidR="00C142E3" w:rsidRPr="00C142E3">
        <w:t xml:space="preserve"> Primary Care</w:t>
      </w:r>
      <w:bookmarkEnd w:id="39"/>
    </w:p>
    <w:p w14:paraId="0BF1A5FD" w14:textId="42D55BCF" w:rsidR="00855A02" w:rsidRDefault="00407EB3" w:rsidP="00855A02">
      <w:pPr>
        <w:pStyle w:val="Heading3"/>
      </w:pPr>
      <w:bookmarkStart w:id="40" w:name="_Toc235909361"/>
      <w:r>
        <w:t>Definition</w:t>
      </w:r>
      <w:bookmarkEnd w:id="40"/>
    </w:p>
    <w:p w14:paraId="3A9489F8" w14:textId="66D32D41" w:rsidR="00CF0D55" w:rsidRPr="00870F87" w:rsidRDefault="00855A02" w:rsidP="00855A02">
      <w:pPr>
        <w:rPr>
          <w:highlight w:val="yellow"/>
        </w:rPr>
      </w:pPr>
      <w:r w:rsidRPr="00AB0D62">
        <w:rPr>
          <w:rFonts w:ascii="Arial" w:hAnsi="Arial" w:cs="Arial"/>
        </w:rPr>
        <w:t xml:space="preserve">Screening tests and assessment in dementia care are the systematic, clinical procedures used during assessment in primary care and nursing homes to determine if cognitive impairment is present or </w:t>
      </w:r>
      <w:r w:rsidR="00AB0D62" w:rsidRPr="00AB0D62">
        <w:rPr>
          <w:rFonts w:ascii="Arial" w:hAnsi="Arial" w:cs="Arial"/>
        </w:rPr>
        <w:t>not and</w:t>
      </w:r>
      <w:r w:rsidRPr="00AB0D62">
        <w:rPr>
          <w:rFonts w:ascii="Arial" w:hAnsi="Arial" w:cs="Arial"/>
        </w:rPr>
        <w:t xml:space="preserve"> discern if it is a normal part of ageing or not (Fowler </w:t>
      </w:r>
      <w:r w:rsidRPr="00AB0D62">
        <w:rPr>
          <w:rFonts w:ascii="Arial" w:hAnsi="Arial" w:cs="Arial"/>
          <w:i/>
          <w:iCs/>
        </w:rPr>
        <w:t>et al</w:t>
      </w:r>
      <w:r w:rsidRPr="00AB0D62">
        <w:rPr>
          <w:rFonts w:ascii="Arial" w:hAnsi="Arial" w:cs="Arial"/>
        </w:rPr>
        <w:t>., 2025). Some of these include the clinician's judgment, brief cognitive evaluation, and informant questionnaires</w:t>
      </w:r>
      <w:r w:rsidRPr="00855A02">
        <w:t xml:space="preserve"> </w:t>
      </w:r>
      <w:r w:rsidRPr="00AB03C8">
        <w:rPr>
          <w:rFonts w:ascii="Arial" w:hAnsi="Arial" w:cs="Arial"/>
        </w:rPr>
        <w:lastRenderedPageBreak/>
        <w:t xml:space="preserve">for memory, orientation and functional decline. Early detection is supported by common tools like the General Practitioner (GP) clinical impression, MoCA, IQCODE, AD8, and GPCOGi (Chingono </w:t>
      </w:r>
      <w:r w:rsidRPr="00AB03C8">
        <w:rPr>
          <w:rFonts w:ascii="Arial" w:hAnsi="Arial" w:cs="Arial"/>
          <w:i/>
          <w:iCs/>
        </w:rPr>
        <w:t>et al</w:t>
      </w:r>
      <w:r w:rsidRPr="00AB03C8">
        <w:rPr>
          <w:rFonts w:ascii="Arial" w:hAnsi="Arial" w:cs="Arial"/>
        </w:rPr>
        <w:t xml:space="preserve">., 2025). </w:t>
      </w:r>
      <w:r w:rsidR="00CF0D55" w:rsidRPr="00AB03C8">
        <w:rPr>
          <w:rFonts w:ascii="Arial" w:hAnsi="Arial" w:cs="Arial"/>
        </w:rPr>
        <w:t>In this context, screening tools are used to detect signs of potential cognitive decline and help guide the referral process</w:t>
      </w:r>
      <w:r w:rsidR="00AB03C8">
        <w:rPr>
          <w:rFonts w:ascii="Arial" w:hAnsi="Arial" w:cs="Arial"/>
        </w:rPr>
        <w:t>; however, they</w:t>
      </w:r>
      <w:r w:rsidR="00CF0D55" w:rsidRPr="00AB03C8">
        <w:rPr>
          <w:rFonts w:ascii="Arial" w:hAnsi="Arial" w:cs="Arial"/>
        </w:rPr>
        <w:t xml:space="preserve"> cannot be used to diagnose dementia. Screening tools work best when used alongside clinical skills, functional history and patient and carer information.</w:t>
      </w:r>
      <w:r w:rsidR="00CF0D55">
        <w:t xml:space="preserve"> </w:t>
      </w:r>
    </w:p>
    <w:p w14:paraId="1B9DD791" w14:textId="77777777" w:rsidR="00855A02" w:rsidRPr="00855A02" w:rsidRDefault="00855A02" w:rsidP="00855A02"/>
    <w:p w14:paraId="3EB719B4" w14:textId="116388B5" w:rsidR="00407EB3" w:rsidRDefault="00407EB3" w:rsidP="00777900">
      <w:pPr>
        <w:pStyle w:val="Heading3"/>
      </w:pPr>
      <w:bookmarkStart w:id="41" w:name="_Toc235909362"/>
      <w:r>
        <w:t>Background Information</w:t>
      </w:r>
      <w:bookmarkEnd w:id="41"/>
    </w:p>
    <w:p w14:paraId="32802F9E" w14:textId="6EF51538" w:rsidR="00855A02" w:rsidRPr="00AB03C8" w:rsidRDefault="00855A02" w:rsidP="00855A02">
      <w:pPr>
        <w:rPr>
          <w:rFonts w:ascii="Arial" w:hAnsi="Arial" w:cs="Arial"/>
        </w:rPr>
      </w:pPr>
      <w:r w:rsidRPr="00AB03C8">
        <w:rPr>
          <w:rFonts w:ascii="Arial" w:hAnsi="Arial" w:cs="Arial"/>
        </w:rPr>
        <w:t xml:space="preserve">Traditionally, diagnosis of dementia in primary care was reliant on the GP's clinical judgement and patient presentation and was perceived as being variable across different GP practices. As time went on, there were more structured cognitive tools added to assess with more consistency and objectivity. Certainly, GP judgement, although very specific, fails to capture a large percentage of those that fall under the dementia group, as emphasised by Creavin </w:t>
      </w:r>
      <w:r w:rsidRPr="00AB03C8">
        <w:rPr>
          <w:rFonts w:ascii="Arial" w:hAnsi="Arial" w:cs="Arial"/>
          <w:i/>
          <w:iCs/>
        </w:rPr>
        <w:t>et al.</w:t>
      </w:r>
      <w:r w:rsidRPr="00AB03C8">
        <w:rPr>
          <w:rFonts w:ascii="Arial" w:hAnsi="Arial" w:cs="Arial"/>
        </w:rPr>
        <w:t xml:space="preserve"> (2021), suggesting a degree of subjectivity in the assessment of dementia. Likewise, Creavin </w:t>
      </w:r>
      <w:r w:rsidRPr="00AB03C8">
        <w:rPr>
          <w:rFonts w:ascii="Arial" w:hAnsi="Arial" w:cs="Arial"/>
          <w:i/>
          <w:iCs/>
        </w:rPr>
        <w:t>et al</w:t>
      </w:r>
      <w:r w:rsidRPr="00AB03C8">
        <w:rPr>
          <w:rFonts w:ascii="Arial" w:hAnsi="Arial" w:cs="Arial"/>
        </w:rPr>
        <w:t xml:space="preserve">. (2023) show that a foreshortened cognitive test can </w:t>
      </w:r>
      <w:r w:rsidR="0009137F">
        <w:rPr>
          <w:rFonts w:ascii="Arial" w:hAnsi="Arial" w:cs="Arial"/>
        </w:rPr>
        <w:t>hurt</w:t>
      </w:r>
      <w:r w:rsidRPr="00AB03C8">
        <w:rPr>
          <w:rFonts w:ascii="Arial" w:hAnsi="Arial" w:cs="Arial"/>
        </w:rPr>
        <w:t xml:space="preserve"> specificity while increasing sensitivity, resulting in some compromise in diagnostic accuracy. Similarly, Chingono </w:t>
      </w:r>
      <w:r w:rsidRPr="00AB03C8">
        <w:rPr>
          <w:rFonts w:ascii="Arial" w:hAnsi="Arial" w:cs="Arial"/>
          <w:i/>
          <w:iCs/>
        </w:rPr>
        <w:t>et al.</w:t>
      </w:r>
      <w:r w:rsidRPr="00AB03C8">
        <w:rPr>
          <w:rFonts w:ascii="Arial" w:hAnsi="Arial" w:cs="Arial"/>
        </w:rPr>
        <w:t xml:space="preserve"> (2025) take up this debate and investigate informant-based tools, finding that they are good at excluding dementia but do not accurately identify the condition. These, as a group, illustrate a trend toward using multiple assessment methods in primary care, due to greater needs for early diagnosis. They also highlight current apprehensions about what tools are more accurate, time-efficient and practicable in real-world clinical settings.</w:t>
      </w:r>
    </w:p>
    <w:p w14:paraId="34FF15F3" w14:textId="77777777" w:rsidR="003E2DBA" w:rsidRPr="00855A02" w:rsidRDefault="003E2DBA" w:rsidP="00855A02"/>
    <w:p w14:paraId="1161F053" w14:textId="38F9EE42" w:rsidR="00407EB3" w:rsidRDefault="00407EB3" w:rsidP="00777900">
      <w:pPr>
        <w:pStyle w:val="Heading3"/>
      </w:pPr>
      <w:bookmarkStart w:id="42" w:name="_Toc235909363"/>
      <w:r>
        <w:t>Impact on Research Question</w:t>
      </w:r>
      <w:bookmarkEnd w:id="42"/>
    </w:p>
    <w:p w14:paraId="754D6323" w14:textId="7FFFE784" w:rsidR="00407EB3" w:rsidRDefault="003E2DBA" w:rsidP="00545567">
      <w:r w:rsidRPr="00AB03C8">
        <w:rPr>
          <w:rFonts w:ascii="Arial" w:hAnsi="Arial" w:cs="Arial"/>
        </w:rPr>
        <w:t xml:space="preserve">This theme is of great relevance with respect to the aspects of healthcare diagnostic differences in the identification of dementia, in which the assessment tools can contribute to a variation in the detection of dementia in different populations. In a study by Creavin </w:t>
      </w:r>
      <w:r w:rsidRPr="00AB03C8">
        <w:rPr>
          <w:rFonts w:ascii="Arial" w:hAnsi="Arial" w:cs="Arial"/>
          <w:i/>
          <w:iCs/>
        </w:rPr>
        <w:t>et al.</w:t>
      </w:r>
      <w:r w:rsidRPr="00AB03C8">
        <w:rPr>
          <w:rFonts w:ascii="Arial" w:hAnsi="Arial" w:cs="Arial"/>
        </w:rPr>
        <w:t xml:space="preserve"> (2021), GP clinical judgement was specific (89%)</w:t>
      </w:r>
      <w:r w:rsidR="00AB03C8">
        <w:rPr>
          <w:rFonts w:ascii="Arial" w:hAnsi="Arial" w:cs="Arial"/>
        </w:rPr>
        <w:t>;</w:t>
      </w:r>
      <w:r w:rsidRPr="00AB03C8">
        <w:rPr>
          <w:rFonts w:ascii="Arial" w:hAnsi="Arial" w:cs="Arial"/>
        </w:rPr>
        <w:t xml:space="preserve"> </w:t>
      </w:r>
      <w:r w:rsidR="00A5312A" w:rsidRPr="00AB03C8">
        <w:rPr>
          <w:rFonts w:ascii="Arial" w:hAnsi="Arial" w:cs="Arial"/>
        </w:rPr>
        <w:t>however,</w:t>
      </w:r>
      <w:r w:rsidRPr="00AB03C8">
        <w:rPr>
          <w:rFonts w:ascii="Arial" w:hAnsi="Arial" w:cs="Arial"/>
        </w:rPr>
        <w:t xml:space="preserve"> with low sensitivity (56%), suggesting that cases might go undiagnosed in routine primary care settings. Likewise, Creavin </w:t>
      </w:r>
      <w:r w:rsidRPr="00AB03C8">
        <w:rPr>
          <w:rFonts w:ascii="Arial" w:hAnsi="Arial" w:cs="Arial"/>
          <w:i/>
          <w:iCs/>
        </w:rPr>
        <w:t>et al</w:t>
      </w:r>
      <w:r w:rsidRPr="00AB03C8">
        <w:rPr>
          <w:rFonts w:ascii="Arial" w:hAnsi="Arial" w:cs="Arial"/>
        </w:rPr>
        <w:t xml:space="preserve"> (2023) noted that tools such as MoCA demonstrated a high sensitivity</w:t>
      </w:r>
      <w:r w:rsidR="00AB03C8">
        <w:rPr>
          <w:rFonts w:ascii="Arial" w:hAnsi="Arial" w:cs="Arial"/>
        </w:rPr>
        <w:t>;</w:t>
      </w:r>
      <w:r w:rsidRPr="00AB03C8">
        <w:rPr>
          <w:rFonts w:ascii="Arial" w:hAnsi="Arial" w:cs="Arial"/>
        </w:rPr>
        <w:t xml:space="preserve"> </w:t>
      </w:r>
      <w:r w:rsidR="0062725E" w:rsidRPr="00AB03C8">
        <w:rPr>
          <w:rFonts w:ascii="Arial" w:hAnsi="Arial" w:cs="Arial"/>
        </w:rPr>
        <w:t>however,</w:t>
      </w:r>
      <w:r w:rsidRPr="00AB03C8">
        <w:rPr>
          <w:rFonts w:ascii="Arial" w:hAnsi="Arial" w:cs="Arial"/>
        </w:rPr>
        <w:t xml:space="preserve"> very low specificity, which indicated a possible over-referral and inconsistent diagnostic pathways. Similarly, Chingono </w:t>
      </w:r>
      <w:r w:rsidRPr="00AB03C8">
        <w:rPr>
          <w:rFonts w:ascii="Arial" w:hAnsi="Arial" w:cs="Arial"/>
          <w:i/>
          <w:iCs/>
        </w:rPr>
        <w:t>et al.</w:t>
      </w:r>
      <w:r w:rsidRPr="00AB03C8">
        <w:rPr>
          <w:rFonts w:ascii="Arial" w:hAnsi="Arial" w:cs="Arial"/>
        </w:rPr>
        <w:t xml:space="preserve"> (2025) concluded that informant questionnaires like IQCODE and AD8 could validly exclude dementia status but were not good at confirming dementia status. </w:t>
      </w:r>
      <w:r w:rsidR="00545567" w:rsidRPr="00AB03C8">
        <w:rPr>
          <w:rFonts w:ascii="Arial" w:hAnsi="Arial" w:cs="Arial"/>
        </w:rPr>
        <w:t xml:space="preserve">The influence of educational attainment, literacy and cultural norms on </w:t>
      </w:r>
      <w:r w:rsidR="00545567" w:rsidRPr="004B6C16">
        <w:rPr>
          <w:rFonts w:ascii="Arial" w:hAnsi="Arial" w:cs="Arial"/>
        </w:rPr>
        <w:lastRenderedPageBreak/>
        <w:t xml:space="preserve">performance on short cognitive assessments, such as MoCA, is significant. These tools could inadvertently result in diagnostic inequality if the cultural and educational norms used to determine thresholds </w:t>
      </w:r>
      <w:r w:rsidR="004B6C16" w:rsidRPr="004B6C16">
        <w:rPr>
          <w:rFonts w:ascii="Arial" w:hAnsi="Arial" w:cs="Arial"/>
        </w:rPr>
        <w:t>do not apply</w:t>
      </w:r>
      <w:r w:rsidR="00545567" w:rsidRPr="004B6C16">
        <w:rPr>
          <w:rFonts w:ascii="Arial" w:hAnsi="Arial" w:cs="Arial"/>
        </w:rPr>
        <w:t xml:space="preserve"> to the older adults who are not part of the dominant culture.</w:t>
      </w:r>
      <w:r w:rsidR="00545567">
        <w:t xml:space="preserve"> </w:t>
      </w:r>
    </w:p>
    <w:p w14:paraId="3070ADA5" w14:textId="77777777" w:rsidR="003E2DBA" w:rsidRDefault="003E2DBA" w:rsidP="003E2DBA"/>
    <w:p w14:paraId="34E11E64" w14:textId="6DC252ED" w:rsidR="00407EB3" w:rsidRDefault="00407EB3" w:rsidP="00777900">
      <w:pPr>
        <w:pStyle w:val="Heading3"/>
      </w:pPr>
      <w:bookmarkStart w:id="43" w:name="_Toc235909364"/>
      <w:r>
        <w:t>Theories, Policies, and Legislation</w:t>
      </w:r>
      <w:bookmarkEnd w:id="43"/>
    </w:p>
    <w:p w14:paraId="711796C1" w14:textId="5B3DEB8F" w:rsidR="003E2DBA" w:rsidRPr="00806F3D" w:rsidRDefault="00806F3D" w:rsidP="0024327B">
      <w:pPr>
        <w:rPr>
          <w:rFonts w:ascii="Arial" w:hAnsi="Arial" w:cs="Arial"/>
        </w:rPr>
      </w:pPr>
      <w:r>
        <w:rPr>
          <w:rFonts w:ascii="Arial" w:hAnsi="Arial" w:cs="Arial"/>
        </w:rPr>
        <w:t>Several theoretical frameworks can</w:t>
      </w:r>
      <w:r w:rsidR="003E2DBA" w:rsidRPr="00806F3D">
        <w:rPr>
          <w:rFonts w:ascii="Arial" w:hAnsi="Arial" w:cs="Arial"/>
        </w:rPr>
        <w:t xml:space="preserve"> account for the variation in screening and assessment practices. The diagnostic accuracy theory is used for assessing the accuracy of diagnoses, particularly the trade-off between false-positive and false-negative outcomes in the process of clinical decision-making. This is supported by Creavin </w:t>
      </w:r>
      <w:r w:rsidR="003E2DBA" w:rsidRPr="00806F3D">
        <w:rPr>
          <w:rFonts w:ascii="Arial" w:hAnsi="Arial" w:cs="Arial"/>
          <w:i/>
          <w:iCs/>
        </w:rPr>
        <w:t xml:space="preserve">et al. </w:t>
      </w:r>
      <w:r w:rsidR="003E2DBA" w:rsidRPr="00806F3D">
        <w:rPr>
          <w:rFonts w:ascii="Arial" w:hAnsi="Arial" w:cs="Arial"/>
        </w:rPr>
        <w:t xml:space="preserve">(2021), who showed that GP judgement is skewed in favour of specificity relative to sensitivity: they have a greater tendency to confirm than to exclude a dementia diagnosis. However, Creavin </w:t>
      </w:r>
      <w:r w:rsidR="003E2DBA" w:rsidRPr="00806F3D">
        <w:rPr>
          <w:rFonts w:ascii="Arial" w:hAnsi="Arial" w:cs="Arial"/>
          <w:i/>
          <w:iCs/>
        </w:rPr>
        <w:t>et al</w:t>
      </w:r>
      <w:r w:rsidR="003E2DBA" w:rsidRPr="00806F3D">
        <w:rPr>
          <w:rFonts w:ascii="Arial" w:hAnsi="Arial" w:cs="Arial"/>
        </w:rPr>
        <w:t xml:space="preserve">. (2023) demonstrate </w:t>
      </w:r>
      <w:r>
        <w:rPr>
          <w:rFonts w:ascii="Arial" w:hAnsi="Arial" w:cs="Arial"/>
        </w:rPr>
        <w:t xml:space="preserve">that </w:t>
      </w:r>
      <w:r w:rsidR="003E2DBA" w:rsidRPr="00806F3D">
        <w:rPr>
          <w:rFonts w:ascii="Arial" w:hAnsi="Arial" w:cs="Arial"/>
        </w:rPr>
        <w:t xml:space="preserve">cognitive screening instruments like MoCA prioritise sensitivity, which aligns with the holistic framework of early detection theory (also called early detection science), which seeks to detect the condition as early as possible. Chingono </w:t>
      </w:r>
      <w:r w:rsidR="003E2DBA" w:rsidRPr="00806F3D">
        <w:rPr>
          <w:rFonts w:ascii="Arial" w:hAnsi="Arial" w:cs="Arial"/>
          <w:i/>
          <w:iCs/>
        </w:rPr>
        <w:t>et al</w:t>
      </w:r>
      <w:r w:rsidR="003E2DBA" w:rsidRPr="00806F3D">
        <w:rPr>
          <w:rFonts w:ascii="Arial" w:hAnsi="Arial" w:cs="Arial"/>
        </w:rPr>
        <w:t xml:space="preserve">. (2025) also built on informant reliability theory, which posits that proxy reports can complement clinical evaluations, but </w:t>
      </w:r>
      <w:r>
        <w:rPr>
          <w:rFonts w:ascii="Arial" w:hAnsi="Arial" w:cs="Arial"/>
        </w:rPr>
        <w:t>depend</w:t>
      </w:r>
      <w:r w:rsidR="003E2DBA" w:rsidRPr="00806F3D">
        <w:rPr>
          <w:rFonts w:ascii="Arial" w:hAnsi="Arial" w:cs="Arial"/>
        </w:rPr>
        <w:t xml:space="preserve"> on the type of relationship and social </w:t>
      </w:r>
      <w:r>
        <w:rPr>
          <w:rFonts w:ascii="Arial" w:hAnsi="Arial" w:cs="Arial"/>
        </w:rPr>
        <w:t>distance</w:t>
      </w:r>
      <w:r w:rsidR="003E2DBA" w:rsidRPr="00806F3D">
        <w:rPr>
          <w:rFonts w:ascii="Arial" w:hAnsi="Arial" w:cs="Arial"/>
        </w:rPr>
        <w:t>.</w:t>
      </w:r>
    </w:p>
    <w:p w14:paraId="52F452F2" w14:textId="7C3EC239" w:rsidR="003E2DBA" w:rsidRPr="00FA3C6D" w:rsidRDefault="003E2DBA" w:rsidP="0024327B">
      <w:pPr>
        <w:rPr>
          <w:rFonts w:ascii="Arial" w:hAnsi="Arial" w:cs="Arial"/>
        </w:rPr>
      </w:pPr>
      <w:r w:rsidRPr="00FA3C6D">
        <w:rPr>
          <w:rFonts w:ascii="Arial" w:hAnsi="Arial" w:cs="Arial"/>
        </w:rPr>
        <w:t>The NHS Long Term Plan (</w:t>
      </w:r>
      <w:r w:rsidR="00010F33" w:rsidRPr="00FA3C6D">
        <w:rPr>
          <w:rFonts w:ascii="Arial" w:hAnsi="Arial" w:cs="Arial"/>
        </w:rPr>
        <w:t>Department of Health</w:t>
      </w:r>
      <w:r w:rsidRPr="00FA3C6D">
        <w:rPr>
          <w:rFonts w:ascii="Arial" w:hAnsi="Arial" w:cs="Arial"/>
        </w:rPr>
        <w:t>, 2009) and the National Dementia Strategy (</w:t>
      </w:r>
      <w:r w:rsidR="00EC5609" w:rsidRPr="00FA3C6D">
        <w:rPr>
          <w:rFonts w:ascii="Arial" w:hAnsi="Arial" w:cs="Arial"/>
        </w:rPr>
        <w:t>UK Government</w:t>
      </w:r>
      <w:r w:rsidRPr="00FA3C6D">
        <w:rPr>
          <w:rFonts w:ascii="Arial" w:hAnsi="Arial" w:cs="Arial"/>
        </w:rPr>
        <w:t xml:space="preserve">, 2025) highlight the need to improve access to cognitive screening in primary care and to focus on early diagnosis. These policies promote GP-led assessment pathways and embedding cognitive testing as part of the routine assessment process. However, there are still some issues to be identified in terms of implementation, such as training, time </w:t>
      </w:r>
      <w:r w:rsidR="00FA3C6D">
        <w:rPr>
          <w:rFonts w:ascii="Arial" w:hAnsi="Arial" w:cs="Arial"/>
        </w:rPr>
        <w:t>limitations</w:t>
      </w:r>
      <w:r w:rsidRPr="00FA3C6D">
        <w:rPr>
          <w:rFonts w:ascii="Arial" w:hAnsi="Arial" w:cs="Arial"/>
        </w:rPr>
        <w:t xml:space="preserve"> and consistency in tool application. The Care Act 2014 also facilitates equitable access to diagnosis and care planning, which emphasises the need for accurate early detection (</w:t>
      </w:r>
      <w:r w:rsidR="00BE5516" w:rsidRPr="00FA3C6D">
        <w:rPr>
          <w:rFonts w:ascii="Arial" w:hAnsi="Arial" w:cs="Arial"/>
        </w:rPr>
        <w:t>Legislation.gov.uk</w:t>
      </w:r>
      <w:r w:rsidRPr="00FA3C6D">
        <w:rPr>
          <w:rFonts w:ascii="Arial" w:hAnsi="Arial" w:cs="Arial"/>
        </w:rPr>
        <w:t>, 2014). Although policy supports, the studies collectively show that there is a disconnect between policy expectations and actual diagnostic accuracy in the real world.</w:t>
      </w:r>
    </w:p>
    <w:p w14:paraId="0EEFBA6D" w14:textId="77777777" w:rsidR="003E2DBA" w:rsidRPr="003E2DBA" w:rsidRDefault="003E2DBA" w:rsidP="003E2DBA"/>
    <w:p w14:paraId="3B57B2BA" w14:textId="3930BC3A" w:rsidR="00407EB3" w:rsidRDefault="00407EB3" w:rsidP="00777900">
      <w:pPr>
        <w:pStyle w:val="Heading3"/>
      </w:pPr>
      <w:bookmarkStart w:id="44" w:name="_Toc235909365"/>
      <w:r>
        <w:t>Implications</w:t>
      </w:r>
      <w:bookmarkEnd w:id="44"/>
    </w:p>
    <w:p w14:paraId="1BE26FDA" w14:textId="4C08DC68" w:rsidR="00713FEC" w:rsidRDefault="003E2DBA" w:rsidP="003E2DBA">
      <w:r w:rsidRPr="00FA3C6D">
        <w:rPr>
          <w:rFonts w:ascii="Arial" w:hAnsi="Arial" w:cs="Arial"/>
        </w:rPr>
        <w:t xml:space="preserve">The results of the three studies reveal both good and bad news with respect to the diagnosis of dementia in primary care. Fortunately, Creavin </w:t>
      </w:r>
      <w:r w:rsidRPr="00FA3C6D">
        <w:rPr>
          <w:rFonts w:ascii="Arial" w:hAnsi="Arial" w:cs="Arial"/>
          <w:i/>
          <w:iCs/>
        </w:rPr>
        <w:t>et al.</w:t>
      </w:r>
      <w:r w:rsidRPr="00FA3C6D">
        <w:rPr>
          <w:rFonts w:ascii="Arial" w:hAnsi="Arial" w:cs="Arial"/>
        </w:rPr>
        <w:t xml:space="preserve"> (2023) show that GP judgement, combined with cognitive tests, can improve diagnostic efficiency, which indicates that integrated assessment strategies may have an impact on early detection. Similarly, Chingono </w:t>
      </w:r>
      <w:r w:rsidRPr="00FA3C6D">
        <w:rPr>
          <w:rFonts w:ascii="Arial" w:hAnsi="Arial" w:cs="Arial"/>
          <w:i/>
          <w:iCs/>
        </w:rPr>
        <w:t>et al.</w:t>
      </w:r>
      <w:r w:rsidRPr="00FA3C6D">
        <w:rPr>
          <w:rFonts w:ascii="Arial" w:hAnsi="Arial" w:cs="Arial"/>
        </w:rPr>
        <w:t xml:space="preserve"> (2025) suggest that informant instruments can be useful in excluding dementia, helping </w:t>
      </w:r>
      <w:r w:rsidRPr="0086746E">
        <w:rPr>
          <w:rFonts w:ascii="Arial" w:hAnsi="Arial" w:cs="Arial"/>
        </w:rPr>
        <w:lastRenderedPageBreak/>
        <w:t>to avoid unnecessary referrals to specialists and healthcare burden. This research lends further endorsement to a multi-layered evaluation approach using clinical judgement, cognitive testing and informant information.</w:t>
      </w:r>
      <w:r w:rsidR="00713FEC" w:rsidRPr="0086746E">
        <w:rPr>
          <w:rFonts w:ascii="Arial" w:hAnsi="Arial" w:cs="Arial"/>
        </w:rPr>
        <w:t xml:space="preserve"> </w:t>
      </w:r>
      <w:r w:rsidRPr="0086746E">
        <w:rPr>
          <w:rFonts w:ascii="Arial" w:hAnsi="Arial" w:cs="Arial"/>
        </w:rPr>
        <w:t xml:space="preserve">However, Creavin </w:t>
      </w:r>
      <w:r w:rsidRPr="0086746E">
        <w:rPr>
          <w:rFonts w:ascii="Arial" w:hAnsi="Arial" w:cs="Arial"/>
          <w:i/>
          <w:iCs/>
        </w:rPr>
        <w:t>et al</w:t>
      </w:r>
      <w:r w:rsidRPr="0086746E">
        <w:rPr>
          <w:rFonts w:ascii="Arial" w:hAnsi="Arial" w:cs="Arial"/>
        </w:rPr>
        <w:t xml:space="preserve">. (2021) note that the low sensitivity of GP judgment can result in delayed treatment </w:t>
      </w:r>
      <w:r w:rsidR="0086746E" w:rsidRPr="0086746E">
        <w:rPr>
          <w:rFonts w:ascii="Arial" w:hAnsi="Arial" w:cs="Arial"/>
        </w:rPr>
        <w:t>because of</w:t>
      </w:r>
      <w:r w:rsidRPr="0086746E">
        <w:rPr>
          <w:rFonts w:ascii="Arial" w:hAnsi="Arial" w:cs="Arial"/>
        </w:rPr>
        <w:t xml:space="preserve"> missed diagnosis.</w:t>
      </w:r>
      <w:r>
        <w:t xml:space="preserve"> </w:t>
      </w:r>
    </w:p>
    <w:p w14:paraId="1DB1C035" w14:textId="65AA47C3" w:rsidR="003E2DBA" w:rsidRPr="0086746E" w:rsidRDefault="00981171" w:rsidP="003E2DBA">
      <w:pPr>
        <w:rPr>
          <w:rFonts w:ascii="Arial" w:hAnsi="Arial" w:cs="Arial"/>
        </w:rPr>
      </w:pPr>
      <w:r w:rsidRPr="0086746E">
        <w:rPr>
          <w:rFonts w:ascii="Arial" w:hAnsi="Arial" w:cs="Arial"/>
        </w:rPr>
        <w:t xml:space="preserve">Similarly, Creavin </w:t>
      </w:r>
      <w:r w:rsidRPr="0086746E">
        <w:rPr>
          <w:rFonts w:ascii="Arial" w:hAnsi="Arial" w:cs="Arial"/>
          <w:i/>
          <w:iCs/>
        </w:rPr>
        <w:t>et al</w:t>
      </w:r>
      <w:r w:rsidRPr="0086746E">
        <w:rPr>
          <w:rFonts w:ascii="Arial" w:hAnsi="Arial" w:cs="Arial"/>
        </w:rPr>
        <w:t xml:space="preserve">. (2023) showed that highly sensitive screening tests have a significant risk of false positive results, resulting in patient anxiety, overdiagnosis and strain on specialist services. On the other hand, using the GP's clinical opinion without any supporting data could lead to false negatives, resulting in patients not getting timely support during disease progression. </w:t>
      </w:r>
      <w:r w:rsidR="003E2DBA" w:rsidRPr="0086746E">
        <w:rPr>
          <w:rFonts w:ascii="Arial" w:hAnsi="Arial" w:cs="Arial"/>
        </w:rPr>
        <w:t xml:space="preserve">Chingono </w:t>
      </w:r>
      <w:r w:rsidR="003E2DBA" w:rsidRPr="001F1F2F">
        <w:rPr>
          <w:rFonts w:ascii="Arial" w:hAnsi="Arial" w:cs="Arial"/>
          <w:i/>
          <w:iCs/>
        </w:rPr>
        <w:t>et al</w:t>
      </w:r>
      <w:r w:rsidR="003E2DBA" w:rsidRPr="0086746E">
        <w:rPr>
          <w:rFonts w:ascii="Arial" w:hAnsi="Arial" w:cs="Arial"/>
        </w:rPr>
        <w:t>. (2025) also illustrate the inconsistencies in informant accuracy, as friends were more likely to be specific than family members, a concern that needs to be addressed in real-world applications. These restrictions indicate that none of these is a panacea for correct diagnosis. Thus, any single approach can add to inequalities in diagnosis rates, especially if access to continual informants or trained practitioners is not uniform among different populations.</w:t>
      </w:r>
    </w:p>
    <w:p w14:paraId="3ADE736B" w14:textId="77777777" w:rsidR="003E2DBA" w:rsidRPr="003E2DBA" w:rsidRDefault="003E2DBA" w:rsidP="003E2DBA"/>
    <w:p w14:paraId="2E705F97" w14:textId="589EF1D7" w:rsidR="00407EB3" w:rsidRDefault="00407EB3" w:rsidP="00777900">
      <w:pPr>
        <w:pStyle w:val="Heading3"/>
      </w:pPr>
      <w:bookmarkStart w:id="45" w:name="_Toc235909366"/>
      <w:r>
        <w:t>Examples from Your Articles</w:t>
      </w:r>
      <w:bookmarkEnd w:id="45"/>
    </w:p>
    <w:p w14:paraId="73C9F8A4" w14:textId="3A2DF71C" w:rsidR="003E2DBA" w:rsidRPr="001F1F2F" w:rsidRDefault="003E2DBA" w:rsidP="00052108">
      <w:pPr>
        <w:rPr>
          <w:rFonts w:ascii="Arial" w:hAnsi="Arial" w:cs="Arial"/>
        </w:rPr>
      </w:pPr>
      <w:r w:rsidRPr="001F1F2F">
        <w:rPr>
          <w:rFonts w:ascii="Arial" w:hAnsi="Arial" w:cs="Arial"/>
        </w:rPr>
        <w:t xml:space="preserve">GP clinical judgement plays a crucial role in the diagnosis of dementia, as demonstrated by Creavin </w:t>
      </w:r>
      <w:r w:rsidRPr="001F1F2F">
        <w:rPr>
          <w:rFonts w:ascii="Arial" w:hAnsi="Arial" w:cs="Arial"/>
          <w:i/>
          <w:iCs/>
        </w:rPr>
        <w:t>et al</w:t>
      </w:r>
      <w:r w:rsidRPr="001F1F2F">
        <w:rPr>
          <w:rFonts w:ascii="Arial" w:hAnsi="Arial" w:cs="Arial"/>
        </w:rPr>
        <w:t>. (2021) in their findings, who reported that specificity for the condition was high at 89%, but sensitivity was low at 56%; nearly half of all cases of dementia were not detected in primary care.</w:t>
      </w:r>
      <w:r w:rsidR="00BD6ECC" w:rsidRPr="001F1F2F">
        <w:rPr>
          <w:rFonts w:ascii="Arial" w:hAnsi="Arial" w:cs="Arial"/>
        </w:rPr>
        <w:t xml:space="preserve"> </w:t>
      </w:r>
      <w:r w:rsidR="00910A1B" w:rsidRPr="001F1F2F">
        <w:rPr>
          <w:rFonts w:ascii="Arial" w:hAnsi="Arial" w:cs="Arial"/>
        </w:rPr>
        <w:t xml:space="preserve">In primary care cohorts, Creavin </w:t>
      </w:r>
      <w:r w:rsidR="00910A1B" w:rsidRPr="001F1F2F">
        <w:rPr>
          <w:rFonts w:ascii="Arial" w:hAnsi="Arial" w:cs="Arial"/>
          <w:i/>
          <w:iCs/>
        </w:rPr>
        <w:t>et al. (</w:t>
      </w:r>
      <w:r w:rsidR="00910A1B" w:rsidRPr="001F1F2F">
        <w:rPr>
          <w:rFonts w:ascii="Arial" w:hAnsi="Arial" w:cs="Arial"/>
        </w:rPr>
        <w:t>2023) found that MoCA had a sensitivity of 100% at specific recommended cut-off thresholds</w:t>
      </w:r>
      <w:r w:rsidR="001F1F2F">
        <w:rPr>
          <w:rFonts w:ascii="Arial" w:hAnsi="Arial" w:cs="Arial"/>
        </w:rPr>
        <w:t>;</w:t>
      </w:r>
      <w:r w:rsidR="00910A1B" w:rsidRPr="001F1F2F">
        <w:rPr>
          <w:rFonts w:ascii="Arial" w:hAnsi="Arial" w:cs="Arial"/>
        </w:rPr>
        <w:t xml:space="preserve"> however</w:t>
      </w:r>
      <w:r w:rsidR="001F1F2F">
        <w:rPr>
          <w:rFonts w:ascii="Arial" w:hAnsi="Arial" w:cs="Arial"/>
        </w:rPr>
        <w:t>,</w:t>
      </w:r>
      <w:r w:rsidR="00910A1B" w:rsidRPr="001F1F2F">
        <w:rPr>
          <w:rFonts w:ascii="Arial" w:hAnsi="Arial" w:cs="Arial"/>
        </w:rPr>
        <w:t xml:space="preserve"> a specificity of just 16%. The high specificity reduces the number of false positives and specialist referrals, which in turn reduces the value of MoCA as a standalone test in routine primary care in the UK. </w:t>
      </w:r>
      <w:r w:rsidRPr="001F1F2F">
        <w:rPr>
          <w:rFonts w:ascii="Arial" w:hAnsi="Arial" w:cs="Arial"/>
        </w:rPr>
        <w:t xml:space="preserve">Additionally, Chingono </w:t>
      </w:r>
      <w:r w:rsidRPr="001F1F2F">
        <w:rPr>
          <w:rFonts w:ascii="Arial" w:hAnsi="Arial" w:cs="Arial"/>
          <w:i/>
          <w:iCs/>
        </w:rPr>
        <w:t>et al</w:t>
      </w:r>
      <w:r w:rsidRPr="001F1F2F">
        <w:rPr>
          <w:rFonts w:ascii="Arial" w:hAnsi="Arial" w:cs="Arial"/>
        </w:rPr>
        <w:t>. (2025) investigated informant-based measures, including IQCODE, AD8 and GPCOGi, all of which showed high sensitivity (up to 100%) and low specificity, especially among adult descendants.</w:t>
      </w:r>
    </w:p>
    <w:p w14:paraId="64B09E7E" w14:textId="356C5D01" w:rsidR="003E2DBA" w:rsidRPr="00023E7D" w:rsidRDefault="00D64845" w:rsidP="00052108">
      <w:pPr>
        <w:rPr>
          <w:rFonts w:ascii="Arial" w:hAnsi="Arial" w:cs="Arial"/>
        </w:rPr>
      </w:pPr>
      <w:r w:rsidRPr="00023E7D">
        <w:rPr>
          <w:rFonts w:ascii="Arial" w:hAnsi="Arial" w:cs="Arial"/>
        </w:rPr>
        <w:t>Across</w:t>
      </w:r>
      <w:r w:rsidR="00D53268" w:rsidRPr="00023E7D">
        <w:rPr>
          <w:rFonts w:ascii="Arial" w:hAnsi="Arial" w:cs="Arial"/>
        </w:rPr>
        <w:t xml:space="preserve"> three studies, a consistent finding is that screening tools are useful in identifying potential impairment for further evaluation but </w:t>
      </w:r>
      <w:r w:rsidR="00023E7D">
        <w:rPr>
          <w:rFonts w:ascii="Arial" w:hAnsi="Arial" w:cs="Arial"/>
        </w:rPr>
        <w:t xml:space="preserve">are </w:t>
      </w:r>
      <w:r w:rsidR="00D53268" w:rsidRPr="00023E7D">
        <w:rPr>
          <w:rFonts w:ascii="Arial" w:hAnsi="Arial" w:cs="Arial"/>
        </w:rPr>
        <w:t xml:space="preserve">not used for making a definitive diagnosis. </w:t>
      </w:r>
      <w:r w:rsidR="003E2DBA" w:rsidRPr="00023E7D">
        <w:rPr>
          <w:rFonts w:ascii="Arial" w:hAnsi="Arial" w:cs="Arial"/>
        </w:rPr>
        <w:t xml:space="preserve">The studies agree that the addition of methods increases the diagnostic sensitivity, as reported by Creavin </w:t>
      </w:r>
      <w:r w:rsidR="003E2DBA" w:rsidRPr="00023E7D">
        <w:rPr>
          <w:rFonts w:ascii="Arial" w:hAnsi="Arial" w:cs="Arial"/>
          <w:i/>
          <w:iCs/>
        </w:rPr>
        <w:t>et al.</w:t>
      </w:r>
      <w:r w:rsidR="003E2DBA" w:rsidRPr="00023E7D">
        <w:rPr>
          <w:rFonts w:ascii="Arial" w:hAnsi="Arial" w:cs="Arial"/>
        </w:rPr>
        <w:t xml:space="preserve"> (2023), who saw specificities increase to 87% when adding GP judgement to cognitive tests. They differ, however, in the emphasis imparted, with Creavin </w:t>
      </w:r>
      <w:r w:rsidR="003E2DBA" w:rsidRPr="00023E7D">
        <w:rPr>
          <w:rFonts w:ascii="Arial" w:hAnsi="Arial" w:cs="Arial"/>
          <w:i/>
          <w:iCs/>
        </w:rPr>
        <w:t>et al</w:t>
      </w:r>
      <w:r w:rsidR="003E2DBA" w:rsidRPr="00023E7D">
        <w:rPr>
          <w:rFonts w:ascii="Arial" w:hAnsi="Arial" w:cs="Arial"/>
        </w:rPr>
        <w:t xml:space="preserve">. (2021) emphasising the accuracy of clinical judgements, and Chingono </w:t>
      </w:r>
      <w:r w:rsidR="003E2DBA" w:rsidRPr="00023E7D">
        <w:rPr>
          <w:rFonts w:ascii="Arial" w:hAnsi="Arial" w:cs="Arial"/>
          <w:i/>
          <w:iCs/>
        </w:rPr>
        <w:t>et al.</w:t>
      </w:r>
      <w:r w:rsidR="003E2DBA" w:rsidRPr="00023E7D">
        <w:rPr>
          <w:rFonts w:ascii="Arial" w:hAnsi="Arial" w:cs="Arial"/>
        </w:rPr>
        <w:t xml:space="preserve"> (2025) emphasising informant variability. Overall, the results of these studies suggest the need for multi-method evaluation in primary care to facilitate reliable diagnosis.</w:t>
      </w:r>
    </w:p>
    <w:p w14:paraId="0565D5D2" w14:textId="77777777" w:rsidR="003E2DBA" w:rsidRPr="003E2DBA" w:rsidRDefault="003E2DBA" w:rsidP="003E2DBA"/>
    <w:p w14:paraId="280FEB6A" w14:textId="5FF23FAF" w:rsidR="00407EB3" w:rsidRDefault="00407EB3" w:rsidP="00777900">
      <w:pPr>
        <w:pStyle w:val="Heading3"/>
      </w:pPr>
      <w:bookmarkStart w:id="46" w:name="_Toc235909367"/>
      <w:r>
        <w:t>Connections to Other Themes</w:t>
      </w:r>
      <w:bookmarkEnd w:id="46"/>
    </w:p>
    <w:p w14:paraId="6B81F79C" w14:textId="5E34D9DE" w:rsidR="003E2DBA" w:rsidRPr="00244C3C" w:rsidRDefault="003E2DBA" w:rsidP="003E2DBA">
      <w:pPr>
        <w:rPr>
          <w:rFonts w:ascii="Arial" w:hAnsi="Arial" w:cs="Arial"/>
        </w:rPr>
      </w:pPr>
      <w:r w:rsidRPr="00244C3C">
        <w:rPr>
          <w:rFonts w:ascii="Arial" w:hAnsi="Arial" w:cs="Arial"/>
        </w:rPr>
        <w:t>This theme is closely linked to clinical and cognitive markers and barriers to the implementation of dementia diagnosis. Screening tools are based on altered cognitive and neurological functions documented in Theme 1, and therefore, their accuracy relies on the understanding and measurement of these altered functions. Similarly, the limitations in this theme, including but not limited to sensitivity and specificity, directly influence the effectiveness/limitation in Theme 3. Furthermore, methodological variation in assessment processes can impact service readiness and diagnostic processes, highlighting the interdependent relationships between biological markers, clinical tools and health system barriers in earlier dementia detection.</w:t>
      </w:r>
    </w:p>
    <w:p w14:paraId="2C97076B" w14:textId="77777777" w:rsidR="003E2DBA" w:rsidRPr="003E2DBA" w:rsidRDefault="003E2DBA" w:rsidP="003E2DBA"/>
    <w:p w14:paraId="05C706E5" w14:textId="245D84F2" w:rsidR="00407EB3" w:rsidRDefault="00407EB3" w:rsidP="006F50DC">
      <w:pPr>
        <w:pStyle w:val="Heading2"/>
      </w:pPr>
      <w:bookmarkStart w:id="47" w:name="_Toc235909368"/>
      <w:r>
        <w:t>4.5 – Theme 3</w:t>
      </w:r>
      <w:r w:rsidR="003E2DBA">
        <w:t xml:space="preserve">: </w:t>
      </w:r>
      <w:r w:rsidR="003E2DBA" w:rsidRPr="003E2DBA">
        <w:t xml:space="preserve">Effectiveness </w:t>
      </w:r>
      <w:r w:rsidR="00F32358" w:rsidRPr="003E2DBA">
        <w:t>and</w:t>
      </w:r>
      <w:r w:rsidR="003E2DBA" w:rsidRPr="003E2DBA">
        <w:t xml:space="preserve"> Limitations </w:t>
      </w:r>
      <w:r w:rsidR="00F32358" w:rsidRPr="003E2DBA">
        <w:t>of</w:t>
      </w:r>
      <w:r w:rsidR="003E2DBA" w:rsidRPr="003E2DBA">
        <w:t xml:space="preserve"> Early Recognition Strategies, Service Readiness, And Implementation Barriers</w:t>
      </w:r>
      <w:bookmarkEnd w:id="47"/>
    </w:p>
    <w:p w14:paraId="4B6C9951" w14:textId="19C2DBCB" w:rsidR="00BE17DE" w:rsidRDefault="00407EB3" w:rsidP="00BE17DE">
      <w:pPr>
        <w:pStyle w:val="Heading3"/>
      </w:pPr>
      <w:bookmarkStart w:id="48" w:name="_Toc235909369"/>
      <w:r>
        <w:t>Definition</w:t>
      </w:r>
      <w:bookmarkEnd w:id="48"/>
    </w:p>
    <w:p w14:paraId="6376BA22" w14:textId="0FB95002" w:rsidR="00BE17DE" w:rsidRPr="00244C3C" w:rsidRDefault="00BE17DE" w:rsidP="00BE17DE">
      <w:pPr>
        <w:rPr>
          <w:rFonts w:ascii="Arial" w:hAnsi="Arial" w:cs="Arial"/>
        </w:rPr>
      </w:pPr>
      <w:r w:rsidRPr="00244C3C">
        <w:rPr>
          <w:rFonts w:ascii="Arial" w:hAnsi="Arial" w:cs="Arial"/>
        </w:rPr>
        <w:t>The effectiveness of healthcare systems in recognising dementia early, readiness of services, and barriers to implementation are usefully categorised as early recognition strategies, service readiness, and implementation barriers, respectively (</w:t>
      </w:r>
      <w:proofErr w:type="spellStart"/>
      <w:r w:rsidRPr="00244C3C">
        <w:rPr>
          <w:rFonts w:ascii="Arial" w:hAnsi="Arial" w:cs="Arial"/>
        </w:rPr>
        <w:t>Endalamaw</w:t>
      </w:r>
      <w:proofErr w:type="spellEnd"/>
      <w:r w:rsidRPr="00244C3C">
        <w:rPr>
          <w:rFonts w:ascii="Arial" w:hAnsi="Arial" w:cs="Arial"/>
        </w:rPr>
        <w:t xml:space="preserve"> </w:t>
      </w:r>
      <w:r w:rsidRPr="00244C3C">
        <w:rPr>
          <w:rFonts w:ascii="Arial" w:hAnsi="Arial" w:cs="Arial"/>
          <w:i/>
          <w:iCs/>
        </w:rPr>
        <w:t>et al.,</w:t>
      </w:r>
      <w:r w:rsidRPr="00244C3C">
        <w:rPr>
          <w:rFonts w:ascii="Arial" w:hAnsi="Arial" w:cs="Arial"/>
        </w:rPr>
        <w:t xml:space="preserve"> 2024). These early recognition strategies involve preventative discussions, risk identification and pathways of structured assessment. Service readiness is the ability of dementia by healthcare systems, such as </w:t>
      </w:r>
      <w:r w:rsidR="00244C3C">
        <w:rPr>
          <w:rFonts w:ascii="Arial" w:hAnsi="Arial" w:cs="Arial"/>
        </w:rPr>
        <w:t xml:space="preserve">the </w:t>
      </w:r>
      <w:r w:rsidRPr="00244C3C">
        <w:rPr>
          <w:rFonts w:ascii="Arial" w:hAnsi="Arial" w:cs="Arial"/>
        </w:rPr>
        <w:t xml:space="preserve">workforce, training and infrastructure, to address dementia. Implementation barriers are factors that obstruct effective implementation of services, such as personnel shortages, stigma, resources, culture and organisation (Searby </w:t>
      </w:r>
      <w:r w:rsidRPr="00244C3C">
        <w:rPr>
          <w:rFonts w:ascii="Arial" w:hAnsi="Arial" w:cs="Arial"/>
          <w:i/>
          <w:iCs/>
        </w:rPr>
        <w:t xml:space="preserve">et al., </w:t>
      </w:r>
      <w:r w:rsidRPr="00244C3C">
        <w:rPr>
          <w:rFonts w:ascii="Arial" w:hAnsi="Arial" w:cs="Arial"/>
        </w:rPr>
        <w:t>2025). Together, these factors contribute to delayed diagnosis, disparities in access to services for care and services for dementia.</w:t>
      </w:r>
    </w:p>
    <w:p w14:paraId="157C7D6F" w14:textId="77777777" w:rsidR="00BE17DE" w:rsidRPr="00BE17DE" w:rsidRDefault="00BE17DE" w:rsidP="00BE17DE"/>
    <w:p w14:paraId="69A9CE99" w14:textId="58FCF5B4" w:rsidR="00407EB3" w:rsidRDefault="00407EB3" w:rsidP="002639FA">
      <w:pPr>
        <w:pStyle w:val="Heading3"/>
      </w:pPr>
      <w:bookmarkStart w:id="49" w:name="_Toc235909370"/>
      <w:r>
        <w:t>Background Information</w:t>
      </w:r>
      <w:bookmarkEnd w:id="49"/>
    </w:p>
    <w:p w14:paraId="7B6AEB87" w14:textId="68CBA018" w:rsidR="00BE17DE" w:rsidRDefault="00BE17DE" w:rsidP="00BE17DE">
      <w:r w:rsidRPr="00717C13">
        <w:rPr>
          <w:rFonts w:ascii="Arial" w:hAnsi="Arial" w:cs="Arial"/>
        </w:rPr>
        <w:t xml:space="preserve">Traditionally, dementia support systems in the UK and around the world have emphasised diagnosis rather than prevention and symptom recognition when there is functional change. The current policy, however, seeks to identify and prevent dementia early through consideration of risk reduction and better service integration. It is important to note that GPs </w:t>
      </w:r>
      <w:r w:rsidRPr="00717C13">
        <w:rPr>
          <w:rFonts w:ascii="Arial" w:hAnsi="Arial" w:cs="Arial"/>
        </w:rPr>
        <w:lastRenderedPageBreak/>
        <w:t xml:space="preserve">recognise their responsibility in preventing dementia, yet they do not often discuss risk because of time limitations and limited training (Jones </w:t>
      </w:r>
      <w:r w:rsidRPr="00717C13">
        <w:rPr>
          <w:rFonts w:ascii="Arial" w:hAnsi="Arial" w:cs="Arial"/>
          <w:i/>
          <w:iCs/>
        </w:rPr>
        <w:t>et al.</w:t>
      </w:r>
      <w:r w:rsidRPr="00717C13">
        <w:rPr>
          <w:rFonts w:ascii="Arial" w:hAnsi="Arial" w:cs="Arial"/>
        </w:rPr>
        <w:t xml:space="preserve"> 2023). Likewise, Bajwa </w:t>
      </w:r>
      <w:r w:rsidRPr="00717C13">
        <w:rPr>
          <w:rFonts w:ascii="Arial" w:hAnsi="Arial" w:cs="Arial"/>
          <w:i/>
          <w:iCs/>
        </w:rPr>
        <w:t>et al.</w:t>
      </w:r>
      <w:r w:rsidRPr="00717C13">
        <w:rPr>
          <w:rFonts w:ascii="Arial" w:hAnsi="Arial" w:cs="Arial"/>
        </w:rPr>
        <w:t xml:space="preserve"> (2025) report that there is awareness that dementia is a risk among various population groups, but limited awareness of formal dementia risk prediction tools. Similarly, Kelsey et al. (2026) show a substantial difference in the readiness of services in England, with differences in staffing and diagnostic resources affecting access to services. All these studies suggest an emerging trend in dementia care that is preventative in nature, but systemic implementation gaps, especially in resource-limited and rural settings, are also highlighted.</w:t>
      </w:r>
    </w:p>
    <w:p w14:paraId="66C9B925" w14:textId="77777777" w:rsidR="00BE17DE" w:rsidRPr="00BE17DE" w:rsidRDefault="00BE17DE" w:rsidP="00BE17DE"/>
    <w:p w14:paraId="3267C4FC" w14:textId="56A437D7" w:rsidR="00407EB3" w:rsidRDefault="00407EB3" w:rsidP="002639FA">
      <w:pPr>
        <w:pStyle w:val="Heading3"/>
      </w:pPr>
      <w:bookmarkStart w:id="50" w:name="_Toc235909371"/>
      <w:r>
        <w:t>Impact on Research Question</w:t>
      </w:r>
      <w:bookmarkEnd w:id="50"/>
    </w:p>
    <w:p w14:paraId="74FF28D1" w14:textId="609346C6" w:rsidR="00BE17DE" w:rsidRPr="0008103D" w:rsidRDefault="00BE17DE" w:rsidP="00BE17DE">
      <w:pPr>
        <w:rPr>
          <w:rFonts w:ascii="Arial" w:hAnsi="Arial" w:cs="Arial"/>
        </w:rPr>
      </w:pPr>
      <w:r w:rsidRPr="0008103D">
        <w:rPr>
          <w:rFonts w:ascii="Arial" w:hAnsi="Arial" w:cs="Arial"/>
        </w:rPr>
        <w:t xml:space="preserve">A key theme that builds on this is that the readiness and implementation barriers to services have a direct impact on diagnostic equity. Jones </w:t>
      </w:r>
      <w:r w:rsidRPr="0008103D">
        <w:rPr>
          <w:rFonts w:ascii="Arial" w:hAnsi="Arial" w:cs="Arial"/>
          <w:i/>
          <w:iCs/>
        </w:rPr>
        <w:t>et al</w:t>
      </w:r>
      <w:r w:rsidRPr="0008103D">
        <w:rPr>
          <w:rFonts w:ascii="Arial" w:hAnsi="Arial" w:cs="Arial"/>
        </w:rPr>
        <w:t xml:space="preserve">. (2023) identified that GPs may not always talk about the issue of dementia risk, and this could affect early detection of dementia, especially within low health service engagement populations. Bajwa </w:t>
      </w:r>
      <w:r w:rsidRPr="0008103D">
        <w:rPr>
          <w:rFonts w:ascii="Arial" w:hAnsi="Arial" w:cs="Arial"/>
          <w:i/>
          <w:iCs/>
        </w:rPr>
        <w:t>et al</w:t>
      </w:r>
      <w:r w:rsidRPr="0008103D">
        <w:rPr>
          <w:rFonts w:ascii="Arial" w:hAnsi="Arial" w:cs="Arial"/>
        </w:rPr>
        <w:t xml:space="preserve"> (2025) suggest that language, stigma and cultural beliefs can have a marked impact on access to dementia services for ethnically diverse populations, which may be one reason behind the later diagnosis in </w:t>
      </w:r>
      <w:r w:rsidR="00EE66B7" w:rsidRPr="0008103D">
        <w:rPr>
          <w:rFonts w:ascii="Arial" w:hAnsi="Arial" w:cs="Arial"/>
        </w:rPr>
        <w:t>minority ethnic communities</w:t>
      </w:r>
      <w:r w:rsidRPr="0008103D">
        <w:rPr>
          <w:rFonts w:ascii="Arial" w:hAnsi="Arial" w:cs="Arial"/>
        </w:rPr>
        <w:t xml:space="preserve">. In a similar vein, Kelsey </w:t>
      </w:r>
      <w:r w:rsidRPr="0008103D">
        <w:rPr>
          <w:rFonts w:ascii="Arial" w:hAnsi="Arial" w:cs="Arial"/>
          <w:i/>
          <w:iCs/>
        </w:rPr>
        <w:t>et al</w:t>
      </w:r>
      <w:r w:rsidRPr="0008103D">
        <w:rPr>
          <w:rFonts w:ascii="Arial" w:hAnsi="Arial" w:cs="Arial"/>
        </w:rPr>
        <w:t>. (2026) have noted geographical disparities in diagnostic status with lower levels of access to memory services in rural and under-resourced communities. These findings together indicate that unequal diagnosis of dementia isn't just the domain of clinical care, but is influenced by wider systemic, cultural and organisational factors. This has direct relevance to the understanding of differential diagnoses of ethnicity and socio-economic status in the UK.</w:t>
      </w:r>
    </w:p>
    <w:p w14:paraId="73AFE78A" w14:textId="77777777" w:rsidR="00BE17DE" w:rsidRPr="00BE17DE" w:rsidRDefault="00BE17DE" w:rsidP="00BE17DE"/>
    <w:p w14:paraId="693648F0" w14:textId="3E528029" w:rsidR="00407EB3" w:rsidRDefault="00407EB3" w:rsidP="002639FA">
      <w:pPr>
        <w:pStyle w:val="Heading3"/>
      </w:pPr>
      <w:bookmarkStart w:id="51" w:name="_Toc235909372"/>
      <w:r>
        <w:t>Theories, Policies, and Legislation</w:t>
      </w:r>
      <w:bookmarkEnd w:id="51"/>
    </w:p>
    <w:p w14:paraId="7E0B7570" w14:textId="20023FE5" w:rsidR="00BE17DE" w:rsidRDefault="0008103D" w:rsidP="00BE17DE">
      <w:r>
        <w:rPr>
          <w:rFonts w:ascii="Arial" w:hAnsi="Arial" w:cs="Arial"/>
        </w:rPr>
        <w:t>Several theoretical models support</w:t>
      </w:r>
      <w:r w:rsidR="00BE17DE" w:rsidRPr="0008103D">
        <w:rPr>
          <w:rFonts w:ascii="Arial" w:hAnsi="Arial" w:cs="Arial"/>
        </w:rPr>
        <w:t xml:space="preserve"> the effectiveness of, and limitations on, early recognition strategies. </w:t>
      </w:r>
      <w:r w:rsidR="00EA5AB3" w:rsidRPr="0008103D">
        <w:rPr>
          <w:rFonts w:ascii="Arial" w:hAnsi="Arial" w:cs="Arial"/>
        </w:rPr>
        <w:t xml:space="preserve">The Health Belief Model can explain </w:t>
      </w:r>
      <w:r>
        <w:rPr>
          <w:rFonts w:ascii="Arial" w:hAnsi="Arial" w:cs="Arial"/>
        </w:rPr>
        <w:t>attitudes</w:t>
      </w:r>
      <w:r w:rsidR="00EA5AB3" w:rsidRPr="0008103D">
        <w:rPr>
          <w:rFonts w:ascii="Arial" w:hAnsi="Arial" w:cs="Arial"/>
        </w:rPr>
        <w:t xml:space="preserve"> of patients towards dementia risk and help-seeking behaviours (Bajwa </w:t>
      </w:r>
      <w:r w:rsidR="00EA5AB3" w:rsidRPr="0008103D">
        <w:rPr>
          <w:rFonts w:ascii="Arial" w:hAnsi="Arial" w:cs="Arial"/>
          <w:i/>
          <w:iCs/>
        </w:rPr>
        <w:t>et al.,</w:t>
      </w:r>
      <w:r w:rsidR="00EA5AB3" w:rsidRPr="0008103D">
        <w:rPr>
          <w:rFonts w:ascii="Arial" w:hAnsi="Arial" w:cs="Arial"/>
        </w:rPr>
        <w:t xml:space="preserve"> 2025). Healthcare professionals are hesitant to use new preventive tools because of the uncertainty, which is addressed by the diffusion of innovation theory (Jones </w:t>
      </w:r>
      <w:r w:rsidR="00EA5AB3" w:rsidRPr="0008103D">
        <w:rPr>
          <w:rFonts w:ascii="Arial" w:hAnsi="Arial" w:cs="Arial"/>
          <w:i/>
          <w:iCs/>
        </w:rPr>
        <w:t>et al.,</w:t>
      </w:r>
      <w:r w:rsidR="00EA5AB3" w:rsidRPr="0008103D">
        <w:rPr>
          <w:rFonts w:ascii="Arial" w:hAnsi="Arial" w:cs="Arial"/>
        </w:rPr>
        <w:t xml:space="preserve"> 2023). Lastly, systems theory structurally shows that the lack of staffing capacity and regional funding directly limits the ability to deliver frontline services (Kelsey </w:t>
      </w:r>
      <w:r w:rsidR="00EA5AB3" w:rsidRPr="0066074B">
        <w:rPr>
          <w:rFonts w:ascii="Arial" w:hAnsi="Arial" w:cs="Arial"/>
          <w:i/>
          <w:iCs/>
        </w:rPr>
        <w:t>et al.</w:t>
      </w:r>
      <w:r w:rsidR="007B76ED">
        <w:rPr>
          <w:rFonts w:ascii="Arial" w:hAnsi="Arial" w:cs="Arial"/>
          <w:i/>
          <w:iCs/>
        </w:rPr>
        <w:t>,</w:t>
      </w:r>
      <w:r w:rsidR="00EA5AB3" w:rsidRPr="0008103D">
        <w:rPr>
          <w:rFonts w:ascii="Arial" w:hAnsi="Arial" w:cs="Arial"/>
        </w:rPr>
        <w:t xml:space="preserve"> 2026).</w:t>
      </w:r>
      <w:r w:rsidR="00ED4C5D" w:rsidRPr="0008103D">
        <w:rPr>
          <w:rFonts w:ascii="Arial" w:hAnsi="Arial" w:cs="Arial"/>
        </w:rPr>
        <w:t xml:space="preserve"> </w:t>
      </w:r>
      <w:r w:rsidR="00BE17DE" w:rsidRPr="0008103D">
        <w:rPr>
          <w:rFonts w:ascii="Arial" w:hAnsi="Arial" w:cs="Arial"/>
        </w:rPr>
        <w:t>Diagnosing, preventing and ensuring equal access to services early is reiterated in policy statements, including the NHS Long Term Plan and the Prime Minister's Challenge on Dementia (</w:t>
      </w:r>
      <w:r w:rsidR="00EC5609" w:rsidRPr="0008103D">
        <w:rPr>
          <w:rFonts w:ascii="Arial" w:hAnsi="Arial" w:cs="Arial"/>
        </w:rPr>
        <w:t>UK Government</w:t>
      </w:r>
      <w:r w:rsidR="00BE17DE" w:rsidRPr="0008103D">
        <w:rPr>
          <w:rFonts w:ascii="Arial" w:hAnsi="Arial" w:cs="Arial"/>
        </w:rPr>
        <w:t xml:space="preserve">, 2025; Department of Health, 2015). While this is </w:t>
      </w:r>
      <w:r w:rsidR="00BE17DE" w:rsidRPr="0066074B">
        <w:rPr>
          <w:rFonts w:ascii="Arial" w:hAnsi="Arial" w:cs="Arial"/>
        </w:rPr>
        <w:lastRenderedPageBreak/>
        <w:t xml:space="preserve">the case, Jones </w:t>
      </w:r>
      <w:r w:rsidR="00BE17DE" w:rsidRPr="0066074B">
        <w:rPr>
          <w:rFonts w:ascii="Arial" w:hAnsi="Arial" w:cs="Arial"/>
          <w:i/>
          <w:iCs/>
        </w:rPr>
        <w:t>et al.</w:t>
      </w:r>
      <w:r w:rsidR="00BE17DE" w:rsidRPr="0066074B">
        <w:rPr>
          <w:rFonts w:ascii="Arial" w:hAnsi="Arial" w:cs="Arial"/>
        </w:rPr>
        <w:t xml:space="preserve"> (2023) challenge the issues of implementation, for example, in the education of GPs and workload pressures. Bajwa </w:t>
      </w:r>
      <w:r w:rsidR="00BE17DE" w:rsidRPr="0066074B">
        <w:rPr>
          <w:rFonts w:ascii="Arial" w:hAnsi="Arial" w:cs="Arial"/>
          <w:i/>
          <w:iCs/>
        </w:rPr>
        <w:t>et al.</w:t>
      </w:r>
      <w:r w:rsidR="00BE17DE" w:rsidRPr="0066074B">
        <w:rPr>
          <w:rFonts w:ascii="Arial" w:hAnsi="Arial" w:cs="Arial"/>
        </w:rPr>
        <w:t xml:space="preserve"> (2025) highlight the importance of culturally competent services that are based on the Equality Act 2010 and support people of all cultural backgrounds (</w:t>
      </w:r>
      <w:r w:rsidR="00F8366C" w:rsidRPr="0066074B">
        <w:rPr>
          <w:rFonts w:ascii="Arial" w:hAnsi="Arial" w:cs="Arial"/>
        </w:rPr>
        <w:t>Legislation.gov.uk</w:t>
      </w:r>
      <w:r w:rsidR="00BE17DE" w:rsidRPr="0066074B">
        <w:rPr>
          <w:rFonts w:ascii="Arial" w:hAnsi="Arial" w:cs="Arial"/>
        </w:rPr>
        <w:t xml:space="preserve">, 2010). Even with policy support, Kelsey </w:t>
      </w:r>
      <w:r w:rsidR="00BE17DE" w:rsidRPr="0066074B">
        <w:rPr>
          <w:rFonts w:ascii="Arial" w:hAnsi="Arial" w:cs="Arial"/>
          <w:i/>
          <w:iCs/>
        </w:rPr>
        <w:t>et al.</w:t>
      </w:r>
      <w:r w:rsidR="00BE17DE" w:rsidRPr="0066074B">
        <w:rPr>
          <w:rFonts w:ascii="Arial" w:hAnsi="Arial" w:cs="Arial"/>
        </w:rPr>
        <w:t xml:space="preserve"> (2026) find that regional differences still exist, suggesting that policy initiatives are not effective without resourcing and staffing them.</w:t>
      </w:r>
    </w:p>
    <w:p w14:paraId="0B696D2E" w14:textId="77777777" w:rsidR="00BE17DE" w:rsidRPr="00BE17DE" w:rsidRDefault="00BE17DE" w:rsidP="00BE17DE"/>
    <w:p w14:paraId="629919C5" w14:textId="3D3BB89D" w:rsidR="00407EB3" w:rsidRDefault="00407EB3" w:rsidP="002639FA">
      <w:pPr>
        <w:pStyle w:val="Heading3"/>
      </w:pPr>
      <w:bookmarkStart w:id="52" w:name="_Toc235909373"/>
      <w:r>
        <w:t>Implications</w:t>
      </w:r>
      <w:bookmarkEnd w:id="52"/>
    </w:p>
    <w:p w14:paraId="0374CE9A" w14:textId="77777777" w:rsidR="00C71A02" w:rsidRPr="005473CF" w:rsidRDefault="00BE17DE" w:rsidP="004D047F">
      <w:pPr>
        <w:rPr>
          <w:rFonts w:ascii="Arial" w:hAnsi="Arial" w:cs="Arial"/>
        </w:rPr>
      </w:pPr>
      <w:r w:rsidRPr="005473CF">
        <w:rPr>
          <w:rFonts w:ascii="Arial" w:hAnsi="Arial" w:cs="Arial"/>
        </w:rPr>
        <w:t xml:space="preserve">The results of all three studies point to both positive and negative implications for providing care for dementia. Fortunately, Jones </w:t>
      </w:r>
      <w:r w:rsidRPr="005473CF">
        <w:rPr>
          <w:rFonts w:ascii="Arial" w:hAnsi="Arial" w:cs="Arial"/>
          <w:i/>
          <w:iCs/>
        </w:rPr>
        <w:t>et al.</w:t>
      </w:r>
      <w:r w:rsidRPr="005473CF">
        <w:rPr>
          <w:rFonts w:ascii="Arial" w:hAnsi="Arial" w:cs="Arial"/>
        </w:rPr>
        <w:t xml:space="preserve"> (2023) propose that incorporating dementia prevention into GP practice, including health checks and medication reviews, may help to improve early detection and risk communication. </w:t>
      </w:r>
      <w:r w:rsidR="002049EA" w:rsidRPr="005473CF">
        <w:rPr>
          <w:rFonts w:ascii="Arial" w:hAnsi="Arial" w:cs="Arial"/>
        </w:rPr>
        <w:t xml:space="preserve">Likewise, Bajwa </w:t>
      </w:r>
      <w:r w:rsidR="002049EA" w:rsidRPr="005473CF">
        <w:rPr>
          <w:rFonts w:ascii="Arial" w:hAnsi="Arial" w:cs="Arial"/>
          <w:i/>
          <w:iCs/>
        </w:rPr>
        <w:t>et al</w:t>
      </w:r>
      <w:r w:rsidR="002049EA" w:rsidRPr="005473CF">
        <w:rPr>
          <w:rFonts w:ascii="Arial" w:hAnsi="Arial" w:cs="Arial"/>
        </w:rPr>
        <w:t xml:space="preserve">. (2025) highlight the importance of culturally responsive practice and culturally targeted outreach to increase access for ethnically diverse populations. Primary care nurses play a key role in addressing these system obstacles by making early bedside observations, educating patients, communicating with the patient and family in a culturally responsive manner, coordinating referrals for seamless transitions, and providing comprehensive multidisciplinary follow-up. Accordingly, Kelsey </w:t>
      </w:r>
      <w:r w:rsidR="002049EA" w:rsidRPr="005473CF">
        <w:rPr>
          <w:rFonts w:ascii="Arial" w:hAnsi="Arial" w:cs="Arial"/>
          <w:i/>
          <w:iCs/>
        </w:rPr>
        <w:t>et al.</w:t>
      </w:r>
      <w:r w:rsidR="002049EA" w:rsidRPr="005473CF">
        <w:rPr>
          <w:rFonts w:ascii="Arial" w:hAnsi="Arial" w:cs="Arial"/>
        </w:rPr>
        <w:t xml:space="preserve"> (2026) demonstrate that increasing staffing can lead to better diagnostic rates, underscoring the need for workforce investment. </w:t>
      </w:r>
    </w:p>
    <w:p w14:paraId="372640F8" w14:textId="4FBBDBA0" w:rsidR="00BE17DE" w:rsidRPr="005473CF" w:rsidRDefault="002049EA" w:rsidP="00BE17DE">
      <w:pPr>
        <w:rPr>
          <w:rFonts w:ascii="Arial" w:hAnsi="Arial" w:cs="Arial"/>
          <w:highlight w:val="yellow"/>
        </w:rPr>
      </w:pPr>
      <w:r w:rsidRPr="005473CF">
        <w:rPr>
          <w:rFonts w:ascii="Arial" w:hAnsi="Arial" w:cs="Arial"/>
        </w:rPr>
        <w:t xml:space="preserve">Primary care nurses also play a part through continuous monitoring, patient and family education and the coordination of referrals and interdisciplinary relationships throughout the assessment pathway. </w:t>
      </w:r>
      <w:r w:rsidR="00BE17DE" w:rsidRPr="005473CF">
        <w:rPr>
          <w:rFonts w:ascii="Arial" w:hAnsi="Arial" w:cs="Arial"/>
        </w:rPr>
        <w:t xml:space="preserve">There are considerable shortcomings, though. The challenges of limited consultation time, lack of training, and reluctance to use the term “dementia” can hinder early intervention (Jones </w:t>
      </w:r>
      <w:r w:rsidR="00BE17DE" w:rsidRPr="005473CF">
        <w:rPr>
          <w:rFonts w:ascii="Arial" w:hAnsi="Arial" w:cs="Arial"/>
          <w:i/>
          <w:iCs/>
        </w:rPr>
        <w:t>et al.,</w:t>
      </w:r>
      <w:r w:rsidR="00BE17DE" w:rsidRPr="005473CF">
        <w:rPr>
          <w:rFonts w:ascii="Arial" w:hAnsi="Arial" w:cs="Arial"/>
        </w:rPr>
        <w:t xml:space="preserve"> 2023).</w:t>
      </w:r>
      <w:r w:rsidR="00D55F96" w:rsidRPr="005473CF">
        <w:rPr>
          <w:rFonts w:ascii="Arial" w:hAnsi="Arial" w:cs="Arial"/>
        </w:rPr>
        <w:t xml:space="preserve"> </w:t>
      </w:r>
      <w:r w:rsidR="00BF53BB" w:rsidRPr="005473CF">
        <w:rPr>
          <w:rFonts w:ascii="Arial" w:hAnsi="Arial" w:cs="Arial"/>
        </w:rPr>
        <w:t xml:space="preserve">Bajwa </w:t>
      </w:r>
      <w:r w:rsidR="00BF53BB" w:rsidRPr="005473CF">
        <w:rPr>
          <w:rFonts w:ascii="Arial" w:hAnsi="Arial" w:cs="Arial"/>
          <w:i/>
          <w:iCs/>
        </w:rPr>
        <w:t>et al</w:t>
      </w:r>
      <w:r w:rsidR="00BF53BB" w:rsidRPr="005473CF">
        <w:rPr>
          <w:rFonts w:ascii="Arial" w:hAnsi="Arial" w:cs="Arial"/>
        </w:rPr>
        <w:t xml:space="preserve">. (2025) </w:t>
      </w:r>
      <w:r w:rsidR="005473CF" w:rsidRPr="005473CF">
        <w:rPr>
          <w:rFonts w:ascii="Arial" w:hAnsi="Arial" w:cs="Arial"/>
        </w:rPr>
        <w:t>highlight</w:t>
      </w:r>
      <w:r w:rsidR="00BF53BB" w:rsidRPr="005473CF">
        <w:rPr>
          <w:rFonts w:ascii="Arial" w:hAnsi="Arial" w:cs="Arial"/>
        </w:rPr>
        <w:t xml:space="preserve"> that minoritised ethnic communities are disproportionately impacted by stigma and language barriers. In addition, Kelsey </w:t>
      </w:r>
      <w:r w:rsidR="00BF53BB" w:rsidRPr="005473CF">
        <w:rPr>
          <w:rFonts w:ascii="Arial" w:hAnsi="Arial" w:cs="Arial"/>
          <w:i/>
          <w:iCs/>
        </w:rPr>
        <w:t xml:space="preserve">et al. </w:t>
      </w:r>
      <w:r w:rsidR="00BF53BB" w:rsidRPr="005473CF">
        <w:rPr>
          <w:rFonts w:ascii="Arial" w:hAnsi="Arial" w:cs="Arial"/>
        </w:rPr>
        <w:t xml:space="preserve">(2026) show structural inequities across England, with rural and under-resourced areas having severe memory services and diagnostic capacity gaps. </w:t>
      </w:r>
      <w:r w:rsidR="00BE17DE" w:rsidRPr="005473CF">
        <w:rPr>
          <w:rFonts w:ascii="Arial" w:hAnsi="Arial" w:cs="Arial"/>
        </w:rPr>
        <w:t xml:space="preserve">The restrictions indicate that although early diagnosis is an area of focus in policy, it is not well implemented in practice. It is therefore important to recognise the risk of inequalities in service readiness, which could lead to inequalities in dementia diagnosis rates for </w:t>
      </w:r>
      <w:r w:rsidR="00110E3E" w:rsidRPr="005473CF">
        <w:rPr>
          <w:rFonts w:ascii="Arial" w:hAnsi="Arial" w:cs="Arial"/>
        </w:rPr>
        <w:t>minority ethnic communities</w:t>
      </w:r>
      <w:r w:rsidR="00137DD9" w:rsidRPr="005473CF">
        <w:rPr>
          <w:rFonts w:ascii="Arial" w:hAnsi="Arial" w:cs="Arial"/>
        </w:rPr>
        <w:t xml:space="preserve"> </w:t>
      </w:r>
      <w:r w:rsidR="00BE17DE" w:rsidRPr="005473CF">
        <w:rPr>
          <w:rFonts w:ascii="Arial" w:hAnsi="Arial" w:cs="Arial"/>
        </w:rPr>
        <w:t>and White British older people, as this will support the argument for system change.</w:t>
      </w:r>
    </w:p>
    <w:p w14:paraId="33647B5B" w14:textId="77777777" w:rsidR="00533397" w:rsidRPr="00BE17DE" w:rsidRDefault="00533397" w:rsidP="00BE17DE"/>
    <w:p w14:paraId="267E7AB4" w14:textId="23D255F2" w:rsidR="00407EB3" w:rsidRDefault="00407EB3" w:rsidP="002639FA">
      <w:pPr>
        <w:pStyle w:val="Heading3"/>
      </w:pPr>
      <w:bookmarkStart w:id="53" w:name="_Toc235909374"/>
      <w:r>
        <w:lastRenderedPageBreak/>
        <w:t>Examples from Your Articles</w:t>
      </w:r>
      <w:bookmarkEnd w:id="53"/>
    </w:p>
    <w:p w14:paraId="0170AE85" w14:textId="77777777" w:rsidR="00533397" w:rsidRPr="0029782F" w:rsidRDefault="00533397" w:rsidP="00533397">
      <w:pPr>
        <w:rPr>
          <w:rFonts w:ascii="Arial" w:hAnsi="Arial" w:cs="Arial"/>
        </w:rPr>
      </w:pPr>
      <w:r w:rsidRPr="0029782F">
        <w:rPr>
          <w:rFonts w:ascii="Arial" w:hAnsi="Arial" w:cs="Arial"/>
        </w:rPr>
        <w:t xml:space="preserve">Jones </w:t>
      </w:r>
      <w:r w:rsidRPr="0029782F">
        <w:rPr>
          <w:rFonts w:ascii="Arial" w:hAnsi="Arial" w:cs="Arial"/>
          <w:i/>
          <w:iCs/>
        </w:rPr>
        <w:t>et al</w:t>
      </w:r>
      <w:r w:rsidRPr="0029782F">
        <w:rPr>
          <w:rFonts w:ascii="Arial" w:hAnsi="Arial" w:cs="Arial"/>
        </w:rPr>
        <w:t xml:space="preserve">. (2023) evidence that GPs acknowledge that prevention should be part of their duty, but they very rarely raise the matter with their patients because of time pressure and anxiety, causing concern. Their qualitative interview study with 11 UK GPs points to the existence of barriers in primary care that impede the use of early recognition strategies. Similarly, a large qualitative task group investigated by Bajwa </w:t>
      </w:r>
      <w:r w:rsidRPr="0029782F">
        <w:rPr>
          <w:rFonts w:ascii="Arial" w:hAnsi="Arial" w:cs="Arial"/>
          <w:i/>
          <w:iCs/>
        </w:rPr>
        <w:t>et al.</w:t>
      </w:r>
      <w:r w:rsidRPr="0029782F">
        <w:rPr>
          <w:rFonts w:ascii="Arial" w:hAnsi="Arial" w:cs="Arial"/>
        </w:rPr>
        <w:t xml:space="preserve"> (2025) revealed that knowledge of dementia risk factors exists, although risk prediction tools are not widely understood and are influenced by cultural and linguistic barriers. In this study, culturally responsive communication is highlighted as essential for access to services.</w:t>
      </w:r>
    </w:p>
    <w:p w14:paraId="5737FBC1" w14:textId="4FB0DDCE" w:rsidR="00533397" w:rsidRPr="0029782F" w:rsidRDefault="00533397" w:rsidP="00533397">
      <w:pPr>
        <w:rPr>
          <w:rFonts w:ascii="Arial" w:hAnsi="Arial" w:cs="Arial"/>
        </w:rPr>
      </w:pPr>
      <w:r w:rsidRPr="0029782F">
        <w:rPr>
          <w:rFonts w:ascii="Arial" w:hAnsi="Arial" w:cs="Arial"/>
        </w:rPr>
        <w:t xml:space="preserve">Likewise, Kelsey </w:t>
      </w:r>
      <w:r w:rsidRPr="0029782F">
        <w:rPr>
          <w:rFonts w:ascii="Arial" w:hAnsi="Arial" w:cs="Arial"/>
          <w:i/>
          <w:iCs/>
        </w:rPr>
        <w:t>et al</w:t>
      </w:r>
      <w:r w:rsidRPr="0029782F">
        <w:rPr>
          <w:rFonts w:ascii="Arial" w:hAnsi="Arial" w:cs="Arial"/>
        </w:rPr>
        <w:t xml:space="preserve">. (2026) carried out a national survey of 139 memory services in England and found marked regional variability in the diagnosis of dementia, staffing and preparedness for implementation of disease-changing drugs. Their quantitative approach </w:t>
      </w:r>
      <w:r w:rsidR="0029782F" w:rsidRPr="0029782F">
        <w:rPr>
          <w:rFonts w:ascii="Arial" w:hAnsi="Arial" w:cs="Arial"/>
        </w:rPr>
        <w:t>can</w:t>
      </w:r>
      <w:r w:rsidRPr="0029782F">
        <w:rPr>
          <w:rFonts w:ascii="Arial" w:hAnsi="Arial" w:cs="Arial"/>
        </w:rPr>
        <w:t xml:space="preserve"> reinforce the evidence based on structural inequalities in service delivery. Jones </w:t>
      </w:r>
      <w:r w:rsidRPr="0029782F">
        <w:rPr>
          <w:rFonts w:ascii="Arial" w:hAnsi="Arial" w:cs="Arial"/>
          <w:i/>
          <w:iCs/>
        </w:rPr>
        <w:t>et al.</w:t>
      </w:r>
      <w:r w:rsidRPr="0029782F">
        <w:rPr>
          <w:rFonts w:ascii="Arial" w:hAnsi="Arial" w:cs="Arial"/>
        </w:rPr>
        <w:t xml:space="preserve"> (2023) discuss practitioners' barriers, Bajwa </w:t>
      </w:r>
      <w:r w:rsidRPr="0029782F">
        <w:rPr>
          <w:rFonts w:ascii="Arial" w:hAnsi="Arial" w:cs="Arial"/>
          <w:i/>
          <w:iCs/>
        </w:rPr>
        <w:t>et al</w:t>
      </w:r>
      <w:r w:rsidRPr="0029782F">
        <w:rPr>
          <w:rFonts w:ascii="Arial" w:hAnsi="Arial" w:cs="Arial"/>
        </w:rPr>
        <w:t xml:space="preserve">. (2025) tackle patient barriers, and Kelsey </w:t>
      </w:r>
      <w:r w:rsidRPr="0029782F">
        <w:rPr>
          <w:rFonts w:ascii="Arial" w:hAnsi="Arial" w:cs="Arial"/>
          <w:i/>
          <w:iCs/>
        </w:rPr>
        <w:t>et al</w:t>
      </w:r>
      <w:r w:rsidRPr="0029782F">
        <w:rPr>
          <w:rFonts w:ascii="Arial" w:hAnsi="Arial" w:cs="Arial"/>
        </w:rPr>
        <w:t>. (2026) show system barriers. The studies share a similar idea that several interacting factors are important for early recognition, but the domains of the professional, patient and organisational are different.</w:t>
      </w:r>
    </w:p>
    <w:p w14:paraId="741A9D87" w14:textId="77777777" w:rsidR="00625F7A" w:rsidRPr="00533397" w:rsidRDefault="00625F7A" w:rsidP="00533397"/>
    <w:p w14:paraId="5D360097" w14:textId="53D35800" w:rsidR="00407EB3" w:rsidRDefault="00407EB3" w:rsidP="002639FA">
      <w:pPr>
        <w:pStyle w:val="Heading3"/>
      </w:pPr>
      <w:bookmarkStart w:id="54" w:name="_Toc235909375"/>
      <w:r>
        <w:t>Connections to Other Themes</w:t>
      </w:r>
      <w:bookmarkEnd w:id="54"/>
    </w:p>
    <w:p w14:paraId="6DE3CD6A" w14:textId="3E42DC7F" w:rsidR="00625F7A" w:rsidRPr="00B552BD" w:rsidRDefault="00625F7A" w:rsidP="00625F7A">
      <w:pPr>
        <w:rPr>
          <w:rFonts w:ascii="Arial" w:hAnsi="Arial" w:cs="Arial"/>
        </w:rPr>
      </w:pPr>
      <w:r w:rsidRPr="00B552BD">
        <w:rPr>
          <w:rFonts w:ascii="Arial" w:hAnsi="Arial" w:cs="Arial"/>
        </w:rPr>
        <w:t xml:space="preserve">The theme is closely related to earlier themes, screening tools and clinical markers. The value of early recognition strategies is reliant on the availability and validity of cognitive assessments and biomarkers referred to in Themes 1 and 2. In the same way, barriers to implementation, including workforce capacity and cultural considerations, impact the implementation of screening tools. Moreover, the readiness of the service influences the incorporation of clinical markers into clinical pathways in everyday care. This theme thus brings together all three aspects: biological detection, clinical practice of the assessment, and the capacity of the Health Care System providing </w:t>
      </w:r>
      <w:r w:rsidR="00DA6768" w:rsidRPr="00B552BD">
        <w:rPr>
          <w:rFonts w:ascii="Arial" w:hAnsi="Arial" w:cs="Arial"/>
        </w:rPr>
        <w:t>services and</w:t>
      </w:r>
      <w:r w:rsidRPr="00B552BD">
        <w:rPr>
          <w:rFonts w:ascii="Arial" w:hAnsi="Arial" w:cs="Arial"/>
        </w:rPr>
        <w:t xml:space="preserve"> links their inter-dependencies in the diagnosis and care of dementia.</w:t>
      </w:r>
    </w:p>
    <w:p w14:paraId="4187775F" w14:textId="77777777" w:rsidR="00625F7A" w:rsidRDefault="00625F7A" w:rsidP="00625F7A"/>
    <w:p w14:paraId="640B0312" w14:textId="77777777" w:rsidR="00DF621B" w:rsidRDefault="00DF621B" w:rsidP="00625F7A"/>
    <w:p w14:paraId="2D620400" w14:textId="77777777" w:rsidR="00DF621B" w:rsidRDefault="00DF621B" w:rsidP="00625F7A"/>
    <w:p w14:paraId="1866D119" w14:textId="77777777" w:rsidR="00DF621B" w:rsidRPr="00625F7A" w:rsidRDefault="00DF621B" w:rsidP="00625F7A"/>
    <w:p w14:paraId="1C2DDA9A" w14:textId="26280D6E" w:rsidR="00407EB3" w:rsidRDefault="00407EB3" w:rsidP="006F50DC">
      <w:pPr>
        <w:pStyle w:val="Heading2"/>
      </w:pPr>
      <w:bookmarkStart w:id="55" w:name="_Toc235909376"/>
      <w:r>
        <w:lastRenderedPageBreak/>
        <w:t>4.6 – Chapter Conclusion</w:t>
      </w:r>
      <w:bookmarkEnd w:id="55"/>
    </w:p>
    <w:p w14:paraId="2D5D2D40" w14:textId="2A2A46B9" w:rsidR="00376355" w:rsidRPr="00376355" w:rsidRDefault="00625F7A" w:rsidP="0094467B">
      <w:pPr>
        <w:rPr>
          <w:highlight w:val="yellow"/>
        </w:rPr>
      </w:pPr>
      <w:r w:rsidRPr="00B552BD">
        <w:rPr>
          <w:rFonts w:ascii="Arial" w:hAnsi="Arial" w:cs="Arial"/>
        </w:rPr>
        <w:t>The findings from the literature used for this chapter have been analysed and discussed in detail. It investigated the following three areas: clinical and cognitive markers, screening and</w:t>
      </w:r>
      <w:r w:rsidRPr="00625F7A">
        <w:t xml:space="preserve"> </w:t>
      </w:r>
      <w:r w:rsidRPr="00B552BD">
        <w:rPr>
          <w:rFonts w:ascii="Arial" w:hAnsi="Arial" w:cs="Arial"/>
        </w:rPr>
        <w:t xml:space="preserve">assessment practices, and effectiveness and limitations of early recognition strategies within health systems. In both these themes, the evidence pointed to both advances in diagnostic practice and continuing issues of service capacity and the accuracy and consistency of that practice. The discussion highlighted that while new tools and frameworks exist to enhance early diagnosis, the potential for inequitable and delayed diagnosis still exists, particularly amongst different population groups and healthcare settings. The findings have been used to critically link to the research question, providing a glimpse of the existing practices and gaps in the recognition of dementia. </w:t>
      </w:r>
      <w:r w:rsidR="00376355" w:rsidRPr="00B552BD">
        <w:rPr>
          <w:rFonts w:ascii="Arial" w:hAnsi="Arial" w:cs="Arial"/>
        </w:rPr>
        <w:t>Overall, the evidence suggests that good clinical judgement, combined with cognitive screening and functional assessment and information from patients and families, is the best way to recognise early dementia. The key findings are summari</w:t>
      </w:r>
      <w:r w:rsidR="0094467B" w:rsidRPr="00B552BD">
        <w:rPr>
          <w:rFonts w:ascii="Arial" w:hAnsi="Arial" w:cs="Arial"/>
        </w:rPr>
        <w:t>s</w:t>
      </w:r>
      <w:r w:rsidR="00376355" w:rsidRPr="00B552BD">
        <w:rPr>
          <w:rFonts w:ascii="Arial" w:hAnsi="Arial" w:cs="Arial"/>
        </w:rPr>
        <w:t>ed</w:t>
      </w:r>
      <w:r w:rsidR="00B552BD">
        <w:rPr>
          <w:rFonts w:ascii="Arial" w:hAnsi="Arial" w:cs="Arial"/>
        </w:rPr>
        <w:t>,</w:t>
      </w:r>
      <w:r w:rsidR="00376355" w:rsidRPr="00B552BD">
        <w:rPr>
          <w:rFonts w:ascii="Arial" w:hAnsi="Arial" w:cs="Arial"/>
        </w:rPr>
        <w:t xml:space="preserve"> and recommendations for nursing practice and service development and policy are offered in Chapter 5.</w:t>
      </w:r>
      <w:r w:rsidR="00376355">
        <w:t xml:space="preserve"> </w:t>
      </w:r>
    </w:p>
    <w:p w14:paraId="779406F3" w14:textId="77777777" w:rsidR="00625F7A" w:rsidRDefault="00625F7A" w:rsidP="00407EB3"/>
    <w:p w14:paraId="710F1CED" w14:textId="77777777" w:rsidR="00407EB3" w:rsidRDefault="00407EB3" w:rsidP="00407EB3"/>
    <w:p w14:paraId="428FA09F" w14:textId="537600F2" w:rsidR="007638E3" w:rsidRDefault="007638E3" w:rsidP="00407EB3">
      <w:r>
        <w:br w:type="page"/>
      </w:r>
    </w:p>
    <w:p w14:paraId="6606D9A4" w14:textId="5D28613C" w:rsidR="00636D9A" w:rsidRPr="005C5E80" w:rsidRDefault="00636D9A" w:rsidP="00D57587">
      <w:pPr>
        <w:pStyle w:val="Heading1"/>
      </w:pPr>
      <w:bookmarkStart w:id="56" w:name="_Toc235909377"/>
      <w:r w:rsidRPr="00636D9A">
        <w:lastRenderedPageBreak/>
        <w:t>C</w:t>
      </w:r>
      <w:r>
        <w:t>HAPTER</w:t>
      </w:r>
      <w:r w:rsidRPr="00636D9A">
        <w:t xml:space="preserve"> </w:t>
      </w:r>
      <w:r>
        <w:t>5</w:t>
      </w:r>
      <w:r w:rsidR="00E04FB8">
        <w:t xml:space="preserve">: </w:t>
      </w:r>
      <w:r>
        <w:t>Conclusion and Recommendation</w:t>
      </w:r>
      <w:r w:rsidR="00625F7A">
        <w:t>s</w:t>
      </w:r>
      <w:bookmarkEnd w:id="56"/>
    </w:p>
    <w:p w14:paraId="3628F6DF" w14:textId="27BCC3F8" w:rsidR="00292A36" w:rsidRDefault="00636D9A" w:rsidP="00D57587">
      <w:pPr>
        <w:pStyle w:val="Heading2"/>
      </w:pPr>
      <w:bookmarkStart w:id="57" w:name="_Toc235909378"/>
      <w:r w:rsidRPr="005C5E80">
        <w:t>5.1 – Overall Conclusion</w:t>
      </w:r>
      <w:bookmarkEnd w:id="57"/>
    </w:p>
    <w:p w14:paraId="2A105517" w14:textId="5B43FB06" w:rsidR="003B02BF" w:rsidRPr="00B552BD" w:rsidRDefault="00D57587" w:rsidP="003C7968">
      <w:pPr>
        <w:rPr>
          <w:rFonts w:ascii="Arial" w:hAnsi="Arial" w:cs="Arial"/>
        </w:rPr>
      </w:pPr>
      <w:r w:rsidRPr="00B552BD">
        <w:rPr>
          <w:rFonts w:ascii="Arial" w:hAnsi="Arial" w:cs="Arial"/>
        </w:rPr>
        <w:t>The dissertation critically reviewed the evidence base for early identification and differential diagnosis between normal cognitive ageing and early dementia, with specific attention to the contribution of nursing practitioners. The study aimed to investigate clinical and cognitive hallmarks of early dementia and considered the possibilities of neurological, behavioural and functional manifestations to help distinguish from normal ageing. It also examined a variety of screening tools and assessment practices utilised in the nursing and primary care settings and found that although many tools help identify patients earlier, no single tool is entirely diagnostic. Moreover, the effectiveness and constraints of existing early recognition approaches were explored, and key barriers to successful implementation included workforce capacity, culture, training, and healthcare disparities.</w:t>
      </w:r>
      <w:r w:rsidR="003C7968" w:rsidRPr="00B552BD">
        <w:rPr>
          <w:rFonts w:ascii="Arial" w:hAnsi="Arial" w:cs="Arial"/>
        </w:rPr>
        <w:t xml:space="preserve"> </w:t>
      </w:r>
      <w:r w:rsidRPr="00B552BD">
        <w:rPr>
          <w:rFonts w:ascii="Arial" w:hAnsi="Arial" w:cs="Arial"/>
        </w:rPr>
        <w:t xml:space="preserve">The results revealed that there is a potential to enhance dementia recognition and patient outcomes using objective assessment methods alongside professional judgement and structured care pathways. </w:t>
      </w:r>
      <w:r w:rsidR="003952A4" w:rsidRPr="00B552BD">
        <w:rPr>
          <w:rFonts w:ascii="Arial" w:hAnsi="Arial" w:cs="Arial"/>
        </w:rPr>
        <w:t>The selected literature was analysed thematically to address the research aim and objectives.</w:t>
      </w:r>
      <w:r w:rsidRPr="00B552BD">
        <w:rPr>
          <w:rFonts w:ascii="Arial" w:hAnsi="Arial" w:cs="Arial"/>
        </w:rPr>
        <w:t xml:space="preserve"> In summary, the dissertation has shown that early dementia detection and investigation </w:t>
      </w:r>
      <w:r w:rsidR="00B552BD" w:rsidRPr="00B552BD">
        <w:rPr>
          <w:rFonts w:ascii="Arial" w:hAnsi="Arial" w:cs="Arial"/>
        </w:rPr>
        <w:t>need</w:t>
      </w:r>
      <w:r w:rsidRPr="00B552BD">
        <w:rPr>
          <w:rFonts w:ascii="Arial" w:hAnsi="Arial" w:cs="Arial"/>
        </w:rPr>
        <w:t xml:space="preserve"> to be undertaken in a multidisciplinary and evidence-based way to assist </w:t>
      </w:r>
      <w:r w:rsidR="005D79F1" w:rsidRPr="00B552BD">
        <w:rPr>
          <w:rFonts w:ascii="Arial" w:hAnsi="Arial" w:cs="Arial"/>
        </w:rPr>
        <w:t>primary care nurses</w:t>
      </w:r>
      <w:r w:rsidRPr="00B552BD">
        <w:rPr>
          <w:rFonts w:ascii="Arial" w:hAnsi="Arial" w:cs="Arial"/>
        </w:rPr>
        <w:t xml:space="preserve"> and health care professionals in providing timely</w:t>
      </w:r>
      <w:r w:rsidR="00B552BD">
        <w:rPr>
          <w:rFonts w:ascii="Arial" w:hAnsi="Arial" w:cs="Arial"/>
        </w:rPr>
        <w:t>,</w:t>
      </w:r>
      <w:r w:rsidRPr="00B552BD">
        <w:rPr>
          <w:rFonts w:ascii="Arial" w:hAnsi="Arial" w:cs="Arial"/>
        </w:rPr>
        <w:t xml:space="preserve"> accurate and person-centred care to older people.</w:t>
      </w:r>
    </w:p>
    <w:p w14:paraId="3C752AC4" w14:textId="4F15F091" w:rsidR="003B2EBC" w:rsidRDefault="00B552BD" w:rsidP="003C7968">
      <w:r>
        <w:rPr>
          <w:rFonts w:ascii="Arial" w:hAnsi="Arial" w:cs="Arial"/>
        </w:rPr>
        <w:t>Some methodological limitations need</w:t>
      </w:r>
      <w:r w:rsidR="003B2EBC" w:rsidRPr="00B552BD">
        <w:rPr>
          <w:rFonts w:ascii="Arial" w:hAnsi="Arial" w:cs="Arial"/>
        </w:rPr>
        <w:t xml:space="preserve"> to be noted. Data from this review were limited to secondary literature and had different study designs, clinical contexts, and sample sizes in some biomarker trials, with direct generalisability limited. Additionally, there has been limited primary research which directly assesses </w:t>
      </w:r>
      <w:r>
        <w:rPr>
          <w:rFonts w:ascii="Arial" w:hAnsi="Arial" w:cs="Arial"/>
        </w:rPr>
        <w:t>nurse-led</w:t>
      </w:r>
      <w:r w:rsidR="003B2EBC" w:rsidRPr="00B552BD">
        <w:rPr>
          <w:rFonts w:ascii="Arial" w:hAnsi="Arial" w:cs="Arial"/>
        </w:rPr>
        <w:t xml:space="preserve"> screening, and international results do not necessarily reflect UK health service structures. Assessment tools often include cultural and linguistic bias</w:t>
      </w:r>
      <w:r>
        <w:rPr>
          <w:rFonts w:ascii="Arial" w:hAnsi="Arial" w:cs="Arial"/>
        </w:rPr>
        <w:t>;</w:t>
      </w:r>
      <w:r w:rsidR="003B2EBC" w:rsidRPr="00B552BD">
        <w:rPr>
          <w:rFonts w:ascii="Arial" w:hAnsi="Arial" w:cs="Arial"/>
        </w:rPr>
        <w:t xml:space="preserve"> definitions of normal ageing, mild cognitive impairment, and early dementia are not consistent, and the evidence for diagnosis is constantly changing with rapid advances in technology</w:t>
      </w:r>
      <w:r w:rsidR="003B2EBC" w:rsidRPr="003B2EBC">
        <w:t>.</w:t>
      </w:r>
      <w:r w:rsidR="003B2EBC">
        <w:t xml:space="preserve"> </w:t>
      </w:r>
    </w:p>
    <w:p w14:paraId="7BE42F2D" w14:textId="77777777" w:rsidR="00FF5043" w:rsidRPr="00D57587" w:rsidRDefault="00FF5043" w:rsidP="00D57587"/>
    <w:p w14:paraId="6599D6CF" w14:textId="14EACA52" w:rsidR="005C5E80" w:rsidRPr="005C5E80" w:rsidRDefault="00636D9A" w:rsidP="00D57587">
      <w:pPr>
        <w:pStyle w:val="Heading2"/>
      </w:pPr>
      <w:bookmarkStart w:id="58" w:name="_Toc235909379"/>
      <w:r w:rsidRPr="005C5E80">
        <w:t>5.</w:t>
      </w:r>
      <w:r w:rsidR="005C5E80" w:rsidRPr="005C5E80">
        <w:t>2</w:t>
      </w:r>
      <w:r w:rsidRPr="005C5E80">
        <w:t xml:space="preserve"> – </w:t>
      </w:r>
      <w:r w:rsidR="005C5E80" w:rsidRPr="005C5E80">
        <w:t>Recommendations</w:t>
      </w:r>
      <w:bookmarkEnd w:id="58"/>
    </w:p>
    <w:p w14:paraId="41573EC8" w14:textId="24AB3A6E" w:rsidR="00274A6C" w:rsidRDefault="005C5E80" w:rsidP="00D57587">
      <w:pPr>
        <w:pStyle w:val="Heading3"/>
      </w:pPr>
      <w:bookmarkStart w:id="59" w:name="_Toc235909380"/>
      <w:r w:rsidRPr="00E72B0C">
        <w:t>5.2.1 – Recommendation 1</w:t>
      </w:r>
      <w:bookmarkEnd w:id="59"/>
    </w:p>
    <w:p w14:paraId="469A650C" w14:textId="40126F5E" w:rsidR="00FF5043" w:rsidRDefault="009B18C2" w:rsidP="00FF5043">
      <w:r w:rsidRPr="00B552BD">
        <w:rPr>
          <w:rFonts w:ascii="Arial" w:hAnsi="Arial" w:cs="Arial"/>
        </w:rPr>
        <w:t>Healthcare organi</w:t>
      </w:r>
      <w:r w:rsidR="0094467B" w:rsidRPr="00B552BD">
        <w:rPr>
          <w:rFonts w:ascii="Arial" w:hAnsi="Arial" w:cs="Arial"/>
        </w:rPr>
        <w:t>s</w:t>
      </w:r>
      <w:r w:rsidRPr="00B552BD">
        <w:rPr>
          <w:rFonts w:ascii="Arial" w:hAnsi="Arial" w:cs="Arial"/>
        </w:rPr>
        <w:t xml:space="preserve">ations need to improve </w:t>
      </w:r>
      <w:r w:rsidR="00B552BD" w:rsidRPr="00B552BD">
        <w:rPr>
          <w:rFonts w:ascii="Arial" w:hAnsi="Arial" w:cs="Arial"/>
        </w:rPr>
        <w:t xml:space="preserve">the </w:t>
      </w:r>
      <w:r w:rsidRPr="00B552BD">
        <w:rPr>
          <w:rFonts w:ascii="Arial" w:hAnsi="Arial" w:cs="Arial"/>
        </w:rPr>
        <w:t xml:space="preserve">availability of dementia-specific training for primary care nurses and primary care providers to build clinical confidence and uniformity in the early patient interaction. Primary care nurses need to be educated on the difference </w:t>
      </w:r>
      <w:r w:rsidRPr="00B552BD">
        <w:rPr>
          <w:rFonts w:ascii="Arial" w:hAnsi="Arial" w:cs="Arial"/>
        </w:rPr>
        <w:lastRenderedPageBreak/>
        <w:t xml:space="preserve">between normal cognitive </w:t>
      </w:r>
      <w:r w:rsidR="00B552BD" w:rsidRPr="00B552BD">
        <w:rPr>
          <w:rFonts w:ascii="Arial" w:hAnsi="Arial" w:cs="Arial"/>
        </w:rPr>
        <w:t>ageing</w:t>
      </w:r>
      <w:r w:rsidRPr="00B552BD">
        <w:rPr>
          <w:rFonts w:ascii="Arial" w:hAnsi="Arial" w:cs="Arial"/>
        </w:rPr>
        <w:t xml:space="preserve"> and early dementia, the use of cognitive screening tools, communication, and </w:t>
      </w:r>
      <w:r w:rsidR="00B552BD" w:rsidRPr="00B552BD">
        <w:rPr>
          <w:rFonts w:ascii="Arial" w:hAnsi="Arial" w:cs="Arial"/>
        </w:rPr>
        <w:t>culturally responsive</w:t>
      </w:r>
      <w:r w:rsidRPr="00B552BD">
        <w:rPr>
          <w:rFonts w:ascii="Arial" w:hAnsi="Arial" w:cs="Arial"/>
        </w:rPr>
        <w:t xml:space="preserve"> assessment. </w:t>
      </w:r>
      <w:r w:rsidR="00FF5043" w:rsidRPr="00B552BD">
        <w:rPr>
          <w:rFonts w:ascii="Arial" w:hAnsi="Arial" w:cs="Arial"/>
        </w:rPr>
        <w:t>Further professional training would aid in the more precise identification of the fine distinctions in cognitive changes and minimise the delay in referral and diagnosis. This proposal is feasible as it can be embedded within current professional development programmes and implemented in workshops, online learning and simulation-based learning.</w:t>
      </w:r>
    </w:p>
    <w:p w14:paraId="57ED43C2" w14:textId="1E4749BC" w:rsidR="00FF5043" w:rsidRPr="00B552BD" w:rsidRDefault="00FF5043" w:rsidP="002B3B27">
      <w:pPr>
        <w:rPr>
          <w:rFonts w:ascii="Arial" w:hAnsi="Arial" w:cs="Arial"/>
        </w:rPr>
      </w:pPr>
      <w:r w:rsidRPr="00B552BD">
        <w:rPr>
          <w:rFonts w:ascii="Arial" w:hAnsi="Arial" w:cs="Arial"/>
        </w:rPr>
        <w:t>In healthcare environments, however, limited staffing, time pressure and financial constraints can diminish participation in extra training activities. Dementia education might not always be given priority when competing services are available or are required. Flexible training formats, protected learning time and mandatory dementia awareness elements in continuing professional development can help deal with these challenges.</w:t>
      </w:r>
      <w:r w:rsidR="00491AEA" w:rsidRPr="00B552BD">
        <w:rPr>
          <w:rFonts w:ascii="Arial" w:hAnsi="Arial" w:cs="Arial"/>
        </w:rPr>
        <w:t xml:space="preserve"> </w:t>
      </w:r>
      <w:r w:rsidR="00EF2DBF" w:rsidRPr="00B552BD">
        <w:rPr>
          <w:rFonts w:ascii="Arial" w:hAnsi="Arial" w:cs="Arial"/>
        </w:rPr>
        <w:t xml:space="preserve">Healthcare leadership and organisation integration will be required to enable implementation. The outcomes of these training programmes should be assessed through measurable achievements, such as staff confidence levels, module completion rates, referral quality to memory services, reduction in diagnostic delay and patient and family experience scores. </w:t>
      </w:r>
    </w:p>
    <w:p w14:paraId="18331906" w14:textId="77777777" w:rsidR="00FF5043" w:rsidRPr="00FF5043" w:rsidRDefault="00FF5043" w:rsidP="00FF5043"/>
    <w:p w14:paraId="1F80D6A6" w14:textId="7B53B46C" w:rsidR="005C5E80" w:rsidRDefault="005C5E80" w:rsidP="00D57587">
      <w:pPr>
        <w:pStyle w:val="Heading3"/>
      </w:pPr>
      <w:bookmarkStart w:id="60" w:name="_Toc235909381"/>
      <w:r w:rsidRPr="00E72B0C">
        <w:t>5.2.2 – Recommendation 2</w:t>
      </w:r>
      <w:bookmarkEnd w:id="60"/>
    </w:p>
    <w:p w14:paraId="07EAAB60" w14:textId="470ABE7C" w:rsidR="00FF5043" w:rsidRPr="00B552BD" w:rsidRDefault="002C1FC9" w:rsidP="008136A3">
      <w:pPr>
        <w:rPr>
          <w:rFonts w:ascii="Arial" w:hAnsi="Arial" w:cs="Arial"/>
        </w:rPr>
      </w:pPr>
      <w:r w:rsidRPr="00B552BD">
        <w:rPr>
          <w:rFonts w:ascii="Arial" w:hAnsi="Arial" w:cs="Arial"/>
        </w:rPr>
        <w:t xml:space="preserve">Primary Care Networks (PCNs), Integrated Care Boards (ICBs), GP practices and community nursing teams, in partnership with memory services, need to manage and oversee a shared and consistent assessment process, supported by clinical judgement, cognitive screening, and informant-based assessment. This holistic approach improves the recognition and referral of </w:t>
      </w:r>
      <w:r w:rsidR="005B7A2E" w:rsidRPr="00B552BD">
        <w:rPr>
          <w:rFonts w:ascii="Arial" w:hAnsi="Arial" w:cs="Arial"/>
        </w:rPr>
        <w:t>individuals but</w:t>
      </w:r>
      <w:r w:rsidRPr="00B552BD">
        <w:rPr>
          <w:rFonts w:ascii="Arial" w:hAnsi="Arial" w:cs="Arial"/>
        </w:rPr>
        <w:t xml:space="preserve"> does not supplant the need for specialist diagnosis.</w:t>
      </w:r>
      <w:r w:rsidR="008136A3" w:rsidRPr="00B552BD">
        <w:rPr>
          <w:rFonts w:ascii="Arial" w:hAnsi="Arial" w:cs="Arial"/>
        </w:rPr>
        <w:t xml:space="preserve"> </w:t>
      </w:r>
      <w:r w:rsidR="00FF5043" w:rsidRPr="00B552BD">
        <w:rPr>
          <w:rFonts w:ascii="Arial" w:hAnsi="Arial" w:cs="Arial"/>
        </w:rPr>
        <w:t xml:space="preserve">The rationale for this recommendation is that </w:t>
      </w:r>
      <w:r w:rsidR="005B7A2E" w:rsidRPr="00B552BD">
        <w:rPr>
          <w:rFonts w:ascii="Arial" w:hAnsi="Arial" w:cs="Arial"/>
        </w:rPr>
        <w:t>many</w:t>
      </w:r>
      <w:r w:rsidR="00FF5043" w:rsidRPr="00B552BD">
        <w:rPr>
          <w:rFonts w:ascii="Arial" w:hAnsi="Arial" w:cs="Arial"/>
        </w:rPr>
        <w:t xml:space="preserve"> the tools needed are already available in primary care practice and can be integrated into current cognitive screening practices in primary care for older adults with cognitive complaints.</w:t>
      </w:r>
    </w:p>
    <w:p w14:paraId="553D8ABE" w14:textId="56EE5C94" w:rsidR="00FF5043" w:rsidRPr="00B552BD" w:rsidRDefault="00FF5043" w:rsidP="008136A3">
      <w:pPr>
        <w:rPr>
          <w:rFonts w:ascii="Arial" w:hAnsi="Arial" w:cs="Arial"/>
        </w:rPr>
      </w:pPr>
      <w:r w:rsidRPr="00B552BD">
        <w:rPr>
          <w:rFonts w:ascii="Arial" w:hAnsi="Arial" w:cs="Arial"/>
        </w:rPr>
        <w:t xml:space="preserve">Overcoming the time pressures is one main challenge to implementation, especially in primary care systems. Some practitioner-level skill differences may also occur, and there might be some confusion about the interpretation of results. </w:t>
      </w:r>
      <w:r w:rsidR="00413EA3" w:rsidRPr="00B552BD">
        <w:rPr>
          <w:rFonts w:ascii="Arial" w:hAnsi="Arial" w:cs="Arial"/>
        </w:rPr>
        <w:t xml:space="preserve">Some of these limitations can be eased by streamlining clinical guidelines, incorporating electronic assessment forms and embedding electronic decision support tools to help practitioners interpret multi-source feedback and guide them through suitable referral pathways. </w:t>
      </w:r>
      <w:r w:rsidRPr="00B552BD">
        <w:rPr>
          <w:rFonts w:ascii="Arial" w:hAnsi="Arial" w:cs="Arial"/>
        </w:rPr>
        <w:t>Screening cognitive function as part of established pathways for older adults' health checks would also make it easier to reduce extra workload and encourage earlier detection of cognitive deterioration.</w:t>
      </w:r>
    </w:p>
    <w:p w14:paraId="362BA861" w14:textId="77777777" w:rsidR="00FF5043" w:rsidRPr="00FF5043" w:rsidRDefault="00FF5043" w:rsidP="00FF5043"/>
    <w:p w14:paraId="6DEFF1C6" w14:textId="38A4B61E" w:rsidR="005C5E80" w:rsidRPr="00E72B0C" w:rsidRDefault="005C5E80" w:rsidP="00D57587">
      <w:pPr>
        <w:pStyle w:val="Heading3"/>
      </w:pPr>
      <w:bookmarkStart w:id="61" w:name="_Toc235909382"/>
      <w:r w:rsidRPr="00E72B0C">
        <w:lastRenderedPageBreak/>
        <w:t>5.2.3 – Recommendation 3</w:t>
      </w:r>
      <w:bookmarkEnd w:id="61"/>
    </w:p>
    <w:p w14:paraId="1B3E7AF8" w14:textId="2328FA4C" w:rsidR="00FF5043" w:rsidRPr="00B552BD" w:rsidRDefault="00311418" w:rsidP="003F24BD">
      <w:pPr>
        <w:rPr>
          <w:rFonts w:ascii="Arial" w:hAnsi="Arial" w:cs="Arial"/>
        </w:rPr>
      </w:pPr>
      <w:r w:rsidRPr="00B552BD">
        <w:rPr>
          <w:rFonts w:ascii="Arial" w:hAnsi="Arial" w:cs="Arial"/>
        </w:rPr>
        <w:t xml:space="preserve">Addressing inequities in dementia diagnosis and access requires culturally responsive responses to the provision of dementia care. Local NHS organisations, GP practices and memory services must work alongside community organisations and faith groups to co-produce services and outreach work to combat stigma and raise symptom awareness. The availability of translated materials, professional interpreting services, </w:t>
      </w:r>
      <w:r w:rsidR="00B552BD" w:rsidRPr="00B552BD">
        <w:rPr>
          <w:rFonts w:ascii="Arial" w:hAnsi="Arial" w:cs="Arial"/>
        </w:rPr>
        <w:t xml:space="preserve">and </w:t>
      </w:r>
      <w:r w:rsidRPr="00B552BD">
        <w:rPr>
          <w:rFonts w:ascii="Arial" w:hAnsi="Arial" w:cs="Arial"/>
        </w:rPr>
        <w:t xml:space="preserve">culturally responsive approaches to communication should be ingrained into practice. </w:t>
      </w:r>
      <w:r w:rsidR="00FF5043" w:rsidRPr="00B552BD">
        <w:rPr>
          <w:rFonts w:ascii="Arial" w:hAnsi="Arial" w:cs="Arial"/>
        </w:rPr>
        <w:t>Improving cultural competence in healthcare services would help people seek assistance more promptly, as well as build trust between health services and communities.</w:t>
      </w:r>
    </w:p>
    <w:p w14:paraId="0A00C01E" w14:textId="61D5C54E" w:rsidR="008268DF" w:rsidRPr="00B552BD" w:rsidRDefault="00FF5043" w:rsidP="003F24BD">
      <w:pPr>
        <w:rPr>
          <w:rFonts w:ascii="Arial" w:hAnsi="Arial" w:cs="Arial"/>
          <w:highlight w:val="yellow"/>
        </w:rPr>
      </w:pPr>
      <w:r w:rsidRPr="00B552BD">
        <w:rPr>
          <w:rFonts w:ascii="Arial" w:hAnsi="Arial" w:cs="Arial"/>
        </w:rPr>
        <w:t xml:space="preserve">However, it has been challenged for several reasons, such as not enough funding, staff who do not know multiple languages, and different communities' cultural perspectives </w:t>
      </w:r>
      <w:r w:rsidR="00F4625F">
        <w:rPr>
          <w:rFonts w:ascii="Arial" w:hAnsi="Arial" w:cs="Arial"/>
        </w:rPr>
        <w:t>on</w:t>
      </w:r>
      <w:r w:rsidRPr="00B552BD">
        <w:rPr>
          <w:rFonts w:ascii="Arial" w:hAnsi="Arial" w:cs="Arial"/>
        </w:rPr>
        <w:t xml:space="preserve"> dementia. There might also be stigma or fear related to the condition that might prevent some from accessing services. </w:t>
      </w:r>
      <w:r w:rsidR="008F68FF" w:rsidRPr="00B552BD">
        <w:rPr>
          <w:rFonts w:ascii="Arial" w:hAnsi="Arial" w:cs="Arial"/>
        </w:rPr>
        <w:t>Community group partnerships, specific campaigns and inclusive communication training can help mitigate these barriers.</w:t>
      </w:r>
      <w:r w:rsidR="008268DF" w:rsidRPr="00B552BD">
        <w:rPr>
          <w:rFonts w:ascii="Arial" w:hAnsi="Arial" w:cs="Arial"/>
        </w:rPr>
        <w:t xml:space="preserve"> Services should be monitored in a systematic way to capture uptake by ethnicity and primary language, including referral rates, completion of assessments, patient trust, service uptake and family satisfaction, to ensure accountability. </w:t>
      </w:r>
    </w:p>
    <w:p w14:paraId="62B3B8A5" w14:textId="0351B08A" w:rsidR="00FF5043" w:rsidRDefault="00FF5043" w:rsidP="00FF5043"/>
    <w:p w14:paraId="2405A7A0" w14:textId="7333D6F0" w:rsidR="00FF5043" w:rsidRPr="00E72B0C" w:rsidRDefault="00FF5043" w:rsidP="00FF5043">
      <w:pPr>
        <w:pStyle w:val="Heading3"/>
      </w:pPr>
      <w:bookmarkStart w:id="62" w:name="_Toc235909383"/>
      <w:r w:rsidRPr="00E72B0C">
        <w:t>5.2.</w:t>
      </w:r>
      <w:r>
        <w:t>4</w:t>
      </w:r>
      <w:r w:rsidRPr="00E72B0C">
        <w:t xml:space="preserve"> – Recommendation </w:t>
      </w:r>
      <w:r>
        <w:t>4</w:t>
      </w:r>
      <w:bookmarkEnd w:id="62"/>
    </w:p>
    <w:p w14:paraId="0F962DA7" w14:textId="0663625E" w:rsidR="00E33963" w:rsidRPr="00B552BD" w:rsidRDefault="004F3580" w:rsidP="00193672">
      <w:pPr>
        <w:rPr>
          <w:rFonts w:ascii="Arial" w:hAnsi="Arial" w:cs="Arial"/>
          <w:highlight w:val="yellow"/>
        </w:rPr>
      </w:pPr>
      <w:r w:rsidRPr="00B552BD">
        <w:rPr>
          <w:rFonts w:ascii="Arial" w:hAnsi="Arial" w:cs="Arial"/>
        </w:rPr>
        <w:t xml:space="preserve">ICBs, NHS Trusts, local authorities and PCNs should be looking to increase capacity for memory services and tackle regional inequalities. The increase in nurse-led cognitive assessment clinics and improved primary and secondary memory service connections will enable timely intervention and reduce the specialist burden without requiring a massive restructure of services. </w:t>
      </w:r>
      <w:r w:rsidR="001D1954" w:rsidRPr="00B552BD">
        <w:rPr>
          <w:rFonts w:ascii="Arial" w:hAnsi="Arial" w:cs="Arial"/>
        </w:rPr>
        <w:t xml:space="preserve">The primary challenges are financial constraints, a shortage of personnel, and disparities in healthcare delivery among regions. There could be a lack of specialists in rural areas, which can be an issue, or a lack of advanced diagnostic resources, which can be an issue. </w:t>
      </w:r>
      <w:bookmarkEnd w:id="3"/>
      <w:r w:rsidR="00E33963" w:rsidRPr="00B552BD">
        <w:rPr>
          <w:rFonts w:ascii="Arial" w:hAnsi="Arial" w:cs="Arial"/>
        </w:rPr>
        <w:t xml:space="preserve">Targeted funding, targeted service expansion in communities, and hybrid remote assessment pathways can help overcome these challenges. However, remote technology should be used carefully, as it can further disadvantage those who may be digitally excluded, have sensory difficulties, communication problems, language barriers or less ability to observe non-verbal. ICBs and trusts should measure progress with key indicators, such as waiting times, referral to assessment time, staffing ratios, number of nurse-led clinics and satisfaction scores for patients and carers. </w:t>
      </w:r>
    </w:p>
    <w:p w14:paraId="266AFF84" w14:textId="7E3DD144" w:rsidR="00943C65" w:rsidRDefault="00943C65" w:rsidP="00943C65">
      <w:pPr>
        <w:rPr>
          <w:highlight w:val="yellow"/>
        </w:rPr>
      </w:pPr>
    </w:p>
    <w:p w14:paraId="24920ED9" w14:textId="77777777" w:rsidR="00943C65" w:rsidRPr="00EA199F" w:rsidRDefault="00943C65" w:rsidP="00193672">
      <w:pPr>
        <w:rPr>
          <w:rFonts w:ascii="Arial" w:hAnsi="Arial" w:cs="Arial"/>
          <w:b/>
          <w:bCs/>
          <w:highlight w:val="yellow"/>
        </w:rPr>
      </w:pPr>
    </w:p>
    <w:p w14:paraId="2EE69DD1" w14:textId="7BFA6795" w:rsidR="00211184" w:rsidRPr="00EA199F" w:rsidRDefault="00211184" w:rsidP="00B12CC2">
      <w:pPr>
        <w:rPr>
          <w:rFonts w:ascii="Arial" w:hAnsi="Arial" w:cs="Arial"/>
          <w:b/>
          <w:bCs/>
        </w:rPr>
      </w:pPr>
      <w:r w:rsidRPr="00EA199F">
        <w:rPr>
          <w:rFonts w:ascii="Arial" w:hAnsi="Arial" w:cs="Arial"/>
          <w:b/>
          <w:bCs/>
        </w:rPr>
        <w:t>CHAPTER 6</w:t>
      </w:r>
      <w:r w:rsidR="001D1954" w:rsidRPr="00EA199F">
        <w:rPr>
          <w:rFonts w:ascii="Arial" w:hAnsi="Arial" w:cs="Arial"/>
          <w:b/>
          <w:bCs/>
        </w:rPr>
        <w:t xml:space="preserve">: </w:t>
      </w:r>
      <w:r w:rsidRPr="00EA199F">
        <w:rPr>
          <w:rFonts w:ascii="Arial" w:hAnsi="Arial" w:cs="Arial"/>
          <w:b/>
          <w:bCs/>
        </w:rPr>
        <w:t>References and Appendices</w:t>
      </w:r>
    </w:p>
    <w:p w14:paraId="3C7AA80C" w14:textId="18417183" w:rsidR="00621776" w:rsidRDefault="00621776" w:rsidP="001D1954">
      <w:pPr>
        <w:pStyle w:val="Heading1"/>
      </w:pPr>
      <w:bookmarkStart w:id="63" w:name="_Toc235909384"/>
      <w:r w:rsidRPr="008C38C3">
        <w:t xml:space="preserve">6.1 – </w:t>
      </w:r>
      <w:bookmarkStart w:id="64" w:name="_Hlk231933992"/>
      <w:r w:rsidRPr="008C38C3">
        <w:t>References</w:t>
      </w:r>
      <w:bookmarkEnd w:id="63"/>
    </w:p>
    <w:bookmarkEnd w:id="64"/>
    <w:p w14:paraId="6DE08D94" w14:textId="1B5005DC" w:rsidR="00DE53AD" w:rsidRPr="005A583D" w:rsidRDefault="00DE53AD" w:rsidP="002F432B">
      <w:pPr>
        <w:ind w:left="720" w:hanging="720"/>
        <w:rPr>
          <w:rFonts w:ascii="Arial" w:hAnsi="Arial" w:cs="Arial"/>
          <w:szCs w:val="20"/>
          <w:shd w:val="clear" w:color="auto" w:fill="FFFFFF"/>
        </w:rPr>
      </w:pPr>
      <w:proofErr w:type="spellStart"/>
      <w:r w:rsidRPr="005A583D">
        <w:rPr>
          <w:rFonts w:ascii="Arial" w:hAnsi="Arial" w:cs="Arial"/>
          <w:szCs w:val="20"/>
          <w:shd w:val="clear" w:color="auto" w:fill="FFFFFF"/>
        </w:rPr>
        <w:t>Agbana</w:t>
      </w:r>
      <w:proofErr w:type="spellEnd"/>
      <w:r w:rsidRPr="005A583D">
        <w:rPr>
          <w:rFonts w:ascii="Arial" w:hAnsi="Arial" w:cs="Arial"/>
          <w:szCs w:val="20"/>
          <w:shd w:val="clear" w:color="auto" w:fill="FFFFFF"/>
        </w:rPr>
        <w:t xml:space="preserve">, T.M. (2025) </w:t>
      </w:r>
      <w:r w:rsidRPr="005A583D">
        <w:rPr>
          <w:rFonts w:ascii="Arial" w:hAnsi="Arial" w:cs="Arial"/>
          <w:i/>
          <w:iCs/>
          <w:szCs w:val="20"/>
          <w:shd w:val="clear" w:color="auto" w:fill="FFFFFF"/>
        </w:rPr>
        <w:t xml:space="preserve">Challenges and Opportunities in </w:t>
      </w:r>
      <w:r w:rsidR="005A583D" w:rsidRPr="005A583D">
        <w:rPr>
          <w:rFonts w:ascii="Arial" w:hAnsi="Arial" w:cs="Arial"/>
          <w:i/>
          <w:iCs/>
          <w:szCs w:val="20"/>
          <w:shd w:val="clear" w:color="auto" w:fill="FFFFFF"/>
        </w:rPr>
        <w:t>Culturally Sensitive</w:t>
      </w:r>
      <w:r w:rsidRPr="005A583D">
        <w:rPr>
          <w:rFonts w:ascii="Arial" w:hAnsi="Arial" w:cs="Arial"/>
          <w:i/>
          <w:iCs/>
          <w:szCs w:val="20"/>
          <w:shd w:val="clear" w:color="auto" w:fill="FFFFFF"/>
        </w:rPr>
        <w:t xml:space="preserve"> Dementia Care Among Minority Ethnic Elderly Populations in Urban Settings.</w:t>
      </w:r>
      <w:r w:rsidRPr="005A583D">
        <w:rPr>
          <w:rFonts w:ascii="Arial" w:hAnsi="Arial" w:cs="Arial"/>
          <w:szCs w:val="20"/>
          <w:shd w:val="clear" w:color="auto" w:fill="FFFFFF"/>
        </w:rPr>
        <w:t xml:space="preserve"> </w:t>
      </w:r>
      <w:r w:rsidR="0047372F">
        <w:rPr>
          <w:rFonts w:ascii="Arial" w:hAnsi="Arial" w:cs="Arial"/>
          <w:szCs w:val="20"/>
          <w:shd w:val="clear" w:color="auto" w:fill="FFFFFF"/>
        </w:rPr>
        <w:t xml:space="preserve">Available at: </w:t>
      </w:r>
      <w:hyperlink r:id="rId15" w:history="1">
        <w:r w:rsidR="0047372F" w:rsidRPr="00E6073D">
          <w:rPr>
            <w:rStyle w:val="Hyperlink"/>
            <w:rFonts w:ascii="Arial" w:hAnsi="Arial" w:cs="Arial"/>
            <w:szCs w:val="20"/>
            <w:shd w:val="clear" w:color="auto" w:fill="FFFFFF"/>
          </w:rPr>
          <w:t>https://doi.org/10.30574/wjarr.2025.27.2.2913</w:t>
        </w:r>
      </w:hyperlink>
    </w:p>
    <w:p w14:paraId="5AA465FE" w14:textId="535C7D5B" w:rsidR="00DE53AD" w:rsidRPr="0047372F" w:rsidRDefault="00DE53AD" w:rsidP="002F432B">
      <w:pPr>
        <w:ind w:left="720" w:hanging="720"/>
        <w:rPr>
          <w:rFonts w:ascii="Arial" w:hAnsi="Arial" w:cs="Arial"/>
        </w:rPr>
      </w:pPr>
      <w:r w:rsidRPr="0047372F">
        <w:rPr>
          <w:rFonts w:ascii="Arial" w:hAnsi="Arial" w:cs="Arial"/>
        </w:rPr>
        <w:t xml:space="preserve">Ahmed, S.K., Mohammed, R.A., Nashwan, A.J., Ibrahim, R.H., Abdalla, A.Q., Ameen, B.M.M. and </w:t>
      </w:r>
      <w:proofErr w:type="spellStart"/>
      <w:r w:rsidRPr="0047372F">
        <w:rPr>
          <w:rFonts w:ascii="Arial" w:hAnsi="Arial" w:cs="Arial"/>
        </w:rPr>
        <w:t>Khdhir</w:t>
      </w:r>
      <w:proofErr w:type="spellEnd"/>
      <w:r w:rsidRPr="0047372F">
        <w:rPr>
          <w:rFonts w:ascii="Arial" w:hAnsi="Arial" w:cs="Arial"/>
        </w:rPr>
        <w:t xml:space="preserve">, R.M., (2025) </w:t>
      </w:r>
      <w:r w:rsidRPr="00DF621B">
        <w:rPr>
          <w:rFonts w:ascii="Arial" w:hAnsi="Arial" w:cs="Arial"/>
          <w:i/>
          <w:iCs/>
        </w:rPr>
        <w:t>Using thematic analysis in qualitative research. </w:t>
      </w:r>
      <w:r w:rsidRPr="0047372F">
        <w:rPr>
          <w:rFonts w:ascii="Arial" w:hAnsi="Arial" w:cs="Arial"/>
          <w:i/>
          <w:iCs/>
        </w:rPr>
        <w:t>Journal of Medicine, Surgery, and Public Health</w:t>
      </w:r>
      <w:r w:rsidRPr="0047372F">
        <w:rPr>
          <w:rFonts w:ascii="Arial" w:hAnsi="Arial" w:cs="Arial"/>
        </w:rPr>
        <w:t>, </w:t>
      </w:r>
      <w:r w:rsidRPr="0047372F">
        <w:rPr>
          <w:rFonts w:ascii="Arial" w:hAnsi="Arial" w:cs="Arial"/>
          <w:i/>
          <w:iCs/>
        </w:rPr>
        <w:t>6</w:t>
      </w:r>
      <w:r w:rsidRPr="0047372F">
        <w:rPr>
          <w:rFonts w:ascii="Arial" w:hAnsi="Arial" w:cs="Arial"/>
        </w:rPr>
        <w:t xml:space="preserve">, p.100198. </w:t>
      </w:r>
      <w:r w:rsidR="0047372F" w:rsidRPr="0047372F">
        <w:rPr>
          <w:rFonts w:ascii="Arial" w:hAnsi="Arial" w:cs="Arial"/>
        </w:rPr>
        <w:t xml:space="preserve">Available at: </w:t>
      </w:r>
      <w:hyperlink r:id="rId16" w:history="1">
        <w:r w:rsidR="0047372F" w:rsidRPr="0047372F">
          <w:rPr>
            <w:rStyle w:val="Hyperlink"/>
            <w:rFonts w:ascii="Arial" w:hAnsi="Arial" w:cs="Arial"/>
          </w:rPr>
          <w:t>https://doi.org/10.1016/j.glmedi.2025.100198</w:t>
        </w:r>
      </w:hyperlink>
    </w:p>
    <w:p w14:paraId="6FE9AB98" w14:textId="10508FA7"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Akimova, E.T., Wolfram, T., Ding, X., Tropf, F.C. and Mills, M.C. (2025) </w:t>
      </w:r>
      <w:r w:rsidRPr="00DF621B">
        <w:rPr>
          <w:rFonts w:ascii="Arial" w:hAnsi="Arial" w:cs="Arial"/>
          <w:i/>
          <w:iCs/>
          <w:szCs w:val="20"/>
          <w:shd w:val="clear" w:color="auto" w:fill="FFFFFF"/>
        </w:rPr>
        <w:t>Polygenic prediction of occupational status GWAS elucidates genetic and environmental interplay in intergenerational transmission, careers and health in UK</w:t>
      </w:r>
      <w:r w:rsidRPr="0047372F">
        <w:rPr>
          <w:rFonts w:ascii="Arial" w:hAnsi="Arial" w:cs="Arial"/>
          <w:szCs w:val="20"/>
          <w:shd w:val="clear" w:color="auto" w:fill="FFFFFF"/>
        </w:rPr>
        <w:t xml:space="preserve"> Biobank. </w:t>
      </w:r>
      <w:r w:rsidRPr="0047372F">
        <w:rPr>
          <w:rFonts w:ascii="Arial" w:hAnsi="Arial" w:cs="Arial"/>
          <w:i/>
          <w:iCs/>
          <w:szCs w:val="20"/>
          <w:shd w:val="clear" w:color="auto" w:fill="FFFFFF"/>
        </w:rPr>
        <w:t>Nature Human Behaviour</w:t>
      </w:r>
      <w:r w:rsidRPr="0047372F">
        <w:rPr>
          <w:rFonts w:ascii="Arial" w:hAnsi="Arial" w:cs="Arial"/>
          <w:szCs w:val="20"/>
          <w:shd w:val="clear" w:color="auto" w:fill="FFFFFF"/>
        </w:rPr>
        <w:t>, </w:t>
      </w:r>
      <w:r w:rsidRPr="0047372F">
        <w:rPr>
          <w:rFonts w:ascii="Arial" w:hAnsi="Arial" w:cs="Arial"/>
          <w:i/>
          <w:iCs/>
          <w:szCs w:val="20"/>
          <w:shd w:val="clear" w:color="auto" w:fill="FFFFFF"/>
        </w:rPr>
        <w:t>9</w:t>
      </w:r>
      <w:r w:rsidRPr="0047372F">
        <w:rPr>
          <w:rFonts w:ascii="Arial" w:hAnsi="Arial" w:cs="Arial"/>
          <w:szCs w:val="20"/>
          <w:shd w:val="clear" w:color="auto" w:fill="FFFFFF"/>
        </w:rPr>
        <w:t xml:space="preserve">(2), pp.391-405. </w:t>
      </w:r>
      <w:r w:rsidR="00DF621B">
        <w:rPr>
          <w:rFonts w:ascii="Arial" w:hAnsi="Arial" w:cs="Arial"/>
          <w:szCs w:val="20"/>
          <w:shd w:val="clear" w:color="auto" w:fill="FFFFFF"/>
        </w:rPr>
        <w:t xml:space="preserve">Available </w:t>
      </w:r>
      <w:proofErr w:type="spellStart"/>
      <w:r w:rsidR="00DF621B">
        <w:rPr>
          <w:rFonts w:ascii="Arial" w:hAnsi="Arial" w:cs="Arial"/>
          <w:szCs w:val="20"/>
          <w:shd w:val="clear" w:color="auto" w:fill="FFFFFF"/>
        </w:rPr>
        <w:t>at:</w:t>
      </w:r>
      <w:hyperlink r:id="rId17" w:history="1">
        <w:r w:rsidR="00A85C13" w:rsidRPr="007D4760">
          <w:rPr>
            <w:rStyle w:val="Hyperlink"/>
            <w:rFonts w:ascii="Arial" w:hAnsi="Arial" w:cs="Arial"/>
            <w:szCs w:val="20"/>
            <w:shd w:val="clear" w:color="auto" w:fill="FFFFFF"/>
          </w:rPr>
          <w:t>https</w:t>
        </w:r>
        <w:proofErr w:type="spellEnd"/>
        <w:r w:rsidR="00A85C13" w:rsidRPr="007D4760">
          <w:rPr>
            <w:rStyle w:val="Hyperlink"/>
            <w:rFonts w:ascii="Arial" w:hAnsi="Arial" w:cs="Arial"/>
            <w:szCs w:val="20"/>
            <w:shd w:val="clear" w:color="auto" w:fill="FFFFFF"/>
          </w:rPr>
          <w:t>://doi.org/10.1038/s41562-024-02076-3</w:t>
        </w:r>
      </w:hyperlink>
    </w:p>
    <w:p w14:paraId="7268DCC1" w14:textId="6125480E"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Alharbi, T.A.F., Rababa, M., </w:t>
      </w:r>
      <w:proofErr w:type="spellStart"/>
      <w:r w:rsidRPr="0047372F">
        <w:rPr>
          <w:rFonts w:ascii="Arial" w:hAnsi="Arial" w:cs="Arial"/>
          <w:szCs w:val="20"/>
          <w:shd w:val="clear" w:color="auto" w:fill="FFFFFF"/>
        </w:rPr>
        <w:t>Alsuwayl</w:t>
      </w:r>
      <w:proofErr w:type="spellEnd"/>
      <w:r w:rsidRPr="0047372F">
        <w:rPr>
          <w:rFonts w:ascii="Arial" w:hAnsi="Arial" w:cs="Arial"/>
          <w:szCs w:val="20"/>
          <w:shd w:val="clear" w:color="auto" w:fill="FFFFFF"/>
        </w:rPr>
        <w:t xml:space="preserve">, H., </w:t>
      </w:r>
      <w:proofErr w:type="spellStart"/>
      <w:r w:rsidRPr="0047372F">
        <w:rPr>
          <w:rFonts w:ascii="Arial" w:hAnsi="Arial" w:cs="Arial"/>
          <w:szCs w:val="20"/>
          <w:shd w:val="clear" w:color="auto" w:fill="FFFFFF"/>
        </w:rPr>
        <w:t>Alsubail</w:t>
      </w:r>
      <w:proofErr w:type="spellEnd"/>
      <w:r w:rsidRPr="0047372F">
        <w:rPr>
          <w:rFonts w:ascii="Arial" w:hAnsi="Arial" w:cs="Arial"/>
          <w:szCs w:val="20"/>
          <w:shd w:val="clear" w:color="auto" w:fill="FFFFFF"/>
        </w:rPr>
        <w:t xml:space="preserve">, A. and </w:t>
      </w:r>
      <w:proofErr w:type="spellStart"/>
      <w:r w:rsidRPr="0047372F">
        <w:rPr>
          <w:rFonts w:ascii="Arial" w:hAnsi="Arial" w:cs="Arial"/>
          <w:szCs w:val="20"/>
          <w:shd w:val="clear" w:color="auto" w:fill="FFFFFF"/>
        </w:rPr>
        <w:t>Alenizi</w:t>
      </w:r>
      <w:proofErr w:type="spellEnd"/>
      <w:r w:rsidRPr="0047372F">
        <w:rPr>
          <w:rFonts w:ascii="Arial" w:hAnsi="Arial" w:cs="Arial"/>
          <w:szCs w:val="20"/>
          <w:shd w:val="clear" w:color="auto" w:fill="FFFFFF"/>
        </w:rPr>
        <w:t xml:space="preserve">, W.S. (2025) </w:t>
      </w:r>
      <w:r w:rsidRPr="00A85C13">
        <w:rPr>
          <w:rFonts w:ascii="Arial" w:hAnsi="Arial" w:cs="Arial"/>
          <w:i/>
          <w:iCs/>
          <w:szCs w:val="20"/>
          <w:shd w:val="clear" w:color="auto" w:fill="FFFFFF"/>
        </w:rPr>
        <w:t xml:space="preserve">Diagnostic Challenges and Patient Safety: The Critical Role of Accuracy–A Systematic Review. Journal of </w:t>
      </w:r>
      <w:r w:rsidR="00022D52">
        <w:rPr>
          <w:rFonts w:ascii="Arial" w:hAnsi="Arial" w:cs="Arial"/>
          <w:i/>
          <w:iCs/>
          <w:szCs w:val="20"/>
          <w:shd w:val="clear" w:color="auto" w:fill="FFFFFF"/>
        </w:rPr>
        <w:t>Multidisciplinary Healthcare</w:t>
      </w:r>
      <w:r w:rsidRPr="0047372F">
        <w:rPr>
          <w:rFonts w:ascii="Arial" w:hAnsi="Arial" w:cs="Arial"/>
          <w:szCs w:val="20"/>
          <w:shd w:val="clear" w:color="auto" w:fill="FFFFFF"/>
        </w:rPr>
        <w:t xml:space="preserve">, pp.3051-3064. </w:t>
      </w:r>
      <w:r w:rsidR="00A85C13">
        <w:rPr>
          <w:rFonts w:ascii="Arial" w:hAnsi="Arial" w:cs="Arial"/>
          <w:szCs w:val="20"/>
          <w:shd w:val="clear" w:color="auto" w:fill="FFFFFF"/>
        </w:rPr>
        <w:t xml:space="preserve">Available at: </w:t>
      </w:r>
      <w:hyperlink r:id="rId18" w:history="1">
        <w:r w:rsidR="00A85C13" w:rsidRPr="007D4760">
          <w:rPr>
            <w:rStyle w:val="Hyperlink"/>
            <w:rFonts w:ascii="Arial" w:hAnsi="Arial" w:cs="Arial"/>
            <w:szCs w:val="20"/>
            <w:shd w:val="clear" w:color="auto" w:fill="FFFFFF"/>
          </w:rPr>
          <w:t>https://doi.org/10.2147/JMDH.S512254</w:t>
        </w:r>
      </w:hyperlink>
    </w:p>
    <w:p w14:paraId="3BE9BFBD" w14:textId="4BB0257D"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Baba, H., Aung, M.N., Miyagi, A., </w:t>
      </w:r>
      <w:proofErr w:type="spellStart"/>
      <w:r w:rsidRPr="0047372F">
        <w:rPr>
          <w:rFonts w:ascii="Arial" w:hAnsi="Arial" w:cs="Arial"/>
          <w:szCs w:val="20"/>
          <w:shd w:val="clear" w:color="auto" w:fill="FFFFFF"/>
        </w:rPr>
        <w:t>Masu</w:t>
      </w:r>
      <w:proofErr w:type="spellEnd"/>
      <w:r w:rsidRPr="0047372F">
        <w:rPr>
          <w:rFonts w:ascii="Arial" w:hAnsi="Arial" w:cs="Arial"/>
          <w:szCs w:val="20"/>
          <w:shd w:val="clear" w:color="auto" w:fill="FFFFFF"/>
        </w:rPr>
        <w:t xml:space="preserve">, A., </w:t>
      </w:r>
      <w:proofErr w:type="spellStart"/>
      <w:r w:rsidRPr="0047372F">
        <w:rPr>
          <w:rFonts w:ascii="Arial" w:hAnsi="Arial" w:cs="Arial"/>
          <w:szCs w:val="20"/>
          <w:shd w:val="clear" w:color="auto" w:fill="FFFFFF"/>
        </w:rPr>
        <w:t>Yokobori</w:t>
      </w:r>
      <w:proofErr w:type="spellEnd"/>
      <w:r w:rsidRPr="0047372F">
        <w:rPr>
          <w:rFonts w:ascii="Arial" w:hAnsi="Arial" w:cs="Arial"/>
          <w:szCs w:val="20"/>
          <w:shd w:val="clear" w:color="auto" w:fill="FFFFFF"/>
        </w:rPr>
        <w:t xml:space="preserve">, Y., Kiyohara, H., Otake, E. and Yuasa, M. (2024) </w:t>
      </w:r>
      <w:r w:rsidRPr="00A85C13">
        <w:rPr>
          <w:rFonts w:ascii="Arial" w:hAnsi="Arial" w:cs="Arial"/>
          <w:i/>
          <w:iCs/>
          <w:szCs w:val="20"/>
          <w:shd w:val="clear" w:color="auto" w:fill="FFFFFF"/>
        </w:rPr>
        <w:t>Exploring the contribution of Japan's experience in addressing rapid aging in Asia: Focus on dementia care. Global Health &amp; Medicine,</w:t>
      </w:r>
      <w:r w:rsidRPr="0047372F">
        <w:rPr>
          <w:rFonts w:ascii="Arial" w:hAnsi="Arial" w:cs="Arial"/>
          <w:szCs w:val="20"/>
          <w:shd w:val="clear" w:color="auto" w:fill="FFFFFF"/>
        </w:rPr>
        <w:t> </w:t>
      </w:r>
      <w:r w:rsidRPr="0047372F">
        <w:rPr>
          <w:rFonts w:ascii="Arial" w:hAnsi="Arial" w:cs="Arial"/>
          <w:i/>
          <w:iCs/>
          <w:szCs w:val="20"/>
          <w:shd w:val="clear" w:color="auto" w:fill="FFFFFF"/>
        </w:rPr>
        <w:t>6</w:t>
      </w:r>
      <w:r w:rsidRPr="0047372F">
        <w:rPr>
          <w:rFonts w:ascii="Arial" w:hAnsi="Arial" w:cs="Arial"/>
          <w:szCs w:val="20"/>
          <w:shd w:val="clear" w:color="auto" w:fill="FFFFFF"/>
        </w:rPr>
        <w:t xml:space="preserve">(1), pp.19-32. </w:t>
      </w:r>
      <w:r w:rsidR="00A85C13">
        <w:rPr>
          <w:rFonts w:ascii="Arial" w:hAnsi="Arial" w:cs="Arial"/>
          <w:szCs w:val="20"/>
          <w:shd w:val="clear" w:color="auto" w:fill="FFFFFF"/>
        </w:rPr>
        <w:t xml:space="preserve">Available at: </w:t>
      </w:r>
      <w:hyperlink r:id="rId19" w:history="1">
        <w:r w:rsidR="00A85C13" w:rsidRPr="007D4760">
          <w:rPr>
            <w:rStyle w:val="Hyperlink"/>
            <w:rFonts w:ascii="Arial" w:hAnsi="Arial" w:cs="Arial"/>
            <w:szCs w:val="20"/>
            <w:shd w:val="clear" w:color="auto" w:fill="FFFFFF"/>
          </w:rPr>
          <w:t>https://doi.org/10.35772/ghm.2023.01124</w:t>
        </w:r>
      </w:hyperlink>
    </w:p>
    <w:p w14:paraId="116D9798" w14:textId="49575AC2" w:rsidR="00DE53AD" w:rsidRPr="0047372F" w:rsidRDefault="00DE53AD" w:rsidP="002F432B">
      <w:pPr>
        <w:ind w:left="720" w:hanging="720"/>
        <w:rPr>
          <w:rFonts w:ascii="Arial" w:hAnsi="Arial" w:cs="Arial"/>
        </w:rPr>
      </w:pPr>
      <w:r w:rsidRPr="0047372F">
        <w:rPr>
          <w:rFonts w:ascii="Arial" w:hAnsi="Arial" w:cs="Arial"/>
        </w:rPr>
        <w:t xml:space="preserve">Bajwa, R., </w:t>
      </w:r>
      <w:proofErr w:type="spellStart"/>
      <w:r w:rsidRPr="0047372F">
        <w:rPr>
          <w:rFonts w:ascii="Arial" w:hAnsi="Arial" w:cs="Arial"/>
        </w:rPr>
        <w:t>Hanjari</w:t>
      </w:r>
      <w:proofErr w:type="spellEnd"/>
      <w:r w:rsidRPr="0047372F">
        <w:rPr>
          <w:rFonts w:ascii="Arial" w:hAnsi="Arial" w:cs="Arial"/>
        </w:rPr>
        <w:t xml:space="preserve">, M., Al-Oraibi, A., Akyea, R., Brar, M., Robinson, L., Stephan, B.C., Qureshi, N. and Bains, M., (2025) </w:t>
      </w:r>
      <w:r w:rsidRPr="00A85C13">
        <w:rPr>
          <w:rFonts w:ascii="Arial" w:hAnsi="Arial" w:cs="Arial"/>
          <w:i/>
          <w:iCs/>
        </w:rPr>
        <w:t>Qualitative study exploring knowledge and attitudes towards dementia risk prediction, barriers to dementia services and service improvement recommendations with diverse populations in England</w:t>
      </w:r>
      <w:r w:rsidRPr="0047372F">
        <w:rPr>
          <w:rFonts w:ascii="Arial" w:hAnsi="Arial" w:cs="Arial"/>
        </w:rPr>
        <w:t>. </w:t>
      </w:r>
      <w:r w:rsidRPr="0047372F">
        <w:rPr>
          <w:rFonts w:ascii="Arial" w:hAnsi="Arial" w:cs="Arial"/>
          <w:i/>
          <w:iCs/>
        </w:rPr>
        <w:t>BMJ open</w:t>
      </w:r>
      <w:r w:rsidRPr="0047372F">
        <w:rPr>
          <w:rFonts w:ascii="Arial" w:hAnsi="Arial" w:cs="Arial"/>
        </w:rPr>
        <w:t>, </w:t>
      </w:r>
      <w:r w:rsidRPr="0047372F">
        <w:rPr>
          <w:rFonts w:ascii="Arial" w:hAnsi="Arial" w:cs="Arial"/>
          <w:i/>
          <w:iCs/>
        </w:rPr>
        <w:t>15</w:t>
      </w:r>
      <w:r w:rsidRPr="0047372F">
        <w:rPr>
          <w:rFonts w:ascii="Arial" w:hAnsi="Arial" w:cs="Arial"/>
        </w:rPr>
        <w:t xml:space="preserve">(5), p.e092370. </w:t>
      </w:r>
      <w:r w:rsidR="00A85C13">
        <w:rPr>
          <w:rFonts w:ascii="Arial" w:hAnsi="Arial" w:cs="Arial"/>
        </w:rPr>
        <w:t xml:space="preserve">Available at: </w:t>
      </w:r>
      <w:hyperlink r:id="rId20" w:history="1">
        <w:r w:rsidR="00A85C13" w:rsidRPr="007D4760">
          <w:rPr>
            <w:rStyle w:val="Hyperlink"/>
            <w:rFonts w:ascii="Arial" w:hAnsi="Arial" w:cs="Arial"/>
          </w:rPr>
          <w:t>https://doi.org/10.1136/bmjopen-2024-092370</w:t>
        </w:r>
      </w:hyperlink>
    </w:p>
    <w:p w14:paraId="345D6535" w14:textId="06098455"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Behl, C. (2023) </w:t>
      </w:r>
      <w:r w:rsidRPr="00A85C13">
        <w:rPr>
          <w:rFonts w:ascii="Arial" w:hAnsi="Arial" w:cs="Arial"/>
          <w:i/>
          <w:iCs/>
          <w:szCs w:val="20"/>
          <w:shd w:val="clear" w:color="auto" w:fill="FFFFFF"/>
        </w:rPr>
        <w:t>The psychiatrist and pathologist Aloysius Alzheimer and his seminal Findings. In Alzheimer’s disease research: What has guided research so far and why it is high time for a paradigm shift</w:t>
      </w:r>
      <w:r w:rsidRPr="0047372F">
        <w:rPr>
          <w:rFonts w:ascii="Arial" w:hAnsi="Arial" w:cs="Arial"/>
          <w:szCs w:val="20"/>
          <w:shd w:val="clear" w:color="auto" w:fill="FFFFFF"/>
        </w:rPr>
        <w:t xml:space="preserve"> (pp. 27-45). Cham: Springer International Publishing. </w:t>
      </w:r>
      <w:r w:rsidR="00A85C13">
        <w:rPr>
          <w:rFonts w:ascii="Arial" w:hAnsi="Arial" w:cs="Arial"/>
          <w:szCs w:val="20"/>
          <w:shd w:val="clear" w:color="auto" w:fill="FFFFFF"/>
        </w:rPr>
        <w:t xml:space="preserve">Available at: </w:t>
      </w:r>
      <w:hyperlink r:id="rId21" w:history="1">
        <w:r w:rsidR="00A85C13" w:rsidRPr="007D4760">
          <w:rPr>
            <w:rStyle w:val="Hyperlink"/>
            <w:rFonts w:ascii="Arial" w:hAnsi="Arial" w:cs="Arial"/>
            <w:szCs w:val="20"/>
            <w:shd w:val="clear" w:color="auto" w:fill="FFFFFF"/>
          </w:rPr>
          <w:t>https://doi.org/10.1007/978-3-031-31570-1</w:t>
        </w:r>
      </w:hyperlink>
    </w:p>
    <w:p w14:paraId="7E006490" w14:textId="6A444DCD"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lastRenderedPageBreak/>
        <w:t xml:space="preserve">Bradfield, N.I. (2023) </w:t>
      </w:r>
      <w:r w:rsidRPr="00A85C13">
        <w:rPr>
          <w:rFonts w:ascii="Arial" w:hAnsi="Arial" w:cs="Arial"/>
          <w:i/>
          <w:iCs/>
          <w:szCs w:val="20"/>
          <w:shd w:val="clear" w:color="auto" w:fill="FFFFFF"/>
        </w:rPr>
        <w:t>Mild cognitive impairment: diagnosis and subtypes. Clinical EEG and neuroscience,</w:t>
      </w:r>
      <w:r w:rsidRPr="0047372F">
        <w:rPr>
          <w:rFonts w:ascii="Arial" w:hAnsi="Arial" w:cs="Arial"/>
          <w:szCs w:val="20"/>
          <w:shd w:val="clear" w:color="auto" w:fill="FFFFFF"/>
        </w:rPr>
        <w:t> </w:t>
      </w:r>
      <w:r w:rsidRPr="0047372F">
        <w:rPr>
          <w:rFonts w:ascii="Arial" w:hAnsi="Arial" w:cs="Arial"/>
          <w:i/>
          <w:iCs/>
          <w:szCs w:val="20"/>
          <w:shd w:val="clear" w:color="auto" w:fill="FFFFFF"/>
        </w:rPr>
        <w:t>54</w:t>
      </w:r>
      <w:r w:rsidRPr="0047372F">
        <w:rPr>
          <w:rFonts w:ascii="Arial" w:hAnsi="Arial" w:cs="Arial"/>
          <w:szCs w:val="20"/>
          <w:shd w:val="clear" w:color="auto" w:fill="FFFFFF"/>
        </w:rPr>
        <w:t xml:space="preserve">(1), pp.4-11. </w:t>
      </w:r>
      <w:r w:rsidR="00153685">
        <w:rPr>
          <w:rFonts w:ascii="Arial" w:hAnsi="Arial" w:cs="Arial"/>
          <w:szCs w:val="20"/>
          <w:shd w:val="clear" w:color="auto" w:fill="FFFFFF"/>
        </w:rPr>
        <w:t xml:space="preserve"> Available at: </w:t>
      </w:r>
      <w:hyperlink r:id="rId22" w:history="1">
        <w:r w:rsidRPr="0047372F">
          <w:rPr>
            <w:rStyle w:val="Hyperlink"/>
            <w:rFonts w:ascii="Arial" w:hAnsi="Arial" w:cs="Arial"/>
            <w:szCs w:val="20"/>
            <w:shd w:val="clear" w:color="auto" w:fill="FFFFFF"/>
          </w:rPr>
          <w:t>https://doi.org/10.1177/15500594211042708</w:t>
        </w:r>
      </w:hyperlink>
    </w:p>
    <w:p w14:paraId="701EDEFF" w14:textId="6ED7756A"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Bray, K., Christensen, E., Fjordgaard, H.M., Mallet, S. and Mortensen, O.S. (2025) </w:t>
      </w:r>
      <w:r w:rsidRPr="00153685">
        <w:rPr>
          <w:rFonts w:ascii="Arial" w:hAnsi="Arial" w:cs="Arial"/>
          <w:i/>
          <w:iCs/>
          <w:szCs w:val="20"/>
          <w:shd w:val="clear" w:color="auto" w:fill="FFFFFF"/>
        </w:rPr>
        <w:t>An evaluation of initiatives to enhance hospital rotations during GP speciality training in Denmark. Education for Primary Care,</w:t>
      </w:r>
      <w:r w:rsidRPr="0047372F">
        <w:rPr>
          <w:rFonts w:ascii="Arial" w:hAnsi="Arial" w:cs="Arial"/>
          <w:szCs w:val="20"/>
          <w:shd w:val="clear" w:color="auto" w:fill="FFFFFF"/>
        </w:rPr>
        <w:t> </w:t>
      </w:r>
      <w:r w:rsidRPr="0047372F">
        <w:rPr>
          <w:rFonts w:ascii="Arial" w:hAnsi="Arial" w:cs="Arial"/>
          <w:i/>
          <w:iCs/>
          <w:szCs w:val="20"/>
          <w:shd w:val="clear" w:color="auto" w:fill="FFFFFF"/>
        </w:rPr>
        <w:t>36</w:t>
      </w:r>
      <w:r w:rsidRPr="0047372F">
        <w:rPr>
          <w:rFonts w:ascii="Arial" w:hAnsi="Arial" w:cs="Arial"/>
          <w:szCs w:val="20"/>
          <w:shd w:val="clear" w:color="auto" w:fill="FFFFFF"/>
        </w:rPr>
        <w:t xml:space="preserve">(5), pp.238-244. </w:t>
      </w:r>
      <w:r w:rsidR="00153685">
        <w:rPr>
          <w:rFonts w:ascii="Arial" w:hAnsi="Arial" w:cs="Arial"/>
          <w:szCs w:val="20"/>
          <w:shd w:val="clear" w:color="auto" w:fill="FFFFFF"/>
        </w:rPr>
        <w:t xml:space="preserve">Available at: </w:t>
      </w:r>
      <w:hyperlink r:id="rId23" w:history="1">
        <w:r w:rsidR="00153685" w:rsidRPr="007D4760">
          <w:rPr>
            <w:rStyle w:val="Hyperlink"/>
            <w:rFonts w:ascii="Arial" w:hAnsi="Arial" w:cs="Arial"/>
            <w:szCs w:val="20"/>
            <w:shd w:val="clear" w:color="auto" w:fill="FFFFFF"/>
          </w:rPr>
          <w:t>https://doi.org/10.1080/14739879.2025.2524813</w:t>
        </w:r>
      </w:hyperlink>
    </w:p>
    <w:p w14:paraId="6B5DD20C" w14:textId="240BDF93" w:rsidR="00DE53AD" w:rsidRPr="0047372F" w:rsidRDefault="00DE53AD" w:rsidP="002F432B">
      <w:pPr>
        <w:ind w:left="720" w:hanging="720"/>
        <w:rPr>
          <w:rFonts w:ascii="Arial" w:hAnsi="Arial" w:cs="Arial"/>
          <w:lang w:val="en-US"/>
        </w:rPr>
      </w:pPr>
      <w:r w:rsidRPr="0047372F">
        <w:rPr>
          <w:rFonts w:ascii="Arial" w:hAnsi="Arial" w:cs="Arial"/>
          <w:lang w:val="en-US"/>
        </w:rPr>
        <w:t xml:space="preserve">Cambridge University Press. (2019, May 7) </w:t>
      </w:r>
      <w:r w:rsidRPr="00153685">
        <w:rPr>
          <w:rFonts w:ascii="Arial" w:hAnsi="Arial" w:cs="Arial"/>
          <w:lang w:val="en-US"/>
        </w:rPr>
        <w:t>Cognitive Reserve Capacity: Exploring and validating a theoretical model in healthy ageing: Journal of the International Neuropsychological Society. Cambridge Core.</w:t>
      </w:r>
      <w:r w:rsidRPr="0047372F">
        <w:rPr>
          <w:rFonts w:ascii="Arial" w:hAnsi="Arial" w:cs="Arial"/>
          <w:lang w:val="en-US"/>
        </w:rPr>
        <w:t xml:space="preserve"> Available at: </w:t>
      </w:r>
      <w:hyperlink r:id="rId24" w:history="1">
        <w:r w:rsidRPr="0047372F">
          <w:rPr>
            <w:rStyle w:val="Hyperlink"/>
            <w:rFonts w:ascii="Arial" w:hAnsi="Arial" w:cs="Arial"/>
            <w:lang w:val="en-US"/>
          </w:rPr>
          <w:t>https://www.cambridge.org/core/journals/journal-of-the-international-neuropsychological-society/article/cognitive-reserve-capacity-exploring-and-validating-a-theoretical-model-in-healthy-ageing/6ECC10808798266F075F0E9E7CADF228</w:t>
        </w:r>
      </w:hyperlink>
      <w:r w:rsidRPr="0047372F">
        <w:rPr>
          <w:rFonts w:ascii="Arial" w:hAnsi="Arial" w:cs="Arial"/>
          <w:lang w:val="en-US"/>
        </w:rPr>
        <w:t xml:space="preserve"> </w:t>
      </w:r>
      <w:r w:rsidRPr="0047372F">
        <w:rPr>
          <w:rFonts w:ascii="Arial" w:hAnsi="Arial" w:cs="Arial"/>
        </w:rPr>
        <w:t>(Accessed 27 Mar. 2026)</w:t>
      </w:r>
    </w:p>
    <w:p w14:paraId="0950087B" w14:textId="36933FD9"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Carton, C., Calafiore, M., </w:t>
      </w:r>
      <w:proofErr w:type="spellStart"/>
      <w:r w:rsidRPr="0047372F">
        <w:rPr>
          <w:rFonts w:ascii="Arial" w:hAnsi="Arial" w:cs="Arial"/>
          <w:szCs w:val="20"/>
          <w:shd w:val="clear" w:color="auto" w:fill="FFFFFF"/>
        </w:rPr>
        <w:t>Cauet</w:t>
      </w:r>
      <w:proofErr w:type="spellEnd"/>
      <w:r w:rsidRPr="0047372F">
        <w:rPr>
          <w:rFonts w:ascii="Arial" w:hAnsi="Arial" w:cs="Arial"/>
          <w:szCs w:val="20"/>
          <w:shd w:val="clear" w:color="auto" w:fill="FFFFFF"/>
        </w:rPr>
        <w:t xml:space="preserve">, C., </w:t>
      </w:r>
      <w:proofErr w:type="spellStart"/>
      <w:r w:rsidRPr="0047372F">
        <w:rPr>
          <w:rFonts w:ascii="Arial" w:hAnsi="Arial" w:cs="Arial"/>
          <w:szCs w:val="20"/>
          <w:shd w:val="clear" w:color="auto" w:fill="FFFFFF"/>
        </w:rPr>
        <w:t>Messaadi</w:t>
      </w:r>
      <w:proofErr w:type="spellEnd"/>
      <w:r w:rsidRPr="0047372F">
        <w:rPr>
          <w:rFonts w:ascii="Arial" w:hAnsi="Arial" w:cs="Arial"/>
          <w:szCs w:val="20"/>
          <w:shd w:val="clear" w:color="auto" w:fill="FFFFFF"/>
        </w:rPr>
        <w:t xml:space="preserve">, N., Bayen, M., </w:t>
      </w:r>
      <w:proofErr w:type="spellStart"/>
      <w:r w:rsidRPr="0047372F">
        <w:rPr>
          <w:rFonts w:ascii="Arial" w:hAnsi="Arial" w:cs="Arial"/>
          <w:szCs w:val="20"/>
          <w:shd w:val="clear" w:color="auto" w:fill="FFFFFF"/>
        </w:rPr>
        <w:t>Wyts</w:t>
      </w:r>
      <w:proofErr w:type="spellEnd"/>
      <w:r w:rsidRPr="0047372F">
        <w:rPr>
          <w:rFonts w:ascii="Arial" w:hAnsi="Arial" w:cs="Arial"/>
          <w:szCs w:val="20"/>
          <w:shd w:val="clear" w:color="auto" w:fill="FFFFFF"/>
        </w:rPr>
        <w:t xml:space="preserve">, D., </w:t>
      </w:r>
      <w:proofErr w:type="spellStart"/>
      <w:r w:rsidRPr="0047372F">
        <w:rPr>
          <w:rFonts w:ascii="Arial" w:hAnsi="Arial" w:cs="Arial"/>
          <w:szCs w:val="20"/>
          <w:shd w:val="clear" w:color="auto" w:fill="FFFFFF"/>
        </w:rPr>
        <w:t>Messaadi</w:t>
      </w:r>
      <w:proofErr w:type="spellEnd"/>
      <w:r w:rsidRPr="0047372F">
        <w:rPr>
          <w:rFonts w:ascii="Arial" w:hAnsi="Arial" w:cs="Arial"/>
          <w:szCs w:val="20"/>
          <w:shd w:val="clear" w:color="auto" w:fill="FFFFFF"/>
        </w:rPr>
        <w:t xml:space="preserve">, W., </w:t>
      </w:r>
      <w:proofErr w:type="spellStart"/>
      <w:r w:rsidRPr="0047372F">
        <w:rPr>
          <w:rFonts w:ascii="Arial" w:hAnsi="Arial" w:cs="Arial"/>
          <w:szCs w:val="20"/>
          <w:shd w:val="clear" w:color="auto" w:fill="FFFFFF"/>
        </w:rPr>
        <w:t>Richebe</w:t>
      </w:r>
      <w:proofErr w:type="spellEnd"/>
      <w:r w:rsidRPr="0047372F">
        <w:rPr>
          <w:rFonts w:ascii="Arial" w:hAnsi="Arial" w:cs="Arial"/>
          <w:szCs w:val="20"/>
          <w:shd w:val="clear" w:color="auto" w:fill="FFFFFF"/>
        </w:rPr>
        <w:t xml:space="preserve">, T. and Bayen, S. (2025) </w:t>
      </w:r>
      <w:r w:rsidRPr="00153685">
        <w:rPr>
          <w:rFonts w:ascii="Arial" w:hAnsi="Arial" w:cs="Arial"/>
          <w:i/>
          <w:iCs/>
          <w:szCs w:val="20"/>
          <w:shd w:val="clear" w:color="auto" w:fill="FFFFFF"/>
        </w:rPr>
        <w:t>Montreal Cognitive Assessment (MoCA) use in general practice for the early detection of cognitive impairment: a feasibility study</w:t>
      </w:r>
      <w:r w:rsidRPr="0047372F">
        <w:rPr>
          <w:rFonts w:ascii="Arial" w:hAnsi="Arial" w:cs="Arial"/>
          <w:szCs w:val="20"/>
          <w:shd w:val="clear" w:color="auto" w:fill="FFFFFF"/>
        </w:rPr>
        <w:t>. </w:t>
      </w:r>
      <w:r w:rsidRPr="0047372F">
        <w:rPr>
          <w:rFonts w:ascii="Arial" w:hAnsi="Arial" w:cs="Arial"/>
          <w:i/>
          <w:iCs/>
          <w:szCs w:val="20"/>
          <w:shd w:val="clear" w:color="auto" w:fill="FFFFFF"/>
        </w:rPr>
        <w:t>BJGP open</w:t>
      </w:r>
      <w:r w:rsidRPr="0047372F">
        <w:rPr>
          <w:rFonts w:ascii="Arial" w:hAnsi="Arial" w:cs="Arial"/>
          <w:szCs w:val="20"/>
          <w:shd w:val="clear" w:color="auto" w:fill="FFFFFF"/>
        </w:rPr>
        <w:t>, </w:t>
      </w:r>
      <w:r w:rsidRPr="0047372F">
        <w:rPr>
          <w:rFonts w:ascii="Arial" w:hAnsi="Arial" w:cs="Arial"/>
          <w:i/>
          <w:iCs/>
          <w:szCs w:val="20"/>
          <w:shd w:val="clear" w:color="auto" w:fill="FFFFFF"/>
        </w:rPr>
        <w:t>9</w:t>
      </w:r>
      <w:r w:rsidRPr="0047372F">
        <w:rPr>
          <w:rFonts w:ascii="Arial" w:hAnsi="Arial" w:cs="Arial"/>
          <w:szCs w:val="20"/>
          <w:shd w:val="clear" w:color="auto" w:fill="FFFFFF"/>
        </w:rPr>
        <w:t xml:space="preserve">(1). </w:t>
      </w:r>
      <w:r w:rsidR="00153685">
        <w:rPr>
          <w:rFonts w:ascii="Arial" w:hAnsi="Arial" w:cs="Arial"/>
          <w:szCs w:val="20"/>
          <w:shd w:val="clear" w:color="auto" w:fill="FFFFFF"/>
        </w:rPr>
        <w:t xml:space="preserve">Available at: </w:t>
      </w:r>
      <w:hyperlink r:id="rId25" w:history="1">
        <w:r w:rsidR="00153685" w:rsidRPr="007D4760">
          <w:rPr>
            <w:rStyle w:val="Hyperlink"/>
            <w:rFonts w:ascii="Arial" w:hAnsi="Arial" w:cs="Arial"/>
            <w:szCs w:val="20"/>
            <w:shd w:val="clear" w:color="auto" w:fill="FFFFFF"/>
          </w:rPr>
          <w:t>https://doi.org/10.3399/BJGPO.2024.0039</w:t>
        </w:r>
      </w:hyperlink>
    </w:p>
    <w:p w14:paraId="5E61FC5F" w14:textId="25DBF7BA"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Chadborn, N.H., </w:t>
      </w:r>
      <w:proofErr w:type="spellStart"/>
      <w:r w:rsidRPr="0047372F">
        <w:rPr>
          <w:rFonts w:ascii="Arial" w:hAnsi="Arial" w:cs="Arial"/>
          <w:szCs w:val="20"/>
          <w:shd w:val="clear" w:color="auto" w:fill="FFFFFF"/>
        </w:rPr>
        <w:t>Thijssen</w:t>
      </w:r>
      <w:proofErr w:type="spellEnd"/>
      <w:r w:rsidRPr="0047372F">
        <w:rPr>
          <w:rFonts w:ascii="Arial" w:hAnsi="Arial" w:cs="Arial"/>
          <w:szCs w:val="20"/>
          <w:shd w:val="clear" w:color="auto" w:fill="FFFFFF"/>
        </w:rPr>
        <w:t xml:space="preserve">, M., Logan, P., Radford, K. and Graff, M. (2024) </w:t>
      </w:r>
      <w:r w:rsidRPr="00153685">
        <w:rPr>
          <w:rFonts w:ascii="Arial" w:hAnsi="Arial" w:cs="Arial"/>
          <w:i/>
          <w:iCs/>
          <w:szCs w:val="20"/>
          <w:shd w:val="clear" w:color="auto" w:fill="FFFFFF"/>
        </w:rPr>
        <w:t>Realist Evaluation Comparison of Dementia</w:t>
      </w:r>
      <w:r w:rsidRPr="00153685">
        <w:rPr>
          <w:rFonts w:ascii="Cambria Math" w:hAnsi="Cambria Math" w:cs="Cambria Math"/>
          <w:i/>
          <w:iCs/>
          <w:szCs w:val="20"/>
          <w:shd w:val="clear" w:color="auto" w:fill="FFFFFF"/>
        </w:rPr>
        <w:t>‐</w:t>
      </w:r>
      <w:r w:rsidRPr="00153685">
        <w:rPr>
          <w:rFonts w:ascii="Arial" w:hAnsi="Arial" w:cs="Arial"/>
          <w:i/>
          <w:iCs/>
          <w:szCs w:val="20"/>
          <w:shd w:val="clear" w:color="auto" w:fill="FFFFFF"/>
        </w:rPr>
        <w:t>Friendly Communities in England and the Netherlands. Health &amp; Social Care in the Community</w:t>
      </w:r>
      <w:r w:rsidRPr="0047372F">
        <w:rPr>
          <w:rFonts w:ascii="Arial" w:hAnsi="Arial" w:cs="Arial"/>
          <w:szCs w:val="20"/>
          <w:shd w:val="clear" w:color="auto" w:fill="FFFFFF"/>
        </w:rPr>
        <w:t>, </w:t>
      </w:r>
      <w:r w:rsidRPr="0047372F">
        <w:rPr>
          <w:rFonts w:ascii="Arial" w:hAnsi="Arial" w:cs="Arial"/>
          <w:i/>
          <w:iCs/>
          <w:szCs w:val="20"/>
          <w:shd w:val="clear" w:color="auto" w:fill="FFFFFF"/>
        </w:rPr>
        <w:t>2024</w:t>
      </w:r>
      <w:r w:rsidRPr="0047372F">
        <w:rPr>
          <w:rFonts w:ascii="Arial" w:hAnsi="Arial" w:cs="Arial"/>
          <w:szCs w:val="20"/>
          <w:shd w:val="clear" w:color="auto" w:fill="FFFFFF"/>
        </w:rPr>
        <w:t xml:space="preserve">(1), p.5576029.  </w:t>
      </w:r>
      <w:r w:rsidR="00153685">
        <w:rPr>
          <w:rFonts w:ascii="Arial" w:hAnsi="Arial" w:cs="Arial"/>
          <w:szCs w:val="20"/>
          <w:shd w:val="clear" w:color="auto" w:fill="FFFFFF"/>
        </w:rPr>
        <w:t xml:space="preserve">Available at: </w:t>
      </w:r>
      <w:hyperlink r:id="rId26" w:history="1">
        <w:r w:rsidR="00153685" w:rsidRPr="007D4760">
          <w:rPr>
            <w:rStyle w:val="Hyperlink"/>
            <w:rFonts w:ascii="Arial" w:hAnsi="Arial" w:cs="Arial"/>
            <w:szCs w:val="20"/>
            <w:shd w:val="clear" w:color="auto" w:fill="FFFFFF"/>
          </w:rPr>
          <w:t>https://doi.org/10.1155/2024/5576029</w:t>
        </w:r>
      </w:hyperlink>
    </w:p>
    <w:p w14:paraId="701BB05C" w14:textId="28D6DC87" w:rsidR="00DE53AD" w:rsidRPr="0047372F" w:rsidRDefault="00DE53AD" w:rsidP="002F432B">
      <w:pPr>
        <w:ind w:left="720" w:hanging="720"/>
        <w:rPr>
          <w:rFonts w:ascii="Arial" w:hAnsi="Arial" w:cs="Arial"/>
          <w:szCs w:val="20"/>
          <w:shd w:val="clear" w:color="auto" w:fill="FFFFFF"/>
        </w:rPr>
      </w:pPr>
      <w:r w:rsidRPr="00153685">
        <w:rPr>
          <w:rFonts w:ascii="Arial" w:hAnsi="Arial" w:cs="Arial"/>
          <w:szCs w:val="20"/>
          <w:shd w:val="clear" w:color="auto" w:fill="FFFFFF"/>
        </w:rPr>
        <w:t xml:space="preserve">Chia, K., Klingseisen, A., Sieger, D. and Priller, J. (2022) </w:t>
      </w:r>
      <w:r w:rsidRPr="00153685">
        <w:rPr>
          <w:rFonts w:ascii="Arial" w:hAnsi="Arial" w:cs="Arial"/>
          <w:i/>
          <w:iCs/>
          <w:szCs w:val="20"/>
          <w:shd w:val="clear" w:color="auto" w:fill="FFFFFF"/>
        </w:rPr>
        <w:t xml:space="preserve">Zebrafish as a model organism for neurodegenerative disease. Frontiers in </w:t>
      </w:r>
      <w:r w:rsidR="004D4097">
        <w:rPr>
          <w:rFonts w:ascii="Arial" w:hAnsi="Arial" w:cs="Arial"/>
          <w:i/>
          <w:iCs/>
          <w:szCs w:val="20"/>
          <w:shd w:val="clear" w:color="auto" w:fill="FFFFFF"/>
        </w:rPr>
        <w:t>Molecular Neuroscience</w:t>
      </w:r>
      <w:r w:rsidRPr="0047372F">
        <w:rPr>
          <w:rFonts w:ascii="Arial" w:hAnsi="Arial" w:cs="Arial"/>
          <w:szCs w:val="20"/>
          <w:shd w:val="clear" w:color="auto" w:fill="FFFFFF"/>
        </w:rPr>
        <w:t>, </w:t>
      </w:r>
      <w:r w:rsidRPr="0047372F">
        <w:rPr>
          <w:rFonts w:ascii="Arial" w:hAnsi="Arial" w:cs="Arial"/>
          <w:i/>
          <w:iCs/>
          <w:szCs w:val="20"/>
          <w:shd w:val="clear" w:color="auto" w:fill="FFFFFF"/>
        </w:rPr>
        <w:t>15</w:t>
      </w:r>
      <w:r w:rsidRPr="0047372F">
        <w:rPr>
          <w:rFonts w:ascii="Arial" w:hAnsi="Arial" w:cs="Arial"/>
          <w:szCs w:val="20"/>
          <w:shd w:val="clear" w:color="auto" w:fill="FFFFFF"/>
        </w:rPr>
        <w:t xml:space="preserve">, p.940484. </w:t>
      </w:r>
      <w:hyperlink r:id="rId27" w:history="1">
        <w:r w:rsidRPr="0047372F">
          <w:rPr>
            <w:rStyle w:val="Hyperlink"/>
            <w:rFonts w:ascii="Arial" w:hAnsi="Arial" w:cs="Arial"/>
            <w:szCs w:val="20"/>
            <w:shd w:val="clear" w:color="auto" w:fill="FFFFFF"/>
          </w:rPr>
          <w:t>10.3389/fnmol.2022.940484</w:t>
        </w:r>
      </w:hyperlink>
    </w:p>
    <w:p w14:paraId="7149B02E" w14:textId="5328FD03" w:rsidR="00DE53AD" w:rsidRPr="0047372F" w:rsidRDefault="00DE53AD" w:rsidP="002F432B">
      <w:pPr>
        <w:ind w:left="720" w:hanging="720"/>
        <w:rPr>
          <w:rFonts w:ascii="Arial" w:hAnsi="Arial" w:cs="Arial"/>
        </w:rPr>
      </w:pPr>
      <w:r w:rsidRPr="0047372F">
        <w:rPr>
          <w:rFonts w:ascii="Arial" w:hAnsi="Arial" w:cs="Arial"/>
        </w:rPr>
        <w:t xml:space="preserve">Chingono, J., Creavin, S.T., Fish, M., Cullum, S., Bayer, A., Purdy, S. and Ben-Shlomo, Y., (2025) </w:t>
      </w:r>
      <w:r w:rsidRPr="00153685">
        <w:rPr>
          <w:rFonts w:ascii="Arial" w:hAnsi="Arial" w:cs="Arial"/>
          <w:i/>
          <w:iCs/>
        </w:rPr>
        <w:t xml:space="preserve">Informant accuracy of IQCODE, AD8 and GPCOGi for diagnosis of dementia: does your friend know </w:t>
      </w:r>
      <w:proofErr w:type="gramStart"/>
      <w:r w:rsidRPr="00153685">
        <w:rPr>
          <w:rFonts w:ascii="Arial" w:hAnsi="Arial" w:cs="Arial"/>
          <w:i/>
          <w:iCs/>
        </w:rPr>
        <w:t>best?.</w:t>
      </w:r>
      <w:proofErr w:type="gramEnd"/>
      <w:r w:rsidRPr="0047372F">
        <w:rPr>
          <w:rFonts w:ascii="Arial" w:hAnsi="Arial" w:cs="Arial"/>
        </w:rPr>
        <w:t> </w:t>
      </w:r>
      <w:r w:rsidRPr="0047372F">
        <w:rPr>
          <w:rFonts w:ascii="Arial" w:hAnsi="Arial" w:cs="Arial"/>
          <w:i/>
          <w:iCs/>
        </w:rPr>
        <w:t>BMC Primary Care</w:t>
      </w:r>
      <w:r w:rsidRPr="0047372F">
        <w:rPr>
          <w:rFonts w:ascii="Arial" w:hAnsi="Arial" w:cs="Arial"/>
        </w:rPr>
        <w:t>, </w:t>
      </w:r>
      <w:r w:rsidRPr="0047372F">
        <w:rPr>
          <w:rFonts w:ascii="Arial" w:hAnsi="Arial" w:cs="Arial"/>
          <w:i/>
          <w:iCs/>
        </w:rPr>
        <w:t>26</w:t>
      </w:r>
      <w:r w:rsidRPr="0047372F">
        <w:rPr>
          <w:rFonts w:ascii="Arial" w:hAnsi="Arial" w:cs="Arial"/>
        </w:rPr>
        <w:t xml:space="preserve">(1), p.112. </w:t>
      </w:r>
      <w:r w:rsidR="00153685">
        <w:rPr>
          <w:rFonts w:ascii="Arial" w:hAnsi="Arial" w:cs="Arial"/>
        </w:rPr>
        <w:t xml:space="preserve">Available at: </w:t>
      </w:r>
      <w:hyperlink r:id="rId28" w:history="1">
        <w:r w:rsidR="00153685" w:rsidRPr="007D4760">
          <w:rPr>
            <w:rStyle w:val="Hyperlink"/>
            <w:rFonts w:ascii="Arial" w:hAnsi="Arial" w:cs="Arial"/>
          </w:rPr>
          <w:t>https://doi.org/10.1186/s12875-025-02745-w</w:t>
        </w:r>
      </w:hyperlink>
    </w:p>
    <w:p w14:paraId="32F8D12B" w14:textId="6BE1CF52" w:rsidR="00DE53AD" w:rsidRPr="0047372F" w:rsidRDefault="00DE53AD" w:rsidP="002F432B">
      <w:pPr>
        <w:ind w:left="720" w:hanging="720"/>
        <w:rPr>
          <w:rFonts w:ascii="Arial" w:hAnsi="Arial" w:cs="Arial"/>
          <w:szCs w:val="20"/>
          <w:shd w:val="clear" w:color="auto" w:fill="FFFFFF"/>
        </w:rPr>
      </w:pPr>
      <w:bookmarkStart w:id="65" w:name="_Hlk231935031"/>
      <w:proofErr w:type="spellStart"/>
      <w:r w:rsidRPr="0047372F">
        <w:rPr>
          <w:rFonts w:ascii="Arial" w:hAnsi="Arial" w:cs="Arial"/>
          <w:szCs w:val="20"/>
          <w:shd w:val="clear" w:color="auto" w:fill="FFFFFF"/>
        </w:rPr>
        <w:t>Chithiramohan</w:t>
      </w:r>
      <w:proofErr w:type="spellEnd"/>
      <w:r w:rsidRPr="0047372F">
        <w:rPr>
          <w:rFonts w:ascii="Arial" w:hAnsi="Arial" w:cs="Arial"/>
          <w:szCs w:val="20"/>
          <w:shd w:val="clear" w:color="auto" w:fill="FFFFFF"/>
        </w:rPr>
        <w:t xml:space="preserve">, T., Santhosh, S., Threlfall, G., Hull, L., </w:t>
      </w:r>
      <w:proofErr w:type="spellStart"/>
      <w:r w:rsidRPr="0047372F">
        <w:rPr>
          <w:rFonts w:ascii="Arial" w:hAnsi="Arial" w:cs="Arial"/>
          <w:szCs w:val="20"/>
          <w:shd w:val="clear" w:color="auto" w:fill="FFFFFF"/>
        </w:rPr>
        <w:t>Mukaetova-Ladinska</w:t>
      </w:r>
      <w:proofErr w:type="spellEnd"/>
      <w:r w:rsidRPr="0047372F">
        <w:rPr>
          <w:rFonts w:ascii="Arial" w:hAnsi="Arial" w:cs="Arial"/>
          <w:szCs w:val="20"/>
          <w:shd w:val="clear" w:color="auto" w:fill="FFFFFF"/>
        </w:rPr>
        <w:t xml:space="preserve">, E.B., Subramaniam, H. and </w:t>
      </w:r>
      <w:proofErr w:type="spellStart"/>
      <w:r w:rsidRPr="0047372F">
        <w:rPr>
          <w:rFonts w:ascii="Arial" w:hAnsi="Arial" w:cs="Arial"/>
          <w:szCs w:val="20"/>
          <w:shd w:val="clear" w:color="auto" w:fill="FFFFFF"/>
        </w:rPr>
        <w:t>Beishon</w:t>
      </w:r>
      <w:proofErr w:type="spellEnd"/>
      <w:r w:rsidRPr="0047372F">
        <w:rPr>
          <w:rFonts w:ascii="Arial" w:hAnsi="Arial" w:cs="Arial"/>
          <w:szCs w:val="20"/>
          <w:shd w:val="clear" w:color="auto" w:fill="FFFFFF"/>
        </w:rPr>
        <w:t xml:space="preserve">, L. (2024) </w:t>
      </w:r>
      <w:r w:rsidRPr="00153685">
        <w:rPr>
          <w:rFonts w:ascii="Arial" w:hAnsi="Arial" w:cs="Arial"/>
          <w:i/>
          <w:iCs/>
          <w:szCs w:val="20"/>
          <w:shd w:val="clear" w:color="auto" w:fill="FFFFFF"/>
        </w:rPr>
        <w:t xml:space="preserve">Culture-fair cognitive screening tools for assessment of cognitive impairment: </w:t>
      </w:r>
      <w:r w:rsidRPr="0047372F">
        <w:rPr>
          <w:rFonts w:ascii="Arial" w:hAnsi="Arial" w:cs="Arial"/>
          <w:szCs w:val="20"/>
          <w:shd w:val="clear" w:color="auto" w:fill="FFFFFF"/>
        </w:rPr>
        <w:t>a systematic review. </w:t>
      </w:r>
      <w:r w:rsidRPr="0047372F">
        <w:rPr>
          <w:rFonts w:ascii="Arial" w:hAnsi="Arial" w:cs="Arial"/>
          <w:i/>
          <w:iCs/>
          <w:szCs w:val="20"/>
          <w:shd w:val="clear" w:color="auto" w:fill="FFFFFF"/>
        </w:rPr>
        <w:t>Journal of Alzheimer's disease reports</w:t>
      </w:r>
      <w:r w:rsidRPr="0047372F">
        <w:rPr>
          <w:rFonts w:ascii="Arial" w:hAnsi="Arial" w:cs="Arial"/>
          <w:szCs w:val="20"/>
          <w:shd w:val="clear" w:color="auto" w:fill="FFFFFF"/>
        </w:rPr>
        <w:t>, </w:t>
      </w:r>
      <w:r w:rsidRPr="0047372F">
        <w:rPr>
          <w:rFonts w:ascii="Arial" w:hAnsi="Arial" w:cs="Arial"/>
          <w:i/>
          <w:iCs/>
          <w:szCs w:val="20"/>
          <w:shd w:val="clear" w:color="auto" w:fill="FFFFFF"/>
        </w:rPr>
        <w:t>8</w:t>
      </w:r>
      <w:r w:rsidRPr="0047372F">
        <w:rPr>
          <w:rFonts w:ascii="Arial" w:hAnsi="Arial" w:cs="Arial"/>
          <w:szCs w:val="20"/>
          <w:shd w:val="clear" w:color="auto" w:fill="FFFFFF"/>
        </w:rPr>
        <w:t xml:space="preserve">(1), pp.289-306. </w:t>
      </w:r>
      <w:r w:rsidR="00153685">
        <w:rPr>
          <w:rFonts w:ascii="Arial" w:hAnsi="Arial" w:cs="Arial"/>
          <w:szCs w:val="20"/>
          <w:shd w:val="clear" w:color="auto" w:fill="FFFFFF"/>
        </w:rPr>
        <w:t xml:space="preserve">Available at: </w:t>
      </w:r>
      <w:hyperlink r:id="rId29" w:history="1">
        <w:r w:rsidR="00153685" w:rsidRPr="007D4760">
          <w:rPr>
            <w:rStyle w:val="Hyperlink"/>
            <w:rFonts w:ascii="Arial" w:hAnsi="Arial" w:cs="Arial"/>
            <w:szCs w:val="20"/>
            <w:shd w:val="clear" w:color="auto" w:fill="FFFFFF"/>
          </w:rPr>
          <w:t>https://doi.org/10.3233/ADR-230194</w:t>
        </w:r>
      </w:hyperlink>
    </w:p>
    <w:bookmarkEnd w:id="65"/>
    <w:p w14:paraId="0E7D2D39" w14:textId="5DD2D44D"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lastRenderedPageBreak/>
        <w:t xml:space="preserve">Collins, N. and Fletcher, J.R. (2024) </w:t>
      </w:r>
      <w:r w:rsidRPr="00153685">
        <w:rPr>
          <w:rFonts w:ascii="Arial" w:hAnsi="Arial" w:cs="Arial"/>
          <w:i/>
          <w:iCs/>
          <w:szCs w:val="20"/>
          <w:shd w:val="clear" w:color="auto" w:fill="FFFFFF"/>
        </w:rPr>
        <w:t>Bridging the gap between clinical and critical sociological perspectives in dementia.</w:t>
      </w:r>
      <w:r w:rsidRPr="0047372F">
        <w:rPr>
          <w:rFonts w:ascii="Arial" w:hAnsi="Arial" w:cs="Arial"/>
          <w:szCs w:val="20"/>
          <w:shd w:val="clear" w:color="auto" w:fill="FFFFFF"/>
        </w:rPr>
        <w:t> </w:t>
      </w:r>
      <w:proofErr w:type="spellStart"/>
      <w:r w:rsidRPr="0047372F">
        <w:rPr>
          <w:rFonts w:ascii="Arial" w:hAnsi="Arial" w:cs="Arial"/>
          <w:i/>
          <w:iCs/>
          <w:szCs w:val="20"/>
          <w:shd w:val="clear" w:color="auto" w:fill="FFFFFF"/>
        </w:rPr>
        <w:t>BJPsych</w:t>
      </w:r>
      <w:proofErr w:type="spellEnd"/>
      <w:r w:rsidRPr="0047372F">
        <w:rPr>
          <w:rFonts w:ascii="Arial" w:hAnsi="Arial" w:cs="Arial"/>
          <w:i/>
          <w:iCs/>
          <w:szCs w:val="20"/>
          <w:shd w:val="clear" w:color="auto" w:fill="FFFFFF"/>
        </w:rPr>
        <w:t xml:space="preserve"> Advances</w:t>
      </w:r>
      <w:r w:rsidRPr="0047372F">
        <w:rPr>
          <w:rFonts w:ascii="Arial" w:hAnsi="Arial" w:cs="Arial"/>
          <w:szCs w:val="20"/>
          <w:shd w:val="clear" w:color="auto" w:fill="FFFFFF"/>
        </w:rPr>
        <w:t>, </w:t>
      </w:r>
      <w:r w:rsidRPr="0047372F">
        <w:rPr>
          <w:rFonts w:ascii="Arial" w:hAnsi="Arial" w:cs="Arial"/>
          <w:i/>
          <w:iCs/>
          <w:szCs w:val="20"/>
          <w:shd w:val="clear" w:color="auto" w:fill="FFFFFF"/>
        </w:rPr>
        <w:t>30</w:t>
      </w:r>
      <w:r w:rsidRPr="0047372F">
        <w:rPr>
          <w:rFonts w:ascii="Arial" w:hAnsi="Arial" w:cs="Arial"/>
          <w:szCs w:val="20"/>
          <w:shd w:val="clear" w:color="auto" w:fill="FFFFFF"/>
        </w:rPr>
        <w:t xml:space="preserve">(2), pp.124-133. </w:t>
      </w:r>
      <w:r w:rsidR="00B365C0">
        <w:rPr>
          <w:rFonts w:ascii="Arial" w:hAnsi="Arial" w:cs="Arial"/>
          <w:szCs w:val="20"/>
          <w:shd w:val="clear" w:color="auto" w:fill="FFFFFF"/>
        </w:rPr>
        <w:t xml:space="preserve">Available at: </w:t>
      </w:r>
      <w:hyperlink r:id="rId30" w:history="1">
        <w:r w:rsidRPr="0047372F">
          <w:rPr>
            <w:rStyle w:val="Hyperlink"/>
            <w:rFonts w:ascii="Arial" w:hAnsi="Arial" w:cs="Arial"/>
            <w:szCs w:val="20"/>
            <w:shd w:val="clear" w:color="auto" w:fill="FFFFFF"/>
          </w:rPr>
          <w:t>doi:10.1192/bja.2023.28</w:t>
        </w:r>
      </w:hyperlink>
    </w:p>
    <w:p w14:paraId="733CABEF" w14:textId="7C2768A2" w:rsidR="00DE53AD" w:rsidRPr="0047372F" w:rsidRDefault="00DE53AD" w:rsidP="002F432B">
      <w:pPr>
        <w:ind w:left="720" w:hanging="720"/>
        <w:rPr>
          <w:rFonts w:ascii="Arial" w:hAnsi="Arial" w:cs="Arial"/>
          <w:lang w:val="en-US"/>
        </w:rPr>
      </w:pPr>
      <w:r w:rsidRPr="0047372F">
        <w:rPr>
          <w:rFonts w:ascii="Arial" w:hAnsi="Arial" w:cs="Arial"/>
          <w:lang w:val="en-US"/>
        </w:rPr>
        <w:t xml:space="preserve">Continental Hospitals (2025) </w:t>
      </w:r>
      <w:r w:rsidRPr="00B365C0">
        <w:rPr>
          <w:rFonts w:ascii="Arial" w:hAnsi="Arial" w:cs="Arial"/>
          <w:i/>
          <w:iCs/>
          <w:lang w:val="en-US"/>
        </w:rPr>
        <w:t>Mild cognitive impairment (MCI). Causes, Risk Factors, Symptoms, Treatment</w:t>
      </w:r>
      <w:r w:rsidRPr="0047372F">
        <w:rPr>
          <w:rFonts w:ascii="Arial" w:hAnsi="Arial" w:cs="Arial"/>
          <w:lang w:val="en-US"/>
        </w:rPr>
        <w:t>.</w:t>
      </w:r>
      <w:r w:rsidRPr="0047372F">
        <w:rPr>
          <w:rFonts w:ascii="Arial" w:hAnsi="Arial" w:cs="Arial"/>
        </w:rPr>
        <w:t xml:space="preserve"> </w:t>
      </w:r>
      <w:r w:rsidRPr="0047372F">
        <w:rPr>
          <w:rFonts w:ascii="Arial" w:hAnsi="Arial" w:cs="Arial"/>
          <w:lang w:val="en-US"/>
        </w:rPr>
        <w:t xml:space="preserve">Available at: </w:t>
      </w:r>
      <w:hyperlink r:id="rId31" w:history="1">
        <w:r w:rsidRPr="0047372F">
          <w:rPr>
            <w:rStyle w:val="Hyperlink"/>
            <w:rFonts w:ascii="Arial" w:hAnsi="Arial" w:cs="Arial"/>
            <w:lang w:val="en-US"/>
          </w:rPr>
          <w:t>https://continentalhospitals.com/diseases/mild-cognitive-impairment/</w:t>
        </w:r>
      </w:hyperlink>
      <w:r w:rsidRPr="0047372F">
        <w:rPr>
          <w:rFonts w:ascii="Arial" w:hAnsi="Arial" w:cs="Arial"/>
          <w:lang w:val="en-US"/>
        </w:rPr>
        <w:t xml:space="preserve"> </w:t>
      </w:r>
      <w:r w:rsidRPr="0047372F">
        <w:rPr>
          <w:rFonts w:ascii="Arial" w:hAnsi="Arial" w:cs="Arial"/>
        </w:rPr>
        <w:t>(Accessed 13 May 2026)</w:t>
      </w:r>
    </w:p>
    <w:p w14:paraId="799CF3EB" w14:textId="1B5FFD25" w:rsidR="00DE53AD" w:rsidRPr="0047372F" w:rsidRDefault="00DE53AD" w:rsidP="002F432B">
      <w:pPr>
        <w:ind w:left="720" w:hanging="720"/>
        <w:rPr>
          <w:rFonts w:ascii="Arial" w:hAnsi="Arial" w:cs="Arial"/>
        </w:rPr>
      </w:pPr>
      <w:r w:rsidRPr="0047372F">
        <w:rPr>
          <w:rFonts w:ascii="Arial" w:hAnsi="Arial" w:cs="Arial"/>
        </w:rPr>
        <w:t xml:space="preserve">Creavin, S.T., Fish, M., Lawton, M., Cullum, S., Bayer, A., Purdy, S. and Ben-Shlomo, Y., (2023) </w:t>
      </w:r>
      <w:r w:rsidRPr="00375613">
        <w:rPr>
          <w:rFonts w:ascii="Arial" w:hAnsi="Arial" w:cs="Arial"/>
          <w:i/>
          <w:iCs/>
        </w:rPr>
        <w:t>A diagnostic test accuracy study investigating general practitioner clinical impression and brief cognitive assessments for dementia in primary care, compared to specialised assessment</w:t>
      </w:r>
      <w:r w:rsidRPr="0047372F">
        <w:rPr>
          <w:rFonts w:ascii="Arial" w:hAnsi="Arial" w:cs="Arial"/>
        </w:rPr>
        <w:t xml:space="preserve">. </w:t>
      </w:r>
      <w:r w:rsidRPr="0047372F">
        <w:rPr>
          <w:rFonts w:ascii="Arial" w:hAnsi="Arial" w:cs="Arial"/>
          <w:i/>
          <w:iCs/>
        </w:rPr>
        <w:t>Journal of Alzheimer’s Disease</w:t>
      </w:r>
      <w:r w:rsidRPr="0047372F">
        <w:rPr>
          <w:rFonts w:ascii="Arial" w:hAnsi="Arial" w:cs="Arial"/>
        </w:rPr>
        <w:t>, </w:t>
      </w:r>
      <w:r w:rsidRPr="0047372F">
        <w:rPr>
          <w:rFonts w:ascii="Arial" w:hAnsi="Arial" w:cs="Arial"/>
          <w:i/>
          <w:iCs/>
        </w:rPr>
        <w:t>95</w:t>
      </w:r>
      <w:r w:rsidRPr="0047372F">
        <w:rPr>
          <w:rFonts w:ascii="Arial" w:hAnsi="Arial" w:cs="Arial"/>
        </w:rPr>
        <w:t xml:space="preserve">(3), pp.1189-1200. </w:t>
      </w:r>
      <w:r w:rsidR="00375613">
        <w:rPr>
          <w:rFonts w:ascii="Arial" w:hAnsi="Arial" w:cs="Arial"/>
        </w:rPr>
        <w:t xml:space="preserve">Available at: </w:t>
      </w:r>
      <w:hyperlink r:id="rId32" w:history="1">
        <w:r w:rsidR="00375613" w:rsidRPr="007D4760">
          <w:rPr>
            <w:rStyle w:val="Hyperlink"/>
            <w:rFonts w:ascii="Arial" w:hAnsi="Arial" w:cs="Arial"/>
          </w:rPr>
          <w:t>https://doi.org/10.3233/jad-230320</w:t>
        </w:r>
      </w:hyperlink>
    </w:p>
    <w:p w14:paraId="15468791" w14:textId="53FCECA1" w:rsidR="00DE53AD" w:rsidRPr="0047372F" w:rsidRDefault="00DE53AD" w:rsidP="002F432B">
      <w:pPr>
        <w:ind w:left="720" w:hanging="720"/>
        <w:rPr>
          <w:rFonts w:ascii="Arial" w:hAnsi="Arial" w:cs="Arial"/>
        </w:rPr>
      </w:pPr>
      <w:r w:rsidRPr="0047372F">
        <w:rPr>
          <w:rFonts w:ascii="Arial" w:hAnsi="Arial" w:cs="Arial"/>
        </w:rPr>
        <w:t xml:space="preserve">Creavin, S.T., Haworth, J., Fish, M., Cullum, S., Bayer, A., Purdy, S. and Ben-Shlomo, Y., (2021) </w:t>
      </w:r>
      <w:r w:rsidRPr="00375613">
        <w:rPr>
          <w:rFonts w:ascii="Arial" w:hAnsi="Arial" w:cs="Arial"/>
          <w:i/>
          <w:iCs/>
        </w:rPr>
        <w:t>Clinical judgment of GPs for the diagnosis of dementia: a diagnostic test accuracy study.</w:t>
      </w:r>
      <w:r w:rsidRPr="0047372F">
        <w:rPr>
          <w:rFonts w:ascii="Arial" w:hAnsi="Arial" w:cs="Arial"/>
        </w:rPr>
        <w:t> </w:t>
      </w:r>
      <w:r w:rsidRPr="0047372F">
        <w:rPr>
          <w:rFonts w:ascii="Arial" w:hAnsi="Arial" w:cs="Arial"/>
          <w:i/>
          <w:iCs/>
        </w:rPr>
        <w:t>BJGP open</w:t>
      </w:r>
      <w:r w:rsidRPr="0047372F">
        <w:rPr>
          <w:rFonts w:ascii="Arial" w:hAnsi="Arial" w:cs="Arial"/>
        </w:rPr>
        <w:t>, </w:t>
      </w:r>
      <w:r w:rsidRPr="0047372F">
        <w:rPr>
          <w:rFonts w:ascii="Arial" w:hAnsi="Arial" w:cs="Arial"/>
          <w:i/>
          <w:iCs/>
        </w:rPr>
        <w:t>5</w:t>
      </w:r>
      <w:r w:rsidRPr="0047372F">
        <w:rPr>
          <w:rFonts w:ascii="Arial" w:hAnsi="Arial" w:cs="Arial"/>
        </w:rPr>
        <w:t xml:space="preserve">(5). </w:t>
      </w:r>
      <w:r w:rsidR="00375613">
        <w:rPr>
          <w:rFonts w:ascii="Arial" w:hAnsi="Arial" w:cs="Arial"/>
        </w:rPr>
        <w:t xml:space="preserve">Available at: </w:t>
      </w:r>
      <w:hyperlink r:id="rId33" w:history="1">
        <w:r w:rsidR="00375613" w:rsidRPr="007D4760">
          <w:rPr>
            <w:rStyle w:val="Hyperlink"/>
            <w:rFonts w:ascii="Arial" w:hAnsi="Arial" w:cs="Arial"/>
          </w:rPr>
          <w:t>https://doi.org/10.3399/bjgpo.2021.0058</w:t>
        </w:r>
      </w:hyperlink>
    </w:p>
    <w:p w14:paraId="4DCB8FA1" w14:textId="45DB425E"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Cubillos, C. and Rienzo, A. (2023) </w:t>
      </w:r>
      <w:r w:rsidRPr="00375613">
        <w:rPr>
          <w:rFonts w:ascii="Arial" w:hAnsi="Arial" w:cs="Arial"/>
          <w:i/>
          <w:iCs/>
          <w:szCs w:val="20"/>
          <w:shd w:val="clear" w:color="auto" w:fill="FFFFFF"/>
        </w:rPr>
        <w:t>Digital cognitive assessment tests for older adults: systematic literature review</w:t>
      </w:r>
      <w:r w:rsidRPr="0047372F">
        <w:rPr>
          <w:rFonts w:ascii="Arial" w:hAnsi="Arial" w:cs="Arial"/>
          <w:szCs w:val="20"/>
          <w:shd w:val="clear" w:color="auto" w:fill="FFFFFF"/>
        </w:rPr>
        <w:t>. </w:t>
      </w:r>
      <w:r w:rsidRPr="0047372F">
        <w:rPr>
          <w:rFonts w:ascii="Arial" w:hAnsi="Arial" w:cs="Arial"/>
          <w:i/>
          <w:iCs/>
          <w:szCs w:val="20"/>
          <w:shd w:val="clear" w:color="auto" w:fill="FFFFFF"/>
        </w:rPr>
        <w:t xml:space="preserve">JMIR </w:t>
      </w:r>
      <w:r w:rsidR="0053731C">
        <w:rPr>
          <w:rFonts w:ascii="Arial" w:hAnsi="Arial" w:cs="Arial"/>
          <w:i/>
          <w:iCs/>
          <w:szCs w:val="20"/>
          <w:shd w:val="clear" w:color="auto" w:fill="FFFFFF"/>
        </w:rPr>
        <w:t>Mental Health</w:t>
      </w:r>
      <w:r w:rsidRPr="0047372F">
        <w:rPr>
          <w:rFonts w:ascii="Arial" w:hAnsi="Arial" w:cs="Arial"/>
          <w:szCs w:val="20"/>
          <w:shd w:val="clear" w:color="auto" w:fill="FFFFFF"/>
        </w:rPr>
        <w:t>, </w:t>
      </w:r>
      <w:r w:rsidRPr="0047372F">
        <w:rPr>
          <w:rFonts w:ascii="Arial" w:hAnsi="Arial" w:cs="Arial"/>
          <w:i/>
          <w:iCs/>
          <w:szCs w:val="20"/>
          <w:shd w:val="clear" w:color="auto" w:fill="FFFFFF"/>
        </w:rPr>
        <w:t>10</w:t>
      </w:r>
      <w:r w:rsidRPr="0047372F">
        <w:rPr>
          <w:rFonts w:ascii="Arial" w:hAnsi="Arial" w:cs="Arial"/>
          <w:szCs w:val="20"/>
          <w:shd w:val="clear" w:color="auto" w:fill="FFFFFF"/>
        </w:rPr>
        <w:t xml:space="preserve">(1), p.e47487. </w:t>
      </w:r>
      <w:hyperlink r:id="rId34" w:history="1">
        <w:r w:rsidRPr="0047372F">
          <w:rPr>
            <w:rStyle w:val="Hyperlink"/>
            <w:rFonts w:ascii="Arial" w:hAnsi="Arial" w:cs="Arial"/>
            <w:szCs w:val="20"/>
            <w:shd w:val="clear" w:color="auto" w:fill="FFFFFF"/>
          </w:rPr>
          <w:t>10.2196/47487</w:t>
        </w:r>
      </w:hyperlink>
    </w:p>
    <w:p w14:paraId="1551F80C" w14:textId="43DDA460" w:rsidR="00DE53AD" w:rsidRPr="0047372F" w:rsidRDefault="00DE53AD" w:rsidP="002F432B">
      <w:pPr>
        <w:ind w:left="720" w:hanging="720"/>
        <w:rPr>
          <w:rFonts w:ascii="Arial" w:hAnsi="Arial" w:cs="Arial"/>
        </w:rPr>
      </w:pPr>
      <w:r w:rsidRPr="0047372F">
        <w:rPr>
          <w:rFonts w:ascii="Arial" w:hAnsi="Arial" w:cs="Arial"/>
        </w:rPr>
        <w:t xml:space="preserve">Department of Health (2009) </w:t>
      </w:r>
      <w:r w:rsidRPr="00375613">
        <w:rPr>
          <w:rFonts w:ascii="Arial" w:hAnsi="Arial" w:cs="Arial"/>
          <w:i/>
          <w:iCs/>
        </w:rPr>
        <w:t>National Dementia Strategy Living well with dementia: A National Dementia Strategy Putting People First</w:t>
      </w:r>
      <w:r w:rsidRPr="0047372F">
        <w:rPr>
          <w:rFonts w:ascii="Arial" w:hAnsi="Arial" w:cs="Arial"/>
        </w:rPr>
        <w:t xml:space="preserve">. Available at: </w:t>
      </w:r>
      <w:hyperlink r:id="rId35" w:history="1">
        <w:r w:rsidRPr="0047372F">
          <w:rPr>
            <w:rStyle w:val="Hyperlink"/>
            <w:rFonts w:ascii="Arial" w:hAnsi="Arial" w:cs="Arial"/>
          </w:rPr>
          <w:t>https://assets.publishing.service.gov.uk/media/5a7a15a7ed915d6eaf153a36/dh_094051.pdf</w:t>
        </w:r>
      </w:hyperlink>
      <w:r w:rsidRPr="0047372F">
        <w:rPr>
          <w:rFonts w:ascii="Arial" w:hAnsi="Arial" w:cs="Arial"/>
        </w:rPr>
        <w:t xml:space="preserve"> (Accessed 13 May 2026)</w:t>
      </w:r>
    </w:p>
    <w:p w14:paraId="04A58EB3" w14:textId="28F7BF42" w:rsidR="00DE53AD" w:rsidRPr="0047372F" w:rsidRDefault="00DE53AD" w:rsidP="002F432B">
      <w:pPr>
        <w:ind w:left="720" w:hanging="720"/>
        <w:rPr>
          <w:rFonts w:ascii="Arial" w:hAnsi="Arial" w:cs="Arial"/>
        </w:rPr>
      </w:pPr>
      <w:r w:rsidRPr="0047372F">
        <w:rPr>
          <w:rFonts w:ascii="Arial" w:hAnsi="Arial" w:cs="Arial"/>
        </w:rPr>
        <w:t xml:space="preserve">Department of Health (2015) </w:t>
      </w:r>
      <w:r w:rsidRPr="00375613">
        <w:rPr>
          <w:rFonts w:ascii="Arial" w:hAnsi="Arial" w:cs="Arial"/>
          <w:i/>
          <w:iCs/>
        </w:rPr>
        <w:t>Prime Minister’s Challenge on Dementia 2020.</w:t>
      </w:r>
      <w:r w:rsidRPr="0047372F">
        <w:rPr>
          <w:rFonts w:ascii="Arial" w:hAnsi="Arial" w:cs="Arial"/>
        </w:rPr>
        <w:t xml:space="preserve"> Available at: </w:t>
      </w:r>
      <w:hyperlink r:id="rId36" w:history="1">
        <w:r w:rsidRPr="0047372F">
          <w:rPr>
            <w:rStyle w:val="Hyperlink"/>
            <w:rFonts w:ascii="Arial" w:hAnsi="Arial" w:cs="Arial"/>
          </w:rPr>
          <w:t>https://assets.publishing.service.gov.uk/media/5a80d3ce40f0b62302695b8c/pm-dementia2020.pdf</w:t>
        </w:r>
      </w:hyperlink>
      <w:r w:rsidRPr="0047372F">
        <w:rPr>
          <w:rFonts w:ascii="Arial" w:hAnsi="Arial" w:cs="Arial"/>
        </w:rPr>
        <w:t xml:space="preserve"> (Accessed 13 May 2026)</w:t>
      </w:r>
    </w:p>
    <w:p w14:paraId="5E600E31" w14:textId="3BDF6B36" w:rsidR="00DE53AD" w:rsidRPr="0047372F" w:rsidRDefault="00DE53AD" w:rsidP="002F432B">
      <w:pPr>
        <w:ind w:left="720" w:hanging="720"/>
        <w:rPr>
          <w:rFonts w:ascii="Arial" w:hAnsi="Arial" w:cs="Arial"/>
        </w:rPr>
      </w:pPr>
      <w:proofErr w:type="spellStart"/>
      <w:r w:rsidRPr="0047372F">
        <w:rPr>
          <w:rFonts w:ascii="Arial" w:hAnsi="Arial" w:cs="Arial"/>
        </w:rPr>
        <w:t>Endalamaw</w:t>
      </w:r>
      <w:proofErr w:type="spellEnd"/>
      <w:r w:rsidRPr="0047372F">
        <w:rPr>
          <w:rFonts w:ascii="Arial" w:hAnsi="Arial" w:cs="Arial"/>
        </w:rPr>
        <w:t xml:space="preserve">, A., Khatri, R.B., Erku, D., Zewdie, A., </w:t>
      </w:r>
      <w:proofErr w:type="spellStart"/>
      <w:r w:rsidRPr="0047372F">
        <w:rPr>
          <w:rFonts w:ascii="Arial" w:hAnsi="Arial" w:cs="Arial"/>
        </w:rPr>
        <w:t>Wolka</w:t>
      </w:r>
      <w:proofErr w:type="spellEnd"/>
      <w:r w:rsidRPr="0047372F">
        <w:rPr>
          <w:rFonts w:ascii="Arial" w:hAnsi="Arial" w:cs="Arial"/>
        </w:rPr>
        <w:t xml:space="preserve">, E., Nigatu, F. and Assefa, Y., (2024) </w:t>
      </w:r>
      <w:r w:rsidRPr="00375613">
        <w:rPr>
          <w:rFonts w:ascii="Arial" w:hAnsi="Arial" w:cs="Arial"/>
          <w:i/>
          <w:iCs/>
        </w:rPr>
        <w:t>Barriers and strategies for primary health care workforce development: synthesis of evidence</w:t>
      </w:r>
      <w:r w:rsidRPr="0047372F">
        <w:rPr>
          <w:rFonts w:ascii="Arial" w:hAnsi="Arial" w:cs="Arial"/>
        </w:rPr>
        <w:t>. </w:t>
      </w:r>
      <w:r w:rsidRPr="0047372F">
        <w:rPr>
          <w:rFonts w:ascii="Arial" w:hAnsi="Arial" w:cs="Arial"/>
          <w:i/>
          <w:iCs/>
        </w:rPr>
        <w:t>BMC primary care</w:t>
      </w:r>
      <w:r w:rsidRPr="0047372F">
        <w:rPr>
          <w:rFonts w:ascii="Arial" w:hAnsi="Arial" w:cs="Arial"/>
        </w:rPr>
        <w:t>, </w:t>
      </w:r>
      <w:r w:rsidRPr="0047372F">
        <w:rPr>
          <w:rFonts w:ascii="Arial" w:hAnsi="Arial" w:cs="Arial"/>
          <w:i/>
          <w:iCs/>
        </w:rPr>
        <w:t>25</w:t>
      </w:r>
      <w:r w:rsidRPr="0047372F">
        <w:rPr>
          <w:rFonts w:ascii="Arial" w:hAnsi="Arial" w:cs="Arial"/>
        </w:rPr>
        <w:t xml:space="preserve">(1), p.99. </w:t>
      </w:r>
      <w:r w:rsidR="00375613">
        <w:rPr>
          <w:rFonts w:ascii="Arial" w:hAnsi="Arial" w:cs="Arial"/>
        </w:rPr>
        <w:t xml:space="preserve">Available at: </w:t>
      </w:r>
      <w:hyperlink r:id="rId37" w:history="1">
        <w:r w:rsidR="00375613" w:rsidRPr="007D4760">
          <w:rPr>
            <w:rStyle w:val="Hyperlink"/>
            <w:rFonts w:ascii="Arial" w:hAnsi="Arial" w:cs="Arial"/>
          </w:rPr>
          <w:t>https://doi.org/10.1186/s12875-024-02336-1</w:t>
        </w:r>
      </w:hyperlink>
    </w:p>
    <w:p w14:paraId="260D4B3D" w14:textId="596B5E89"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England, N.H.S. (2022) </w:t>
      </w:r>
      <w:r w:rsidRPr="00375613">
        <w:rPr>
          <w:rFonts w:ascii="Arial" w:hAnsi="Arial" w:cs="Arial"/>
          <w:i/>
          <w:iCs/>
          <w:szCs w:val="20"/>
          <w:shd w:val="clear" w:color="auto" w:fill="FFFFFF"/>
        </w:rPr>
        <w:t>Working in partnership with people and communities: statutory guidance. Care</w:t>
      </w:r>
      <w:r w:rsidRPr="0047372F">
        <w:rPr>
          <w:rFonts w:ascii="Arial" w:hAnsi="Arial" w:cs="Arial"/>
          <w:i/>
          <w:iCs/>
          <w:szCs w:val="20"/>
          <w:shd w:val="clear" w:color="auto" w:fill="FFFFFF"/>
        </w:rPr>
        <w:t xml:space="preserve"> </w:t>
      </w:r>
      <w:proofErr w:type="spellStart"/>
      <w:r w:rsidRPr="0047372F">
        <w:rPr>
          <w:rFonts w:ascii="Arial" w:hAnsi="Arial" w:cs="Arial"/>
          <w:i/>
          <w:iCs/>
          <w:szCs w:val="20"/>
          <w:shd w:val="clear" w:color="auto" w:fill="FFFFFF"/>
        </w:rPr>
        <w:t>DoHS</w:t>
      </w:r>
      <w:proofErr w:type="spellEnd"/>
      <w:r w:rsidRPr="0047372F">
        <w:rPr>
          <w:rFonts w:ascii="Arial" w:hAnsi="Arial" w:cs="Arial"/>
          <w:szCs w:val="20"/>
          <w:shd w:val="clear" w:color="auto" w:fill="FFFFFF"/>
        </w:rPr>
        <w:t xml:space="preserve">. </w:t>
      </w:r>
      <w:r w:rsidRPr="0047372F">
        <w:rPr>
          <w:rFonts w:ascii="Arial" w:hAnsi="Arial" w:cs="Arial"/>
        </w:rPr>
        <w:t xml:space="preserve">Available at: </w:t>
      </w:r>
      <w:hyperlink r:id="rId38" w:history="1">
        <w:r w:rsidRPr="0047372F">
          <w:rPr>
            <w:rStyle w:val="Hyperlink"/>
            <w:rFonts w:ascii="Arial" w:hAnsi="Arial" w:cs="Arial"/>
            <w:szCs w:val="20"/>
            <w:shd w:val="clear" w:color="auto" w:fill="FFFFFF"/>
          </w:rPr>
          <w:t>https://localdemocracyandhealth.com/wp-content/uploads/2024/11/8f21c-nhs-england-working-in-partnership-with-people-and-communities-statutory-guidance.pdf</w:t>
        </w:r>
      </w:hyperlink>
      <w:r w:rsidRPr="0047372F">
        <w:rPr>
          <w:rFonts w:ascii="Arial" w:hAnsi="Arial" w:cs="Arial"/>
          <w:szCs w:val="20"/>
          <w:shd w:val="clear" w:color="auto" w:fill="FFFFFF"/>
        </w:rPr>
        <w:t xml:space="preserve"> </w:t>
      </w:r>
      <w:r w:rsidRPr="0047372F">
        <w:rPr>
          <w:rFonts w:ascii="Arial" w:hAnsi="Arial" w:cs="Arial"/>
        </w:rPr>
        <w:t>(Accessed 13 May 2026)</w:t>
      </w:r>
    </w:p>
    <w:p w14:paraId="670C2A0A" w14:textId="11380792" w:rsidR="00DE53AD" w:rsidRPr="0047372F" w:rsidRDefault="00DE53AD" w:rsidP="002F432B">
      <w:pPr>
        <w:ind w:left="720" w:hanging="720"/>
        <w:rPr>
          <w:rFonts w:ascii="Arial" w:hAnsi="Arial" w:cs="Arial"/>
        </w:rPr>
      </w:pPr>
      <w:proofErr w:type="spellStart"/>
      <w:r w:rsidRPr="0047372F">
        <w:rPr>
          <w:rFonts w:ascii="Arial" w:hAnsi="Arial" w:cs="Arial"/>
        </w:rPr>
        <w:lastRenderedPageBreak/>
        <w:t>Ereira</w:t>
      </w:r>
      <w:proofErr w:type="spellEnd"/>
      <w:r w:rsidRPr="0047372F">
        <w:rPr>
          <w:rFonts w:ascii="Arial" w:hAnsi="Arial" w:cs="Arial"/>
        </w:rPr>
        <w:t xml:space="preserve">, S., Waters, S., Razi, A. and Marshall, C.R., (2024) </w:t>
      </w:r>
      <w:r w:rsidRPr="00375613">
        <w:rPr>
          <w:rFonts w:ascii="Arial" w:hAnsi="Arial" w:cs="Arial"/>
          <w:i/>
          <w:iCs/>
        </w:rPr>
        <w:t>Early detection of dementia with default-mode network effective connectivity. Nature Mental Health</w:t>
      </w:r>
      <w:r w:rsidRPr="0047372F">
        <w:rPr>
          <w:rFonts w:ascii="Arial" w:hAnsi="Arial" w:cs="Arial"/>
        </w:rPr>
        <w:t>, </w:t>
      </w:r>
      <w:r w:rsidRPr="0047372F">
        <w:rPr>
          <w:rFonts w:ascii="Arial" w:hAnsi="Arial" w:cs="Arial"/>
          <w:i/>
          <w:iCs/>
        </w:rPr>
        <w:t>2</w:t>
      </w:r>
      <w:r w:rsidRPr="0047372F">
        <w:rPr>
          <w:rFonts w:ascii="Arial" w:hAnsi="Arial" w:cs="Arial"/>
        </w:rPr>
        <w:t xml:space="preserve">(7), pp.787-800. </w:t>
      </w:r>
      <w:r w:rsidR="00375613">
        <w:rPr>
          <w:rFonts w:ascii="Arial" w:hAnsi="Arial" w:cs="Arial"/>
        </w:rPr>
        <w:t xml:space="preserve">Available at: </w:t>
      </w:r>
      <w:hyperlink r:id="rId39" w:history="1">
        <w:r w:rsidR="00375613" w:rsidRPr="007D4760">
          <w:rPr>
            <w:rStyle w:val="Hyperlink"/>
            <w:rFonts w:ascii="Arial" w:hAnsi="Arial" w:cs="Arial"/>
          </w:rPr>
          <w:t>https://doi.org/10.1038/s44220-024-00259-5</w:t>
        </w:r>
      </w:hyperlink>
    </w:p>
    <w:p w14:paraId="58B5BB64" w14:textId="07904D90" w:rsidR="00DE53AD" w:rsidRPr="0047372F" w:rsidRDefault="00DE53AD" w:rsidP="002F432B">
      <w:pPr>
        <w:ind w:left="720" w:hanging="720"/>
        <w:rPr>
          <w:rFonts w:ascii="Arial" w:hAnsi="Arial" w:cs="Arial"/>
        </w:rPr>
      </w:pPr>
      <w:r w:rsidRPr="0047372F">
        <w:rPr>
          <w:rFonts w:ascii="Arial" w:hAnsi="Arial" w:cs="Arial"/>
        </w:rPr>
        <w:t xml:space="preserve">Fowler, N.R., Partrick, K.A., Taylor, J., </w:t>
      </w:r>
      <w:proofErr w:type="spellStart"/>
      <w:r w:rsidRPr="0047372F">
        <w:rPr>
          <w:rFonts w:ascii="Arial" w:hAnsi="Arial" w:cs="Arial"/>
        </w:rPr>
        <w:t>Hornbecker</w:t>
      </w:r>
      <w:proofErr w:type="spellEnd"/>
      <w:r w:rsidRPr="0047372F">
        <w:rPr>
          <w:rFonts w:ascii="Arial" w:hAnsi="Arial" w:cs="Arial"/>
        </w:rPr>
        <w:t xml:space="preserve">, M., Kelleher, K., Boustani, M., Cummings, J.L., MacLeod, T., Mielke, M.M., Brosch, J.R. and Lee, J., (2025) </w:t>
      </w:r>
      <w:r w:rsidRPr="00375613">
        <w:rPr>
          <w:rFonts w:ascii="Arial" w:hAnsi="Arial" w:cs="Arial"/>
          <w:i/>
          <w:iCs/>
        </w:rPr>
        <w:t>Implementing early detection of cognitive impairment in primary care to improve care for older adults</w:t>
      </w:r>
      <w:r w:rsidRPr="0047372F">
        <w:rPr>
          <w:rFonts w:ascii="Arial" w:hAnsi="Arial" w:cs="Arial"/>
        </w:rPr>
        <w:t>. </w:t>
      </w:r>
      <w:r w:rsidRPr="0047372F">
        <w:rPr>
          <w:rFonts w:ascii="Arial" w:hAnsi="Arial" w:cs="Arial"/>
          <w:i/>
          <w:iCs/>
        </w:rPr>
        <w:t xml:space="preserve">Journal of </w:t>
      </w:r>
      <w:r w:rsidR="0053731C">
        <w:rPr>
          <w:rFonts w:ascii="Arial" w:hAnsi="Arial" w:cs="Arial"/>
          <w:i/>
          <w:iCs/>
        </w:rPr>
        <w:t>Internal Medicine</w:t>
      </w:r>
      <w:r w:rsidRPr="0047372F">
        <w:rPr>
          <w:rFonts w:ascii="Arial" w:hAnsi="Arial" w:cs="Arial"/>
        </w:rPr>
        <w:t>, </w:t>
      </w:r>
      <w:r w:rsidRPr="0047372F">
        <w:rPr>
          <w:rFonts w:ascii="Arial" w:hAnsi="Arial" w:cs="Arial"/>
          <w:i/>
          <w:iCs/>
        </w:rPr>
        <w:t>298</w:t>
      </w:r>
      <w:r w:rsidRPr="0047372F">
        <w:rPr>
          <w:rFonts w:ascii="Arial" w:hAnsi="Arial" w:cs="Arial"/>
        </w:rPr>
        <w:t xml:space="preserve">(1), pp.31-45. </w:t>
      </w:r>
      <w:r w:rsidR="00375613">
        <w:rPr>
          <w:rFonts w:ascii="Arial" w:hAnsi="Arial" w:cs="Arial"/>
        </w:rPr>
        <w:t xml:space="preserve">Available at: </w:t>
      </w:r>
      <w:hyperlink r:id="rId40" w:history="1">
        <w:r w:rsidR="00375613" w:rsidRPr="007D4760">
          <w:rPr>
            <w:rStyle w:val="Hyperlink"/>
            <w:rFonts w:ascii="Arial" w:hAnsi="Arial" w:cs="Arial"/>
          </w:rPr>
          <w:t>https://doi.org/10.1111/joim.20098</w:t>
        </w:r>
      </w:hyperlink>
    </w:p>
    <w:p w14:paraId="4EE2CB89" w14:textId="0070A37F"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Giebel, C., Cannon, J., </w:t>
      </w:r>
      <w:proofErr w:type="spellStart"/>
      <w:r w:rsidRPr="0047372F">
        <w:rPr>
          <w:rFonts w:ascii="Arial" w:hAnsi="Arial" w:cs="Arial"/>
          <w:szCs w:val="20"/>
          <w:shd w:val="clear" w:color="auto" w:fill="FFFFFF"/>
        </w:rPr>
        <w:t>Komuravelli</w:t>
      </w:r>
      <w:proofErr w:type="spellEnd"/>
      <w:r w:rsidRPr="0047372F">
        <w:rPr>
          <w:rFonts w:ascii="Arial" w:hAnsi="Arial" w:cs="Arial"/>
          <w:szCs w:val="20"/>
          <w:shd w:val="clear" w:color="auto" w:fill="FFFFFF"/>
        </w:rPr>
        <w:t xml:space="preserve">, A. and Whittington, R. (2025) </w:t>
      </w:r>
      <w:r w:rsidRPr="00375613">
        <w:rPr>
          <w:rFonts w:ascii="Arial" w:hAnsi="Arial" w:cs="Arial"/>
          <w:i/>
          <w:iCs/>
          <w:szCs w:val="20"/>
          <w:shd w:val="clear" w:color="auto" w:fill="FFFFFF"/>
        </w:rPr>
        <w:t>Challenges of dementia care in the UK</w:t>
      </w:r>
      <w:r w:rsidRPr="0047372F">
        <w:rPr>
          <w:rFonts w:ascii="Arial" w:hAnsi="Arial" w:cs="Arial"/>
          <w:szCs w:val="20"/>
          <w:shd w:val="clear" w:color="auto" w:fill="FFFFFF"/>
        </w:rPr>
        <w:t>. </w:t>
      </w:r>
      <w:proofErr w:type="spellStart"/>
      <w:r w:rsidRPr="0047372F">
        <w:rPr>
          <w:rFonts w:ascii="Arial" w:hAnsi="Arial" w:cs="Arial"/>
          <w:i/>
          <w:iCs/>
          <w:szCs w:val="20"/>
          <w:shd w:val="clear" w:color="auto" w:fill="FFFFFF"/>
        </w:rPr>
        <w:t>bmj</w:t>
      </w:r>
      <w:proofErr w:type="spellEnd"/>
      <w:r w:rsidRPr="0047372F">
        <w:rPr>
          <w:rFonts w:ascii="Arial" w:hAnsi="Arial" w:cs="Arial"/>
          <w:szCs w:val="20"/>
          <w:shd w:val="clear" w:color="auto" w:fill="FFFFFF"/>
        </w:rPr>
        <w:t>, </w:t>
      </w:r>
      <w:r w:rsidRPr="0047372F">
        <w:rPr>
          <w:rFonts w:ascii="Arial" w:hAnsi="Arial" w:cs="Arial"/>
          <w:i/>
          <w:iCs/>
          <w:szCs w:val="20"/>
          <w:shd w:val="clear" w:color="auto" w:fill="FFFFFF"/>
        </w:rPr>
        <w:t>389</w:t>
      </w:r>
      <w:r w:rsidRPr="0047372F">
        <w:rPr>
          <w:rFonts w:ascii="Arial" w:hAnsi="Arial" w:cs="Arial"/>
          <w:szCs w:val="20"/>
          <w:shd w:val="clear" w:color="auto" w:fill="FFFFFF"/>
        </w:rPr>
        <w:t xml:space="preserve">. </w:t>
      </w:r>
      <w:r w:rsidR="00375613">
        <w:rPr>
          <w:rFonts w:ascii="Arial" w:hAnsi="Arial" w:cs="Arial"/>
          <w:szCs w:val="20"/>
          <w:shd w:val="clear" w:color="auto" w:fill="FFFFFF"/>
        </w:rPr>
        <w:t xml:space="preserve">Available at: </w:t>
      </w:r>
      <w:hyperlink r:id="rId41" w:history="1">
        <w:r w:rsidR="00C12B9F" w:rsidRPr="007D4760">
          <w:rPr>
            <w:rStyle w:val="Hyperlink"/>
            <w:rFonts w:ascii="Arial" w:hAnsi="Arial" w:cs="Arial"/>
            <w:szCs w:val="20"/>
            <w:shd w:val="clear" w:color="auto" w:fill="FFFFFF"/>
          </w:rPr>
          <w:t>https://doi.org/10.1136/bmj.r1135</w:t>
        </w:r>
      </w:hyperlink>
    </w:p>
    <w:p w14:paraId="6DA7294C" w14:textId="10591B64" w:rsidR="00DE53AD" w:rsidRPr="0047372F" w:rsidRDefault="00DE53AD" w:rsidP="002F432B">
      <w:pPr>
        <w:ind w:left="720" w:hanging="720"/>
        <w:rPr>
          <w:rFonts w:ascii="Arial" w:hAnsi="Arial" w:cs="Arial"/>
        </w:rPr>
      </w:pPr>
      <w:r w:rsidRPr="0047372F">
        <w:rPr>
          <w:rFonts w:ascii="Arial" w:hAnsi="Arial" w:cs="Arial"/>
        </w:rPr>
        <w:t xml:space="preserve">Haddaway, N.R., </w:t>
      </w:r>
      <w:proofErr w:type="spellStart"/>
      <w:r w:rsidRPr="0047372F">
        <w:rPr>
          <w:rFonts w:ascii="Arial" w:hAnsi="Arial" w:cs="Arial"/>
        </w:rPr>
        <w:t>Rethlefsen</w:t>
      </w:r>
      <w:proofErr w:type="spellEnd"/>
      <w:r w:rsidRPr="0047372F">
        <w:rPr>
          <w:rFonts w:ascii="Arial" w:hAnsi="Arial" w:cs="Arial"/>
        </w:rPr>
        <w:t xml:space="preserve">, M.L., Davies, M., Glanville, J., McGowan, B., Nyhan, K. and Young, S., (2022) </w:t>
      </w:r>
      <w:r w:rsidRPr="00C12B9F">
        <w:rPr>
          <w:rFonts w:ascii="Arial" w:hAnsi="Arial" w:cs="Arial"/>
          <w:i/>
          <w:iCs/>
        </w:rPr>
        <w:t>A suggested data structure for transparent and repeatable reporting of bibliographic</w:t>
      </w:r>
      <w:r w:rsidRPr="0047372F">
        <w:rPr>
          <w:rFonts w:ascii="Arial" w:hAnsi="Arial" w:cs="Arial"/>
        </w:rPr>
        <w:t xml:space="preserve"> searching. </w:t>
      </w:r>
      <w:r w:rsidRPr="0047372F">
        <w:rPr>
          <w:rFonts w:ascii="Arial" w:hAnsi="Arial" w:cs="Arial"/>
          <w:i/>
          <w:iCs/>
        </w:rPr>
        <w:t>Campbell systematic reviews</w:t>
      </w:r>
      <w:r w:rsidRPr="0047372F">
        <w:rPr>
          <w:rFonts w:ascii="Arial" w:hAnsi="Arial" w:cs="Arial"/>
        </w:rPr>
        <w:t>, </w:t>
      </w:r>
      <w:r w:rsidRPr="0047372F">
        <w:rPr>
          <w:rFonts w:ascii="Arial" w:hAnsi="Arial" w:cs="Arial"/>
          <w:i/>
          <w:iCs/>
        </w:rPr>
        <w:t>18</w:t>
      </w:r>
      <w:r w:rsidRPr="0047372F">
        <w:rPr>
          <w:rFonts w:ascii="Arial" w:hAnsi="Arial" w:cs="Arial"/>
        </w:rPr>
        <w:t xml:space="preserve">(4), p.e1288. </w:t>
      </w:r>
      <w:r w:rsidR="00C12B9F">
        <w:rPr>
          <w:rFonts w:ascii="Arial" w:hAnsi="Arial" w:cs="Arial"/>
        </w:rPr>
        <w:t xml:space="preserve">Available at: </w:t>
      </w:r>
      <w:hyperlink r:id="rId42" w:history="1">
        <w:r w:rsidR="00C12B9F" w:rsidRPr="007D4760">
          <w:rPr>
            <w:rStyle w:val="Hyperlink"/>
            <w:rFonts w:ascii="Arial" w:hAnsi="Arial" w:cs="Arial"/>
          </w:rPr>
          <w:t>https://doi.org/10.1002/cl2.1288</w:t>
        </w:r>
      </w:hyperlink>
    </w:p>
    <w:p w14:paraId="40E84358" w14:textId="5E067ABB"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Huang, X., Ling, Y., Tan, S., Bai, Z., Shen, S., Wang, H. and Lyu, J. (2025) </w:t>
      </w:r>
      <w:r w:rsidRPr="00C12B9F">
        <w:rPr>
          <w:rFonts w:ascii="Arial" w:hAnsi="Arial" w:cs="Arial"/>
          <w:i/>
          <w:iCs/>
          <w:szCs w:val="20"/>
          <w:shd w:val="clear" w:color="auto" w:fill="FFFFFF"/>
        </w:rPr>
        <w:t>Cognitive reserve, frailty status, and risk of neurodegenerative diseases: a prospective cohort study</w:t>
      </w:r>
      <w:r w:rsidRPr="0047372F">
        <w:rPr>
          <w:rFonts w:ascii="Arial" w:hAnsi="Arial" w:cs="Arial"/>
          <w:szCs w:val="20"/>
          <w:shd w:val="clear" w:color="auto" w:fill="FFFFFF"/>
        </w:rPr>
        <w:t>. </w:t>
      </w:r>
      <w:proofErr w:type="spellStart"/>
      <w:r w:rsidRPr="0047372F">
        <w:rPr>
          <w:rFonts w:ascii="Arial" w:hAnsi="Arial" w:cs="Arial"/>
          <w:i/>
          <w:iCs/>
          <w:szCs w:val="20"/>
          <w:shd w:val="clear" w:color="auto" w:fill="FFFFFF"/>
        </w:rPr>
        <w:t>npj</w:t>
      </w:r>
      <w:proofErr w:type="spellEnd"/>
      <w:r w:rsidRPr="0047372F">
        <w:rPr>
          <w:rFonts w:ascii="Arial" w:hAnsi="Arial" w:cs="Arial"/>
          <w:i/>
          <w:iCs/>
          <w:szCs w:val="20"/>
          <w:shd w:val="clear" w:color="auto" w:fill="FFFFFF"/>
        </w:rPr>
        <w:t xml:space="preserve"> Parkinson's Disease</w:t>
      </w:r>
      <w:r w:rsidRPr="0047372F">
        <w:rPr>
          <w:rFonts w:ascii="Arial" w:hAnsi="Arial" w:cs="Arial"/>
          <w:szCs w:val="20"/>
          <w:shd w:val="clear" w:color="auto" w:fill="FFFFFF"/>
        </w:rPr>
        <w:t xml:space="preserve">. </w:t>
      </w:r>
      <w:r w:rsidR="00C12B9F">
        <w:rPr>
          <w:rFonts w:ascii="Arial" w:hAnsi="Arial" w:cs="Arial"/>
          <w:szCs w:val="20"/>
          <w:shd w:val="clear" w:color="auto" w:fill="FFFFFF"/>
        </w:rPr>
        <w:t xml:space="preserve">Available at: </w:t>
      </w:r>
      <w:hyperlink r:id="rId43" w:history="1">
        <w:r w:rsidR="00C12B9F" w:rsidRPr="007D4760">
          <w:rPr>
            <w:rStyle w:val="Hyperlink"/>
            <w:rFonts w:ascii="Arial" w:hAnsi="Arial" w:cs="Arial"/>
            <w:szCs w:val="20"/>
            <w:shd w:val="clear" w:color="auto" w:fill="FFFFFF"/>
          </w:rPr>
          <w:t>https://doi.org/10.1038/s41531-025-01231-5</w:t>
        </w:r>
      </w:hyperlink>
    </w:p>
    <w:p w14:paraId="296C4ED4" w14:textId="5263A65D" w:rsidR="00DE53AD" w:rsidRPr="0047372F" w:rsidRDefault="00DE53AD" w:rsidP="00F12F02">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Javed, A.R., Saadia, A., Mughal, H., </w:t>
      </w:r>
      <w:proofErr w:type="spellStart"/>
      <w:r w:rsidRPr="0047372F">
        <w:rPr>
          <w:rFonts w:ascii="Arial" w:hAnsi="Arial" w:cs="Arial"/>
          <w:szCs w:val="20"/>
          <w:shd w:val="clear" w:color="auto" w:fill="FFFFFF"/>
        </w:rPr>
        <w:t>Gadekallu</w:t>
      </w:r>
      <w:proofErr w:type="spellEnd"/>
      <w:r w:rsidRPr="0047372F">
        <w:rPr>
          <w:rFonts w:ascii="Arial" w:hAnsi="Arial" w:cs="Arial"/>
          <w:szCs w:val="20"/>
          <w:shd w:val="clear" w:color="auto" w:fill="FFFFFF"/>
        </w:rPr>
        <w:t xml:space="preserve">, T.R., Rizwan, M., </w:t>
      </w:r>
      <w:proofErr w:type="spellStart"/>
      <w:r w:rsidRPr="0047372F">
        <w:rPr>
          <w:rFonts w:ascii="Arial" w:hAnsi="Arial" w:cs="Arial"/>
          <w:szCs w:val="20"/>
          <w:shd w:val="clear" w:color="auto" w:fill="FFFFFF"/>
        </w:rPr>
        <w:t>Maddikunta</w:t>
      </w:r>
      <w:proofErr w:type="spellEnd"/>
      <w:r w:rsidRPr="0047372F">
        <w:rPr>
          <w:rFonts w:ascii="Arial" w:hAnsi="Arial" w:cs="Arial"/>
          <w:szCs w:val="20"/>
          <w:shd w:val="clear" w:color="auto" w:fill="FFFFFF"/>
        </w:rPr>
        <w:t xml:space="preserve">, P.K.R., Mahmud, M., Liyanage, M. and Hussain, A., (2023) </w:t>
      </w:r>
      <w:r w:rsidRPr="001541B8">
        <w:rPr>
          <w:rFonts w:ascii="Arial" w:hAnsi="Arial" w:cs="Arial"/>
          <w:i/>
          <w:iCs/>
          <w:szCs w:val="20"/>
          <w:shd w:val="clear" w:color="auto" w:fill="FFFFFF"/>
        </w:rPr>
        <w:t>Artificial intelligence for cognitive health assessment: state-of-the-art, open challenges and future directions. Cognitive Computation, </w:t>
      </w:r>
      <w:r w:rsidRPr="0047372F">
        <w:rPr>
          <w:rFonts w:ascii="Arial" w:hAnsi="Arial" w:cs="Arial"/>
          <w:i/>
          <w:iCs/>
          <w:szCs w:val="20"/>
          <w:shd w:val="clear" w:color="auto" w:fill="FFFFFF"/>
        </w:rPr>
        <w:t>15</w:t>
      </w:r>
      <w:r w:rsidRPr="0047372F">
        <w:rPr>
          <w:rFonts w:ascii="Arial" w:hAnsi="Arial" w:cs="Arial"/>
          <w:szCs w:val="20"/>
          <w:shd w:val="clear" w:color="auto" w:fill="FFFFFF"/>
        </w:rPr>
        <w:t>(6), pp.1767-1812.</w:t>
      </w:r>
      <w:r w:rsidRPr="0047372F">
        <w:rPr>
          <w:rFonts w:ascii="Arial" w:hAnsi="Arial" w:cs="Arial"/>
        </w:rPr>
        <w:t xml:space="preserve"> </w:t>
      </w:r>
      <w:r w:rsidR="00802A2C">
        <w:rPr>
          <w:rFonts w:ascii="Arial" w:hAnsi="Arial" w:cs="Arial"/>
        </w:rPr>
        <w:t xml:space="preserve">Available at: </w:t>
      </w:r>
      <w:hyperlink r:id="rId44" w:history="1">
        <w:r w:rsidR="00EA463E" w:rsidRPr="007D4760">
          <w:rPr>
            <w:rStyle w:val="Hyperlink"/>
            <w:rFonts w:ascii="Arial" w:hAnsi="Arial" w:cs="Arial"/>
            <w:szCs w:val="20"/>
            <w:shd w:val="clear" w:color="auto" w:fill="FFFFFF"/>
          </w:rPr>
          <w:t>https://doi.org/10.1007/s12559-023-10153-4</w:t>
        </w:r>
      </w:hyperlink>
    </w:p>
    <w:p w14:paraId="3B18D5E9" w14:textId="6BBECE92" w:rsidR="00DE53AD" w:rsidRPr="0047372F" w:rsidRDefault="00DE53AD" w:rsidP="00E4455A">
      <w:pPr>
        <w:ind w:left="720" w:hanging="720"/>
        <w:rPr>
          <w:rFonts w:ascii="Arial" w:hAnsi="Arial" w:cs="Arial"/>
        </w:rPr>
      </w:pPr>
      <w:r w:rsidRPr="0047372F">
        <w:rPr>
          <w:rFonts w:ascii="Arial" w:hAnsi="Arial" w:cs="Arial"/>
        </w:rPr>
        <w:t xml:space="preserve">Jehangir, H., Faizan, A., Khan, D., Shahzad, Z. and Nadir, M.A., (2026) </w:t>
      </w:r>
      <w:r w:rsidRPr="00EA463E">
        <w:rPr>
          <w:rFonts w:ascii="Arial" w:hAnsi="Arial" w:cs="Arial"/>
          <w:i/>
          <w:iCs/>
        </w:rPr>
        <w:t>Trends in mortality in elderly patients with Alzheimer’s dementia and aspiration pneumonitis in the United States. Neurodegenerative Disease</w:t>
      </w:r>
      <w:r w:rsidRPr="0047372F">
        <w:rPr>
          <w:rFonts w:ascii="Arial" w:hAnsi="Arial" w:cs="Arial"/>
          <w:i/>
          <w:iCs/>
        </w:rPr>
        <w:t xml:space="preserve"> Management</w:t>
      </w:r>
      <w:r w:rsidRPr="0047372F">
        <w:rPr>
          <w:rFonts w:ascii="Arial" w:hAnsi="Arial" w:cs="Arial"/>
        </w:rPr>
        <w:t>, </w:t>
      </w:r>
      <w:r w:rsidRPr="0047372F">
        <w:rPr>
          <w:rFonts w:ascii="Arial" w:hAnsi="Arial" w:cs="Arial"/>
          <w:i/>
          <w:iCs/>
        </w:rPr>
        <w:t>16</w:t>
      </w:r>
      <w:r w:rsidRPr="0047372F">
        <w:rPr>
          <w:rFonts w:ascii="Arial" w:hAnsi="Arial" w:cs="Arial"/>
        </w:rPr>
        <w:t xml:space="preserve">(1), pp.43-51. </w:t>
      </w:r>
      <w:r w:rsidR="00EA463E">
        <w:rPr>
          <w:rFonts w:ascii="Arial" w:hAnsi="Arial" w:cs="Arial"/>
        </w:rPr>
        <w:t xml:space="preserve">Available at: </w:t>
      </w:r>
      <w:hyperlink r:id="rId45" w:history="1">
        <w:r w:rsidR="00EA463E" w:rsidRPr="007D4760">
          <w:rPr>
            <w:rStyle w:val="Hyperlink"/>
            <w:rFonts w:ascii="Arial" w:hAnsi="Arial" w:cs="Arial"/>
          </w:rPr>
          <w:t>https://doi.org/10.1080/17582024.2025.2562772</w:t>
        </w:r>
      </w:hyperlink>
    </w:p>
    <w:p w14:paraId="42D31CA4" w14:textId="00EC9F9B" w:rsidR="00DE53AD" w:rsidRPr="0047372F" w:rsidRDefault="00DE53AD" w:rsidP="002F432B">
      <w:pPr>
        <w:ind w:left="720" w:hanging="720"/>
        <w:rPr>
          <w:rFonts w:ascii="Arial" w:hAnsi="Arial" w:cs="Arial"/>
        </w:rPr>
      </w:pPr>
      <w:r w:rsidRPr="0047372F">
        <w:rPr>
          <w:rFonts w:ascii="Arial" w:hAnsi="Arial" w:cs="Arial"/>
        </w:rPr>
        <w:t xml:space="preserve">Jones, D., Drewery, R., Windle, K., Humphrey, S. and de Paiva, A.F., (2023) </w:t>
      </w:r>
      <w:r w:rsidRPr="00EA463E">
        <w:rPr>
          <w:rFonts w:ascii="Arial" w:hAnsi="Arial" w:cs="Arial"/>
          <w:i/>
          <w:iCs/>
        </w:rPr>
        <w:t>Dementia prevention and the GP’s role: a qualitative interview study.</w:t>
      </w:r>
      <w:r w:rsidRPr="0047372F">
        <w:rPr>
          <w:rFonts w:ascii="Arial" w:hAnsi="Arial" w:cs="Arial"/>
        </w:rPr>
        <w:t> </w:t>
      </w:r>
      <w:r w:rsidRPr="0047372F">
        <w:rPr>
          <w:rFonts w:ascii="Arial" w:hAnsi="Arial" w:cs="Arial"/>
          <w:i/>
          <w:iCs/>
        </w:rPr>
        <w:t>British Journal of General Practice</w:t>
      </w:r>
      <w:r w:rsidRPr="0047372F">
        <w:rPr>
          <w:rFonts w:ascii="Arial" w:hAnsi="Arial" w:cs="Arial"/>
        </w:rPr>
        <w:t xml:space="preserve">. </w:t>
      </w:r>
      <w:r w:rsidR="00EA463E">
        <w:rPr>
          <w:rFonts w:ascii="Arial" w:hAnsi="Arial" w:cs="Arial"/>
        </w:rPr>
        <w:t xml:space="preserve">Available at: </w:t>
      </w:r>
      <w:hyperlink r:id="rId46" w:history="1">
        <w:r w:rsidR="00EA463E" w:rsidRPr="007D4760">
          <w:rPr>
            <w:rStyle w:val="Hyperlink"/>
            <w:rFonts w:ascii="Arial" w:hAnsi="Arial" w:cs="Arial"/>
          </w:rPr>
          <w:t>https://doi.org/10.3399/BJGP.2023.0103</w:t>
        </w:r>
      </w:hyperlink>
    </w:p>
    <w:p w14:paraId="37FEA6FB" w14:textId="6B72834C" w:rsidR="00DE53AD" w:rsidRPr="00EA463E" w:rsidRDefault="00DE53AD" w:rsidP="002F432B">
      <w:pPr>
        <w:ind w:left="720" w:hanging="720"/>
        <w:rPr>
          <w:rFonts w:ascii="Arial" w:hAnsi="Arial" w:cs="Arial"/>
        </w:rPr>
      </w:pPr>
      <w:r w:rsidRPr="00EA463E">
        <w:rPr>
          <w:rFonts w:ascii="Arial" w:hAnsi="Arial" w:cs="Arial"/>
        </w:rPr>
        <w:t xml:space="preserve">Kelsey, O., Demnitz-King, H., Kenten, C., Chapman, H., Muralidhar, M., Camboe, E., Whitfield, E., Zabihi, S., Williams, E., Jones, A. and Williams, S., (2026) </w:t>
      </w:r>
      <w:r w:rsidRPr="00EA463E">
        <w:rPr>
          <w:rFonts w:ascii="Arial" w:hAnsi="Arial" w:cs="Arial"/>
          <w:i/>
          <w:iCs/>
        </w:rPr>
        <w:t>A national survey of dementia diagnosis and care in English memory services</w:t>
      </w:r>
      <w:r w:rsidRPr="00EA463E">
        <w:rPr>
          <w:rFonts w:ascii="Arial" w:hAnsi="Arial" w:cs="Arial"/>
        </w:rPr>
        <w:t>. </w:t>
      </w:r>
      <w:r w:rsidRPr="00EA463E">
        <w:rPr>
          <w:rFonts w:ascii="Arial" w:hAnsi="Arial" w:cs="Arial"/>
          <w:i/>
          <w:iCs/>
        </w:rPr>
        <w:t>BMC geriatrics</w:t>
      </w:r>
      <w:r w:rsidRPr="00EA463E">
        <w:rPr>
          <w:rFonts w:ascii="Arial" w:hAnsi="Arial" w:cs="Arial"/>
        </w:rPr>
        <w:t xml:space="preserve">. </w:t>
      </w:r>
      <w:r w:rsidR="00EA463E">
        <w:rPr>
          <w:rFonts w:ascii="Arial" w:hAnsi="Arial" w:cs="Arial"/>
        </w:rPr>
        <w:t xml:space="preserve">Available at: </w:t>
      </w:r>
      <w:hyperlink r:id="rId47" w:history="1">
        <w:r w:rsidR="00EA463E" w:rsidRPr="007D4760">
          <w:rPr>
            <w:rStyle w:val="Hyperlink"/>
            <w:rFonts w:ascii="Arial" w:hAnsi="Arial" w:cs="Arial"/>
          </w:rPr>
          <w:t>https://doi.org/10.1186/s12877-026-07155-w</w:t>
        </w:r>
      </w:hyperlink>
    </w:p>
    <w:p w14:paraId="3F58B823" w14:textId="21F48E86" w:rsidR="00DE53AD" w:rsidRPr="0047372F" w:rsidRDefault="00DE53AD" w:rsidP="002F432B">
      <w:pPr>
        <w:ind w:left="720" w:hanging="720"/>
        <w:rPr>
          <w:rFonts w:ascii="Arial" w:hAnsi="Arial" w:cs="Arial"/>
        </w:rPr>
      </w:pPr>
      <w:r w:rsidRPr="0047372F">
        <w:rPr>
          <w:rFonts w:ascii="Arial" w:hAnsi="Arial" w:cs="Arial"/>
        </w:rPr>
        <w:lastRenderedPageBreak/>
        <w:t xml:space="preserve">Kerminen, H., Marzetti, E. and D’Angelo, E., (2024) </w:t>
      </w:r>
      <w:r w:rsidRPr="00EA463E">
        <w:rPr>
          <w:rFonts w:ascii="Arial" w:hAnsi="Arial" w:cs="Arial"/>
          <w:i/>
          <w:iCs/>
        </w:rPr>
        <w:t>Biological and physical performance markers for early detection of cognitive impairment in older adults.</w:t>
      </w:r>
      <w:r w:rsidRPr="0047372F">
        <w:rPr>
          <w:rFonts w:ascii="Arial" w:hAnsi="Arial" w:cs="Arial"/>
        </w:rPr>
        <w:t> </w:t>
      </w:r>
      <w:r w:rsidRPr="0047372F">
        <w:rPr>
          <w:rFonts w:ascii="Arial" w:hAnsi="Arial" w:cs="Arial"/>
          <w:i/>
          <w:iCs/>
        </w:rPr>
        <w:t>Journal of Clinical Medicine</w:t>
      </w:r>
      <w:r w:rsidRPr="0047372F">
        <w:rPr>
          <w:rFonts w:ascii="Arial" w:hAnsi="Arial" w:cs="Arial"/>
        </w:rPr>
        <w:t>, </w:t>
      </w:r>
      <w:r w:rsidRPr="0047372F">
        <w:rPr>
          <w:rFonts w:ascii="Arial" w:hAnsi="Arial" w:cs="Arial"/>
          <w:i/>
          <w:iCs/>
        </w:rPr>
        <w:t>13</w:t>
      </w:r>
      <w:r w:rsidRPr="0047372F">
        <w:rPr>
          <w:rFonts w:ascii="Arial" w:hAnsi="Arial" w:cs="Arial"/>
        </w:rPr>
        <w:t xml:space="preserve">(3), p.806. </w:t>
      </w:r>
      <w:r w:rsidR="00EA463E">
        <w:rPr>
          <w:rFonts w:ascii="Arial" w:hAnsi="Arial" w:cs="Arial"/>
        </w:rPr>
        <w:t xml:space="preserve">Available at: </w:t>
      </w:r>
      <w:hyperlink r:id="rId48" w:history="1">
        <w:r w:rsidR="00EA463E" w:rsidRPr="007D4760">
          <w:rPr>
            <w:rStyle w:val="Hyperlink"/>
            <w:rFonts w:ascii="Arial" w:hAnsi="Arial" w:cs="Arial"/>
          </w:rPr>
          <w:t>https://doi.org/10.3390/jcm13030806</w:t>
        </w:r>
      </w:hyperlink>
    </w:p>
    <w:p w14:paraId="499CDF18" w14:textId="3CF2E403" w:rsidR="00DE53AD" w:rsidRPr="0047372F" w:rsidRDefault="00DE53AD" w:rsidP="002F432B">
      <w:pPr>
        <w:ind w:left="720" w:hanging="720"/>
        <w:rPr>
          <w:rFonts w:ascii="Arial" w:hAnsi="Arial" w:cs="Arial"/>
        </w:rPr>
      </w:pPr>
      <w:r w:rsidRPr="0047372F">
        <w:rPr>
          <w:rFonts w:ascii="Arial" w:hAnsi="Arial" w:cs="Arial"/>
        </w:rPr>
        <w:t xml:space="preserve">Keshavan, A., </w:t>
      </w:r>
      <w:proofErr w:type="spellStart"/>
      <w:r w:rsidRPr="0047372F">
        <w:rPr>
          <w:rFonts w:ascii="Arial" w:hAnsi="Arial" w:cs="Arial"/>
        </w:rPr>
        <w:t>Pannee</w:t>
      </w:r>
      <w:proofErr w:type="spellEnd"/>
      <w:r w:rsidRPr="0047372F">
        <w:rPr>
          <w:rFonts w:ascii="Arial" w:hAnsi="Arial" w:cs="Arial"/>
        </w:rPr>
        <w:t xml:space="preserve">, J., Karikari, T.K., Rodriguez, J.L., Ashton, N.J., Nicholas, J.M., Cash, D.M., Coath, W., Lane, C.A., Parker, T.D. and Lu, K., (2021) </w:t>
      </w:r>
      <w:r w:rsidRPr="00EA463E">
        <w:rPr>
          <w:rFonts w:ascii="Arial" w:hAnsi="Arial" w:cs="Arial"/>
          <w:i/>
          <w:iCs/>
        </w:rPr>
        <w:t>Population-based blood screening for preclinical Alzheimer’s disease in a British birth cohort at age 70. Brain</w:t>
      </w:r>
      <w:r w:rsidRPr="0047372F">
        <w:rPr>
          <w:rFonts w:ascii="Arial" w:hAnsi="Arial" w:cs="Arial"/>
        </w:rPr>
        <w:t>, </w:t>
      </w:r>
      <w:r w:rsidRPr="0047372F">
        <w:rPr>
          <w:rFonts w:ascii="Arial" w:hAnsi="Arial" w:cs="Arial"/>
          <w:i/>
          <w:iCs/>
        </w:rPr>
        <w:t>144</w:t>
      </w:r>
      <w:r w:rsidRPr="0047372F">
        <w:rPr>
          <w:rFonts w:ascii="Arial" w:hAnsi="Arial" w:cs="Arial"/>
        </w:rPr>
        <w:t xml:space="preserve">(2), pp.434-449. </w:t>
      </w:r>
      <w:r w:rsidR="00EA463E">
        <w:rPr>
          <w:rFonts w:ascii="Arial" w:hAnsi="Arial" w:cs="Arial"/>
        </w:rPr>
        <w:t xml:space="preserve">Available at: </w:t>
      </w:r>
      <w:hyperlink r:id="rId49" w:history="1">
        <w:r w:rsidR="00EA463E" w:rsidRPr="007D4760">
          <w:rPr>
            <w:rStyle w:val="Hyperlink"/>
            <w:rFonts w:ascii="Arial" w:hAnsi="Arial" w:cs="Arial"/>
          </w:rPr>
          <w:t>https://doi.org/10.1093/brain/awaa403</w:t>
        </w:r>
      </w:hyperlink>
    </w:p>
    <w:p w14:paraId="22278765" w14:textId="022C544B" w:rsidR="00DE53AD" w:rsidRPr="0047372F" w:rsidRDefault="00DE53AD" w:rsidP="002F432B">
      <w:pPr>
        <w:ind w:left="720" w:hanging="720"/>
        <w:rPr>
          <w:rFonts w:ascii="Arial" w:hAnsi="Arial" w:cs="Arial"/>
          <w:lang w:val="en-US"/>
        </w:rPr>
      </w:pPr>
      <w:proofErr w:type="spellStart"/>
      <w:r w:rsidRPr="0047372F">
        <w:rPr>
          <w:rFonts w:ascii="Arial" w:hAnsi="Arial" w:cs="Arial"/>
          <w:lang w:val="en-US"/>
        </w:rPr>
        <w:t>Labtoo</w:t>
      </w:r>
      <w:proofErr w:type="spellEnd"/>
      <w:r w:rsidRPr="0047372F">
        <w:rPr>
          <w:rFonts w:ascii="Arial" w:hAnsi="Arial" w:cs="Arial"/>
          <w:lang w:val="en-US"/>
        </w:rPr>
        <w:t xml:space="preserve">. (2022) </w:t>
      </w:r>
      <w:proofErr w:type="gramStart"/>
      <w:r w:rsidRPr="00EA463E">
        <w:rPr>
          <w:rFonts w:ascii="Arial" w:hAnsi="Arial" w:cs="Arial"/>
          <w:i/>
          <w:iCs/>
          <w:lang w:val="en-US"/>
        </w:rPr>
        <w:t>Neurodegenerative diseases</w:t>
      </w:r>
      <w:proofErr w:type="gramEnd"/>
      <w:r w:rsidRPr="00EA463E">
        <w:rPr>
          <w:rFonts w:ascii="Arial" w:hAnsi="Arial" w:cs="Arial"/>
          <w:i/>
          <w:iCs/>
          <w:lang w:val="en-US"/>
        </w:rPr>
        <w:t xml:space="preserve"> - Crunchbase Company Profile &amp; Funding.</w:t>
      </w:r>
      <w:r w:rsidRPr="0047372F">
        <w:rPr>
          <w:rFonts w:ascii="Arial" w:hAnsi="Arial" w:cs="Arial"/>
          <w:lang w:val="en-US"/>
        </w:rPr>
        <w:t xml:space="preserve"> </w:t>
      </w:r>
      <w:r w:rsidRPr="0047372F">
        <w:rPr>
          <w:rFonts w:ascii="Arial" w:hAnsi="Arial" w:cs="Arial"/>
        </w:rPr>
        <w:t xml:space="preserve">Available at: </w:t>
      </w:r>
      <w:hyperlink r:id="rId50" w:history="1">
        <w:r w:rsidRPr="0047372F">
          <w:rPr>
            <w:rStyle w:val="Hyperlink"/>
            <w:rFonts w:ascii="Arial" w:hAnsi="Arial" w:cs="Arial"/>
            <w:lang w:val="en-US"/>
          </w:rPr>
          <w:t>https://www.crunchbase.com/organization/labtoo</w:t>
        </w:r>
      </w:hyperlink>
      <w:r w:rsidRPr="0047372F">
        <w:rPr>
          <w:rFonts w:ascii="Arial" w:hAnsi="Arial" w:cs="Arial"/>
          <w:lang w:val="en-US"/>
        </w:rPr>
        <w:t xml:space="preserve"> </w:t>
      </w:r>
      <w:r w:rsidRPr="0047372F">
        <w:rPr>
          <w:rFonts w:ascii="Arial" w:hAnsi="Arial" w:cs="Arial"/>
        </w:rPr>
        <w:t>(Accessed 13 May 2026)</w:t>
      </w:r>
    </w:p>
    <w:p w14:paraId="6181E1D7" w14:textId="23B74108"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Lee, J. (2023) </w:t>
      </w:r>
      <w:r w:rsidRPr="00EA463E">
        <w:rPr>
          <w:rFonts w:ascii="Arial" w:hAnsi="Arial" w:cs="Arial"/>
          <w:i/>
          <w:iCs/>
          <w:szCs w:val="20"/>
          <w:shd w:val="clear" w:color="auto" w:fill="FFFFFF"/>
        </w:rPr>
        <w:t>Mild cognitive impairment in relation to Alzheimer’s disease: an investigation of principles, classifications, ethics, and problems</w:t>
      </w:r>
      <w:r w:rsidRPr="0047372F">
        <w:rPr>
          <w:rFonts w:ascii="Arial" w:hAnsi="Arial" w:cs="Arial"/>
          <w:szCs w:val="20"/>
          <w:shd w:val="clear" w:color="auto" w:fill="FFFFFF"/>
        </w:rPr>
        <w:t>. </w:t>
      </w:r>
      <w:proofErr w:type="spellStart"/>
      <w:r w:rsidRPr="0047372F">
        <w:rPr>
          <w:rFonts w:ascii="Arial" w:hAnsi="Arial" w:cs="Arial"/>
          <w:i/>
          <w:iCs/>
          <w:szCs w:val="20"/>
          <w:shd w:val="clear" w:color="auto" w:fill="FFFFFF"/>
        </w:rPr>
        <w:t>Neuroethics</w:t>
      </w:r>
      <w:proofErr w:type="spellEnd"/>
      <w:r w:rsidRPr="0047372F">
        <w:rPr>
          <w:rFonts w:ascii="Arial" w:hAnsi="Arial" w:cs="Arial"/>
          <w:szCs w:val="20"/>
          <w:shd w:val="clear" w:color="auto" w:fill="FFFFFF"/>
        </w:rPr>
        <w:t>, </w:t>
      </w:r>
      <w:r w:rsidRPr="0047372F">
        <w:rPr>
          <w:rFonts w:ascii="Arial" w:hAnsi="Arial" w:cs="Arial"/>
          <w:i/>
          <w:iCs/>
          <w:szCs w:val="20"/>
          <w:shd w:val="clear" w:color="auto" w:fill="FFFFFF"/>
        </w:rPr>
        <w:t>16</w:t>
      </w:r>
      <w:r w:rsidRPr="0047372F">
        <w:rPr>
          <w:rFonts w:ascii="Arial" w:hAnsi="Arial" w:cs="Arial"/>
          <w:szCs w:val="20"/>
          <w:shd w:val="clear" w:color="auto" w:fill="FFFFFF"/>
        </w:rPr>
        <w:t xml:space="preserve">(2), p.16. </w:t>
      </w:r>
      <w:r w:rsidR="00EA463E">
        <w:rPr>
          <w:rFonts w:ascii="Arial" w:hAnsi="Arial" w:cs="Arial"/>
          <w:szCs w:val="20"/>
          <w:shd w:val="clear" w:color="auto" w:fill="FFFFFF"/>
        </w:rPr>
        <w:t xml:space="preserve">Available at: </w:t>
      </w:r>
      <w:hyperlink r:id="rId51" w:history="1">
        <w:r w:rsidR="00EA463E" w:rsidRPr="007D4760">
          <w:rPr>
            <w:rStyle w:val="Hyperlink"/>
            <w:rFonts w:ascii="Arial" w:hAnsi="Arial" w:cs="Arial"/>
            <w:szCs w:val="20"/>
            <w:shd w:val="clear" w:color="auto" w:fill="FFFFFF"/>
          </w:rPr>
          <w:t>https://doi.org/10.1007/s12152-023-09522-5</w:t>
        </w:r>
      </w:hyperlink>
    </w:p>
    <w:p w14:paraId="4EC1DF21" w14:textId="0D658317" w:rsidR="00DE53AD" w:rsidRPr="0047372F" w:rsidRDefault="00DE53AD" w:rsidP="002F432B">
      <w:pPr>
        <w:ind w:left="720" w:hanging="720"/>
        <w:rPr>
          <w:rFonts w:ascii="Arial" w:hAnsi="Arial" w:cs="Arial"/>
        </w:rPr>
      </w:pPr>
      <w:r w:rsidRPr="0047372F">
        <w:rPr>
          <w:rFonts w:ascii="Arial" w:hAnsi="Arial" w:cs="Arial"/>
        </w:rPr>
        <w:t xml:space="preserve">Legislation.gov.uk (2010) </w:t>
      </w:r>
      <w:r w:rsidRPr="00EA463E">
        <w:rPr>
          <w:rFonts w:ascii="Arial" w:hAnsi="Arial" w:cs="Arial"/>
          <w:i/>
          <w:iCs/>
        </w:rPr>
        <w:t>Equality Act 2010. Legislation.gov.uk</w:t>
      </w:r>
      <w:r w:rsidRPr="0047372F">
        <w:rPr>
          <w:rFonts w:ascii="Arial" w:hAnsi="Arial" w:cs="Arial"/>
        </w:rPr>
        <w:t xml:space="preserve">. Available at: </w:t>
      </w:r>
      <w:hyperlink r:id="rId52" w:history="1">
        <w:r w:rsidRPr="0047372F">
          <w:rPr>
            <w:rStyle w:val="Hyperlink"/>
            <w:rFonts w:ascii="Arial" w:hAnsi="Arial" w:cs="Arial"/>
          </w:rPr>
          <w:t>https://www.legislation.gov.uk/ukpga/2010/15/contents</w:t>
        </w:r>
      </w:hyperlink>
      <w:r w:rsidRPr="0047372F">
        <w:rPr>
          <w:rFonts w:ascii="Arial" w:hAnsi="Arial" w:cs="Arial"/>
        </w:rPr>
        <w:t xml:space="preserve"> (Accessed 13 May 2026)</w:t>
      </w:r>
    </w:p>
    <w:p w14:paraId="7E99CFA6" w14:textId="0A62CA2C" w:rsidR="00DE53AD" w:rsidRPr="0047372F" w:rsidRDefault="00DE53AD" w:rsidP="002F432B">
      <w:pPr>
        <w:ind w:left="720" w:hanging="720"/>
        <w:rPr>
          <w:rFonts w:ascii="Arial" w:hAnsi="Arial" w:cs="Arial"/>
        </w:rPr>
      </w:pPr>
      <w:r w:rsidRPr="0047372F">
        <w:rPr>
          <w:rFonts w:ascii="Arial" w:hAnsi="Arial" w:cs="Arial"/>
        </w:rPr>
        <w:t xml:space="preserve">Legislation.gov.uk (2014) </w:t>
      </w:r>
      <w:r w:rsidRPr="00EA463E">
        <w:rPr>
          <w:rFonts w:ascii="Arial" w:hAnsi="Arial" w:cs="Arial"/>
          <w:i/>
          <w:iCs/>
        </w:rPr>
        <w:t>Care Act 2014. Legislation.gov.uk.</w:t>
      </w:r>
      <w:r w:rsidRPr="0047372F">
        <w:rPr>
          <w:rFonts w:ascii="Arial" w:hAnsi="Arial" w:cs="Arial"/>
        </w:rPr>
        <w:t xml:space="preserve"> Available at: </w:t>
      </w:r>
      <w:hyperlink r:id="rId53" w:history="1">
        <w:r w:rsidRPr="0047372F">
          <w:rPr>
            <w:rStyle w:val="Hyperlink"/>
            <w:rFonts w:ascii="Arial" w:hAnsi="Arial" w:cs="Arial"/>
          </w:rPr>
          <w:t>https://www.legislation.gov.uk/ukpga/2014/23/contents</w:t>
        </w:r>
      </w:hyperlink>
      <w:r w:rsidRPr="0047372F">
        <w:rPr>
          <w:rFonts w:ascii="Arial" w:hAnsi="Arial" w:cs="Arial"/>
        </w:rPr>
        <w:t xml:space="preserve"> (Accessed 13 May 2026)</w:t>
      </w:r>
    </w:p>
    <w:p w14:paraId="6DC00B43" w14:textId="2CD18AB6" w:rsidR="00DE53AD" w:rsidRPr="0047372F" w:rsidRDefault="00DE53AD" w:rsidP="002F432B">
      <w:pPr>
        <w:ind w:left="720" w:hanging="720"/>
        <w:rPr>
          <w:rFonts w:ascii="Arial" w:hAnsi="Arial" w:cs="Arial"/>
        </w:rPr>
      </w:pPr>
      <w:bookmarkStart w:id="66" w:name="_Hlk231935020"/>
      <w:r w:rsidRPr="0047372F">
        <w:rPr>
          <w:rFonts w:ascii="Arial" w:hAnsi="Arial" w:cs="Arial"/>
        </w:rPr>
        <w:t xml:space="preserve">Muis, K.R., Denton, C. and Dubé, A., (2022) </w:t>
      </w:r>
      <w:r w:rsidRPr="00EA463E">
        <w:rPr>
          <w:rFonts w:ascii="Arial" w:hAnsi="Arial" w:cs="Arial"/>
          <w:i/>
          <w:iCs/>
        </w:rPr>
        <w:t>Identifying CRAAP on the internet: A source evaluation intervention</w:t>
      </w:r>
      <w:r w:rsidRPr="0047372F">
        <w:rPr>
          <w:rFonts w:ascii="Arial" w:hAnsi="Arial" w:cs="Arial"/>
        </w:rPr>
        <w:t>. </w:t>
      </w:r>
      <w:r w:rsidRPr="0047372F">
        <w:rPr>
          <w:rFonts w:ascii="Arial" w:hAnsi="Arial" w:cs="Arial"/>
          <w:i/>
          <w:iCs/>
        </w:rPr>
        <w:t>Advances in Social Sciences Research Journal</w:t>
      </w:r>
      <w:r w:rsidRPr="0047372F">
        <w:rPr>
          <w:rFonts w:ascii="Arial" w:hAnsi="Arial" w:cs="Arial"/>
        </w:rPr>
        <w:t>, </w:t>
      </w:r>
      <w:r w:rsidRPr="0047372F">
        <w:rPr>
          <w:rFonts w:ascii="Arial" w:hAnsi="Arial" w:cs="Arial"/>
          <w:i/>
          <w:iCs/>
        </w:rPr>
        <w:t>9</w:t>
      </w:r>
      <w:r w:rsidRPr="0047372F">
        <w:rPr>
          <w:rFonts w:ascii="Arial" w:hAnsi="Arial" w:cs="Arial"/>
        </w:rPr>
        <w:t xml:space="preserve">(7), pp.239-265. </w:t>
      </w:r>
      <w:r w:rsidR="00EA463E">
        <w:rPr>
          <w:rFonts w:ascii="Arial" w:hAnsi="Arial" w:cs="Arial"/>
        </w:rPr>
        <w:t xml:space="preserve">Available at: </w:t>
      </w:r>
      <w:hyperlink r:id="rId54" w:history="1">
        <w:r w:rsidR="00041E07" w:rsidRPr="007D4760">
          <w:rPr>
            <w:rStyle w:val="Hyperlink"/>
            <w:rFonts w:ascii="Arial" w:hAnsi="Arial" w:cs="Arial"/>
          </w:rPr>
          <w:t>https://doi.org/10.14738/assrj.97.12670</w:t>
        </w:r>
      </w:hyperlink>
    </w:p>
    <w:bookmarkEnd w:id="66"/>
    <w:p w14:paraId="7B7D0232" w14:textId="3460CB76"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O'Connor, T., Gibson, J., Lewis, J., Strickland, K. and Paterson, C. (2023) </w:t>
      </w:r>
      <w:r w:rsidRPr="00041E07">
        <w:rPr>
          <w:rFonts w:ascii="Arial" w:hAnsi="Arial" w:cs="Arial"/>
          <w:i/>
          <w:iCs/>
          <w:szCs w:val="20"/>
          <w:shd w:val="clear" w:color="auto" w:fill="FFFFFF"/>
        </w:rPr>
        <w:t>Decision</w:t>
      </w:r>
      <w:r w:rsidRPr="00041E07">
        <w:rPr>
          <w:rFonts w:ascii="Cambria Math" w:hAnsi="Cambria Math" w:cs="Cambria Math"/>
          <w:i/>
          <w:iCs/>
          <w:szCs w:val="20"/>
          <w:shd w:val="clear" w:color="auto" w:fill="FFFFFF"/>
        </w:rPr>
        <w:t>‐</w:t>
      </w:r>
      <w:r w:rsidRPr="00041E07">
        <w:rPr>
          <w:rFonts w:ascii="Arial" w:hAnsi="Arial" w:cs="Arial"/>
          <w:i/>
          <w:iCs/>
          <w:szCs w:val="20"/>
          <w:shd w:val="clear" w:color="auto" w:fill="FFFFFF"/>
        </w:rPr>
        <w:t>making in nursing research and practice—Application of the Cognitive Continuum Theory: A meta</w:t>
      </w:r>
      <w:r w:rsidRPr="00041E07">
        <w:rPr>
          <w:rFonts w:ascii="Cambria Math" w:hAnsi="Cambria Math" w:cs="Cambria Math"/>
          <w:i/>
          <w:iCs/>
          <w:szCs w:val="20"/>
          <w:shd w:val="clear" w:color="auto" w:fill="FFFFFF"/>
        </w:rPr>
        <w:t>‐</w:t>
      </w:r>
      <w:r w:rsidRPr="00041E07">
        <w:rPr>
          <w:rFonts w:ascii="Arial" w:hAnsi="Arial" w:cs="Arial"/>
          <w:i/>
          <w:iCs/>
          <w:szCs w:val="20"/>
          <w:shd w:val="clear" w:color="auto" w:fill="FFFFFF"/>
        </w:rPr>
        <w:t>aggregative systematic review</w:t>
      </w:r>
      <w:r w:rsidRPr="0047372F">
        <w:rPr>
          <w:rFonts w:ascii="Arial" w:hAnsi="Arial" w:cs="Arial"/>
          <w:szCs w:val="20"/>
          <w:shd w:val="clear" w:color="auto" w:fill="FFFFFF"/>
        </w:rPr>
        <w:t>. </w:t>
      </w:r>
      <w:r w:rsidRPr="0047372F">
        <w:rPr>
          <w:rFonts w:ascii="Arial" w:hAnsi="Arial" w:cs="Arial"/>
          <w:i/>
          <w:iCs/>
          <w:szCs w:val="20"/>
          <w:shd w:val="clear" w:color="auto" w:fill="FFFFFF"/>
        </w:rPr>
        <w:t>Journal of clinical nursing</w:t>
      </w:r>
      <w:r w:rsidRPr="0047372F">
        <w:rPr>
          <w:rFonts w:ascii="Arial" w:hAnsi="Arial" w:cs="Arial"/>
          <w:szCs w:val="20"/>
          <w:shd w:val="clear" w:color="auto" w:fill="FFFFFF"/>
        </w:rPr>
        <w:t>, </w:t>
      </w:r>
      <w:r w:rsidRPr="0047372F">
        <w:rPr>
          <w:rFonts w:ascii="Arial" w:hAnsi="Arial" w:cs="Arial"/>
          <w:i/>
          <w:iCs/>
          <w:szCs w:val="20"/>
          <w:shd w:val="clear" w:color="auto" w:fill="FFFFFF"/>
        </w:rPr>
        <w:t>32</w:t>
      </w:r>
      <w:r w:rsidRPr="0047372F">
        <w:rPr>
          <w:rFonts w:ascii="Arial" w:hAnsi="Arial" w:cs="Arial"/>
          <w:szCs w:val="20"/>
          <w:shd w:val="clear" w:color="auto" w:fill="FFFFFF"/>
        </w:rPr>
        <w:t xml:space="preserve">(23-24), pp.7979-7995. </w:t>
      </w:r>
      <w:r w:rsidR="00041E07">
        <w:rPr>
          <w:rFonts w:ascii="Arial" w:hAnsi="Arial" w:cs="Arial"/>
          <w:szCs w:val="20"/>
          <w:shd w:val="clear" w:color="auto" w:fill="FFFFFF"/>
        </w:rPr>
        <w:t xml:space="preserve">Available at: </w:t>
      </w:r>
      <w:hyperlink r:id="rId55" w:history="1">
        <w:r w:rsidR="00041E07" w:rsidRPr="007D4760">
          <w:rPr>
            <w:rStyle w:val="Hyperlink"/>
            <w:rFonts w:ascii="Arial" w:hAnsi="Arial" w:cs="Arial"/>
            <w:szCs w:val="20"/>
            <w:shd w:val="clear" w:color="auto" w:fill="FFFFFF"/>
          </w:rPr>
          <w:t>https://doi.org/10.1111/jocn.16893</w:t>
        </w:r>
      </w:hyperlink>
    </w:p>
    <w:p w14:paraId="05CA37EC" w14:textId="1D8FB868"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Oosterhuis, E.J., Slade, K., May, P.J.C. and Nuttall, H.E. (2023) </w:t>
      </w:r>
      <w:r w:rsidRPr="00041E07">
        <w:rPr>
          <w:rFonts w:ascii="Arial" w:hAnsi="Arial" w:cs="Arial"/>
          <w:i/>
          <w:iCs/>
          <w:szCs w:val="20"/>
          <w:shd w:val="clear" w:color="auto" w:fill="FFFFFF"/>
        </w:rPr>
        <w:t>Toward an understanding of healthy cognitive ageing: The importance of lifestyle in cognitive reserve and the scaffolding theory of aging and cognition.</w:t>
      </w:r>
      <w:r w:rsidRPr="0047372F">
        <w:rPr>
          <w:rFonts w:ascii="Arial" w:hAnsi="Arial" w:cs="Arial"/>
          <w:szCs w:val="20"/>
          <w:shd w:val="clear" w:color="auto" w:fill="FFFFFF"/>
        </w:rPr>
        <w:t xml:space="preserve"> </w:t>
      </w:r>
      <w:r w:rsidRPr="0047372F">
        <w:rPr>
          <w:rFonts w:ascii="Arial" w:hAnsi="Arial" w:cs="Arial"/>
          <w:i/>
          <w:iCs/>
          <w:szCs w:val="20"/>
          <w:shd w:val="clear" w:color="auto" w:fill="FFFFFF"/>
        </w:rPr>
        <w:t>The Journals of Gerontology: Series B</w:t>
      </w:r>
      <w:r w:rsidRPr="0047372F">
        <w:rPr>
          <w:rFonts w:ascii="Arial" w:hAnsi="Arial" w:cs="Arial"/>
          <w:szCs w:val="20"/>
          <w:shd w:val="clear" w:color="auto" w:fill="FFFFFF"/>
        </w:rPr>
        <w:t>, </w:t>
      </w:r>
      <w:r w:rsidRPr="0047372F">
        <w:rPr>
          <w:rFonts w:ascii="Arial" w:hAnsi="Arial" w:cs="Arial"/>
          <w:i/>
          <w:iCs/>
          <w:szCs w:val="20"/>
          <w:shd w:val="clear" w:color="auto" w:fill="FFFFFF"/>
        </w:rPr>
        <w:t>78</w:t>
      </w:r>
      <w:r w:rsidRPr="0047372F">
        <w:rPr>
          <w:rFonts w:ascii="Arial" w:hAnsi="Arial" w:cs="Arial"/>
          <w:szCs w:val="20"/>
          <w:shd w:val="clear" w:color="auto" w:fill="FFFFFF"/>
        </w:rPr>
        <w:t xml:space="preserve">(5), pp.777-788. </w:t>
      </w:r>
      <w:r w:rsidR="00041E07">
        <w:rPr>
          <w:rFonts w:ascii="Arial" w:hAnsi="Arial" w:cs="Arial"/>
          <w:szCs w:val="20"/>
          <w:shd w:val="clear" w:color="auto" w:fill="FFFFFF"/>
        </w:rPr>
        <w:t xml:space="preserve">Available at: </w:t>
      </w:r>
      <w:hyperlink r:id="rId56" w:history="1">
        <w:r w:rsidR="00041E07" w:rsidRPr="007D4760">
          <w:rPr>
            <w:rStyle w:val="Hyperlink"/>
            <w:rFonts w:ascii="Arial" w:hAnsi="Arial" w:cs="Arial"/>
            <w:szCs w:val="20"/>
            <w:shd w:val="clear" w:color="auto" w:fill="FFFFFF"/>
          </w:rPr>
          <w:t>https://doi.org/10.1093/geronb/gbac197</w:t>
        </w:r>
      </w:hyperlink>
    </w:p>
    <w:p w14:paraId="39D000AC" w14:textId="1E289613"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Pasko, V.I., </w:t>
      </w:r>
      <w:proofErr w:type="spellStart"/>
      <w:r w:rsidRPr="0047372F">
        <w:rPr>
          <w:rFonts w:ascii="Arial" w:hAnsi="Arial" w:cs="Arial"/>
          <w:szCs w:val="20"/>
          <w:shd w:val="clear" w:color="auto" w:fill="FFFFFF"/>
        </w:rPr>
        <w:t>Churkina</w:t>
      </w:r>
      <w:proofErr w:type="spellEnd"/>
      <w:r w:rsidRPr="0047372F">
        <w:rPr>
          <w:rFonts w:ascii="Arial" w:hAnsi="Arial" w:cs="Arial"/>
          <w:szCs w:val="20"/>
          <w:shd w:val="clear" w:color="auto" w:fill="FFFFFF"/>
        </w:rPr>
        <w:t xml:space="preserve">, A.S., </w:t>
      </w:r>
      <w:proofErr w:type="spellStart"/>
      <w:r w:rsidRPr="0047372F">
        <w:rPr>
          <w:rFonts w:ascii="Arial" w:hAnsi="Arial" w:cs="Arial"/>
          <w:szCs w:val="20"/>
          <w:shd w:val="clear" w:color="auto" w:fill="FFFFFF"/>
        </w:rPr>
        <w:t>Shakhov</w:t>
      </w:r>
      <w:proofErr w:type="spellEnd"/>
      <w:r w:rsidRPr="0047372F">
        <w:rPr>
          <w:rFonts w:ascii="Arial" w:hAnsi="Arial" w:cs="Arial"/>
          <w:szCs w:val="20"/>
          <w:shd w:val="clear" w:color="auto" w:fill="FFFFFF"/>
        </w:rPr>
        <w:t xml:space="preserve">, A.S., </w:t>
      </w:r>
      <w:proofErr w:type="spellStart"/>
      <w:r w:rsidRPr="0047372F">
        <w:rPr>
          <w:rFonts w:ascii="Arial" w:hAnsi="Arial" w:cs="Arial"/>
          <w:szCs w:val="20"/>
          <w:shd w:val="clear" w:color="auto" w:fill="FFFFFF"/>
        </w:rPr>
        <w:t>Kotlobay</w:t>
      </w:r>
      <w:proofErr w:type="spellEnd"/>
      <w:r w:rsidRPr="0047372F">
        <w:rPr>
          <w:rFonts w:ascii="Arial" w:hAnsi="Arial" w:cs="Arial"/>
          <w:szCs w:val="20"/>
          <w:shd w:val="clear" w:color="auto" w:fill="FFFFFF"/>
        </w:rPr>
        <w:t xml:space="preserve">, A.A. and Alieva, I.B. (2022) </w:t>
      </w:r>
      <w:r w:rsidRPr="00041E07">
        <w:rPr>
          <w:rFonts w:ascii="Arial" w:hAnsi="Arial" w:cs="Arial"/>
          <w:i/>
          <w:iCs/>
          <w:szCs w:val="20"/>
          <w:shd w:val="clear" w:color="auto" w:fill="FFFFFF"/>
        </w:rPr>
        <w:t xml:space="preserve">Modelling of neurodegenerative </w:t>
      </w:r>
      <w:proofErr w:type="spellStart"/>
      <w:proofErr w:type="gramStart"/>
      <w:r w:rsidRPr="00041E07">
        <w:rPr>
          <w:rFonts w:ascii="Arial" w:hAnsi="Arial" w:cs="Arial"/>
          <w:i/>
          <w:iCs/>
          <w:szCs w:val="20"/>
          <w:shd w:val="clear" w:color="auto" w:fill="FFFFFF"/>
        </w:rPr>
        <w:t>diseases:‘</w:t>
      </w:r>
      <w:proofErr w:type="gramEnd"/>
      <w:r w:rsidRPr="00041E07">
        <w:rPr>
          <w:rFonts w:ascii="Arial" w:hAnsi="Arial" w:cs="Arial"/>
          <w:i/>
          <w:iCs/>
          <w:szCs w:val="20"/>
          <w:shd w:val="clear" w:color="auto" w:fill="FFFFFF"/>
        </w:rPr>
        <w:t>step</w:t>
      </w:r>
      <w:proofErr w:type="spellEnd"/>
      <w:r w:rsidRPr="00041E07">
        <w:rPr>
          <w:rFonts w:ascii="Arial" w:hAnsi="Arial" w:cs="Arial"/>
          <w:i/>
          <w:iCs/>
          <w:szCs w:val="20"/>
          <w:shd w:val="clear" w:color="auto" w:fill="FFFFFF"/>
        </w:rPr>
        <w:t xml:space="preserve"> by step ' and ‘network ' organisation of the complexes of model systems. </w:t>
      </w:r>
      <w:r w:rsidRPr="0047372F">
        <w:rPr>
          <w:rFonts w:ascii="Arial" w:hAnsi="Arial" w:cs="Arial"/>
          <w:i/>
          <w:iCs/>
          <w:szCs w:val="20"/>
          <w:shd w:val="clear" w:color="auto" w:fill="FFFFFF"/>
        </w:rPr>
        <w:t>International Journal of Molecular Sciences</w:t>
      </w:r>
      <w:r w:rsidRPr="0047372F">
        <w:rPr>
          <w:rFonts w:ascii="Arial" w:hAnsi="Arial" w:cs="Arial"/>
          <w:szCs w:val="20"/>
          <w:shd w:val="clear" w:color="auto" w:fill="FFFFFF"/>
        </w:rPr>
        <w:t>, </w:t>
      </w:r>
      <w:r w:rsidRPr="0047372F">
        <w:rPr>
          <w:rFonts w:ascii="Arial" w:hAnsi="Arial" w:cs="Arial"/>
          <w:i/>
          <w:iCs/>
          <w:szCs w:val="20"/>
          <w:shd w:val="clear" w:color="auto" w:fill="FFFFFF"/>
        </w:rPr>
        <w:t>24</w:t>
      </w:r>
      <w:r w:rsidRPr="0047372F">
        <w:rPr>
          <w:rFonts w:ascii="Arial" w:hAnsi="Arial" w:cs="Arial"/>
          <w:szCs w:val="20"/>
          <w:shd w:val="clear" w:color="auto" w:fill="FFFFFF"/>
        </w:rPr>
        <w:t xml:space="preserve">(1), p.604. </w:t>
      </w:r>
      <w:r w:rsidR="00041E07">
        <w:rPr>
          <w:rFonts w:ascii="Arial" w:hAnsi="Arial" w:cs="Arial"/>
          <w:szCs w:val="20"/>
          <w:shd w:val="clear" w:color="auto" w:fill="FFFFFF"/>
        </w:rPr>
        <w:t xml:space="preserve">Available at: </w:t>
      </w:r>
      <w:hyperlink r:id="rId57" w:history="1">
        <w:r w:rsidR="001B2231" w:rsidRPr="007D4760">
          <w:rPr>
            <w:rStyle w:val="Hyperlink"/>
            <w:rFonts w:ascii="Arial" w:hAnsi="Arial" w:cs="Arial"/>
            <w:szCs w:val="20"/>
            <w:shd w:val="clear" w:color="auto" w:fill="FFFFFF"/>
          </w:rPr>
          <w:t>https://doi.org/10.3390/ijms24010604</w:t>
        </w:r>
      </w:hyperlink>
    </w:p>
    <w:p w14:paraId="7BB69934" w14:textId="5D5738FF" w:rsidR="00DE53AD" w:rsidRPr="0047372F" w:rsidRDefault="00DE53AD" w:rsidP="002F432B">
      <w:pPr>
        <w:ind w:left="720" w:hanging="720"/>
        <w:rPr>
          <w:rFonts w:ascii="Arial" w:hAnsi="Arial" w:cs="Arial"/>
        </w:rPr>
      </w:pPr>
      <w:r w:rsidRPr="0047372F">
        <w:rPr>
          <w:rFonts w:ascii="Arial" w:hAnsi="Arial" w:cs="Arial"/>
        </w:rPr>
        <w:lastRenderedPageBreak/>
        <w:t xml:space="preserve">Ralph, P. and Baltes, S., (2022) November. </w:t>
      </w:r>
      <w:r w:rsidRPr="001B2231">
        <w:rPr>
          <w:rFonts w:ascii="Arial" w:hAnsi="Arial" w:cs="Arial"/>
          <w:i/>
          <w:iCs/>
        </w:rPr>
        <w:t>Paving the way for mature secondary research: the seven types of literature review. In Proceedings of the 30th ACM Joint European Software Engineering Conference and Symposium on the Foundations of Software Engineering</w:t>
      </w:r>
      <w:r w:rsidRPr="0047372F">
        <w:rPr>
          <w:rFonts w:ascii="Arial" w:hAnsi="Arial" w:cs="Arial"/>
        </w:rPr>
        <w:t xml:space="preserve"> (pp. 1632-1636). </w:t>
      </w:r>
      <w:r w:rsidR="001B2231">
        <w:rPr>
          <w:rFonts w:ascii="Arial" w:hAnsi="Arial" w:cs="Arial"/>
        </w:rPr>
        <w:t xml:space="preserve">Available at: </w:t>
      </w:r>
      <w:hyperlink r:id="rId58" w:history="1">
        <w:r w:rsidR="001B2231" w:rsidRPr="007D4760">
          <w:rPr>
            <w:rStyle w:val="Hyperlink"/>
            <w:rFonts w:ascii="Arial" w:hAnsi="Arial" w:cs="Arial"/>
          </w:rPr>
          <w:t>https://doi.org/10.1145/3540250.3560877</w:t>
        </w:r>
      </w:hyperlink>
    </w:p>
    <w:p w14:paraId="27204E1D" w14:textId="4ADD667C"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Reeves, C., Islam, A. and Gentry, T. (2023) </w:t>
      </w:r>
      <w:r w:rsidRPr="001B2231">
        <w:rPr>
          <w:rFonts w:ascii="Arial" w:hAnsi="Arial" w:cs="Arial"/>
          <w:i/>
          <w:iCs/>
          <w:szCs w:val="20"/>
          <w:shd w:val="clear" w:color="auto" w:fill="FFFFFF"/>
        </w:rPr>
        <w:t>The state of health and care of older people in England 2023.</w:t>
      </w:r>
      <w:r w:rsidRPr="0047372F">
        <w:rPr>
          <w:rFonts w:ascii="Arial" w:hAnsi="Arial" w:cs="Arial"/>
          <w:szCs w:val="20"/>
          <w:shd w:val="clear" w:color="auto" w:fill="FFFFFF"/>
        </w:rPr>
        <w:t xml:space="preserve"> </w:t>
      </w:r>
      <w:r w:rsidRPr="0047372F">
        <w:rPr>
          <w:rFonts w:ascii="Arial" w:hAnsi="Arial" w:cs="Arial"/>
        </w:rPr>
        <w:t xml:space="preserve">Available at: </w:t>
      </w:r>
      <w:hyperlink r:id="rId59" w:history="1">
        <w:r w:rsidRPr="0047372F">
          <w:rPr>
            <w:rStyle w:val="Hyperlink"/>
            <w:rFonts w:ascii="Arial" w:hAnsi="Arial" w:cs="Arial"/>
            <w:szCs w:val="20"/>
            <w:shd w:val="clear" w:color="auto" w:fill="FFFFFF"/>
          </w:rPr>
          <w:t>https://www.foundations.uk.com/wpcontent/uploads/2023/07/age_uk_briefing_state_of_health_and_care_of_older_people_july2023.pdft</w:t>
        </w:r>
      </w:hyperlink>
      <w:r w:rsidRPr="0047372F">
        <w:rPr>
          <w:rFonts w:ascii="Arial" w:hAnsi="Arial" w:cs="Arial"/>
          <w:szCs w:val="20"/>
          <w:shd w:val="clear" w:color="auto" w:fill="FFFFFF"/>
        </w:rPr>
        <w:t xml:space="preserve"> </w:t>
      </w:r>
      <w:r w:rsidRPr="0047372F">
        <w:rPr>
          <w:rFonts w:ascii="Arial" w:hAnsi="Arial" w:cs="Arial"/>
        </w:rPr>
        <w:t>(Accessed 13 May 2026)</w:t>
      </w:r>
    </w:p>
    <w:p w14:paraId="1D616982" w14:textId="446B0A41" w:rsidR="00DE53AD" w:rsidRPr="0047372F" w:rsidRDefault="00DE53AD" w:rsidP="002F432B">
      <w:pPr>
        <w:ind w:left="720" w:hanging="720"/>
        <w:rPr>
          <w:rFonts w:ascii="Arial" w:hAnsi="Arial" w:cs="Arial"/>
        </w:rPr>
      </w:pPr>
      <w:r w:rsidRPr="0047372F">
        <w:rPr>
          <w:rFonts w:ascii="Arial" w:hAnsi="Arial" w:cs="Arial"/>
        </w:rPr>
        <w:t>Ribarič, S., (2023</w:t>
      </w:r>
      <w:r w:rsidRPr="001B2231">
        <w:rPr>
          <w:rFonts w:ascii="Arial" w:hAnsi="Arial" w:cs="Arial"/>
          <w:i/>
          <w:iCs/>
        </w:rPr>
        <w:t>) Detecting early cognitive decline in Alzheimer’s disease with brain synaptic structural and functional evaluation. Biomedicines,</w:t>
      </w:r>
      <w:r w:rsidRPr="0047372F">
        <w:rPr>
          <w:rFonts w:ascii="Arial" w:hAnsi="Arial" w:cs="Arial"/>
        </w:rPr>
        <w:t> </w:t>
      </w:r>
      <w:r w:rsidRPr="0047372F">
        <w:rPr>
          <w:rFonts w:ascii="Arial" w:hAnsi="Arial" w:cs="Arial"/>
          <w:i/>
          <w:iCs/>
        </w:rPr>
        <w:t>11</w:t>
      </w:r>
      <w:r w:rsidRPr="0047372F">
        <w:rPr>
          <w:rFonts w:ascii="Arial" w:hAnsi="Arial" w:cs="Arial"/>
        </w:rPr>
        <w:t xml:space="preserve">(2), p.355. </w:t>
      </w:r>
      <w:r w:rsidR="001B2231">
        <w:rPr>
          <w:rFonts w:ascii="Arial" w:hAnsi="Arial" w:cs="Arial"/>
        </w:rPr>
        <w:t xml:space="preserve">Available at: </w:t>
      </w:r>
      <w:hyperlink r:id="rId60" w:history="1">
        <w:r w:rsidR="001B2231" w:rsidRPr="007D4760">
          <w:rPr>
            <w:rStyle w:val="Hyperlink"/>
            <w:rFonts w:ascii="Arial" w:hAnsi="Arial" w:cs="Arial"/>
          </w:rPr>
          <w:t>https://doi.org/10.3390/biomedicines11020355</w:t>
        </w:r>
      </w:hyperlink>
    </w:p>
    <w:p w14:paraId="3D1951D4" w14:textId="580AE4E8"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Saunders, S., Gregory, S., Clement, M.H., Birck, C., Geyten, S.V.D. and Ritchie, C.W. (2022) </w:t>
      </w:r>
      <w:r w:rsidRPr="001B2231">
        <w:rPr>
          <w:rFonts w:ascii="Arial" w:hAnsi="Arial" w:cs="Arial"/>
          <w:i/>
          <w:iCs/>
          <w:szCs w:val="20"/>
          <w:shd w:val="clear" w:color="auto" w:fill="FFFFFF"/>
        </w:rPr>
        <w:t>The European Prevention of Alzheimer's Dementia Programme: An Innovative Medicines Initiative-funded partnership to facilitate secondary prevention of Alzheimer's disease dementia</w:t>
      </w:r>
      <w:r w:rsidRPr="0047372F">
        <w:rPr>
          <w:rFonts w:ascii="Arial" w:hAnsi="Arial" w:cs="Arial"/>
          <w:szCs w:val="20"/>
          <w:shd w:val="clear" w:color="auto" w:fill="FFFFFF"/>
        </w:rPr>
        <w:t>. </w:t>
      </w:r>
      <w:r w:rsidRPr="0047372F">
        <w:rPr>
          <w:rFonts w:ascii="Arial" w:hAnsi="Arial" w:cs="Arial"/>
          <w:i/>
          <w:iCs/>
          <w:szCs w:val="20"/>
          <w:shd w:val="clear" w:color="auto" w:fill="FFFFFF"/>
        </w:rPr>
        <w:t>Frontiers in Neurology</w:t>
      </w:r>
      <w:r w:rsidRPr="0047372F">
        <w:rPr>
          <w:rFonts w:ascii="Arial" w:hAnsi="Arial" w:cs="Arial"/>
          <w:szCs w:val="20"/>
          <w:shd w:val="clear" w:color="auto" w:fill="FFFFFF"/>
        </w:rPr>
        <w:t>, </w:t>
      </w:r>
      <w:r w:rsidRPr="0047372F">
        <w:rPr>
          <w:rFonts w:ascii="Arial" w:hAnsi="Arial" w:cs="Arial"/>
          <w:i/>
          <w:iCs/>
          <w:szCs w:val="20"/>
          <w:shd w:val="clear" w:color="auto" w:fill="FFFFFF"/>
        </w:rPr>
        <w:t>13</w:t>
      </w:r>
      <w:r w:rsidRPr="0047372F">
        <w:rPr>
          <w:rFonts w:ascii="Arial" w:hAnsi="Arial" w:cs="Arial"/>
          <w:szCs w:val="20"/>
          <w:shd w:val="clear" w:color="auto" w:fill="FFFFFF"/>
        </w:rPr>
        <w:t xml:space="preserve">, p.1051543. </w:t>
      </w:r>
      <w:r w:rsidR="001B2231">
        <w:rPr>
          <w:rFonts w:ascii="Arial" w:hAnsi="Arial" w:cs="Arial"/>
          <w:szCs w:val="20"/>
          <w:shd w:val="clear" w:color="auto" w:fill="FFFFFF"/>
        </w:rPr>
        <w:t xml:space="preserve">Available at: </w:t>
      </w:r>
      <w:hyperlink r:id="rId61" w:history="1">
        <w:r w:rsidR="001B2231" w:rsidRPr="007D4760">
          <w:rPr>
            <w:rStyle w:val="Hyperlink"/>
            <w:rFonts w:ascii="Arial" w:hAnsi="Arial" w:cs="Arial"/>
            <w:szCs w:val="20"/>
            <w:shd w:val="clear" w:color="auto" w:fill="FFFFFF"/>
          </w:rPr>
          <w:t>https://doi.org/10.3389/fneur.2022.1051543</w:t>
        </w:r>
      </w:hyperlink>
    </w:p>
    <w:p w14:paraId="0F65154D" w14:textId="4FE3FF78" w:rsidR="00DE53AD" w:rsidRPr="0047372F" w:rsidRDefault="00DE53AD" w:rsidP="002F432B">
      <w:pPr>
        <w:ind w:left="720" w:hanging="720"/>
        <w:rPr>
          <w:rFonts w:ascii="Arial" w:hAnsi="Arial" w:cs="Arial"/>
        </w:rPr>
      </w:pPr>
      <w:r w:rsidRPr="0047372F">
        <w:rPr>
          <w:rFonts w:ascii="Arial" w:hAnsi="Arial" w:cs="Arial"/>
        </w:rPr>
        <w:t xml:space="preserve">Searby, A., Burr, D., Carolin, R. and Hutchinson, A., (2025) </w:t>
      </w:r>
      <w:r w:rsidRPr="001B2231">
        <w:rPr>
          <w:rFonts w:ascii="Arial" w:hAnsi="Arial" w:cs="Arial"/>
          <w:i/>
          <w:iCs/>
        </w:rPr>
        <w:t>Barriers and facilitators to mental health service integration</w:t>
      </w:r>
      <w:r w:rsidRPr="0047372F">
        <w:rPr>
          <w:rFonts w:ascii="Arial" w:hAnsi="Arial" w:cs="Arial"/>
        </w:rPr>
        <w:t>: a scoping review. </w:t>
      </w:r>
      <w:r w:rsidRPr="0047372F">
        <w:rPr>
          <w:rFonts w:ascii="Arial" w:hAnsi="Arial" w:cs="Arial"/>
          <w:i/>
          <w:iCs/>
        </w:rPr>
        <w:t>International Journal of Mental Health Nursing</w:t>
      </w:r>
      <w:r w:rsidRPr="0047372F">
        <w:rPr>
          <w:rFonts w:ascii="Arial" w:hAnsi="Arial" w:cs="Arial"/>
        </w:rPr>
        <w:t>, </w:t>
      </w:r>
      <w:r w:rsidRPr="0047372F">
        <w:rPr>
          <w:rFonts w:ascii="Arial" w:hAnsi="Arial" w:cs="Arial"/>
          <w:i/>
          <w:iCs/>
        </w:rPr>
        <w:t>34</w:t>
      </w:r>
      <w:r w:rsidRPr="0047372F">
        <w:rPr>
          <w:rFonts w:ascii="Arial" w:hAnsi="Arial" w:cs="Arial"/>
        </w:rPr>
        <w:t xml:space="preserve">(1), p.e13449. </w:t>
      </w:r>
      <w:r w:rsidR="001B2231">
        <w:rPr>
          <w:rFonts w:ascii="Arial" w:hAnsi="Arial" w:cs="Arial"/>
        </w:rPr>
        <w:t xml:space="preserve">Available at: </w:t>
      </w:r>
      <w:hyperlink r:id="rId62" w:history="1">
        <w:r w:rsidR="001B2231" w:rsidRPr="007D4760">
          <w:rPr>
            <w:rStyle w:val="Hyperlink"/>
            <w:rFonts w:ascii="Arial" w:hAnsi="Arial" w:cs="Arial"/>
          </w:rPr>
          <w:t>https://doi.org/10.1111/inm.13449</w:t>
        </w:r>
      </w:hyperlink>
    </w:p>
    <w:p w14:paraId="33EED1F0" w14:textId="441ED23A" w:rsidR="00DE53AD" w:rsidRPr="0047372F" w:rsidRDefault="00DE53AD" w:rsidP="002F432B">
      <w:pPr>
        <w:ind w:left="720" w:hanging="720"/>
        <w:rPr>
          <w:rFonts w:ascii="Arial" w:hAnsi="Arial" w:cs="Arial"/>
        </w:rPr>
      </w:pPr>
      <w:r w:rsidRPr="0047372F">
        <w:rPr>
          <w:rFonts w:ascii="Arial" w:hAnsi="Arial" w:cs="Arial"/>
        </w:rPr>
        <w:t xml:space="preserve">Shaheen, N., Shaheen, A., Ramadan, A., </w:t>
      </w:r>
      <w:proofErr w:type="spellStart"/>
      <w:r w:rsidRPr="0047372F">
        <w:rPr>
          <w:rFonts w:ascii="Arial" w:hAnsi="Arial" w:cs="Arial"/>
        </w:rPr>
        <w:t>Hefnawy</w:t>
      </w:r>
      <w:proofErr w:type="spellEnd"/>
      <w:r w:rsidRPr="0047372F">
        <w:rPr>
          <w:rFonts w:ascii="Arial" w:hAnsi="Arial" w:cs="Arial"/>
        </w:rPr>
        <w:t xml:space="preserve">, M.T., Ramadan, A., Ibrahim, I.A., Hassanein, M.E., Ashour, M.E. and </w:t>
      </w:r>
      <w:proofErr w:type="spellStart"/>
      <w:r w:rsidRPr="0047372F">
        <w:rPr>
          <w:rFonts w:ascii="Arial" w:hAnsi="Arial" w:cs="Arial"/>
        </w:rPr>
        <w:t>Flouty</w:t>
      </w:r>
      <w:proofErr w:type="spellEnd"/>
      <w:r w:rsidRPr="0047372F">
        <w:rPr>
          <w:rFonts w:ascii="Arial" w:hAnsi="Arial" w:cs="Arial"/>
        </w:rPr>
        <w:t xml:space="preserve">, O., (2023) </w:t>
      </w:r>
      <w:r w:rsidRPr="001B2231">
        <w:rPr>
          <w:rFonts w:ascii="Arial" w:hAnsi="Arial" w:cs="Arial"/>
          <w:i/>
          <w:iCs/>
        </w:rPr>
        <w:t>Appraising systematic reviews: a comprehensive guide to ensuring validity and reliability. Frontiers in research metrics and analytics,</w:t>
      </w:r>
      <w:r w:rsidRPr="0047372F">
        <w:rPr>
          <w:rFonts w:ascii="Arial" w:hAnsi="Arial" w:cs="Arial"/>
        </w:rPr>
        <w:t> </w:t>
      </w:r>
      <w:r w:rsidRPr="0047372F">
        <w:rPr>
          <w:rFonts w:ascii="Arial" w:hAnsi="Arial" w:cs="Arial"/>
          <w:i/>
          <w:iCs/>
        </w:rPr>
        <w:t>8</w:t>
      </w:r>
      <w:r w:rsidRPr="0047372F">
        <w:rPr>
          <w:rFonts w:ascii="Arial" w:hAnsi="Arial" w:cs="Arial"/>
        </w:rPr>
        <w:t xml:space="preserve">, p.1268045. </w:t>
      </w:r>
      <w:r w:rsidR="001B2231">
        <w:rPr>
          <w:rFonts w:ascii="Arial" w:hAnsi="Arial" w:cs="Arial"/>
        </w:rPr>
        <w:t xml:space="preserve">Available at: </w:t>
      </w:r>
      <w:hyperlink r:id="rId63" w:history="1">
        <w:r w:rsidR="001B2231" w:rsidRPr="007D4760">
          <w:rPr>
            <w:rStyle w:val="Hyperlink"/>
            <w:rFonts w:ascii="Arial" w:hAnsi="Arial" w:cs="Arial"/>
          </w:rPr>
          <w:t>https://doi.org/10.3389/frma.2023.1268045</w:t>
        </w:r>
      </w:hyperlink>
    </w:p>
    <w:p w14:paraId="6BF8A90B" w14:textId="14AB63E4"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Smith, S.J. and Surr, C. (2024) </w:t>
      </w:r>
      <w:r w:rsidRPr="001B2231">
        <w:rPr>
          <w:rFonts w:ascii="Arial" w:hAnsi="Arial" w:cs="Arial"/>
          <w:i/>
          <w:iCs/>
          <w:szCs w:val="20"/>
          <w:shd w:val="clear" w:color="auto" w:fill="FFFFFF"/>
        </w:rPr>
        <w:t>Exploring challenges and innovation in memory assessment services in England and Wales–a national survey and case study approach</w:t>
      </w:r>
      <w:r w:rsidRPr="0047372F">
        <w:rPr>
          <w:rFonts w:ascii="Arial" w:hAnsi="Arial" w:cs="Arial"/>
          <w:szCs w:val="20"/>
          <w:shd w:val="clear" w:color="auto" w:fill="FFFFFF"/>
        </w:rPr>
        <w:t>. </w:t>
      </w:r>
      <w:r w:rsidRPr="0047372F">
        <w:rPr>
          <w:rFonts w:ascii="Arial" w:hAnsi="Arial" w:cs="Arial"/>
          <w:i/>
          <w:iCs/>
          <w:szCs w:val="20"/>
          <w:shd w:val="clear" w:color="auto" w:fill="FFFFFF"/>
        </w:rPr>
        <w:t>BMC Health Services Research</w:t>
      </w:r>
      <w:r w:rsidRPr="0047372F">
        <w:rPr>
          <w:rFonts w:ascii="Arial" w:hAnsi="Arial" w:cs="Arial"/>
          <w:szCs w:val="20"/>
          <w:shd w:val="clear" w:color="auto" w:fill="FFFFFF"/>
        </w:rPr>
        <w:t>, </w:t>
      </w:r>
      <w:r w:rsidRPr="0047372F">
        <w:rPr>
          <w:rFonts w:ascii="Arial" w:hAnsi="Arial" w:cs="Arial"/>
          <w:i/>
          <w:iCs/>
          <w:szCs w:val="20"/>
          <w:shd w:val="clear" w:color="auto" w:fill="FFFFFF"/>
        </w:rPr>
        <w:t>24</w:t>
      </w:r>
      <w:r w:rsidRPr="0047372F">
        <w:rPr>
          <w:rFonts w:ascii="Arial" w:hAnsi="Arial" w:cs="Arial"/>
          <w:szCs w:val="20"/>
          <w:shd w:val="clear" w:color="auto" w:fill="FFFFFF"/>
        </w:rPr>
        <w:t xml:space="preserve">(1), p.1143. </w:t>
      </w:r>
      <w:r w:rsidR="001B2231">
        <w:rPr>
          <w:rFonts w:ascii="Arial" w:hAnsi="Arial" w:cs="Arial"/>
          <w:szCs w:val="20"/>
          <w:shd w:val="clear" w:color="auto" w:fill="FFFFFF"/>
        </w:rPr>
        <w:t xml:space="preserve">Available at: </w:t>
      </w:r>
      <w:hyperlink r:id="rId64" w:history="1">
        <w:r w:rsidR="001B2231" w:rsidRPr="007D4760">
          <w:rPr>
            <w:rStyle w:val="Hyperlink"/>
            <w:rFonts w:ascii="Arial" w:hAnsi="Arial" w:cs="Arial"/>
            <w:szCs w:val="20"/>
            <w:shd w:val="clear" w:color="auto" w:fill="FFFFFF"/>
          </w:rPr>
          <w:t>https://doi.org/10.1186/s12913-024-11571-2</w:t>
        </w:r>
      </w:hyperlink>
    </w:p>
    <w:p w14:paraId="3D7A086D" w14:textId="3455C3B4" w:rsidR="00DE53AD" w:rsidRPr="0047372F" w:rsidRDefault="00DE53AD" w:rsidP="00F12F02">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Søndergaard, S.F., Andersen, A.B. and Frederiksen, K. (2024) </w:t>
      </w:r>
      <w:r w:rsidRPr="001B2231">
        <w:rPr>
          <w:rFonts w:ascii="Arial" w:hAnsi="Arial" w:cs="Arial"/>
          <w:i/>
          <w:iCs/>
          <w:szCs w:val="20"/>
          <w:shd w:val="clear" w:color="auto" w:fill="FFFFFF"/>
        </w:rPr>
        <w:t>APN nurses' core competencies for general clinical health assessment in primary health care.</w:t>
      </w:r>
      <w:r w:rsidRPr="0047372F">
        <w:rPr>
          <w:rFonts w:ascii="Arial" w:hAnsi="Arial" w:cs="Arial"/>
          <w:szCs w:val="20"/>
          <w:shd w:val="clear" w:color="auto" w:fill="FFFFFF"/>
        </w:rPr>
        <w:t xml:space="preserve"> A scoping review. </w:t>
      </w:r>
      <w:r w:rsidRPr="0047372F">
        <w:rPr>
          <w:rFonts w:ascii="Arial" w:hAnsi="Arial" w:cs="Arial"/>
          <w:i/>
          <w:iCs/>
          <w:szCs w:val="20"/>
          <w:shd w:val="clear" w:color="auto" w:fill="FFFFFF"/>
        </w:rPr>
        <w:t>Scandinavian Journal of Caring Sciences</w:t>
      </w:r>
      <w:r w:rsidRPr="0047372F">
        <w:rPr>
          <w:rFonts w:ascii="Arial" w:hAnsi="Arial" w:cs="Arial"/>
          <w:szCs w:val="20"/>
          <w:shd w:val="clear" w:color="auto" w:fill="FFFFFF"/>
        </w:rPr>
        <w:t>, </w:t>
      </w:r>
      <w:r w:rsidRPr="0047372F">
        <w:rPr>
          <w:rFonts w:ascii="Arial" w:hAnsi="Arial" w:cs="Arial"/>
          <w:i/>
          <w:iCs/>
          <w:szCs w:val="20"/>
          <w:shd w:val="clear" w:color="auto" w:fill="FFFFFF"/>
        </w:rPr>
        <w:t>38</w:t>
      </w:r>
      <w:r w:rsidRPr="0047372F">
        <w:rPr>
          <w:rFonts w:ascii="Arial" w:hAnsi="Arial" w:cs="Arial"/>
          <w:szCs w:val="20"/>
          <w:shd w:val="clear" w:color="auto" w:fill="FFFFFF"/>
        </w:rPr>
        <w:t xml:space="preserve">(2), pp.258-272. </w:t>
      </w:r>
      <w:r w:rsidR="001B2231">
        <w:rPr>
          <w:rFonts w:ascii="Arial" w:hAnsi="Arial" w:cs="Arial"/>
          <w:szCs w:val="20"/>
          <w:shd w:val="clear" w:color="auto" w:fill="FFFFFF"/>
        </w:rPr>
        <w:t xml:space="preserve">Available at: </w:t>
      </w:r>
      <w:hyperlink r:id="rId65" w:history="1">
        <w:r w:rsidR="001B2231" w:rsidRPr="007D4760">
          <w:rPr>
            <w:rStyle w:val="Hyperlink"/>
            <w:rFonts w:ascii="Arial" w:hAnsi="Arial" w:cs="Arial"/>
            <w:szCs w:val="20"/>
            <w:shd w:val="clear" w:color="auto" w:fill="FFFFFF"/>
          </w:rPr>
          <w:t>https://doi.org/10.1111/scs.13235</w:t>
        </w:r>
      </w:hyperlink>
      <w:r w:rsidRPr="0047372F">
        <w:rPr>
          <w:rFonts w:ascii="Arial" w:hAnsi="Arial" w:cs="Arial"/>
          <w:szCs w:val="20"/>
          <w:shd w:val="clear" w:color="auto" w:fill="FFFFFF"/>
        </w:rPr>
        <w:t>.</w:t>
      </w:r>
    </w:p>
    <w:p w14:paraId="749B18FD" w14:textId="77777777" w:rsidR="009F6853" w:rsidRDefault="009F6853" w:rsidP="00E4455A">
      <w:pPr>
        <w:ind w:left="720" w:hanging="720"/>
        <w:rPr>
          <w:rFonts w:ascii="Arial" w:hAnsi="Arial" w:cs="Arial"/>
        </w:rPr>
      </w:pPr>
    </w:p>
    <w:p w14:paraId="0DA21A23" w14:textId="3E41926C" w:rsidR="00DE53AD" w:rsidRPr="0047372F" w:rsidRDefault="00DE53AD" w:rsidP="00E4455A">
      <w:pPr>
        <w:ind w:left="720" w:hanging="720"/>
        <w:rPr>
          <w:rFonts w:ascii="Arial" w:hAnsi="Arial" w:cs="Arial"/>
        </w:rPr>
      </w:pPr>
      <w:r w:rsidRPr="0047372F">
        <w:rPr>
          <w:rFonts w:ascii="Arial" w:hAnsi="Arial" w:cs="Arial"/>
        </w:rPr>
        <w:lastRenderedPageBreak/>
        <w:t xml:space="preserve">Stothart, G., Smith, L.J., Milton, A. and Coulthard, E., (2021) </w:t>
      </w:r>
      <w:r w:rsidRPr="001B2231">
        <w:rPr>
          <w:rFonts w:ascii="Arial" w:hAnsi="Arial" w:cs="Arial"/>
          <w:i/>
          <w:iCs/>
        </w:rPr>
        <w:t>A passive and objective measure of recognition memory in Alzheimer’s disease using Fastball memory assessment</w:t>
      </w:r>
      <w:r w:rsidRPr="0047372F">
        <w:rPr>
          <w:rFonts w:ascii="Arial" w:hAnsi="Arial" w:cs="Arial"/>
        </w:rPr>
        <w:t>. </w:t>
      </w:r>
      <w:r w:rsidRPr="0047372F">
        <w:rPr>
          <w:rFonts w:ascii="Arial" w:hAnsi="Arial" w:cs="Arial"/>
          <w:i/>
          <w:iCs/>
        </w:rPr>
        <w:t>Brain</w:t>
      </w:r>
      <w:r w:rsidRPr="0047372F">
        <w:rPr>
          <w:rFonts w:ascii="Arial" w:hAnsi="Arial" w:cs="Arial"/>
        </w:rPr>
        <w:t>, </w:t>
      </w:r>
      <w:r w:rsidRPr="0047372F">
        <w:rPr>
          <w:rFonts w:ascii="Arial" w:hAnsi="Arial" w:cs="Arial"/>
          <w:i/>
          <w:iCs/>
        </w:rPr>
        <w:t>144</w:t>
      </w:r>
      <w:r w:rsidRPr="0047372F">
        <w:rPr>
          <w:rFonts w:ascii="Arial" w:hAnsi="Arial" w:cs="Arial"/>
        </w:rPr>
        <w:t xml:space="preserve">(9), pp.2812-2825. </w:t>
      </w:r>
      <w:r w:rsidR="001B2231">
        <w:rPr>
          <w:rFonts w:ascii="Arial" w:hAnsi="Arial" w:cs="Arial"/>
        </w:rPr>
        <w:t xml:space="preserve">Available at: </w:t>
      </w:r>
      <w:hyperlink r:id="rId66" w:history="1">
        <w:r w:rsidR="009F6853" w:rsidRPr="007D4760">
          <w:rPr>
            <w:rStyle w:val="Hyperlink"/>
            <w:rFonts w:ascii="Arial" w:hAnsi="Arial" w:cs="Arial"/>
          </w:rPr>
          <w:t>https://doi.org/10.1093/brain/awab154</w:t>
        </w:r>
      </w:hyperlink>
    </w:p>
    <w:p w14:paraId="1ED170B5" w14:textId="7D1AA75B" w:rsidR="00DE53AD" w:rsidRPr="0047372F" w:rsidRDefault="00DE53AD" w:rsidP="00E4455A">
      <w:pPr>
        <w:ind w:left="720" w:hanging="720"/>
        <w:rPr>
          <w:rFonts w:ascii="Arial" w:hAnsi="Arial" w:cs="Arial"/>
        </w:rPr>
      </w:pPr>
      <w:r w:rsidRPr="0047372F">
        <w:rPr>
          <w:rFonts w:ascii="Arial" w:hAnsi="Arial" w:cs="Arial"/>
          <w:lang w:val="en-US"/>
        </w:rPr>
        <w:t xml:space="preserve">The University of Queensland. (2017, September 14) </w:t>
      </w:r>
      <w:r w:rsidRPr="009F6853">
        <w:rPr>
          <w:rFonts w:ascii="Arial" w:hAnsi="Arial" w:cs="Arial"/>
          <w:i/>
          <w:iCs/>
          <w:lang w:val="en-US"/>
        </w:rPr>
        <w:t xml:space="preserve">History of dementia research. Queensland Brain Institute - University of Queensland. </w:t>
      </w:r>
      <w:r w:rsidRPr="0047372F">
        <w:rPr>
          <w:rFonts w:ascii="Arial" w:hAnsi="Arial" w:cs="Arial"/>
        </w:rPr>
        <w:t xml:space="preserve">Available at: </w:t>
      </w:r>
      <w:hyperlink r:id="rId67" w:history="1">
        <w:r w:rsidRPr="0047372F">
          <w:rPr>
            <w:rStyle w:val="Hyperlink"/>
            <w:rFonts w:ascii="Arial" w:hAnsi="Arial" w:cs="Arial"/>
            <w:lang w:val="en-US"/>
          </w:rPr>
          <w:t>https://qbi.uq.edu.au/brain/dementia/history-dementia-research</w:t>
        </w:r>
      </w:hyperlink>
      <w:r w:rsidRPr="0047372F">
        <w:rPr>
          <w:rFonts w:ascii="Arial" w:hAnsi="Arial" w:cs="Arial"/>
          <w:lang w:val="en-US"/>
        </w:rPr>
        <w:t xml:space="preserve"> </w:t>
      </w:r>
      <w:r w:rsidRPr="0047372F">
        <w:rPr>
          <w:rFonts w:ascii="Arial" w:hAnsi="Arial" w:cs="Arial"/>
        </w:rPr>
        <w:t>(Accessed 27 Mar. 2026)</w:t>
      </w:r>
    </w:p>
    <w:p w14:paraId="63DD87E0" w14:textId="02933B3C" w:rsidR="00DE53AD" w:rsidRPr="0047372F" w:rsidRDefault="00DE53AD" w:rsidP="002F432B">
      <w:pPr>
        <w:ind w:left="720" w:hanging="720"/>
        <w:rPr>
          <w:rFonts w:ascii="Arial" w:hAnsi="Arial" w:cs="Arial"/>
        </w:rPr>
      </w:pPr>
      <w:r w:rsidRPr="0047372F">
        <w:rPr>
          <w:rFonts w:ascii="Arial" w:hAnsi="Arial" w:cs="Arial"/>
        </w:rPr>
        <w:t xml:space="preserve">UK Government, (2025) </w:t>
      </w:r>
      <w:r w:rsidRPr="009F6853">
        <w:rPr>
          <w:rFonts w:ascii="Arial" w:hAnsi="Arial" w:cs="Arial"/>
          <w:i/>
          <w:iCs/>
        </w:rPr>
        <w:t xml:space="preserve">Fit for the future: 10 Year Health Plan for England. </w:t>
      </w:r>
      <w:r w:rsidRPr="0047372F">
        <w:rPr>
          <w:rFonts w:ascii="Arial" w:hAnsi="Arial" w:cs="Arial"/>
        </w:rPr>
        <w:t xml:space="preserve">Available at: </w:t>
      </w:r>
      <w:hyperlink r:id="rId68" w:history="1">
        <w:r w:rsidRPr="0047372F">
          <w:rPr>
            <w:rStyle w:val="Hyperlink"/>
            <w:rFonts w:ascii="Arial" w:hAnsi="Arial" w:cs="Arial"/>
          </w:rPr>
          <w:t>https://www.gov.uk/government/publications/10-year-health-plan-for-england-fit-for-the-future/fit-for-the-future-10-year-health-plan-for-england-accessible-version</w:t>
        </w:r>
      </w:hyperlink>
      <w:r w:rsidRPr="0047372F">
        <w:rPr>
          <w:rFonts w:ascii="Arial" w:hAnsi="Arial" w:cs="Arial"/>
        </w:rPr>
        <w:t xml:space="preserve"> (Accessed 13 May 2026)</w:t>
      </w:r>
    </w:p>
    <w:p w14:paraId="44B27816" w14:textId="7076A513" w:rsidR="00DE53AD" w:rsidRPr="0047372F" w:rsidRDefault="00DE53AD" w:rsidP="002F432B">
      <w:pPr>
        <w:ind w:left="720" w:hanging="720"/>
        <w:rPr>
          <w:rFonts w:ascii="Arial" w:hAnsi="Arial" w:cs="Arial"/>
          <w:szCs w:val="20"/>
          <w:shd w:val="clear" w:color="auto" w:fill="FFFFFF"/>
        </w:rPr>
      </w:pPr>
      <w:r w:rsidRPr="009F6853">
        <w:rPr>
          <w:rFonts w:ascii="Arial" w:hAnsi="Arial" w:cs="Arial"/>
          <w:szCs w:val="20"/>
          <w:shd w:val="clear" w:color="auto" w:fill="FFFFFF"/>
        </w:rPr>
        <w:t>Visser, F.C., Kloppenburg-</w:t>
      </w:r>
      <w:proofErr w:type="spellStart"/>
      <w:r w:rsidRPr="009F6853">
        <w:rPr>
          <w:rFonts w:ascii="Arial" w:hAnsi="Arial" w:cs="Arial"/>
          <w:szCs w:val="20"/>
          <w:shd w:val="clear" w:color="auto" w:fill="FFFFFF"/>
        </w:rPr>
        <w:t>Lagendijk</w:t>
      </w:r>
      <w:proofErr w:type="spellEnd"/>
      <w:r w:rsidRPr="009F6853">
        <w:rPr>
          <w:rFonts w:ascii="Arial" w:hAnsi="Arial" w:cs="Arial"/>
          <w:szCs w:val="20"/>
          <w:shd w:val="clear" w:color="auto" w:fill="FFFFFF"/>
        </w:rPr>
        <w:t xml:space="preserve">, M., Hempenius, L., Verwey, N.A., Perry, M., van </w:t>
      </w:r>
      <w:proofErr w:type="spellStart"/>
      <w:r w:rsidRPr="009F6853">
        <w:rPr>
          <w:rFonts w:ascii="Arial" w:hAnsi="Arial" w:cs="Arial"/>
          <w:szCs w:val="20"/>
          <w:shd w:val="clear" w:color="auto" w:fill="FFFFFF"/>
        </w:rPr>
        <w:t>Eersel</w:t>
      </w:r>
      <w:proofErr w:type="spellEnd"/>
      <w:r w:rsidRPr="009F6853">
        <w:rPr>
          <w:rFonts w:ascii="Arial" w:hAnsi="Arial" w:cs="Arial"/>
          <w:szCs w:val="20"/>
          <w:shd w:val="clear" w:color="auto" w:fill="FFFFFF"/>
        </w:rPr>
        <w:t xml:space="preserve">, M.E. and van Munster, B.C. (2025) </w:t>
      </w:r>
      <w:r w:rsidRPr="009F6853">
        <w:rPr>
          <w:rFonts w:ascii="Arial" w:hAnsi="Arial" w:cs="Arial"/>
          <w:i/>
          <w:iCs/>
          <w:szCs w:val="20"/>
          <w:shd w:val="clear" w:color="auto" w:fill="FFFFFF"/>
        </w:rPr>
        <w:t>From suspicion of cognitive decline to dementia diagnosis: a systematic review of healthcare professionals’ considerations and attitudes. Age and Ageing</w:t>
      </w:r>
      <w:r w:rsidRPr="0047372F">
        <w:rPr>
          <w:rFonts w:ascii="Arial" w:hAnsi="Arial" w:cs="Arial"/>
          <w:szCs w:val="20"/>
          <w:shd w:val="clear" w:color="auto" w:fill="FFFFFF"/>
        </w:rPr>
        <w:t>, </w:t>
      </w:r>
      <w:r w:rsidRPr="0047372F">
        <w:rPr>
          <w:rFonts w:ascii="Arial" w:hAnsi="Arial" w:cs="Arial"/>
          <w:i/>
          <w:iCs/>
          <w:szCs w:val="20"/>
          <w:shd w:val="clear" w:color="auto" w:fill="FFFFFF"/>
        </w:rPr>
        <w:t>54</w:t>
      </w:r>
      <w:r w:rsidRPr="0047372F">
        <w:rPr>
          <w:rFonts w:ascii="Arial" w:hAnsi="Arial" w:cs="Arial"/>
          <w:szCs w:val="20"/>
          <w:shd w:val="clear" w:color="auto" w:fill="FFFFFF"/>
        </w:rPr>
        <w:t xml:space="preserve">(6), p. afaf176. </w:t>
      </w:r>
      <w:r w:rsidR="009F6853">
        <w:rPr>
          <w:rFonts w:ascii="Arial" w:hAnsi="Arial" w:cs="Arial"/>
          <w:szCs w:val="20"/>
          <w:shd w:val="clear" w:color="auto" w:fill="FFFFFF"/>
        </w:rPr>
        <w:t xml:space="preserve">Available at: </w:t>
      </w:r>
      <w:hyperlink r:id="rId69" w:history="1">
        <w:r w:rsidR="009F6853" w:rsidRPr="007D4760">
          <w:rPr>
            <w:rStyle w:val="Hyperlink"/>
            <w:rFonts w:ascii="Arial" w:hAnsi="Arial" w:cs="Arial"/>
            <w:szCs w:val="20"/>
            <w:shd w:val="clear" w:color="auto" w:fill="FFFFFF"/>
          </w:rPr>
          <w:t>https://doi.org/10.1093/ageing/afaf176</w:t>
        </w:r>
      </w:hyperlink>
    </w:p>
    <w:p w14:paraId="0DB5CA6C" w14:textId="1E2D443C" w:rsidR="00DE53AD" w:rsidRPr="0047372F" w:rsidRDefault="00DE53AD" w:rsidP="002F432B">
      <w:pPr>
        <w:ind w:left="720" w:hanging="720"/>
        <w:rPr>
          <w:rFonts w:ascii="Arial" w:hAnsi="Arial" w:cs="Arial"/>
          <w:szCs w:val="20"/>
          <w:shd w:val="clear" w:color="auto" w:fill="FFFFFF"/>
        </w:rPr>
      </w:pPr>
      <w:r w:rsidRPr="0047372F">
        <w:rPr>
          <w:rFonts w:ascii="Arial" w:hAnsi="Arial" w:cs="Arial"/>
          <w:szCs w:val="20"/>
          <w:shd w:val="clear" w:color="auto" w:fill="FFFFFF"/>
        </w:rPr>
        <w:t xml:space="preserve">Wang, G., Estrella, A., Hakim, O., Milazzo, P., Patel, S., </w:t>
      </w:r>
      <w:proofErr w:type="spellStart"/>
      <w:r w:rsidRPr="0047372F">
        <w:rPr>
          <w:rFonts w:ascii="Arial" w:hAnsi="Arial" w:cs="Arial"/>
          <w:szCs w:val="20"/>
          <w:shd w:val="clear" w:color="auto" w:fill="FFFFFF"/>
        </w:rPr>
        <w:t>Pintagro</w:t>
      </w:r>
      <w:proofErr w:type="spellEnd"/>
      <w:r w:rsidRPr="0047372F">
        <w:rPr>
          <w:rFonts w:ascii="Arial" w:hAnsi="Arial" w:cs="Arial"/>
          <w:szCs w:val="20"/>
          <w:shd w:val="clear" w:color="auto" w:fill="FFFFFF"/>
        </w:rPr>
        <w:t xml:space="preserve">, C., Li, D., Zhao, R., Vance, D.E., Li, W. and Alzheimer’s Disease Neuroimaging Initiative (2022) </w:t>
      </w:r>
      <w:r w:rsidRPr="009F6853">
        <w:rPr>
          <w:rFonts w:ascii="Arial" w:hAnsi="Arial" w:cs="Arial"/>
          <w:i/>
          <w:iCs/>
          <w:szCs w:val="20"/>
          <w:shd w:val="clear" w:color="auto" w:fill="FFFFFF"/>
        </w:rPr>
        <w:t>Mini-Mental State Examination and Montreal Cognitive Assessment as tools for following cognitive changes in Alzheimer's disease neuroimaging initiative participants.</w:t>
      </w:r>
      <w:r w:rsidRPr="0047372F">
        <w:rPr>
          <w:rFonts w:ascii="Arial" w:hAnsi="Arial" w:cs="Arial"/>
          <w:szCs w:val="20"/>
          <w:shd w:val="clear" w:color="auto" w:fill="FFFFFF"/>
        </w:rPr>
        <w:t xml:space="preserve"> </w:t>
      </w:r>
      <w:r w:rsidRPr="0047372F">
        <w:rPr>
          <w:rFonts w:ascii="Arial" w:hAnsi="Arial" w:cs="Arial"/>
          <w:i/>
          <w:iCs/>
          <w:szCs w:val="20"/>
          <w:shd w:val="clear" w:color="auto" w:fill="FFFFFF"/>
        </w:rPr>
        <w:t>Journal of Alzheimer’s Disease</w:t>
      </w:r>
      <w:r w:rsidRPr="0047372F">
        <w:rPr>
          <w:rFonts w:ascii="Arial" w:hAnsi="Arial" w:cs="Arial"/>
          <w:szCs w:val="20"/>
          <w:shd w:val="clear" w:color="auto" w:fill="FFFFFF"/>
        </w:rPr>
        <w:t>, </w:t>
      </w:r>
      <w:r w:rsidRPr="0047372F">
        <w:rPr>
          <w:rFonts w:ascii="Arial" w:hAnsi="Arial" w:cs="Arial"/>
          <w:i/>
          <w:iCs/>
          <w:szCs w:val="20"/>
          <w:shd w:val="clear" w:color="auto" w:fill="FFFFFF"/>
        </w:rPr>
        <w:t>90</w:t>
      </w:r>
      <w:r w:rsidRPr="0047372F">
        <w:rPr>
          <w:rFonts w:ascii="Arial" w:hAnsi="Arial" w:cs="Arial"/>
          <w:szCs w:val="20"/>
          <w:shd w:val="clear" w:color="auto" w:fill="FFFFFF"/>
        </w:rPr>
        <w:t xml:space="preserve">(1), pp.263-270. </w:t>
      </w:r>
      <w:r w:rsidR="009F6853">
        <w:rPr>
          <w:rFonts w:ascii="Arial" w:hAnsi="Arial" w:cs="Arial"/>
          <w:szCs w:val="20"/>
          <w:shd w:val="clear" w:color="auto" w:fill="FFFFFF"/>
        </w:rPr>
        <w:t xml:space="preserve">Available at: </w:t>
      </w:r>
      <w:hyperlink r:id="rId70" w:history="1">
        <w:r w:rsidR="009F6853" w:rsidRPr="007D4760">
          <w:rPr>
            <w:rStyle w:val="Hyperlink"/>
            <w:rFonts w:ascii="Arial" w:hAnsi="Arial" w:cs="Arial"/>
            <w:szCs w:val="20"/>
            <w:shd w:val="clear" w:color="auto" w:fill="FFFFFF"/>
          </w:rPr>
          <w:t>https://doi.org/10.3233/JAD-220397</w:t>
        </w:r>
      </w:hyperlink>
    </w:p>
    <w:p w14:paraId="12235054" w14:textId="498B8C18" w:rsidR="00DE53AD" w:rsidRPr="0047372F" w:rsidRDefault="00DE53AD" w:rsidP="002F432B">
      <w:pPr>
        <w:ind w:left="720" w:hanging="720"/>
        <w:rPr>
          <w:rFonts w:ascii="Arial" w:hAnsi="Arial" w:cs="Arial"/>
        </w:rPr>
      </w:pPr>
      <w:r w:rsidRPr="0047372F">
        <w:rPr>
          <w:rFonts w:ascii="Arial" w:hAnsi="Arial" w:cs="Arial"/>
        </w:rPr>
        <w:t xml:space="preserve">World Health Organisation (2017) </w:t>
      </w:r>
      <w:r w:rsidRPr="009F6853">
        <w:rPr>
          <w:rFonts w:ascii="Arial" w:hAnsi="Arial" w:cs="Arial"/>
          <w:i/>
          <w:iCs/>
        </w:rPr>
        <w:t>Global Action Plan on the Public Health Response to Dementia 2017 - 2025.</w:t>
      </w:r>
      <w:r w:rsidRPr="0047372F">
        <w:rPr>
          <w:rFonts w:ascii="Arial" w:hAnsi="Arial" w:cs="Arial"/>
        </w:rPr>
        <w:t xml:space="preserve"> Available at: </w:t>
      </w:r>
      <w:hyperlink r:id="rId71" w:history="1">
        <w:r w:rsidRPr="0047372F">
          <w:rPr>
            <w:rStyle w:val="Hyperlink"/>
            <w:rFonts w:ascii="Arial" w:hAnsi="Arial" w:cs="Arial"/>
          </w:rPr>
          <w:t>https://www.who.int/publications/i/item/global-action-plan-on-the-public-health-response-to-dementia-2017---2025</w:t>
        </w:r>
      </w:hyperlink>
      <w:r w:rsidRPr="0047372F">
        <w:rPr>
          <w:rFonts w:ascii="Arial" w:hAnsi="Arial" w:cs="Arial"/>
        </w:rPr>
        <w:t xml:space="preserve"> (Accessed 27 Mar. 2026)</w:t>
      </w:r>
    </w:p>
    <w:p w14:paraId="6FCD57BE" w14:textId="098A535B" w:rsidR="00DE53AD" w:rsidRPr="0047372F" w:rsidRDefault="00DE53AD" w:rsidP="00612E70">
      <w:pPr>
        <w:ind w:left="720" w:hanging="720"/>
        <w:rPr>
          <w:rFonts w:ascii="Arial" w:hAnsi="Arial" w:cs="Arial"/>
        </w:rPr>
      </w:pPr>
      <w:bookmarkStart w:id="67" w:name="_Hlk231935000"/>
      <w:r w:rsidRPr="0047372F">
        <w:rPr>
          <w:rFonts w:ascii="Arial" w:hAnsi="Arial" w:cs="Arial"/>
        </w:rPr>
        <w:t xml:space="preserve">World Health Organisation (2025) </w:t>
      </w:r>
      <w:r w:rsidRPr="009F6853">
        <w:rPr>
          <w:rFonts w:ascii="Arial" w:hAnsi="Arial" w:cs="Arial"/>
          <w:i/>
          <w:iCs/>
        </w:rPr>
        <w:t>Dementia. World Health Organisation.</w:t>
      </w:r>
      <w:r w:rsidRPr="0047372F">
        <w:rPr>
          <w:rFonts w:ascii="Arial" w:hAnsi="Arial" w:cs="Arial"/>
        </w:rPr>
        <w:t xml:space="preserve"> Available at: </w:t>
      </w:r>
      <w:hyperlink r:id="rId72" w:history="1">
        <w:r w:rsidRPr="0047372F">
          <w:rPr>
            <w:rStyle w:val="Hyperlink"/>
            <w:rFonts w:ascii="Arial" w:hAnsi="Arial" w:cs="Arial"/>
          </w:rPr>
          <w:t>https://www.who.int/news-room/fact-sheets/detail/dementia</w:t>
        </w:r>
      </w:hyperlink>
      <w:r w:rsidRPr="0047372F">
        <w:rPr>
          <w:rFonts w:ascii="Arial" w:hAnsi="Arial" w:cs="Arial"/>
        </w:rPr>
        <w:t xml:space="preserve"> (Accessed 27 Mar. 2026)</w:t>
      </w:r>
    </w:p>
    <w:p w14:paraId="33ABFAD3" w14:textId="28DAD8D4" w:rsidR="00DE53AD" w:rsidRPr="0047372F" w:rsidRDefault="00DE53AD" w:rsidP="00EE043E">
      <w:pPr>
        <w:ind w:left="720" w:hanging="720"/>
        <w:rPr>
          <w:rStyle w:val="Hyperlink"/>
          <w:rFonts w:ascii="Arial" w:hAnsi="Arial" w:cs="Arial"/>
        </w:rPr>
      </w:pPr>
      <w:bookmarkStart w:id="68" w:name="_Hlk231935010"/>
      <w:bookmarkEnd w:id="67"/>
      <w:r w:rsidRPr="0047372F">
        <w:rPr>
          <w:rFonts w:ascii="Arial" w:hAnsi="Arial" w:cs="Arial"/>
        </w:rPr>
        <w:t xml:space="preserve">Zhaksylyk, A., Zimba, O., Yessirkepov, M. and </w:t>
      </w:r>
      <w:proofErr w:type="spellStart"/>
      <w:r w:rsidRPr="0047372F">
        <w:rPr>
          <w:rFonts w:ascii="Arial" w:hAnsi="Arial" w:cs="Arial"/>
        </w:rPr>
        <w:t>Kocyigit</w:t>
      </w:r>
      <w:proofErr w:type="spellEnd"/>
      <w:r w:rsidRPr="0047372F">
        <w:rPr>
          <w:rFonts w:ascii="Arial" w:hAnsi="Arial" w:cs="Arial"/>
        </w:rPr>
        <w:t xml:space="preserve">, B.F., (2023) </w:t>
      </w:r>
      <w:r w:rsidRPr="009F6853">
        <w:rPr>
          <w:rFonts w:ascii="Arial" w:hAnsi="Arial" w:cs="Arial"/>
          <w:i/>
          <w:iCs/>
        </w:rPr>
        <w:t>Research integrity: where we are and where we are heading.</w:t>
      </w:r>
      <w:r w:rsidRPr="0047372F">
        <w:rPr>
          <w:rFonts w:ascii="Arial" w:hAnsi="Arial" w:cs="Arial"/>
        </w:rPr>
        <w:t> </w:t>
      </w:r>
      <w:r w:rsidRPr="0047372F">
        <w:rPr>
          <w:rFonts w:ascii="Arial" w:hAnsi="Arial" w:cs="Arial"/>
          <w:i/>
          <w:iCs/>
        </w:rPr>
        <w:t xml:space="preserve">Journal of Korean </w:t>
      </w:r>
      <w:r w:rsidR="00D151A9">
        <w:rPr>
          <w:rFonts w:ascii="Arial" w:hAnsi="Arial" w:cs="Arial"/>
          <w:i/>
          <w:iCs/>
        </w:rPr>
        <w:t>Medical Science</w:t>
      </w:r>
      <w:r w:rsidRPr="0047372F">
        <w:rPr>
          <w:rFonts w:ascii="Arial" w:hAnsi="Arial" w:cs="Arial"/>
        </w:rPr>
        <w:t>, </w:t>
      </w:r>
      <w:r w:rsidRPr="0047372F">
        <w:rPr>
          <w:rFonts w:ascii="Arial" w:hAnsi="Arial" w:cs="Arial"/>
          <w:i/>
          <w:iCs/>
        </w:rPr>
        <w:t>38</w:t>
      </w:r>
      <w:r w:rsidRPr="0047372F">
        <w:rPr>
          <w:rFonts w:ascii="Arial" w:hAnsi="Arial" w:cs="Arial"/>
        </w:rPr>
        <w:t xml:space="preserve">(47). </w:t>
      </w:r>
      <w:r w:rsidR="009F6853">
        <w:rPr>
          <w:rFonts w:ascii="Arial" w:hAnsi="Arial" w:cs="Arial"/>
        </w:rPr>
        <w:t xml:space="preserve">Available at: </w:t>
      </w:r>
      <w:hyperlink r:id="rId73" w:history="1">
        <w:r w:rsidR="009F6853" w:rsidRPr="007D4760">
          <w:rPr>
            <w:rStyle w:val="Hyperlink"/>
            <w:rFonts w:ascii="Arial" w:hAnsi="Arial" w:cs="Arial"/>
          </w:rPr>
          <w:t>https://doi.org/10.3346/jkms.2023.38.e405</w:t>
        </w:r>
      </w:hyperlink>
      <w:bookmarkEnd w:id="68"/>
    </w:p>
    <w:p w14:paraId="752F193B" w14:textId="77777777" w:rsidR="00EE115E" w:rsidRPr="0047372F" w:rsidRDefault="00EE115E" w:rsidP="00746EE7">
      <w:pPr>
        <w:rPr>
          <w:rStyle w:val="Hyperlink"/>
          <w:rFonts w:ascii="Arial" w:hAnsi="Arial" w:cs="Arial"/>
          <w:color w:val="auto"/>
          <w:u w:val="none"/>
        </w:rPr>
      </w:pPr>
    </w:p>
    <w:p w14:paraId="76FCEB00" w14:textId="77777777" w:rsidR="00F12451" w:rsidRPr="0047372F" w:rsidRDefault="00F12451" w:rsidP="007502B3">
      <w:pPr>
        <w:pStyle w:val="Heading1"/>
        <w:rPr>
          <w:rFonts w:cs="Arial"/>
        </w:rPr>
        <w:sectPr w:rsidR="00F12451" w:rsidRPr="0047372F">
          <w:headerReference w:type="even" r:id="rId74"/>
          <w:headerReference w:type="default" r:id="rId75"/>
          <w:footerReference w:type="even" r:id="rId76"/>
          <w:footerReference w:type="default" r:id="rId77"/>
          <w:headerReference w:type="first" r:id="rId78"/>
          <w:footerReference w:type="first" r:id="rId79"/>
          <w:pgSz w:w="11906" w:h="16838"/>
          <w:pgMar w:top="1440" w:right="1440" w:bottom="1440" w:left="1440" w:header="708" w:footer="708" w:gutter="0"/>
          <w:cols w:space="708"/>
          <w:docGrid w:linePitch="360"/>
        </w:sectPr>
      </w:pPr>
    </w:p>
    <w:p w14:paraId="6D7584F3" w14:textId="4C752F40" w:rsidR="00621776" w:rsidRPr="008C38C3" w:rsidRDefault="00621776" w:rsidP="007502B3">
      <w:pPr>
        <w:pStyle w:val="Heading1"/>
      </w:pPr>
      <w:bookmarkStart w:id="69" w:name="_Toc235909385"/>
      <w:r w:rsidRPr="008C38C3">
        <w:lastRenderedPageBreak/>
        <w:t>6.2 – Appendices</w:t>
      </w:r>
      <w:bookmarkEnd w:id="69"/>
    </w:p>
    <w:p w14:paraId="70C7CA0C" w14:textId="4C55D7EB" w:rsidR="008C38C3" w:rsidRDefault="00446DBE" w:rsidP="00446DBE">
      <w:pPr>
        <w:pStyle w:val="Heading2"/>
      </w:pPr>
      <w:bookmarkStart w:id="70" w:name="_Toc235909386"/>
      <w:r w:rsidRPr="00446DBE">
        <w:t>Appendix 1: Source Tracking Table</w:t>
      </w:r>
      <w:bookmarkEnd w:id="70"/>
    </w:p>
    <w:tbl>
      <w:tblPr>
        <w:tblStyle w:val="TableGrid"/>
        <w:tblW w:w="0" w:type="auto"/>
        <w:tblLook w:val="04A0" w:firstRow="1" w:lastRow="0" w:firstColumn="1" w:lastColumn="0" w:noHBand="0" w:noVBand="1"/>
      </w:tblPr>
      <w:tblGrid>
        <w:gridCol w:w="1056"/>
        <w:gridCol w:w="1466"/>
        <w:gridCol w:w="3532"/>
        <w:gridCol w:w="4820"/>
        <w:gridCol w:w="3074"/>
      </w:tblGrid>
      <w:tr w:rsidR="00446DBE" w14:paraId="45991E6F" w14:textId="77777777" w:rsidTr="00F7314C">
        <w:tc>
          <w:tcPr>
            <w:tcW w:w="1056" w:type="dxa"/>
          </w:tcPr>
          <w:p w14:paraId="151278AF" w14:textId="77777777" w:rsidR="00446DBE" w:rsidRPr="004547B1" w:rsidRDefault="00446DBE" w:rsidP="00813F71">
            <w:bookmarkStart w:id="71" w:name="_Hlk231935056"/>
          </w:p>
        </w:tc>
        <w:tc>
          <w:tcPr>
            <w:tcW w:w="1466" w:type="dxa"/>
            <w:hideMark/>
          </w:tcPr>
          <w:p w14:paraId="00AC8308" w14:textId="77777777" w:rsidR="00446DBE" w:rsidRPr="004547B1" w:rsidRDefault="00446DBE" w:rsidP="00813F71">
            <w:r w:rsidRPr="004547B1">
              <w:t>Author &amp; Year</w:t>
            </w:r>
          </w:p>
        </w:tc>
        <w:tc>
          <w:tcPr>
            <w:tcW w:w="0" w:type="auto"/>
            <w:hideMark/>
          </w:tcPr>
          <w:p w14:paraId="752B78E2" w14:textId="77777777" w:rsidR="00446DBE" w:rsidRPr="004547B1" w:rsidRDefault="00446DBE" w:rsidP="00813F71">
            <w:r w:rsidRPr="004547B1">
              <w:t>Article Title</w:t>
            </w:r>
          </w:p>
        </w:tc>
        <w:tc>
          <w:tcPr>
            <w:tcW w:w="0" w:type="auto"/>
            <w:hideMark/>
          </w:tcPr>
          <w:p w14:paraId="1FC97209" w14:textId="77777777" w:rsidR="00446DBE" w:rsidRPr="004547B1" w:rsidRDefault="00446DBE" w:rsidP="00813F71">
            <w:r w:rsidRPr="004547B1">
              <w:t>Article Summary</w:t>
            </w:r>
          </w:p>
        </w:tc>
        <w:tc>
          <w:tcPr>
            <w:tcW w:w="0" w:type="auto"/>
            <w:hideMark/>
          </w:tcPr>
          <w:p w14:paraId="0E2892EC" w14:textId="77777777" w:rsidR="00446DBE" w:rsidRPr="004547B1" w:rsidRDefault="00446DBE" w:rsidP="00813F71">
            <w:r w:rsidRPr="004547B1">
              <w:t>Keywords/Codes</w:t>
            </w:r>
          </w:p>
        </w:tc>
      </w:tr>
      <w:tr w:rsidR="00446DBE" w14:paraId="356CD729" w14:textId="77777777" w:rsidTr="00F7314C">
        <w:tc>
          <w:tcPr>
            <w:tcW w:w="1056" w:type="dxa"/>
          </w:tcPr>
          <w:p w14:paraId="1E3152BB" w14:textId="77777777" w:rsidR="00446DBE" w:rsidRPr="004547B1" w:rsidRDefault="00446DBE" w:rsidP="00813F71">
            <w:pPr>
              <w:rPr>
                <w:b/>
                <w:bCs/>
              </w:rPr>
            </w:pPr>
            <w:r>
              <w:rPr>
                <w:b/>
                <w:bCs/>
              </w:rPr>
              <w:t>Article 1</w:t>
            </w:r>
          </w:p>
        </w:tc>
        <w:tc>
          <w:tcPr>
            <w:tcW w:w="1466" w:type="dxa"/>
            <w:hideMark/>
          </w:tcPr>
          <w:p w14:paraId="653F9192" w14:textId="77777777" w:rsidR="00446DBE" w:rsidRPr="00516368" w:rsidRDefault="00446DBE" w:rsidP="00813F71">
            <w:pPr>
              <w:rPr>
                <w:rFonts w:ascii="Arial" w:hAnsi="Arial" w:cs="Arial"/>
              </w:rPr>
            </w:pPr>
            <w:r w:rsidRPr="00516368">
              <w:rPr>
                <w:rFonts w:ascii="Arial" w:hAnsi="Arial" w:cs="Arial"/>
              </w:rPr>
              <w:t xml:space="preserve">Stothart </w:t>
            </w:r>
            <w:r w:rsidRPr="00516368">
              <w:rPr>
                <w:rFonts w:ascii="Arial" w:hAnsi="Arial" w:cs="Arial"/>
                <w:i/>
                <w:iCs/>
              </w:rPr>
              <w:t>et al</w:t>
            </w:r>
            <w:r w:rsidRPr="00516368">
              <w:rPr>
                <w:rFonts w:ascii="Arial" w:hAnsi="Arial" w:cs="Arial"/>
              </w:rPr>
              <w:t>. (2021)</w:t>
            </w:r>
          </w:p>
        </w:tc>
        <w:tc>
          <w:tcPr>
            <w:tcW w:w="0" w:type="auto"/>
            <w:hideMark/>
          </w:tcPr>
          <w:p w14:paraId="52C06C5F" w14:textId="77777777" w:rsidR="00446DBE" w:rsidRPr="00516368" w:rsidRDefault="00446DBE" w:rsidP="00813F71">
            <w:pPr>
              <w:rPr>
                <w:rFonts w:ascii="Arial" w:hAnsi="Arial" w:cs="Arial"/>
              </w:rPr>
            </w:pPr>
            <w:r w:rsidRPr="00516368">
              <w:rPr>
                <w:rFonts w:ascii="Arial" w:hAnsi="Arial" w:cs="Arial"/>
              </w:rPr>
              <w:t>A passive and objective measure of recognition memory in Alzheimer’s disease using Fastball memory assessment.</w:t>
            </w:r>
          </w:p>
        </w:tc>
        <w:tc>
          <w:tcPr>
            <w:tcW w:w="0" w:type="auto"/>
            <w:hideMark/>
          </w:tcPr>
          <w:p w14:paraId="3B0A6CA7" w14:textId="77777777" w:rsidR="00446DBE" w:rsidRPr="00516368" w:rsidRDefault="00446DBE" w:rsidP="00813F71">
            <w:pPr>
              <w:rPr>
                <w:rFonts w:ascii="Arial" w:hAnsi="Arial" w:cs="Arial"/>
              </w:rPr>
            </w:pPr>
            <w:r w:rsidRPr="00516368">
              <w:rPr>
                <w:rFonts w:ascii="Arial" w:hAnsi="Arial" w:cs="Arial"/>
              </w:rPr>
              <w:t>The study examined the Fastball EEG memory assessment as an early diagnostic tool for Alzheimer’s disease. Findings showed that EEG-based recognition memory testing identified cognitive impairment more effectively than behavioural tests. The method was passive, rapid, non-invasive, and suitable for scalable dementia screening.</w:t>
            </w:r>
          </w:p>
        </w:tc>
        <w:tc>
          <w:tcPr>
            <w:tcW w:w="0" w:type="auto"/>
            <w:hideMark/>
          </w:tcPr>
          <w:p w14:paraId="19F70AFA" w14:textId="77777777" w:rsidR="00446DBE" w:rsidRPr="00516368" w:rsidRDefault="00446DBE" w:rsidP="00813F71">
            <w:pPr>
              <w:rPr>
                <w:rFonts w:ascii="Arial" w:hAnsi="Arial" w:cs="Arial"/>
              </w:rPr>
            </w:pPr>
            <w:r w:rsidRPr="00516368">
              <w:rPr>
                <w:rFonts w:ascii="Arial" w:hAnsi="Arial" w:cs="Arial"/>
              </w:rPr>
              <w:t>EEG; Fastball; Recognition Memory; Alzheimer's Disease; Functional Biomarker; Passive Assessment; Early Diagnosis</w:t>
            </w:r>
          </w:p>
        </w:tc>
      </w:tr>
      <w:tr w:rsidR="00446DBE" w14:paraId="14F3A954" w14:textId="77777777" w:rsidTr="00F7314C">
        <w:tc>
          <w:tcPr>
            <w:tcW w:w="1056" w:type="dxa"/>
          </w:tcPr>
          <w:p w14:paraId="2B871E88" w14:textId="77777777" w:rsidR="00446DBE" w:rsidRPr="004547B1" w:rsidRDefault="00446DBE" w:rsidP="00813F71">
            <w:pPr>
              <w:rPr>
                <w:b/>
                <w:bCs/>
              </w:rPr>
            </w:pPr>
            <w:r w:rsidRPr="004547B1">
              <w:rPr>
                <w:b/>
                <w:bCs/>
              </w:rPr>
              <w:t>CRAAP Notes</w:t>
            </w:r>
          </w:p>
        </w:tc>
        <w:tc>
          <w:tcPr>
            <w:tcW w:w="9996" w:type="dxa"/>
            <w:gridSpan w:val="3"/>
            <w:hideMark/>
          </w:tcPr>
          <w:p w14:paraId="79AB0AB0" w14:textId="77777777" w:rsidR="00446DBE" w:rsidRPr="00516368" w:rsidRDefault="00446DBE" w:rsidP="00813F71">
            <w:pPr>
              <w:rPr>
                <w:rFonts w:ascii="Arial" w:hAnsi="Arial" w:cs="Arial"/>
              </w:rPr>
            </w:pPr>
            <w:r w:rsidRPr="00516368">
              <w:rPr>
                <w:rFonts w:ascii="Arial" w:hAnsi="Arial" w:cs="Arial"/>
              </w:rPr>
              <w:t>A recent peer-reviewed journal article published in Brain. Highly relevant to early dementia detection and diagnostic innovation. Conducted by recognised neuroscience researchers using evidence-based methods.</w:t>
            </w:r>
          </w:p>
        </w:tc>
        <w:tc>
          <w:tcPr>
            <w:tcW w:w="0" w:type="auto"/>
            <w:hideMark/>
          </w:tcPr>
          <w:p w14:paraId="31C6067D" w14:textId="77777777" w:rsidR="00446DBE" w:rsidRPr="004547B1" w:rsidRDefault="00446DBE" w:rsidP="00813F71">
            <w:r w:rsidRPr="004547B1">
              <w:rPr>
                <w:b/>
                <w:bCs/>
              </w:rPr>
              <w:t>CRAAP Score:</w:t>
            </w:r>
            <w:r w:rsidRPr="004547B1">
              <w:t> 5/5</w:t>
            </w:r>
          </w:p>
        </w:tc>
      </w:tr>
      <w:tr w:rsidR="00446DBE" w14:paraId="5C79640D" w14:textId="77777777" w:rsidTr="00F7314C">
        <w:tc>
          <w:tcPr>
            <w:tcW w:w="1056" w:type="dxa"/>
          </w:tcPr>
          <w:p w14:paraId="62B3ACAB" w14:textId="77777777" w:rsidR="00446DBE" w:rsidRPr="004547B1" w:rsidRDefault="00446DBE" w:rsidP="00813F71">
            <w:pPr>
              <w:rPr>
                <w:b/>
                <w:bCs/>
              </w:rPr>
            </w:pPr>
            <w:r w:rsidRPr="004547B1">
              <w:rPr>
                <w:b/>
                <w:bCs/>
              </w:rPr>
              <w:t>Article 2</w:t>
            </w:r>
          </w:p>
        </w:tc>
        <w:tc>
          <w:tcPr>
            <w:tcW w:w="1466" w:type="dxa"/>
            <w:hideMark/>
          </w:tcPr>
          <w:p w14:paraId="21F3FBF5" w14:textId="77777777" w:rsidR="00446DBE" w:rsidRPr="00516368" w:rsidRDefault="00446DBE" w:rsidP="00813F71">
            <w:pPr>
              <w:rPr>
                <w:rFonts w:ascii="Arial" w:hAnsi="Arial" w:cs="Arial"/>
              </w:rPr>
            </w:pPr>
            <w:r w:rsidRPr="00516368">
              <w:rPr>
                <w:rFonts w:ascii="Arial" w:hAnsi="Arial" w:cs="Arial"/>
              </w:rPr>
              <w:t xml:space="preserve">Keshavan </w:t>
            </w:r>
            <w:r w:rsidRPr="00516368">
              <w:rPr>
                <w:rFonts w:ascii="Arial" w:hAnsi="Arial" w:cs="Arial"/>
                <w:i/>
                <w:iCs/>
              </w:rPr>
              <w:t>et</w:t>
            </w:r>
            <w:r w:rsidRPr="00516368">
              <w:rPr>
                <w:rFonts w:ascii="Arial" w:hAnsi="Arial" w:cs="Arial"/>
              </w:rPr>
              <w:t xml:space="preserve"> </w:t>
            </w:r>
            <w:r w:rsidRPr="00516368">
              <w:rPr>
                <w:rFonts w:ascii="Arial" w:hAnsi="Arial" w:cs="Arial"/>
                <w:i/>
                <w:iCs/>
              </w:rPr>
              <w:t>al.</w:t>
            </w:r>
            <w:r w:rsidRPr="00516368">
              <w:rPr>
                <w:rFonts w:ascii="Arial" w:hAnsi="Arial" w:cs="Arial"/>
              </w:rPr>
              <w:t xml:space="preserve"> (2021)</w:t>
            </w:r>
          </w:p>
        </w:tc>
        <w:tc>
          <w:tcPr>
            <w:tcW w:w="0" w:type="auto"/>
            <w:hideMark/>
          </w:tcPr>
          <w:p w14:paraId="2815A5B2" w14:textId="77777777" w:rsidR="00446DBE" w:rsidRPr="00516368" w:rsidRDefault="00446DBE" w:rsidP="00813F71">
            <w:pPr>
              <w:rPr>
                <w:rFonts w:ascii="Arial" w:hAnsi="Arial" w:cs="Arial"/>
              </w:rPr>
            </w:pPr>
            <w:r w:rsidRPr="00516368">
              <w:rPr>
                <w:rFonts w:ascii="Arial" w:hAnsi="Arial" w:cs="Arial"/>
              </w:rPr>
              <w:t>Population-based blood screening for preclinical Alzheimer’s disease in a British birth cohort at age 70.</w:t>
            </w:r>
          </w:p>
        </w:tc>
        <w:tc>
          <w:tcPr>
            <w:tcW w:w="0" w:type="auto"/>
            <w:hideMark/>
          </w:tcPr>
          <w:p w14:paraId="61826046" w14:textId="77777777" w:rsidR="00446DBE" w:rsidRPr="00516368" w:rsidRDefault="00446DBE" w:rsidP="00813F71">
            <w:pPr>
              <w:rPr>
                <w:rFonts w:ascii="Arial" w:hAnsi="Arial" w:cs="Arial"/>
              </w:rPr>
            </w:pPr>
            <w:r w:rsidRPr="00516368">
              <w:rPr>
                <w:rFonts w:ascii="Arial" w:hAnsi="Arial" w:cs="Arial"/>
              </w:rPr>
              <w:t xml:space="preserve">This study compared different blood-based techniques to detect brain amyloid positivity. It found that mass spectrometry measures of plasma amyloid-β significantly outperformed other blood tests and a clinical model (age, sex, APOE), offering a potential screening method to </w:t>
            </w:r>
            <w:r w:rsidRPr="00516368">
              <w:rPr>
                <w:rFonts w:ascii="Arial" w:hAnsi="Arial" w:cs="Arial"/>
              </w:rPr>
              <w:lastRenderedPageBreak/>
              <w:t>reduce the need for costly PET scans for preclinical Alzheimer's.</w:t>
            </w:r>
          </w:p>
        </w:tc>
        <w:tc>
          <w:tcPr>
            <w:tcW w:w="0" w:type="auto"/>
            <w:hideMark/>
          </w:tcPr>
          <w:p w14:paraId="61B449A0" w14:textId="77777777" w:rsidR="00446DBE" w:rsidRPr="00516368" w:rsidRDefault="00446DBE" w:rsidP="00813F71">
            <w:pPr>
              <w:rPr>
                <w:rFonts w:ascii="Arial" w:hAnsi="Arial" w:cs="Arial"/>
              </w:rPr>
            </w:pPr>
            <w:r w:rsidRPr="00516368">
              <w:rPr>
                <w:rFonts w:ascii="Arial" w:hAnsi="Arial" w:cs="Arial"/>
              </w:rPr>
              <w:lastRenderedPageBreak/>
              <w:t>Blood Biomarker; Mass Spectrometry; Amyloid-beta; Preclinical Alzheimer's Disease; PET; Screening; Insight 46</w:t>
            </w:r>
          </w:p>
        </w:tc>
      </w:tr>
      <w:tr w:rsidR="00446DBE" w14:paraId="098DD3F7" w14:textId="77777777" w:rsidTr="00F7314C">
        <w:tc>
          <w:tcPr>
            <w:tcW w:w="1056" w:type="dxa"/>
          </w:tcPr>
          <w:p w14:paraId="38003A43" w14:textId="77777777" w:rsidR="00446DBE" w:rsidRPr="004547B1" w:rsidRDefault="00446DBE" w:rsidP="00813F71">
            <w:pPr>
              <w:rPr>
                <w:b/>
                <w:bCs/>
              </w:rPr>
            </w:pPr>
            <w:r w:rsidRPr="004547B1">
              <w:rPr>
                <w:b/>
                <w:bCs/>
              </w:rPr>
              <w:t>CRAAP Notes</w:t>
            </w:r>
          </w:p>
        </w:tc>
        <w:tc>
          <w:tcPr>
            <w:tcW w:w="9996" w:type="dxa"/>
            <w:gridSpan w:val="3"/>
            <w:hideMark/>
          </w:tcPr>
          <w:p w14:paraId="7BC7F99F" w14:textId="77777777" w:rsidR="00446DBE" w:rsidRPr="004E2147" w:rsidRDefault="00446DBE" w:rsidP="00813F71">
            <w:pPr>
              <w:rPr>
                <w:rFonts w:ascii="Arial" w:hAnsi="Arial" w:cs="Arial"/>
              </w:rPr>
            </w:pPr>
            <w:r w:rsidRPr="004E2147">
              <w:rPr>
                <w:rFonts w:ascii="Arial" w:hAnsi="Arial" w:cs="Arial"/>
              </w:rPr>
              <w:t>Published in a high-impact neurology journal and based on a large UK cohort. Directly relevant to dementia risk prediction and screening. Evidence is statistically robust and current.</w:t>
            </w:r>
          </w:p>
        </w:tc>
        <w:tc>
          <w:tcPr>
            <w:tcW w:w="0" w:type="auto"/>
            <w:hideMark/>
          </w:tcPr>
          <w:p w14:paraId="41C04E6F" w14:textId="77777777" w:rsidR="00446DBE" w:rsidRPr="004E2147" w:rsidRDefault="00446DBE" w:rsidP="00813F71">
            <w:pPr>
              <w:rPr>
                <w:rFonts w:ascii="Arial" w:hAnsi="Arial" w:cs="Arial"/>
              </w:rPr>
            </w:pPr>
            <w:r w:rsidRPr="004E2147">
              <w:rPr>
                <w:rFonts w:ascii="Arial" w:hAnsi="Arial" w:cs="Arial"/>
                <w:b/>
                <w:bCs/>
              </w:rPr>
              <w:t>CRAAP Score:</w:t>
            </w:r>
            <w:r w:rsidRPr="004E2147">
              <w:rPr>
                <w:rFonts w:ascii="Arial" w:hAnsi="Arial" w:cs="Arial"/>
              </w:rPr>
              <w:t> 5/5</w:t>
            </w:r>
          </w:p>
        </w:tc>
      </w:tr>
      <w:tr w:rsidR="00446DBE" w14:paraId="095A993A" w14:textId="77777777" w:rsidTr="00F7314C">
        <w:tc>
          <w:tcPr>
            <w:tcW w:w="1056" w:type="dxa"/>
          </w:tcPr>
          <w:p w14:paraId="210963D4" w14:textId="77777777" w:rsidR="00446DBE" w:rsidRPr="004547B1" w:rsidRDefault="00446DBE" w:rsidP="00813F71">
            <w:pPr>
              <w:rPr>
                <w:b/>
                <w:bCs/>
              </w:rPr>
            </w:pPr>
            <w:r w:rsidRPr="004547B1">
              <w:rPr>
                <w:b/>
                <w:bCs/>
              </w:rPr>
              <w:t>Article 3</w:t>
            </w:r>
          </w:p>
        </w:tc>
        <w:tc>
          <w:tcPr>
            <w:tcW w:w="1466" w:type="dxa"/>
            <w:hideMark/>
          </w:tcPr>
          <w:p w14:paraId="00477F3B" w14:textId="77777777" w:rsidR="00446DBE" w:rsidRPr="004E2147" w:rsidRDefault="00446DBE" w:rsidP="00813F71">
            <w:pPr>
              <w:rPr>
                <w:rFonts w:ascii="Arial" w:hAnsi="Arial" w:cs="Arial"/>
              </w:rPr>
            </w:pPr>
            <w:proofErr w:type="spellStart"/>
            <w:r w:rsidRPr="004E2147">
              <w:rPr>
                <w:rFonts w:ascii="Arial" w:hAnsi="Arial" w:cs="Arial"/>
              </w:rPr>
              <w:t>Ereira</w:t>
            </w:r>
            <w:proofErr w:type="spellEnd"/>
            <w:r w:rsidRPr="004E2147">
              <w:rPr>
                <w:rFonts w:ascii="Arial" w:hAnsi="Arial" w:cs="Arial"/>
              </w:rPr>
              <w:t xml:space="preserve"> </w:t>
            </w:r>
            <w:r w:rsidRPr="004E2147">
              <w:rPr>
                <w:rFonts w:ascii="Arial" w:hAnsi="Arial" w:cs="Arial"/>
                <w:i/>
                <w:iCs/>
              </w:rPr>
              <w:t>et al</w:t>
            </w:r>
            <w:r w:rsidRPr="004E2147">
              <w:rPr>
                <w:rFonts w:ascii="Arial" w:hAnsi="Arial" w:cs="Arial"/>
              </w:rPr>
              <w:t>. (2024)</w:t>
            </w:r>
          </w:p>
        </w:tc>
        <w:tc>
          <w:tcPr>
            <w:tcW w:w="0" w:type="auto"/>
            <w:hideMark/>
          </w:tcPr>
          <w:p w14:paraId="51E8AB49" w14:textId="77777777" w:rsidR="00446DBE" w:rsidRPr="004E2147" w:rsidRDefault="00446DBE" w:rsidP="00813F71">
            <w:pPr>
              <w:rPr>
                <w:rFonts w:ascii="Arial" w:hAnsi="Arial" w:cs="Arial"/>
              </w:rPr>
            </w:pPr>
            <w:r w:rsidRPr="004E2147">
              <w:rPr>
                <w:rFonts w:ascii="Arial" w:hAnsi="Arial" w:cs="Arial"/>
              </w:rPr>
              <w:t>Early detection of dementia with default-mode network effective connectivity.</w:t>
            </w:r>
          </w:p>
        </w:tc>
        <w:tc>
          <w:tcPr>
            <w:tcW w:w="0" w:type="auto"/>
            <w:hideMark/>
          </w:tcPr>
          <w:p w14:paraId="65FFF9D8" w14:textId="7B0209F1" w:rsidR="00446DBE" w:rsidRPr="004E2147" w:rsidRDefault="00446DBE" w:rsidP="00813F71">
            <w:pPr>
              <w:rPr>
                <w:rFonts w:ascii="Arial" w:hAnsi="Arial" w:cs="Arial"/>
              </w:rPr>
            </w:pPr>
            <w:r w:rsidRPr="004E2147">
              <w:rPr>
                <w:rFonts w:ascii="Arial" w:hAnsi="Arial" w:cs="Arial"/>
              </w:rPr>
              <w:t xml:space="preserve">Using resting-state fMRI data from </w:t>
            </w:r>
            <w:r w:rsidR="00D151A9">
              <w:rPr>
                <w:rFonts w:ascii="Arial" w:hAnsi="Arial" w:cs="Arial"/>
              </w:rPr>
              <w:t xml:space="preserve">the </w:t>
            </w:r>
            <w:r w:rsidRPr="004E2147">
              <w:rPr>
                <w:rFonts w:ascii="Arial" w:hAnsi="Arial" w:cs="Arial"/>
              </w:rPr>
              <w:t>UK Biobank, this study found that a model of effective connectivity (dysconnectivity) within the brain's default-mode network could predict a future dementia diagnosis up to nine years in advance (AUC = 0.82), outperforming models based on brain structure or functional connectivity.</w:t>
            </w:r>
          </w:p>
        </w:tc>
        <w:tc>
          <w:tcPr>
            <w:tcW w:w="0" w:type="auto"/>
            <w:hideMark/>
          </w:tcPr>
          <w:p w14:paraId="2820B208" w14:textId="77777777" w:rsidR="00446DBE" w:rsidRPr="004E2147" w:rsidRDefault="00446DBE" w:rsidP="00813F71">
            <w:pPr>
              <w:rPr>
                <w:rFonts w:ascii="Arial" w:hAnsi="Arial" w:cs="Arial"/>
              </w:rPr>
            </w:pPr>
            <w:r w:rsidRPr="004E2147">
              <w:rPr>
                <w:rFonts w:ascii="Arial" w:hAnsi="Arial" w:cs="Arial"/>
              </w:rPr>
              <w:t>fMRI; Default Mode Network; Effective Connectivity; Dementia Prediction; UK Biobank; Early Detection; Polygenic Risk</w:t>
            </w:r>
          </w:p>
        </w:tc>
      </w:tr>
      <w:tr w:rsidR="00446DBE" w14:paraId="2EC1C21F" w14:textId="77777777" w:rsidTr="00F7314C">
        <w:tc>
          <w:tcPr>
            <w:tcW w:w="1056" w:type="dxa"/>
          </w:tcPr>
          <w:p w14:paraId="73B50203" w14:textId="77777777" w:rsidR="00446DBE" w:rsidRPr="004547B1" w:rsidRDefault="00446DBE" w:rsidP="00813F71">
            <w:pPr>
              <w:rPr>
                <w:b/>
                <w:bCs/>
              </w:rPr>
            </w:pPr>
            <w:r w:rsidRPr="004547B1">
              <w:rPr>
                <w:b/>
                <w:bCs/>
              </w:rPr>
              <w:t>CRAAP Notes</w:t>
            </w:r>
          </w:p>
        </w:tc>
        <w:tc>
          <w:tcPr>
            <w:tcW w:w="9996" w:type="dxa"/>
            <w:gridSpan w:val="3"/>
            <w:hideMark/>
          </w:tcPr>
          <w:p w14:paraId="021B12EC" w14:textId="77777777" w:rsidR="00446DBE" w:rsidRPr="004E2147" w:rsidRDefault="00446DBE" w:rsidP="00813F71">
            <w:pPr>
              <w:rPr>
                <w:rFonts w:ascii="Arial" w:hAnsi="Arial" w:cs="Arial"/>
              </w:rPr>
            </w:pPr>
            <w:r w:rsidRPr="004E2147">
              <w:rPr>
                <w:rFonts w:ascii="Arial" w:hAnsi="Arial" w:cs="Arial"/>
              </w:rPr>
              <w:t>Very recent article from Nature Mental Health. Strong methodological quality with UK Biobank data. Highly relevant for predictive neuroscience approaches in dementia.</w:t>
            </w:r>
          </w:p>
        </w:tc>
        <w:tc>
          <w:tcPr>
            <w:tcW w:w="0" w:type="auto"/>
            <w:hideMark/>
          </w:tcPr>
          <w:p w14:paraId="63B19584" w14:textId="77777777" w:rsidR="00446DBE" w:rsidRPr="004E2147" w:rsidRDefault="00446DBE" w:rsidP="00813F71">
            <w:pPr>
              <w:rPr>
                <w:rFonts w:ascii="Arial" w:hAnsi="Arial" w:cs="Arial"/>
              </w:rPr>
            </w:pPr>
            <w:r w:rsidRPr="004E2147">
              <w:rPr>
                <w:rFonts w:ascii="Arial" w:hAnsi="Arial" w:cs="Arial"/>
                <w:b/>
                <w:bCs/>
              </w:rPr>
              <w:t>CRAAP Score:</w:t>
            </w:r>
            <w:r w:rsidRPr="004E2147">
              <w:rPr>
                <w:rFonts w:ascii="Arial" w:hAnsi="Arial" w:cs="Arial"/>
              </w:rPr>
              <w:t> 5/5</w:t>
            </w:r>
          </w:p>
        </w:tc>
      </w:tr>
      <w:tr w:rsidR="00446DBE" w14:paraId="216278F6" w14:textId="77777777" w:rsidTr="00F7314C">
        <w:tc>
          <w:tcPr>
            <w:tcW w:w="1056" w:type="dxa"/>
          </w:tcPr>
          <w:p w14:paraId="5A40EF95" w14:textId="77777777" w:rsidR="00446DBE" w:rsidRPr="004547B1" w:rsidRDefault="00446DBE" w:rsidP="00813F71">
            <w:pPr>
              <w:rPr>
                <w:b/>
                <w:bCs/>
              </w:rPr>
            </w:pPr>
            <w:r w:rsidRPr="004547B1">
              <w:rPr>
                <w:b/>
                <w:bCs/>
              </w:rPr>
              <w:t>Article 4</w:t>
            </w:r>
          </w:p>
        </w:tc>
        <w:tc>
          <w:tcPr>
            <w:tcW w:w="1466" w:type="dxa"/>
            <w:hideMark/>
          </w:tcPr>
          <w:p w14:paraId="08341C8C" w14:textId="77777777" w:rsidR="00446DBE" w:rsidRPr="004E2147" w:rsidRDefault="00446DBE" w:rsidP="00813F71">
            <w:pPr>
              <w:rPr>
                <w:rFonts w:ascii="Arial" w:hAnsi="Arial" w:cs="Arial"/>
              </w:rPr>
            </w:pPr>
            <w:r w:rsidRPr="004E2147">
              <w:rPr>
                <w:rFonts w:ascii="Arial" w:hAnsi="Arial" w:cs="Arial"/>
              </w:rPr>
              <w:t xml:space="preserve">Creavin </w:t>
            </w:r>
            <w:r w:rsidRPr="004E2147">
              <w:rPr>
                <w:rFonts w:ascii="Arial" w:hAnsi="Arial" w:cs="Arial"/>
                <w:i/>
                <w:iCs/>
              </w:rPr>
              <w:t>et al</w:t>
            </w:r>
            <w:r w:rsidRPr="004E2147">
              <w:rPr>
                <w:rFonts w:ascii="Arial" w:hAnsi="Arial" w:cs="Arial"/>
              </w:rPr>
              <w:t>. (2021)</w:t>
            </w:r>
          </w:p>
        </w:tc>
        <w:tc>
          <w:tcPr>
            <w:tcW w:w="0" w:type="auto"/>
            <w:hideMark/>
          </w:tcPr>
          <w:p w14:paraId="5237CC2C" w14:textId="77777777" w:rsidR="00446DBE" w:rsidRPr="004E2147" w:rsidRDefault="00446DBE" w:rsidP="00813F71">
            <w:pPr>
              <w:rPr>
                <w:rFonts w:ascii="Arial" w:hAnsi="Arial" w:cs="Arial"/>
              </w:rPr>
            </w:pPr>
            <w:r w:rsidRPr="004E2147">
              <w:rPr>
                <w:rFonts w:ascii="Arial" w:hAnsi="Arial" w:cs="Arial"/>
              </w:rPr>
              <w:t>Clinical judgment of GPs for the diagnosis of dementia: a diagnostic test accuracy study.</w:t>
            </w:r>
          </w:p>
        </w:tc>
        <w:tc>
          <w:tcPr>
            <w:tcW w:w="0" w:type="auto"/>
            <w:hideMark/>
          </w:tcPr>
          <w:p w14:paraId="41A09F5B" w14:textId="77777777" w:rsidR="00446DBE" w:rsidRPr="004E2147" w:rsidRDefault="00446DBE" w:rsidP="00813F71">
            <w:pPr>
              <w:rPr>
                <w:rFonts w:ascii="Arial" w:hAnsi="Arial" w:cs="Arial"/>
              </w:rPr>
            </w:pPr>
            <w:r w:rsidRPr="004E2147">
              <w:rPr>
                <w:rFonts w:ascii="Arial" w:hAnsi="Arial" w:cs="Arial"/>
              </w:rPr>
              <w:t>This study assessed the accuracy of GP clinical judgment for diagnosing dementia. The research found that a GP's judgment was highly specific (89%)—meaning if a GP says a patient has dementia, it is likely correct—but had low sensitivity (56%)—meaning it would miss many actual dementia cases.</w:t>
            </w:r>
          </w:p>
        </w:tc>
        <w:tc>
          <w:tcPr>
            <w:tcW w:w="0" w:type="auto"/>
            <w:hideMark/>
          </w:tcPr>
          <w:p w14:paraId="4A0E4B10" w14:textId="77777777" w:rsidR="00446DBE" w:rsidRPr="004E2147" w:rsidRDefault="00446DBE" w:rsidP="00813F71">
            <w:pPr>
              <w:rPr>
                <w:rFonts w:ascii="Arial" w:hAnsi="Arial" w:cs="Arial"/>
              </w:rPr>
            </w:pPr>
            <w:r w:rsidRPr="004E2147">
              <w:rPr>
                <w:rFonts w:ascii="Arial" w:hAnsi="Arial" w:cs="Arial"/>
              </w:rPr>
              <w:t>General Practitioner; GP Clinical Judgment; Dementia Diagnosis; Diagnostic Accuracy; Primary Care; Sensitivity and Specificity</w:t>
            </w:r>
          </w:p>
        </w:tc>
      </w:tr>
      <w:tr w:rsidR="00446DBE" w14:paraId="5B52F5FE" w14:textId="77777777" w:rsidTr="00F7314C">
        <w:tc>
          <w:tcPr>
            <w:tcW w:w="1056" w:type="dxa"/>
          </w:tcPr>
          <w:p w14:paraId="59C7282B" w14:textId="77777777" w:rsidR="00446DBE" w:rsidRPr="004547B1" w:rsidRDefault="00446DBE" w:rsidP="00813F71">
            <w:pPr>
              <w:rPr>
                <w:b/>
                <w:bCs/>
              </w:rPr>
            </w:pPr>
            <w:r w:rsidRPr="004547B1">
              <w:rPr>
                <w:b/>
                <w:bCs/>
              </w:rPr>
              <w:lastRenderedPageBreak/>
              <w:t>CRAAP Notes</w:t>
            </w:r>
          </w:p>
        </w:tc>
        <w:tc>
          <w:tcPr>
            <w:tcW w:w="9996" w:type="dxa"/>
            <w:gridSpan w:val="3"/>
            <w:hideMark/>
          </w:tcPr>
          <w:p w14:paraId="485CD94E" w14:textId="77777777" w:rsidR="00446DBE" w:rsidRPr="004E2147" w:rsidRDefault="00446DBE" w:rsidP="00813F71">
            <w:pPr>
              <w:rPr>
                <w:rFonts w:ascii="Arial" w:hAnsi="Arial" w:cs="Arial"/>
              </w:rPr>
            </w:pPr>
            <w:r w:rsidRPr="004E2147">
              <w:rPr>
                <w:rFonts w:ascii="Arial" w:hAnsi="Arial" w:cs="Arial"/>
              </w:rPr>
              <w:t>Peer-reviewed UK primary care study with clear diagnostic methodology. Relevant for examining the role of GPs in dementia diagnosis. Findings are evidence-based and applicable to healthcare practice.</w:t>
            </w:r>
          </w:p>
        </w:tc>
        <w:tc>
          <w:tcPr>
            <w:tcW w:w="0" w:type="auto"/>
            <w:hideMark/>
          </w:tcPr>
          <w:p w14:paraId="2D095D74" w14:textId="77777777" w:rsidR="00446DBE" w:rsidRPr="004547B1" w:rsidRDefault="00446DBE" w:rsidP="00813F71">
            <w:r w:rsidRPr="004547B1">
              <w:rPr>
                <w:b/>
                <w:bCs/>
              </w:rPr>
              <w:t>CRAAP Score:</w:t>
            </w:r>
            <w:r w:rsidRPr="004547B1">
              <w:t> 5/5</w:t>
            </w:r>
          </w:p>
        </w:tc>
      </w:tr>
      <w:tr w:rsidR="00446DBE" w14:paraId="7D2B55DD" w14:textId="77777777" w:rsidTr="00F7314C">
        <w:tc>
          <w:tcPr>
            <w:tcW w:w="1056" w:type="dxa"/>
          </w:tcPr>
          <w:p w14:paraId="18B3FCB9" w14:textId="77777777" w:rsidR="00446DBE" w:rsidRPr="004547B1" w:rsidRDefault="00446DBE" w:rsidP="00813F71">
            <w:pPr>
              <w:rPr>
                <w:b/>
                <w:bCs/>
              </w:rPr>
            </w:pPr>
            <w:r w:rsidRPr="004547B1">
              <w:rPr>
                <w:b/>
                <w:bCs/>
              </w:rPr>
              <w:t>Article 5</w:t>
            </w:r>
          </w:p>
        </w:tc>
        <w:tc>
          <w:tcPr>
            <w:tcW w:w="1466" w:type="dxa"/>
            <w:hideMark/>
          </w:tcPr>
          <w:p w14:paraId="4BF30AD1" w14:textId="77777777" w:rsidR="00446DBE" w:rsidRPr="004E2147" w:rsidRDefault="00446DBE" w:rsidP="00813F71">
            <w:pPr>
              <w:rPr>
                <w:rFonts w:ascii="Arial" w:hAnsi="Arial" w:cs="Arial"/>
              </w:rPr>
            </w:pPr>
            <w:r w:rsidRPr="004E2147">
              <w:rPr>
                <w:rFonts w:ascii="Arial" w:hAnsi="Arial" w:cs="Arial"/>
              </w:rPr>
              <w:t xml:space="preserve">Creavin </w:t>
            </w:r>
            <w:r w:rsidRPr="004E2147">
              <w:rPr>
                <w:rFonts w:ascii="Arial" w:hAnsi="Arial" w:cs="Arial"/>
                <w:i/>
                <w:iCs/>
              </w:rPr>
              <w:t>et</w:t>
            </w:r>
            <w:r w:rsidRPr="004E2147">
              <w:rPr>
                <w:rFonts w:ascii="Arial" w:hAnsi="Arial" w:cs="Arial"/>
              </w:rPr>
              <w:t xml:space="preserve"> </w:t>
            </w:r>
            <w:r w:rsidRPr="004E2147">
              <w:rPr>
                <w:rFonts w:ascii="Arial" w:hAnsi="Arial" w:cs="Arial"/>
                <w:i/>
                <w:iCs/>
              </w:rPr>
              <w:t>al.</w:t>
            </w:r>
            <w:r w:rsidRPr="004E2147">
              <w:rPr>
                <w:rFonts w:ascii="Arial" w:hAnsi="Arial" w:cs="Arial"/>
              </w:rPr>
              <w:t xml:space="preserve"> (2023)</w:t>
            </w:r>
          </w:p>
        </w:tc>
        <w:tc>
          <w:tcPr>
            <w:tcW w:w="0" w:type="auto"/>
            <w:hideMark/>
          </w:tcPr>
          <w:p w14:paraId="45F2C3F3" w14:textId="3F1DBCF9" w:rsidR="00446DBE" w:rsidRPr="004E2147" w:rsidRDefault="00446DBE" w:rsidP="00813F71">
            <w:pPr>
              <w:rPr>
                <w:rFonts w:ascii="Arial" w:hAnsi="Arial" w:cs="Arial"/>
              </w:rPr>
            </w:pPr>
            <w:r w:rsidRPr="004E2147">
              <w:rPr>
                <w:rFonts w:ascii="Arial" w:hAnsi="Arial" w:cs="Arial"/>
              </w:rPr>
              <w:t>A diagnostic test accuracy study investigating general practitioner clinical impression and brief cognitive assessments for dementia in primary care, compared to speciali</w:t>
            </w:r>
            <w:r w:rsidR="00692DA1" w:rsidRPr="004E2147">
              <w:rPr>
                <w:rFonts w:ascii="Arial" w:hAnsi="Arial" w:cs="Arial"/>
              </w:rPr>
              <w:t>s</w:t>
            </w:r>
            <w:r w:rsidRPr="004E2147">
              <w:rPr>
                <w:rFonts w:ascii="Arial" w:hAnsi="Arial" w:cs="Arial"/>
              </w:rPr>
              <w:t>ed assessment.</w:t>
            </w:r>
          </w:p>
        </w:tc>
        <w:tc>
          <w:tcPr>
            <w:tcW w:w="0" w:type="auto"/>
            <w:hideMark/>
          </w:tcPr>
          <w:p w14:paraId="0D541AD2" w14:textId="77777777" w:rsidR="00446DBE" w:rsidRPr="004E2147" w:rsidRDefault="00446DBE" w:rsidP="00813F71">
            <w:pPr>
              <w:rPr>
                <w:rFonts w:ascii="Arial" w:hAnsi="Arial" w:cs="Arial"/>
              </w:rPr>
            </w:pPr>
            <w:r w:rsidRPr="004E2147">
              <w:rPr>
                <w:rFonts w:ascii="Arial" w:hAnsi="Arial" w:cs="Arial"/>
              </w:rPr>
              <w:t>This study compared the accuracy of 16 brief cognitive tests and GP judgment for dementia in primary care. It found that brief tests like the MoCA were highly sensitive but not specific, while combining tests with GP judgment improved specificity. The study proposed an efficient, time-saving diagnostic strategy for primary care.</w:t>
            </w:r>
          </w:p>
        </w:tc>
        <w:tc>
          <w:tcPr>
            <w:tcW w:w="0" w:type="auto"/>
            <w:hideMark/>
          </w:tcPr>
          <w:p w14:paraId="6E95A016" w14:textId="77777777" w:rsidR="00446DBE" w:rsidRPr="004E2147" w:rsidRDefault="00446DBE" w:rsidP="00813F71">
            <w:pPr>
              <w:rPr>
                <w:rFonts w:ascii="Arial" w:hAnsi="Arial" w:cs="Arial"/>
              </w:rPr>
            </w:pPr>
            <w:r w:rsidRPr="004E2147">
              <w:rPr>
                <w:rFonts w:ascii="Arial" w:hAnsi="Arial" w:cs="Arial"/>
              </w:rPr>
              <w:t>Primary Care; Dementia Diagnosis; Cognitive Tests (MoCA, 6CIT); GP Judgement; Diagnostic Test Accuracy; Screening</w:t>
            </w:r>
          </w:p>
        </w:tc>
      </w:tr>
      <w:tr w:rsidR="00446DBE" w14:paraId="52E7DEA6" w14:textId="77777777" w:rsidTr="00F7314C">
        <w:tc>
          <w:tcPr>
            <w:tcW w:w="1056" w:type="dxa"/>
          </w:tcPr>
          <w:p w14:paraId="0289F274" w14:textId="77777777" w:rsidR="00446DBE" w:rsidRPr="004547B1" w:rsidRDefault="00446DBE" w:rsidP="00813F71">
            <w:pPr>
              <w:rPr>
                <w:b/>
                <w:bCs/>
              </w:rPr>
            </w:pPr>
            <w:r w:rsidRPr="004547B1">
              <w:rPr>
                <w:b/>
                <w:bCs/>
              </w:rPr>
              <w:t>CRAAP Notes</w:t>
            </w:r>
          </w:p>
        </w:tc>
        <w:tc>
          <w:tcPr>
            <w:tcW w:w="9996" w:type="dxa"/>
            <w:gridSpan w:val="3"/>
            <w:hideMark/>
          </w:tcPr>
          <w:p w14:paraId="012706AA" w14:textId="77777777" w:rsidR="00446DBE" w:rsidRPr="004E2147" w:rsidRDefault="00446DBE" w:rsidP="00813F71">
            <w:pPr>
              <w:rPr>
                <w:rFonts w:ascii="Arial" w:hAnsi="Arial" w:cs="Arial"/>
              </w:rPr>
            </w:pPr>
            <w:r w:rsidRPr="004E2147">
              <w:rPr>
                <w:rFonts w:ascii="Arial" w:hAnsi="Arial" w:cs="Arial"/>
              </w:rPr>
              <w:t>Recent and highly relevant diagnostic accuracy research. Conducted in UK primary care settings with specialist comparison standards. Reliable evidence for clinical assessment practices.</w:t>
            </w:r>
          </w:p>
        </w:tc>
        <w:tc>
          <w:tcPr>
            <w:tcW w:w="0" w:type="auto"/>
            <w:hideMark/>
          </w:tcPr>
          <w:p w14:paraId="513755EA" w14:textId="77777777" w:rsidR="00446DBE" w:rsidRPr="004547B1" w:rsidRDefault="00446DBE" w:rsidP="00813F71">
            <w:r w:rsidRPr="004547B1">
              <w:rPr>
                <w:b/>
                <w:bCs/>
              </w:rPr>
              <w:t>CRAAP Score:</w:t>
            </w:r>
            <w:r w:rsidRPr="004547B1">
              <w:t> 5/5</w:t>
            </w:r>
          </w:p>
        </w:tc>
      </w:tr>
      <w:tr w:rsidR="00446DBE" w14:paraId="30C9321E" w14:textId="77777777" w:rsidTr="00F7314C">
        <w:tc>
          <w:tcPr>
            <w:tcW w:w="1056" w:type="dxa"/>
          </w:tcPr>
          <w:p w14:paraId="24555B93" w14:textId="77777777" w:rsidR="00446DBE" w:rsidRPr="004547B1" w:rsidRDefault="00446DBE" w:rsidP="00813F71">
            <w:pPr>
              <w:rPr>
                <w:b/>
                <w:bCs/>
              </w:rPr>
            </w:pPr>
            <w:r w:rsidRPr="004547B1">
              <w:rPr>
                <w:b/>
                <w:bCs/>
              </w:rPr>
              <w:t>Article 6</w:t>
            </w:r>
          </w:p>
        </w:tc>
        <w:tc>
          <w:tcPr>
            <w:tcW w:w="1466" w:type="dxa"/>
            <w:hideMark/>
          </w:tcPr>
          <w:p w14:paraId="79A6E500" w14:textId="77777777" w:rsidR="00446DBE" w:rsidRPr="004E2147" w:rsidRDefault="00446DBE" w:rsidP="00813F71">
            <w:pPr>
              <w:rPr>
                <w:rFonts w:ascii="Arial" w:hAnsi="Arial" w:cs="Arial"/>
              </w:rPr>
            </w:pPr>
            <w:r w:rsidRPr="004E2147">
              <w:rPr>
                <w:rFonts w:ascii="Arial" w:hAnsi="Arial" w:cs="Arial"/>
              </w:rPr>
              <w:t xml:space="preserve">Chingono </w:t>
            </w:r>
            <w:r w:rsidRPr="004E2147">
              <w:rPr>
                <w:rFonts w:ascii="Arial" w:hAnsi="Arial" w:cs="Arial"/>
                <w:i/>
                <w:iCs/>
              </w:rPr>
              <w:t>et</w:t>
            </w:r>
            <w:r w:rsidRPr="004E2147">
              <w:rPr>
                <w:rFonts w:ascii="Arial" w:hAnsi="Arial" w:cs="Arial"/>
              </w:rPr>
              <w:t xml:space="preserve"> </w:t>
            </w:r>
            <w:r w:rsidRPr="004E2147">
              <w:rPr>
                <w:rFonts w:ascii="Arial" w:hAnsi="Arial" w:cs="Arial"/>
                <w:i/>
                <w:iCs/>
              </w:rPr>
              <w:t>al.</w:t>
            </w:r>
            <w:r w:rsidRPr="004E2147">
              <w:rPr>
                <w:rFonts w:ascii="Arial" w:hAnsi="Arial" w:cs="Arial"/>
              </w:rPr>
              <w:t xml:space="preserve"> (2025)</w:t>
            </w:r>
          </w:p>
        </w:tc>
        <w:tc>
          <w:tcPr>
            <w:tcW w:w="0" w:type="auto"/>
            <w:hideMark/>
          </w:tcPr>
          <w:p w14:paraId="12AC1F99" w14:textId="77777777" w:rsidR="00446DBE" w:rsidRPr="004E2147" w:rsidRDefault="00446DBE" w:rsidP="00813F71">
            <w:pPr>
              <w:rPr>
                <w:rFonts w:ascii="Arial" w:hAnsi="Arial" w:cs="Arial"/>
              </w:rPr>
            </w:pPr>
            <w:r w:rsidRPr="004E2147">
              <w:rPr>
                <w:rFonts w:ascii="Arial" w:hAnsi="Arial" w:cs="Arial"/>
              </w:rPr>
              <w:t>Informant accuracy of IQCODE, AD8 and GPCOGi for diagnosis of dementia: does your friend know best?</w:t>
            </w:r>
          </w:p>
        </w:tc>
        <w:tc>
          <w:tcPr>
            <w:tcW w:w="0" w:type="auto"/>
            <w:hideMark/>
          </w:tcPr>
          <w:p w14:paraId="7044E7F4" w14:textId="77777777" w:rsidR="00446DBE" w:rsidRPr="004E2147" w:rsidRDefault="00446DBE" w:rsidP="00813F71">
            <w:pPr>
              <w:rPr>
                <w:rFonts w:ascii="Arial" w:hAnsi="Arial" w:cs="Arial"/>
              </w:rPr>
            </w:pPr>
            <w:r w:rsidRPr="004E2147">
              <w:rPr>
                <w:rFonts w:ascii="Arial" w:hAnsi="Arial" w:cs="Arial"/>
              </w:rPr>
              <w:t>This study investigated whether the accuracy of informant questionnaires (IQCODE, AD8, GPCOGi) for dementia diagnosis differs based on the informant's relationship to the patient. It found that while all informant types were useful for ruling </w:t>
            </w:r>
            <w:r w:rsidRPr="004E2147">
              <w:rPr>
                <w:rFonts w:ascii="Arial" w:hAnsi="Arial" w:cs="Arial"/>
                <w:i/>
                <w:iCs/>
              </w:rPr>
              <w:t>out</w:t>
            </w:r>
            <w:r w:rsidRPr="004E2147">
              <w:rPr>
                <w:rFonts w:ascii="Arial" w:hAnsi="Arial" w:cs="Arial"/>
              </w:rPr>
              <w:t> dementia, friends had significantly higher specificity (fewer false positives) than spouses or adult descendants.</w:t>
            </w:r>
          </w:p>
        </w:tc>
        <w:tc>
          <w:tcPr>
            <w:tcW w:w="0" w:type="auto"/>
            <w:hideMark/>
          </w:tcPr>
          <w:p w14:paraId="1E835E66" w14:textId="77777777" w:rsidR="00446DBE" w:rsidRPr="004E2147" w:rsidRDefault="00446DBE" w:rsidP="00813F71">
            <w:pPr>
              <w:rPr>
                <w:rFonts w:ascii="Arial" w:hAnsi="Arial" w:cs="Arial"/>
              </w:rPr>
            </w:pPr>
            <w:r w:rsidRPr="004E2147">
              <w:rPr>
                <w:rFonts w:ascii="Arial" w:hAnsi="Arial" w:cs="Arial"/>
              </w:rPr>
              <w:t>Informant Report; IQCODE; AD8; GPCOG; Dementia Diagnosis; Primary Care; Spouse vs. Child vs. Friend</w:t>
            </w:r>
          </w:p>
        </w:tc>
      </w:tr>
      <w:tr w:rsidR="00446DBE" w14:paraId="191D347C" w14:textId="77777777" w:rsidTr="00F7314C">
        <w:tc>
          <w:tcPr>
            <w:tcW w:w="1056" w:type="dxa"/>
          </w:tcPr>
          <w:p w14:paraId="3194722E" w14:textId="77777777" w:rsidR="00446DBE" w:rsidRPr="004547B1" w:rsidRDefault="00446DBE" w:rsidP="00813F71">
            <w:pPr>
              <w:rPr>
                <w:b/>
                <w:bCs/>
              </w:rPr>
            </w:pPr>
            <w:r w:rsidRPr="004547B1">
              <w:rPr>
                <w:b/>
                <w:bCs/>
              </w:rPr>
              <w:t>CRAAP Notes</w:t>
            </w:r>
          </w:p>
        </w:tc>
        <w:tc>
          <w:tcPr>
            <w:tcW w:w="9996" w:type="dxa"/>
            <w:gridSpan w:val="3"/>
            <w:hideMark/>
          </w:tcPr>
          <w:p w14:paraId="26ED1AEA" w14:textId="77777777" w:rsidR="00446DBE" w:rsidRPr="004E2147" w:rsidRDefault="00446DBE" w:rsidP="00813F71">
            <w:pPr>
              <w:rPr>
                <w:rFonts w:ascii="Arial" w:hAnsi="Arial" w:cs="Arial"/>
              </w:rPr>
            </w:pPr>
            <w:r w:rsidRPr="004E2147">
              <w:rPr>
                <w:rFonts w:ascii="Arial" w:hAnsi="Arial" w:cs="Arial"/>
              </w:rPr>
              <w:t>Current peer-reviewed article focusing on practical dementia screening approaches in primary care. Relevant to informant reliability and community diagnosis. Strong evidence base and UK relevance.</w:t>
            </w:r>
          </w:p>
        </w:tc>
        <w:tc>
          <w:tcPr>
            <w:tcW w:w="0" w:type="auto"/>
            <w:hideMark/>
          </w:tcPr>
          <w:p w14:paraId="712E526E" w14:textId="77777777" w:rsidR="00446DBE" w:rsidRPr="004E2147" w:rsidRDefault="00446DBE" w:rsidP="00813F71">
            <w:pPr>
              <w:rPr>
                <w:rFonts w:ascii="Arial" w:hAnsi="Arial" w:cs="Arial"/>
              </w:rPr>
            </w:pPr>
            <w:r w:rsidRPr="004E2147">
              <w:rPr>
                <w:rFonts w:ascii="Arial" w:hAnsi="Arial" w:cs="Arial"/>
                <w:b/>
                <w:bCs/>
              </w:rPr>
              <w:t>CRAAP Score:</w:t>
            </w:r>
            <w:r w:rsidRPr="004E2147">
              <w:rPr>
                <w:rFonts w:ascii="Arial" w:hAnsi="Arial" w:cs="Arial"/>
              </w:rPr>
              <w:t> 5/5</w:t>
            </w:r>
          </w:p>
        </w:tc>
      </w:tr>
      <w:tr w:rsidR="00446DBE" w14:paraId="25C820CE" w14:textId="77777777" w:rsidTr="00F7314C">
        <w:tc>
          <w:tcPr>
            <w:tcW w:w="1056" w:type="dxa"/>
          </w:tcPr>
          <w:p w14:paraId="10732987" w14:textId="17F47944" w:rsidR="00446DBE" w:rsidRPr="004547B1" w:rsidRDefault="00DB7F42" w:rsidP="00813F71">
            <w:pPr>
              <w:rPr>
                <w:b/>
                <w:bCs/>
              </w:rPr>
            </w:pPr>
            <w:r w:rsidRPr="004547B1">
              <w:rPr>
                <w:b/>
                <w:bCs/>
              </w:rPr>
              <w:lastRenderedPageBreak/>
              <w:t>Article 7</w:t>
            </w:r>
          </w:p>
        </w:tc>
        <w:tc>
          <w:tcPr>
            <w:tcW w:w="1466" w:type="dxa"/>
            <w:hideMark/>
          </w:tcPr>
          <w:p w14:paraId="2D0CE787" w14:textId="20903D01" w:rsidR="00446DBE" w:rsidRPr="004E2147" w:rsidRDefault="00446DBE" w:rsidP="00813F71">
            <w:pPr>
              <w:rPr>
                <w:rFonts w:ascii="Arial" w:hAnsi="Arial" w:cs="Arial"/>
              </w:rPr>
            </w:pPr>
            <w:r w:rsidRPr="004E2147">
              <w:rPr>
                <w:rFonts w:ascii="Arial" w:hAnsi="Arial" w:cs="Arial"/>
              </w:rPr>
              <w:t xml:space="preserve">Jones </w:t>
            </w:r>
            <w:r w:rsidRPr="004E2147">
              <w:rPr>
                <w:rFonts w:ascii="Arial" w:hAnsi="Arial" w:cs="Arial"/>
                <w:i/>
                <w:iCs/>
              </w:rPr>
              <w:t>et al.</w:t>
            </w:r>
            <w:r w:rsidRPr="004E2147">
              <w:rPr>
                <w:rFonts w:ascii="Arial" w:hAnsi="Arial" w:cs="Arial"/>
              </w:rPr>
              <w:t xml:space="preserve"> (2023)</w:t>
            </w:r>
          </w:p>
        </w:tc>
        <w:tc>
          <w:tcPr>
            <w:tcW w:w="0" w:type="auto"/>
            <w:hideMark/>
          </w:tcPr>
          <w:p w14:paraId="631AE475" w14:textId="77777777" w:rsidR="00446DBE" w:rsidRPr="004E2147" w:rsidRDefault="00446DBE" w:rsidP="00813F71">
            <w:pPr>
              <w:rPr>
                <w:rFonts w:ascii="Arial" w:hAnsi="Arial" w:cs="Arial"/>
              </w:rPr>
            </w:pPr>
            <w:r w:rsidRPr="004E2147">
              <w:rPr>
                <w:rFonts w:ascii="Arial" w:hAnsi="Arial" w:cs="Arial"/>
              </w:rPr>
              <w:t>Dementia prevention and the GP’s role: a qualitative interview study.</w:t>
            </w:r>
          </w:p>
        </w:tc>
        <w:tc>
          <w:tcPr>
            <w:tcW w:w="0" w:type="auto"/>
            <w:hideMark/>
          </w:tcPr>
          <w:p w14:paraId="19BB421C" w14:textId="77777777" w:rsidR="00446DBE" w:rsidRPr="004E2147" w:rsidRDefault="00446DBE" w:rsidP="00813F71">
            <w:pPr>
              <w:rPr>
                <w:rFonts w:ascii="Arial" w:hAnsi="Arial" w:cs="Arial"/>
              </w:rPr>
            </w:pPr>
            <w:r w:rsidRPr="004E2147">
              <w:rPr>
                <w:rFonts w:ascii="Arial" w:hAnsi="Arial" w:cs="Arial"/>
              </w:rPr>
              <w:t>This qualitative study explored UK GPs' views on their role in dementia prevention. GPs reported rarely discussing dementia risk explicitly due to lack of time, knowledge, and fear of causing anxiety. They suggested using "brain health" as a more positive term and integrating prevention into existing reviews for long-term conditions.</w:t>
            </w:r>
          </w:p>
        </w:tc>
        <w:tc>
          <w:tcPr>
            <w:tcW w:w="0" w:type="auto"/>
            <w:hideMark/>
          </w:tcPr>
          <w:p w14:paraId="3FE3EB56" w14:textId="77777777" w:rsidR="00446DBE" w:rsidRPr="004E2147" w:rsidRDefault="00446DBE" w:rsidP="00813F71">
            <w:pPr>
              <w:rPr>
                <w:rFonts w:ascii="Arial" w:hAnsi="Arial" w:cs="Arial"/>
              </w:rPr>
            </w:pPr>
            <w:r w:rsidRPr="004E2147">
              <w:rPr>
                <w:rFonts w:ascii="Arial" w:hAnsi="Arial" w:cs="Arial"/>
              </w:rPr>
              <w:t>Dementia Prevention; GP Role; Primary Care; Brain Health; Qualitative Research; Modifiable Risk Factors; Health Communication</w:t>
            </w:r>
          </w:p>
        </w:tc>
      </w:tr>
      <w:tr w:rsidR="00446DBE" w14:paraId="22B4AF17" w14:textId="77777777" w:rsidTr="00F7314C">
        <w:tc>
          <w:tcPr>
            <w:tcW w:w="1056" w:type="dxa"/>
          </w:tcPr>
          <w:p w14:paraId="099F3B28" w14:textId="77777777" w:rsidR="00446DBE" w:rsidRPr="004547B1" w:rsidRDefault="00446DBE" w:rsidP="00813F71">
            <w:pPr>
              <w:rPr>
                <w:b/>
                <w:bCs/>
              </w:rPr>
            </w:pPr>
            <w:r w:rsidRPr="004547B1">
              <w:rPr>
                <w:b/>
                <w:bCs/>
              </w:rPr>
              <w:t>CRAAP Notes</w:t>
            </w:r>
          </w:p>
        </w:tc>
        <w:tc>
          <w:tcPr>
            <w:tcW w:w="9996" w:type="dxa"/>
            <w:gridSpan w:val="3"/>
            <w:hideMark/>
          </w:tcPr>
          <w:p w14:paraId="3CAD2979" w14:textId="77777777" w:rsidR="00446DBE" w:rsidRPr="004E2147" w:rsidRDefault="00446DBE" w:rsidP="00813F71">
            <w:pPr>
              <w:rPr>
                <w:rFonts w:ascii="Arial" w:hAnsi="Arial" w:cs="Arial"/>
              </w:rPr>
            </w:pPr>
            <w:r w:rsidRPr="004E2147">
              <w:rPr>
                <w:rFonts w:ascii="Arial" w:hAnsi="Arial" w:cs="Arial"/>
              </w:rPr>
              <w:t>Peer-reviewed qualitative UK study with strong relevance to prevention strategies in primary care. Provides valuable practitioner perspectives and contextual evidence.</w:t>
            </w:r>
          </w:p>
        </w:tc>
        <w:tc>
          <w:tcPr>
            <w:tcW w:w="0" w:type="auto"/>
            <w:hideMark/>
          </w:tcPr>
          <w:p w14:paraId="5A1CECC9" w14:textId="77777777" w:rsidR="00446DBE" w:rsidRPr="004547B1" w:rsidRDefault="00446DBE" w:rsidP="00813F71">
            <w:r w:rsidRPr="004547B1">
              <w:rPr>
                <w:b/>
                <w:bCs/>
              </w:rPr>
              <w:t>CRAAP Score:</w:t>
            </w:r>
            <w:r w:rsidRPr="004547B1">
              <w:t> 5/5</w:t>
            </w:r>
          </w:p>
        </w:tc>
      </w:tr>
      <w:tr w:rsidR="00446DBE" w14:paraId="2379A5D7" w14:textId="77777777" w:rsidTr="00F7314C">
        <w:tc>
          <w:tcPr>
            <w:tcW w:w="1056" w:type="dxa"/>
          </w:tcPr>
          <w:p w14:paraId="08ADD78E" w14:textId="77777777" w:rsidR="00446DBE" w:rsidRPr="004547B1" w:rsidRDefault="00446DBE" w:rsidP="00813F71">
            <w:pPr>
              <w:rPr>
                <w:b/>
                <w:bCs/>
              </w:rPr>
            </w:pPr>
            <w:r w:rsidRPr="004547B1">
              <w:rPr>
                <w:b/>
                <w:bCs/>
              </w:rPr>
              <w:t>Article 8</w:t>
            </w:r>
          </w:p>
        </w:tc>
        <w:tc>
          <w:tcPr>
            <w:tcW w:w="1466" w:type="dxa"/>
            <w:hideMark/>
          </w:tcPr>
          <w:p w14:paraId="10332008" w14:textId="77777777" w:rsidR="00446DBE" w:rsidRPr="004E2147" w:rsidRDefault="00446DBE" w:rsidP="00813F71">
            <w:pPr>
              <w:rPr>
                <w:rFonts w:ascii="Arial" w:hAnsi="Arial" w:cs="Arial"/>
              </w:rPr>
            </w:pPr>
            <w:r w:rsidRPr="004E2147">
              <w:rPr>
                <w:rFonts w:ascii="Arial" w:hAnsi="Arial" w:cs="Arial"/>
              </w:rPr>
              <w:t xml:space="preserve">Bajwa </w:t>
            </w:r>
            <w:r w:rsidRPr="004E2147">
              <w:rPr>
                <w:rFonts w:ascii="Arial" w:hAnsi="Arial" w:cs="Arial"/>
                <w:i/>
                <w:iCs/>
              </w:rPr>
              <w:t>et al.</w:t>
            </w:r>
            <w:r w:rsidRPr="004E2147">
              <w:rPr>
                <w:rFonts w:ascii="Arial" w:hAnsi="Arial" w:cs="Arial"/>
              </w:rPr>
              <w:t xml:space="preserve"> (2025)</w:t>
            </w:r>
          </w:p>
        </w:tc>
        <w:tc>
          <w:tcPr>
            <w:tcW w:w="0" w:type="auto"/>
            <w:hideMark/>
          </w:tcPr>
          <w:p w14:paraId="14608449" w14:textId="77777777" w:rsidR="00446DBE" w:rsidRPr="004E2147" w:rsidRDefault="00446DBE" w:rsidP="00813F71">
            <w:pPr>
              <w:rPr>
                <w:rFonts w:ascii="Arial" w:hAnsi="Arial" w:cs="Arial"/>
              </w:rPr>
            </w:pPr>
            <w:r w:rsidRPr="004E2147">
              <w:rPr>
                <w:rFonts w:ascii="Arial" w:hAnsi="Arial" w:cs="Arial"/>
              </w:rPr>
              <w:t>Qualitative study exploring knowledge and attitudes towards dementia risk prediction, barriers to dementia services and service improvement recommendations with diverse populations in England.</w:t>
            </w:r>
          </w:p>
        </w:tc>
        <w:tc>
          <w:tcPr>
            <w:tcW w:w="0" w:type="auto"/>
            <w:hideMark/>
          </w:tcPr>
          <w:p w14:paraId="55BFB2E5" w14:textId="77777777" w:rsidR="00446DBE" w:rsidRPr="004E2147" w:rsidRDefault="00446DBE" w:rsidP="00813F71">
            <w:pPr>
              <w:rPr>
                <w:rFonts w:ascii="Arial" w:hAnsi="Arial" w:cs="Arial"/>
              </w:rPr>
            </w:pPr>
            <w:r w:rsidRPr="004E2147">
              <w:rPr>
                <w:rFonts w:ascii="Arial" w:hAnsi="Arial" w:cs="Arial"/>
              </w:rPr>
              <w:t>This qualitative study with 147 participants from low-income and ethnically diverse groups in England explored dementia knowledge and attitudes. It found low awareness of risk prediction, cautious optimism about its use, and significant barriers to services including stigma, language, and cultural views. It provided recommendations for culturally aware services.</w:t>
            </w:r>
          </w:p>
        </w:tc>
        <w:tc>
          <w:tcPr>
            <w:tcW w:w="0" w:type="auto"/>
            <w:hideMark/>
          </w:tcPr>
          <w:p w14:paraId="363ED4E2" w14:textId="77777777" w:rsidR="00446DBE" w:rsidRPr="004E2147" w:rsidRDefault="00446DBE" w:rsidP="00813F71">
            <w:pPr>
              <w:rPr>
                <w:rFonts w:ascii="Arial" w:hAnsi="Arial" w:cs="Arial"/>
              </w:rPr>
            </w:pPr>
            <w:r w:rsidRPr="004E2147">
              <w:rPr>
                <w:rFonts w:ascii="Arial" w:hAnsi="Arial" w:cs="Arial"/>
              </w:rPr>
              <w:t>Ethnic Diversity; Health Inequalities; Dementia Risk Prediction; Barriers to Care; Service Improvement; Qualitative Research; Stigma</w:t>
            </w:r>
          </w:p>
        </w:tc>
      </w:tr>
      <w:tr w:rsidR="00446DBE" w14:paraId="7C9C87AB" w14:textId="77777777" w:rsidTr="00F7314C">
        <w:tc>
          <w:tcPr>
            <w:tcW w:w="1056" w:type="dxa"/>
          </w:tcPr>
          <w:p w14:paraId="0CDBE461" w14:textId="77777777" w:rsidR="00446DBE" w:rsidRPr="004547B1" w:rsidRDefault="00446DBE" w:rsidP="00813F71">
            <w:pPr>
              <w:rPr>
                <w:b/>
                <w:bCs/>
              </w:rPr>
            </w:pPr>
            <w:r w:rsidRPr="004547B1">
              <w:rPr>
                <w:b/>
                <w:bCs/>
              </w:rPr>
              <w:t>CRAAP Notes</w:t>
            </w:r>
          </w:p>
        </w:tc>
        <w:tc>
          <w:tcPr>
            <w:tcW w:w="9996" w:type="dxa"/>
            <w:gridSpan w:val="3"/>
            <w:hideMark/>
          </w:tcPr>
          <w:p w14:paraId="6AD50459" w14:textId="77777777" w:rsidR="00446DBE" w:rsidRPr="004E2147" w:rsidRDefault="00446DBE" w:rsidP="00813F71">
            <w:pPr>
              <w:rPr>
                <w:rFonts w:ascii="Arial" w:hAnsi="Arial" w:cs="Arial"/>
              </w:rPr>
            </w:pPr>
            <w:r w:rsidRPr="004E2147">
              <w:rPr>
                <w:rFonts w:ascii="Arial" w:hAnsi="Arial" w:cs="Arial"/>
              </w:rPr>
              <w:t>Recent BMJ Open study with strong methodological transparency and focus on inclusivity in dementia services. Highly relevant to healthcare access and equity issues.</w:t>
            </w:r>
          </w:p>
        </w:tc>
        <w:tc>
          <w:tcPr>
            <w:tcW w:w="0" w:type="auto"/>
            <w:hideMark/>
          </w:tcPr>
          <w:p w14:paraId="0914C37F" w14:textId="77777777" w:rsidR="00446DBE" w:rsidRPr="004547B1" w:rsidRDefault="00446DBE" w:rsidP="00813F71">
            <w:r w:rsidRPr="004547B1">
              <w:rPr>
                <w:b/>
                <w:bCs/>
              </w:rPr>
              <w:t>CRAAP Score:</w:t>
            </w:r>
            <w:r w:rsidRPr="004547B1">
              <w:t> 5/5</w:t>
            </w:r>
          </w:p>
        </w:tc>
      </w:tr>
      <w:tr w:rsidR="00446DBE" w14:paraId="23F85307" w14:textId="77777777" w:rsidTr="00F7314C">
        <w:tc>
          <w:tcPr>
            <w:tcW w:w="1056" w:type="dxa"/>
          </w:tcPr>
          <w:p w14:paraId="1C0DB597" w14:textId="77777777" w:rsidR="00446DBE" w:rsidRPr="004547B1" w:rsidRDefault="00446DBE" w:rsidP="00813F71">
            <w:pPr>
              <w:rPr>
                <w:b/>
                <w:bCs/>
              </w:rPr>
            </w:pPr>
            <w:r w:rsidRPr="004547B1">
              <w:rPr>
                <w:b/>
                <w:bCs/>
              </w:rPr>
              <w:t>Article 9</w:t>
            </w:r>
          </w:p>
        </w:tc>
        <w:tc>
          <w:tcPr>
            <w:tcW w:w="1466" w:type="dxa"/>
            <w:hideMark/>
          </w:tcPr>
          <w:p w14:paraId="54FC2F1B" w14:textId="77777777" w:rsidR="00446DBE" w:rsidRPr="004E2147" w:rsidRDefault="00446DBE" w:rsidP="00813F71">
            <w:pPr>
              <w:rPr>
                <w:rFonts w:ascii="Arial" w:hAnsi="Arial" w:cs="Arial"/>
              </w:rPr>
            </w:pPr>
            <w:r w:rsidRPr="004E2147">
              <w:rPr>
                <w:rFonts w:ascii="Arial" w:hAnsi="Arial" w:cs="Arial"/>
              </w:rPr>
              <w:t xml:space="preserve">Kelsey </w:t>
            </w:r>
            <w:r w:rsidRPr="004E2147">
              <w:rPr>
                <w:rFonts w:ascii="Arial" w:hAnsi="Arial" w:cs="Arial"/>
                <w:i/>
                <w:iCs/>
              </w:rPr>
              <w:t>et al.</w:t>
            </w:r>
            <w:r w:rsidRPr="004E2147">
              <w:rPr>
                <w:rFonts w:ascii="Arial" w:hAnsi="Arial" w:cs="Arial"/>
              </w:rPr>
              <w:t xml:space="preserve"> (2026)</w:t>
            </w:r>
          </w:p>
        </w:tc>
        <w:tc>
          <w:tcPr>
            <w:tcW w:w="0" w:type="auto"/>
            <w:hideMark/>
          </w:tcPr>
          <w:p w14:paraId="69A8030F" w14:textId="77777777" w:rsidR="00446DBE" w:rsidRPr="004E2147" w:rsidRDefault="00446DBE" w:rsidP="00813F71">
            <w:pPr>
              <w:rPr>
                <w:rFonts w:ascii="Arial" w:hAnsi="Arial" w:cs="Arial"/>
              </w:rPr>
            </w:pPr>
            <w:r w:rsidRPr="004E2147">
              <w:rPr>
                <w:rFonts w:ascii="Arial" w:hAnsi="Arial" w:cs="Arial"/>
              </w:rPr>
              <w:t>A national survey of dementia diagnosis and care in English memory services.</w:t>
            </w:r>
          </w:p>
        </w:tc>
        <w:tc>
          <w:tcPr>
            <w:tcW w:w="0" w:type="auto"/>
            <w:hideMark/>
          </w:tcPr>
          <w:p w14:paraId="6D8A57FF" w14:textId="77777777" w:rsidR="00446DBE" w:rsidRPr="004E2147" w:rsidRDefault="00446DBE" w:rsidP="00813F71">
            <w:pPr>
              <w:rPr>
                <w:rFonts w:ascii="Arial" w:hAnsi="Arial" w:cs="Arial"/>
              </w:rPr>
            </w:pPr>
            <w:r w:rsidRPr="004E2147">
              <w:rPr>
                <w:rFonts w:ascii="Arial" w:hAnsi="Arial" w:cs="Arial"/>
              </w:rPr>
              <w:t xml:space="preserve">This national survey of 139 English memory services identified significant geographical inequalities in dementia diagnosis and care. It </w:t>
            </w:r>
            <w:r w:rsidRPr="004E2147">
              <w:rPr>
                <w:rFonts w:ascii="Arial" w:hAnsi="Arial" w:cs="Arial"/>
              </w:rPr>
              <w:lastRenderedPageBreak/>
              <w:t>found that acute trust-based services felt readier for new disease-modifying treatments, while mental health/community trusts offered more post-diagnostic psychological therapy. Rurality and region predicted lower diagnosis rates.</w:t>
            </w:r>
          </w:p>
        </w:tc>
        <w:tc>
          <w:tcPr>
            <w:tcW w:w="0" w:type="auto"/>
            <w:hideMark/>
          </w:tcPr>
          <w:p w14:paraId="6F5ED402" w14:textId="77777777" w:rsidR="00446DBE" w:rsidRPr="004E2147" w:rsidRDefault="00446DBE" w:rsidP="00813F71">
            <w:pPr>
              <w:rPr>
                <w:rFonts w:ascii="Arial" w:hAnsi="Arial" w:cs="Arial"/>
              </w:rPr>
            </w:pPr>
            <w:r w:rsidRPr="004E2147">
              <w:rPr>
                <w:rFonts w:ascii="Arial" w:hAnsi="Arial" w:cs="Arial"/>
              </w:rPr>
              <w:lastRenderedPageBreak/>
              <w:t>Memory Services; NHS; Dementia Diagnosis; Post-Diagnostic Care; Disease-</w:t>
            </w:r>
            <w:r w:rsidRPr="004E2147">
              <w:rPr>
                <w:rFonts w:ascii="Arial" w:hAnsi="Arial" w:cs="Arial"/>
              </w:rPr>
              <w:lastRenderedPageBreak/>
              <w:t>Modifying Treatments; Health Inequalities; Workforce; National Survey</w:t>
            </w:r>
          </w:p>
        </w:tc>
      </w:tr>
      <w:tr w:rsidR="00387E33" w14:paraId="5875046D" w14:textId="77777777" w:rsidTr="00F7314C">
        <w:tc>
          <w:tcPr>
            <w:tcW w:w="1056" w:type="dxa"/>
          </w:tcPr>
          <w:p w14:paraId="42D94728" w14:textId="2C2C43FC" w:rsidR="00387E33" w:rsidRPr="004547B1" w:rsidRDefault="00387E33" w:rsidP="00813F71">
            <w:pPr>
              <w:rPr>
                <w:b/>
                <w:bCs/>
              </w:rPr>
            </w:pPr>
            <w:r w:rsidRPr="004547B1">
              <w:rPr>
                <w:b/>
                <w:bCs/>
              </w:rPr>
              <w:t>CRAAP Notes</w:t>
            </w:r>
          </w:p>
        </w:tc>
        <w:tc>
          <w:tcPr>
            <w:tcW w:w="9996" w:type="dxa"/>
            <w:gridSpan w:val="3"/>
          </w:tcPr>
          <w:p w14:paraId="36B5011E" w14:textId="008B87EA" w:rsidR="00387E33" w:rsidRPr="004E2147" w:rsidRDefault="00387E33" w:rsidP="00813F71">
            <w:pPr>
              <w:rPr>
                <w:rFonts w:ascii="Arial" w:hAnsi="Arial" w:cs="Arial"/>
              </w:rPr>
            </w:pPr>
            <w:r w:rsidRPr="004E2147">
              <w:rPr>
                <w:rFonts w:ascii="Arial" w:hAnsi="Arial" w:cs="Arial"/>
              </w:rPr>
              <w:t>Very recent national-level study with extensive NHS service data. Strong relevance to dementia care systems, diagnosis access, and policy planning in England.</w:t>
            </w:r>
          </w:p>
        </w:tc>
        <w:tc>
          <w:tcPr>
            <w:tcW w:w="0" w:type="auto"/>
          </w:tcPr>
          <w:p w14:paraId="58F8B643" w14:textId="7C0AAEE2" w:rsidR="00387E33" w:rsidRPr="004547B1" w:rsidRDefault="00387E33" w:rsidP="00813F71">
            <w:r w:rsidRPr="004547B1">
              <w:rPr>
                <w:b/>
                <w:bCs/>
              </w:rPr>
              <w:t>CRAAP Score:</w:t>
            </w:r>
            <w:r w:rsidRPr="004547B1">
              <w:t> 5/5</w:t>
            </w:r>
          </w:p>
        </w:tc>
      </w:tr>
      <w:tr w:rsidR="00387E33" w14:paraId="097C507A" w14:textId="77777777" w:rsidTr="00F7314C">
        <w:tc>
          <w:tcPr>
            <w:tcW w:w="1056" w:type="dxa"/>
          </w:tcPr>
          <w:p w14:paraId="3F7B91C6" w14:textId="1B6C1977" w:rsidR="00387E33" w:rsidRPr="009D0833" w:rsidRDefault="0010798A" w:rsidP="003776CC">
            <w:pPr>
              <w:rPr>
                <w:rFonts w:ascii="Arial" w:hAnsi="Arial" w:cs="Arial"/>
              </w:rPr>
            </w:pPr>
            <w:r w:rsidRPr="009D0833">
              <w:rPr>
                <w:rFonts w:ascii="Arial" w:hAnsi="Arial" w:cs="Arial"/>
              </w:rPr>
              <w:t>Article 10</w:t>
            </w:r>
          </w:p>
        </w:tc>
        <w:tc>
          <w:tcPr>
            <w:tcW w:w="1466" w:type="dxa"/>
          </w:tcPr>
          <w:p w14:paraId="02941CF8" w14:textId="37E8407A" w:rsidR="00387E33" w:rsidRPr="009D0833" w:rsidRDefault="0010798A" w:rsidP="003776CC">
            <w:pPr>
              <w:rPr>
                <w:rFonts w:ascii="Arial" w:hAnsi="Arial" w:cs="Arial"/>
              </w:rPr>
            </w:pPr>
            <w:r w:rsidRPr="009D0833">
              <w:rPr>
                <w:rFonts w:ascii="Arial" w:hAnsi="Arial" w:cs="Arial"/>
              </w:rPr>
              <w:t>Smith and Surr, (2024)</w:t>
            </w:r>
          </w:p>
        </w:tc>
        <w:tc>
          <w:tcPr>
            <w:tcW w:w="0" w:type="auto"/>
          </w:tcPr>
          <w:p w14:paraId="072806E0" w14:textId="5C33B5DD" w:rsidR="00387E33" w:rsidRPr="009D0833" w:rsidRDefault="0010798A" w:rsidP="003776CC">
            <w:pPr>
              <w:rPr>
                <w:rFonts w:ascii="Arial" w:hAnsi="Arial" w:cs="Arial"/>
              </w:rPr>
            </w:pPr>
            <w:r w:rsidRPr="009D0833">
              <w:rPr>
                <w:rFonts w:ascii="Arial" w:hAnsi="Arial" w:cs="Arial"/>
              </w:rPr>
              <w:t>Exploring challenges and innovation in memory assessment services in England and Wales – a national survey and case study approach.</w:t>
            </w:r>
          </w:p>
        </w:tc>
        <w:tc>
          <w:tcPr>
            <w:tcW w:w="0" w:type="auto"/>
          </w:tcPr>
          <w:p w14:paraId="259C7C5F" w14:textId="0BC6E190" w:rsidR="00387E33" w:rsidRPr="009D0833" w:rsidRDefault="0010798A" w:rsidP="003776CC">
            <w:pPr>
              <w:rPr>
                <w:rFonts w:ascii="Arial" w:hAnsi="Arial" w:cs="Arial"/>
              </w:rPr>
            </w:pPr>
            <w:r w:rsidRPr="009D0833">
              <w:rPr>
                <w:rFonts w:ascii="Arial" w:hAnsi="Arial" w:cs="Arial"/>
              </w:rPr>
              <w:t>This service evaluation explored design, delivery, and innovation in Memory Assessment Services (MAS) across England and Wales. A survey (n=49) and qualitative case studies (n=15) revealed post-COVID service shifts, key challenges (specialist staff shortages, support for mild cognitive impairment [MCI] and rarer dementias, post-diagnostic support capacity), and examples of good practice (equity of access, multi-agency working, innovative pathways). The findings emphasise service re-evaluation based on local need.</w:t>
            </w:r>
          </w:p>
        </w:tc>
        <w:tc>
          <w:tcPr>
            <w:tcW w:w="0" w:type="auto"/>
          </w:tcPr>
          <w:p w14:paraId="7F5C0D6F" w14:textId="07094D02" w:rsidR="00387E33" w:rsidRPr="009D0833" w:rsidRDefault="0010798A" w:rsidP="003776CC">
            <w:pPr>
              <w:rPr>
                <w:rFonts w:ascii="Arial" w:hAnsi="Arial" w:cs="Arial"/>
              </w:rPr>
            </w:pPr>
            <w:r w:rsidRPr="009D0833">
              <w:rPr>
                <w:rFonts w:ascii="Arial" w:hAnsi="Arial" w:cs="Arial"/>
              </w:rPr>
              <w:t>Memory Assessment Services; Post-diagnostic support; MCI; Rarer dementias; Service innovation; Commissioning; COVID-19 impact; Qualitative case study</w:t>
            </w:r>
          </w:p>
        </w:tc>
      </w:tr>
      <w:tr w:rsidR="007E534E" w14:paraId="68847912" w14:textId="77777777" w:rsidTr="00F7314C">
        <w:tc>
          <w:tcPr>
            <w:tcW w:w="1056" w:type="dxa"/>
          </w:tcPr>
          <w:p w14:paraId="1A837928" w14:textId="31D2D43B" w:rsidR="007E534E" w:rsidRPr="006B2A5C" w:rsidRDefault="006B2A5C" w:rsidP="003776CC">
            <w:pPr>
              <w:rPr>
                <w:b/>
              </w:rPr>
            </w:pPr>
            <w:r w:rsidRPr="006B2A5C">
              <w:rPr>
                <w:b/>
              </w:rPr>
              <w:t>CRAAP Notes</w:t>
            </w:r>
          </w:p>
        </w:tc>
        <w:tc>
          <w:tcPr>
            <w:tcW w:w="9996" w:type="dxa"/>
            <w:gridSpan w:val="3"/>
          </w:tcPr>
          <w:p w14:paraId="6C37D81E" w14:textId="126E54A3" w:rsidR="007E534E" w:rsidRPr="004E2147" w:rsidRDefault="0010798A" w:rsidP="003776CC">
            <w:pPr>
              <w:rPr>
                <w:rFonts w:ascii="Arial" w:hAnsi="Arial" w:cs="Arial"/>
              </w:rPr>
            </w:pPr>
            <w:r w:rsidRPr="004E2147">
              <w:rPr>
                <w:rFonts w:ascii="Arial" w:hAnsi="Arial" w:cs="Arial"/>
              </w:rPr>
              <w:t xml:space="preserve">Peer-reviewed journal article published in BMC Health Services Research (2024). Highly relevant to health service planning and dementia pathway innovation. Authors affiliated with academic health research. Uses robust </w:t>
            </w:r>
            <w:r w:rsidR="00DA6768" w:rsidRPr="004E2147">
              <w:rPr>
                <w:rFonts w:ascii="Arial" w:hAnsi="Arial" w:cs="Arial"/>
              </w:rPr>
              <w:t>mixed methods</w:t>
            </w:r>
            <w:r w:rsidRPr="004E2147">
              <w:rPr>
                <w:rFonts w:ascii="Arial" w:hAnsi="Arial" w:cs="Arial"/>
              </w:rPr>
              <w:t xml:space="preserve"> (national survey + case studies).</w:t>
            </w:r>
          </w:p>
          <w:p w14:paraId="61F73C68" w14:textId="4B1127FC" w:rsidR="006B2A5C" w:rsidRPr="004547B1" w:rsidRDefault="006B2A5C" w:rsidP="003776CC"/>
        </w:tc>
        <w:tc>
          <w:tcPr>
            <w:tcW w:w="0" w:type="auto"/>
          </w:tcPr>
          <w:p w14:paraId="64D55E03" w14:textId="2BEBD809" w:rsidR="007E534E" w:rsidRPr="004547B1" w:rsidRDefault="0010798A" w:rsidP="003776CC">
            <w:r w:rsidRPr="0010798A">
              <w:rPr>
                <w:b/>
              </w:rPr>
              <w:lastRenderedPageBreak/>
              <w:t>CRAAP Score</w:t>
            </w:r>
            <w:r w:rsidRPr="0010798A">
              <w:t>: 5/5</w:t>
            </w:r>
          </w:p>
        </w:tc>
      </w:tr>
      <w:bookmarkEnd w:id="71"/>
    </w:tbl>
    <w:p w14:paraId="1449391A" w14:textId="6744B1F5" w:rsidR="00446DBE" w:rsidRDefault="00446DBE" w:rsidP="00446DBE"/>
    <w:p w14:paraId="4528914C" w14:textId="77777777" w:rsidR="004E2147" w:rsidRDefault="004E2147" w:rsidP="00446DBE"/>
    <w:p w14:paraId="516C009C" w14:textId="576FDFE4" w:rsidR="00446DBE" w:rsidRDefault="00446DBE" w:rsidP="00D81F3B">
      <w:pPr>
        <w:pStyle w:val="Heading2"/>
      </w:pPr>
      <w:bookmarkStart w:id="72" w:name="_Toc235909387"/>
      <w:r w:rsidRPr="00446DBE">
        <w:t>Appendix 2: CRAAP Test</w:t>
      </w:r>
      <w:bookmarkEnd w:id="72"/>
    </w:p>
    <w:tbl>
      <w:tblPr>
        <w:tblStyle w:val="TableGrid"/>
        <w:tblW w:w="5000" w:type="pct"/>
        <w:tblLook w:val="04A0" w:firstRow="1" w:lastRow="0" w:firstColumn="1" w:lastColumn="0" w:noHBand="0" w:noVBand="1"/>
      </w:tblPr>
      <w:tblGrid>
        <w:gridCol w:w="2323"/>
        <w:gridCol w:w="2323"/>
        <w:gridCol w:w="2324"/>
        <w:gridCol w:w="2324"/>
        <w:gridCol w:w="2327"/>
        <w:gridCol w:w="2327"/>
      </w:tblGrid>
      <w:tr w:rsidR="00D81F3B" w14:paraId="27A19EC3" w14:textId="77777777" w:rsidTr="00986E53">
        <w:tc>
          <w:tcPr>
            <w:tcW w:w="833" w:type="pct"/>
          </w:tcPr>
          <w:p w14:paraId="433D9A13" w14:textId="77777777" w:rsidR="00D81F3B" w:rsidRPr="00831D98" w:rsidRDefault="00D81F3B" w:rsidP="00813F71">
            <w:pPr>
              <w:jc w:val="center"/>
              <w:rPr>
                <w:b/>
                <w:lang w:val="en-US"/>
              </w:rPr>
            </w:pPr>
            <w:bookmarkStart w:id="73" w:name="_Hlk231935255"/>
            <w:r>
              <w:rPr>
                <w:b/>
                <w:lang w:val="en-US"/>
              </w:rPr>
              <w:t>CRAAP</w:t>
            </w:r>
          </w:p>
        </w:tc>
        <w:tc>
          <w:tcPr>
            <w:tcW w:w="833" w:type="pct"/>
          </w:tcPr>
          <w:p w14:paraId="2D4CAFFB" w14:textId="77777777" w:rsidR="00D81F3B" w:rsidRPr="00831D98" w:rsidRDefault="00D81F3B" w:rsidP="00813F71">
            <w:pPr>
              <w:jc w:val="center"/>
              <w:rPr>
                <w:b/>
                <w:lang w:val="en-US"/>
              </w:rPr>
            </w:pPr>
            <w:r w:rsidRPr="00831D98">
              <w:rPr>
                <w:b/>
                <w:lang w:val="en-US"/>
              </w:rPr>
              <w:t>Currency</w:t>
            </w:r>
          </w:p>
        </w:tc>
        <w:tc>
          <w:tcPr>
            <w:tcW w:w="833" w:type="pct"/>
          </w:tcPr>
          <w:p w14:paraId="72080B4B" w14:textId="77777777" w:rsidR="00D81F3B" w:rsidRPr="00831D98" w:rsidRDefault="00D81F3B" w:rsidP="00813F71">
            <w:pPr>
              <w:jc w:val="center"/>
              <w:rPr>
                <w:b/>
                <w:lang w:val="en-US"/>
              </w:rPr>
            </w:pPr>
            <w:r w:rsidRPr="00831D98">
              <w:rPr>
                <w:b/>
                <w:lang w:val="en-US"/>
              </w:rPr>
              <w:t>Relevance</w:t>
            </w:r>
          </w:p>
        </w:tc>
        <w:tc>
          <w:tcPr>
            <w:tcW w:w="833" w:type="pct"/>
          </w:tcPr>
          <w:p w14:paraId="39A637A7" w14:textId="77777777" w:rsidR="00D81F3B" w:rsidRPr="00831D98" w:rsidRDefault="00D81F3B" w:rsidP="00813F71">
            <w:pPr>
              <w:jc w:val="center"/>
              <w:rPr>
                <w:b/>
                <w:lang w:val="en-US"/>
              </w:rPr>
            </w:pPr>
            <w:r w:rsidRPr="00831D98">
              <w:rPr>
                <w:b/>
                <w:lang w:val="en-US"/>
              </w:rPr>
              <w:t>Authority</w:t>
            </w:r>
          </w:p>
        </w:tc>
        <w:tc>
          <w:tcPr>
            <w:tcW w:w="834" w:type="pct"/>
          </w:tcPr>
          <w:p w14:paraId="38B1E1CD" w14:textId="77777777" w:rsidR="00D81F3B" w:rsidRPr="00831D98" w:rsidRDefault="00D81F3B" w:rsidP="00813F71">
            <w:pPr>
              <w:jc w:val="center"/>
              <w:rPr>
                <w:b/>
                <w:lang w:val="en-US"/>
              </w:rPr>
            </w:pPr>
            <w:r w:rsidRPr="00831D98">
              <w:rPr>
                <w:b/>
                <w:lang w:val="en-US"/>
              </w:rPr>
              <w:t>Accuracy</w:t>
            </w:r>
          </w:p>
        </w:tc>
        <w:tc>
          <w:tcPr>
            <w:tcW w:w="834" w:type="pct"/>
          </w:tcPr>
          <w:p w14:paraId="1B30510A" w14:textId="77777777" w:rsidR="00D81F3B" w:rsidRPr="00831D98" w:rsidRDefault="00D81F3B" w:rsidP="00813F71">
            <w:pPr>
              <w:jc w:val="center"/>
              <w:rPr>
                <w:b/>
                <w:lang w:val="en-US"/>
              </w:rPr>
            </w:pPr>
            <w:r w:rsidRPr="00831D98">
              <w:rPr>
                <w:b/>
                <w:lang w:val="en-US"/>
              </w:rPr>
              <w:t>Purpose</w:t>
            </w:r>
          </w:p>
        </w:tc>
      </w:tr>
      <w:tr w:rsidR="00D81F3B" w14:paraId="20AE763D" w14:textId="77777777" w:rsidTr="00986E53">
        <w:tc>
          <w:tcPr>
            <w:tcW w:w="833" w:type="pct"/>
          </w:tcPr>
          <w:p w14:paraId="7E54662B" w14:textId="77777777" w:rsidR="00D81F3B" w:rsidRPr="004E2147" w:rsidRDefault="00D81F3B" w:rsidP="00813F71">
            <w:pPr>
              <w:rPr>
                <w:rFonts w:ascii="Arial" w:hAnsi="Arial" w:cs="Arial"/>
                <w:lang w:val="en-US"/>
              </w:rPr>
            </w:pPr>
            <w:r w:rsidRPr="004E2147">
              <w:rPr>
                <w:rFonts w:ascii="Arial" w:hAnsi="Arial" w:cs="Arial"/>
                <w:lang w:val="en-US"/>
              </w:rPr>
              <w:t>Article 1:</w:t>
            </w:r>
            <w:r w:rsidRPr="004E2147">
              <w:rPr>
                <w:rFonts w:ascii="Arial" w:hAnsi="Arial" w:cs="Arial"/>
              </w:rPr>
              <w:t xml:space="preserve"> </w:t>
            </w:r>
            <w:r w:rsidRPr="004E2147">
              <w:rPr>
                <w:rFonts w:ascii="Arial" w:hAnsi="Arial" w:cs="Arial"/>
                <w:lang w:val="en-US"/>
              </w:rPr>
              <w:t xml:space="preserve">Stothart </w:t>
            </w:r>
            <w:r w:rsidRPr="004E2147">
              <w:rPr>
                <w:rFonts w:ascii="Arial" w:hAnsi="Arial" w:cs="Arial"/>
                <w:i/>
                <w:iCs/>
                <w:lang w:val="en-US"/>
              </w:rPr>
              <w:t>et</w:t>
            </w:r>
            <w:r w:rsidRPr="004E2147">
              <w:rPr>
                <w:rFonts w:ascii="Arial" w:hAnsi="Arial" w:cs="Arial"/>
                <w:lang w:val="en-US"/>
              </w:rPr>
              <w:t xml:space="preserve"> </w:t>
            </w:r>
            <w:r w:rsidRPr="004E2147">
              <w:rPr>
                <w:rFonts w:ascii="Arial" w:hAnsi="Arial" w:cs="Arial"/>
                <w:i/>
                <w:iCs/>
                <w:lang w:val="en-US"/>
              </w:rPr>
              <w:t>al</w:t>
            </w:r>
            <w:r w:rsidRPr="004E2147">
              <w:rPr>
                <w:rFonts w:ascii="Arial" w:hAnsi="Arial" w:cs="Arial"/>
                <w:lang w:val="en-US"/>
              </w:rPr>
              <w:t>. (2021)</w:t>
            </w:r>
          </w:p>
        </w:tc>
        <w:tc>
          <w:tcPr>
            <w:tcW w:w="833" w:type="pct"/>
          </w:tcPr>
          <w:p w14:paraId="06E07CD5" w14:textId="77777777" w:rsidR="00D81F3B" w:rsidRPr="004E2147" w:rsidRDefault="00D81F3B" w:rsidP="00813F71">
            <w:pPr>
              <w:rPr>
                <w:rFonts w:ascii="Arial" w:hAnsi="Arial" w:cs="Arial"/>
                <w:lang w:val="en-US"/>
              </w:rPr>
            </w:pPr>
            <w:r w:rsidRPr="004E2147">
              <w:rPr>
                <w:rFonts w:ascii="Arial" w:hAnsi="Arial" w:cs="Arial"/>
                <w:lang w:val="en-US"/>
              </w:rPr>
              <w:t>Published 2021</w:t>
            </w:r>
          </w:p>
        </w:tc>
        <w:tc>
          <w:tcPr>
            <w:tcW w:w="833" w:type="pct"/>
          </w:tcPr>
          <w:p w14:paraId="6D219892" w14:textId="77777777" w:rsidR="00D81F3B" w:rsidRPr="004E2147" w:rsidRDefault="00D81F3B" w:rsidP="00813F71">
            <w:pPr>
              <w:rPr>
                <w:rFonts w:ascii="Arial" w:hAnsi="Arial" w:cs="Arial"/>
                <w:lang w:val="en-US"/>
              </w:rPr>
            </w:pPr>
            <w:r w:rsidRPr="004E2147">
              <w:rPr>
                <w:rFonts w:ascii="Arial" w:hAnsi="Arial" w:cs="Arial"/>
                <w:lang w:val="en-US"/>
              </w:rPr>
              <w:t>High; addresses early detection technology.</w:t>
            </w:r>
          </w:p>
        </w:tc>
        <w:tc>
          <w:tcPr>
            <w:tcW w:w="833" w:type="pct"/>
          </w:tcPr>
          <w:p w14:paraId="3CE704C9" w14:textId="77777777" w:rsidR="00D81F3B" w:rsidRPr="004E2147" w:rsidRDefault="00D81F3B" w:rsidP="00813F71">
            <w:pPr>
              <w:rPr>
                <w:rFonts w:ascii="Arial" w:hAnsi="Arial" w:cs="Arial"/>
                <w:lang w:val="en-US"/>
              </w:rPr>
            </w:pPr>
            <w:r w:rsidRPr="004E2147">
              <w:rPr>
                <w:rFonts w:ascii="Arial" w:hAnsi="Arial" w:cs="Arial"/>
                <w:lang w:val="en-US"/>
              </w:rPr>
              <w:t>Published in Brain; academic researchers.</w:t>
            </w:r>
          </w:p>
        </w:tc>
        <w:tc>
          <w:tcPr>
            <w:tcW w:w="834" w:type="pct"/>
          </w:tcPr>
          <w:p w14:paraId="05AF74A8" w14:textId="77777777" w:rsidR="00D81F3B" w:rsidRPr="004E2147" w:rsidRDefault="00D81F3B" w:rsidP="00813F71">
            <w:pPr>
              <w:rPr>
                <w:rFonts w:ascii="Arial" w:hAnsi="Arial" w:cs="Arial"/>
                <w:lang w:val="en-US"/>
              </w:rPr>
            </w:pPr>
            <w:r w:rsidRPr="004E2147">
              <w:rPr>
                <w:rFonts w:ascii="Arial" w:hAnsi="Arial" w:cs="Arial"/>
                <w:lang w:val="en-US"/>
              </w:rPr>
              <w:t>Peer-reviewed with high effect sizes (d = 1.52).</w:t>
            </w:r>
          </w:p>
        </w:tc>
        <w:tc>
          <w:tcPr>
            <w:tcW w:w="834" w:type="pct"/>
          </w:tcPr>
          <w:p w14:paraId="371AF825" w14:textId="77777777" w:rsidR="00D81F3B" w:rsidRPr="004E2147" w:rsidRDefault="00D81F3B" w:rsidP="00813F71">
            <w:pPr>
              <w:rPr>
                <w:rFonts w:ascii="Arial" w:hAnsi="Arial" w:cs="Arial"/>
                <w:lang w:val="en-US"/>
              </w:rPr>
            </w:pPr>
            <w:r w:rsidRPr="004E2147">
              <w:rPr>
                <w:rFonts w:ascii="Arial" w:hAnsi="Arial" w:cs="Arial"/>
                <w:lang w:val="en-US"/>
              </w:rPr>
              <w:t>To introduce a scalable diagnostic tool.</w:t>
            </w:r>
          </w:p>
        </w:tc>
      </w:tr>
      <w:tr w:rsidR="00D81F3B" w14:paraId="7D282D89" w14:textId="77777777" w:rsidTr="00986E53">
        <w:tc>
          <w:tcPr>
            <w:tcW w:w="833" w:type="pct"/>
          </w:tcPr>
          <w:p w14:paraId="5FFAD0FC" w14:textId="77777777" w:rsidR="00D81F3B" w:rsidRPr="004E2147" w:rsidRDefault="00D81F3B" w:rsidP="00813F71">
            <w:pPr>
              <w:rPr>
                <w:rFonts w:ascii="Arial" w:hAnsi="Arial" w:cs="Arial"/>
                <w:lang w:val="en-US"/>
              </w:rPr>
            </w:pPr>
            <w:r w:rsidRPr="004E2147">
              <w:rPr>
                <w:rFonts w:ascii="Arial" w:hAnsi="Arial" w:cs="Arial"/>
                <w:lang w:val="en-US"/>
              </w:rPr>
              <w:t>Article 2:</w:t>
            </w:r>
            <w:r w:rsidRPr="004E2147">
              <w:rPr>
                <w:rFonts w:ascii="Arial" w:hAnsi="Arial" w:cs="Arial"/>
              </w:rPr>
              <w:t xml:space="preserve"> </w:t>
            </w:r>
            <w:r w:rsidRPr="004E2147">
              <w:rPr>
                <w:rFonts w:ascii="Arial" w:hAnsi="Arial" w:cs="Arial"/>
                <w:lang w:val="en-US"/>
              </w:rPr>
              <w:t xml:space="preserve">Keshavan </w:t>
            </w:r>
            <w:r w:rsidRPr="004E2147">
              <w:rPr>
                <w:rFonts w:ascii="Arial" w:hAnsi="Arial" w:cs="Arial"/>
                <w:i/>
                <w:iCs/>
                <w:lang w:val="en-US"/>
              </w:rPr>
              <w:t>et</w:t>
            </w:r>
            <w:r w:rsidRPr="004E2147">
              <w:rPr>
                <w:rFonts w:ascii="Arial" w:hAnsi="Arial" w:cs="Arial"/>
                <w:lang w:val="en-US"/>
              </w:rPr>
              <w:t xml:space="preserve"> </w:t>
            </w:r>
            <w:r w:rsidRPr="004E2147">
              <w:rPr>
                <w:rFonts w:ascii="Arial" w:hAnsi="Arial" w:cs="Arial"/>
                <w:i/>
                <w:iCs/>
                <w:lang w:val="en-US"/>
              </w:rPr>
              <w:t>al.</w:t>
            </w:r>
            <w:r w:rsidRPr="004E2147">
              <w:rPr>
                <w:rFonts w:ascii="Arial" w:hAnsi="Arial" w:cs="Arial"/>
                <w:lang w:val="en-US"/>
              </w:rPr>
              <w:t xml:space="preserve"> (2021)</w:t>
            </w:r>
          </w:p>
        </w:tc>
        <w:tc>
          <w:tcPr>
            <w:tcW w:w="833" w:type="pct"/>
          </w:tcPr>
          <w:p w14:paraId="343030AF" w14:textId="77777777" w:rsidR="00D81F3B" w:rsidRPr="004E2147" w:rsidRDefault="00D81F3B" w:rsidP="00813F71">
            <w:pPr>
              <w:rPr>
                <w:rFonts w:ascii="Arial" w:hAnsi="Arial" w:cs="Arial"/>
                <w:lang w:val="en-US"/>
              </w:rPr>
            </w:pPr>
            <w:r w:rsidRPr="004E2147">
              <w:rPr>
                <w:rFonts w:ascii="Arial" w:hAnsi="Arial" w:cs="Arial"/>
                <w:lang w:val="en-US"/>
              </w:rPr>
              <w:t>Published 2021.</w:t>
            </w:r>
          </w:p>
        </w:tc>
        <w:tc>
          <w:tcPr>
            <w:tcW w:w="833" w:type="pct"/>
          </w:tcPr>
          <w:p w14:paraId="37C87AF2" w14:textId="36008B30" w:rsidR="00D81F3B" w:rsidRPr="004E2147" w:rsidRDefault="00DA6768" w:rsidP="00813F71">
            <w:pPr>
              <w:rPr>
                <w:rFonts w:ascii="Arial" w:hAnsi="Arial" w:cs="Arial"/>
                <w:lang w:val="en-US"/>
              </w:rPr>
            </w:pPr>
            <w:r w:rsidRPr="004E2147">
              <w:rPr>
                <w:rFonts w:ascii="Arial" w:hAnsi="Arial" w:cs="Arial"/>
                <w:lang w:val="en-US"/>
              </w:rPr>
              <w:t>Specifically,</w:t>
            </w:r>
            <w:r w:rsidR="00D81F3B" w:rsidRPr="004E2147">
              <w:rPr>
                <w:rFonts w:ascii="Arial" w:hAnsi="Arial" w:cs="Arial"/>
                <w:lang w:val="en-US"/>
              </w:rPr>
              <w:t xml:space="preserve"> UK population-based screening.</w:t>
            </w:r>
          </w:p>
        </w:tc>
        <w:tc>
          <w:tcPr>
            <w:tcW w:w="833" w:type="pct"/>
          </w:tcPr>
          <w:p w14:paraId="212179CC" w14:textId="77777777" w:rsidR="00D81F3B" w:rsidRPr="004E2147" w:rsidRDefault="00D81F3B" w:rsidP="00813F71">
            <w:pPr>
              <w:rPr>
                <w:rFonts w:ascii="Arial" w:hAnsi="Arial" w:cs="Arial"/>
                <w:lang w:val="en-US"/>
              </w:rPr>
            </w:pPr>
            <w:r w:rsidRPr="004E2147">
              <w:rPr>
                <w:rFonts w:ascii="Arial" w:hAnsi="Arial" w:cs="Arial"/>
                <w:lang w:val="en-US"/>
              </w:rPr>
              <w:t>Lead academic clinical researchers in neurology.</w:t>
            </w:r>
          </w:p>
        </w:tc>
        <w:tc>
          <w:tcPr>
            <w:tcW w:w="834" w:type="pct"/>
          </w:tcPr>
          <w:p w14:paraId="1C4A3F75" w14:textId="77777777" w:rsidR="00D81F3B" w:rsidRPr="004E2147" w:rsidRDefault="00D81F3B" w:rsidP="00813F71">
            <w:pPr>
              <w:rPr>
                <w:rFonts w:ascii="Arial" w:hAnsi="Arial" w:cs="Arial"/>
                <w:lang w:val="en-US"/>
              </w:rPr>
            </w:pPr>
            <w:r w:rsidRPr="004E2147">
              <w:rPr>
                <w:rFonts w:ascii="Arial" w:hAnsi="Arial" w:cs="Arial"/>
                <w:lang w:val="en-US"/>
              </w:rPr>
              <w:t>Large sample (n=502); statistical rigor with AUC metrics.</w:t>
            </w:r>
          </w:p>
        </w:tc>
        <w:tc>
          <w:tcPr>
            <w:tcW w:w="834" w:type="pct"/>
          </w:tcPr>
          <w:p w14:paraId="677135C1" w14:textId="395BE0F1" w:rsidR="00D81F3B" w:rsidRPr="004E2147" w:rsidRDefault="00D81F3B" w:rsidP="00813F71">
            <w:pPr>
              <w:rPr>
                <w:rFonts w:ascii="Arial" w:hAnsi="Arial" w:cs="Arial"/>
                <w:lang w:val="en-US"/>
              </w:rPr>
            </w:pPr>
            <w:r w:rsidRPr="004E2147">
              <w:rPr>
                <w:rFonts w:ascii="Arial" w:hAnsi="Arial" w:cs="Arial"/>
                <w:lang w:val="en-US"/>
              </w:rPr>
              <w:t xml:space="preserve">To </w:t>
            </w:r>
            <w:proofErr w:type="spellStart"/>
            <w:r w:rsidRPr="004E2147">
              <w:rPr>
                <w:rFonts w:ascii="Arial" w:hAnsi="Arial" w:cs="Arial"/>
                <w:lang w:val="en-US"/>
              </w:rPr>
              <w:t>optimi</w:t>
            </w:r>
            <w:r w:rsidR="00692DA1" w:rsidRPr="004E2147">
              <w:rPr>
                <w:rFonts w:ascii="Arial" w:hAnsi="Arial" w:cs="Arial"/>
                <w:lang w:val="en-US"/>
              </w:rPr>
              <w:t>s</w:t>
            </w:r>
            <w:r w:rsidRPr="004E2147">
              <w:rPr>
                <w:rFonts w:ascii="Arial" w:hAnsi="Arial" w:cs="Arial"/>
                <w:lang w:val="en-US"/>
              </w:rPr>
              <w:t>e</w:t>
            </w:r>
            <w:proofErr w:type="spellEnd"/>
            <w:r w:rsidRPr="004E2147">
              <w:rPr>
                <w:rFonts w:ascii="Arial" w:hAnsi="Arial" w:cs="Arial"/>
                <w:lang w:val="en-US"/>
              </w:rPr>
              <w:t xml:space="preserve"> cost-effective screening pathways.</w:t>
            </w:r>
          </w:p>
        </w:tc>
      </w:tr>
      <w:tr w:rsidR="00D81F3B" w14:paraId="4F4D2DCD" w14:textId="77777777" w:rsidTr="00986E53">
        <w:tc>
          <w:tcPr>
            <w:tcW w:w="833" w:type="pct"/>
          </w:tcPr>
          <w:p w14:paraId="0967EDB7" w14:textId="77777777" w:rsidR="00D81F3B" w:rsidRPr="004E2147" w:rsidRDefault="00D81F3B" w:rsidP="00813F71">
            <w:pPr>
              <w:rPr>
                <w:rFonts w:ascii="Arial" w:hAnsi="Arial" w:cs="Arial"/>
                <w:lang w:val="en-US"/>
              </w:rPr>
            </w:pPr>
            <w:r w:rsidRPr="004E2147">
              <w:rPr>
                <w:rFonts w:ascii="Arial" w:hAnsi="Arial" w:cs="Arial"/>
                <w:lang w:val="en-US"/>
              </w:rPr>
              <w:t xml:space="preserve">Article 3: </w:t>
            </w:r>
            <w:proofErr w:type="spellStart"/>
            <w:r w:rsidRPr="004E2147">
              <w:rPr>
                <w:rFonts w:ascii="Arial" w:hAnsi="Arial" w:cs="Arial"/>
                <w:lang w:val="en-US"/>
              </w:rPr>
              <w:t>Ereira</w:t>
            </w:r>
            <w:proofErr w:type="spellEnd"/>
            <w:r w:rsidRPr="004E2147">
              <w:rPr>
                <w:rFonts w:ascii="Arial" w:hAnsi="Arial" w:cs="Arial"/>
                <w:lang w:val="en-US"/>
              </w:rPr>
              <w:t xml:space="preserve"> </w:t>
            </w:r>
            <w:r w:rsidRPr="004E2147">
              <w:rPr>
                <w:rFonts w:ascii="Arial" w:hAnsi="Arial" w:cs="Arial"/>
                <w:i/>
                <w:iCs/>
                <w:lang w:val="en-US"/>
              </w:rPr>
              <w:t>et al.</w:t>
            </w:r>
            <w:r w:rsidRPr="004E2147">
              <w:rPr>
                <w:rFonts w:ascii="Arial" w:hAnsi="Arial" w:cs="Arial"/>
                <w:lang w:val="en-US"/>
              </w:rPr>
              <w:t xml:space="preserve"> (2024)</w:t>
            </w:r>
          </w:p>
        </w:tc>
        <w:tc>
          <w:tcPr>
            <w:tcW w:w="833" w:type="pct"/>
          </w:tcPr>
          <w:p w14:paraId="73172C37" w14:textId="77777777" w:rsidR="00D81F3B" w:rsidRPr="004E2147" w:rsidRDefault="00D81F3B" w:rsidP="00813F71">
            <w:pPr>
              <w:rPr>
                <w:rFonts w:ascii="Arial" w:hAnsi="Arial" w:cs="Arial"/>
                <w:lang w:val="en-US"/>
              </w:rPr>
            </w:pPr>
            <w:r w:rsidRPr="004E2147">
              <w:rPr>
                <w:rFonts w:ascii="Arial" w:hAnsi="Arial" w:cs="Arial"/>
                <w:lang w:val="en-US"/>
              </w:rPr>
              <w:t>Published 2024 (Highly current).</w:t>
            </w:r>
          </w:p>
        </w:tc>
        <w:tc>
          <w:tcPr>
            <w:tcW w:w="833" w:type="pct"/>
          </w:tcPr>
          <w:p w14:paraId="5B0836A9" w14:textId="77777777" w:rsidR="00D81F3B" w:rsidRPr="004E2147" w:rsidRDefault="00D81F3B" w:rsidP="00813F71">
            <w:pPr>
              <w:rPr>
                <w:rFonts w:ascii="Arial" w:hAnsi="Arial" w:cs="Arial"/>
                <w:lang w:val="en-US"/>
              </w:rPr>
            </w:pPr>
            <w:r w:rsidRPr="004E2147">
              <w:rPr>
                <w:rFonts w:ascii="Arial" w:hAnsi="Arial" w:cs="Arial"/>
                <w:lang w:val="en-US"/>
              </w:rPr>
              <w:t>Focuses on population-level early detection.</w:t>
            </w:r>
          </w:p>
        </w:tc>
        <w:tc>
          <w:tcPr>
            <w:tcW w:w="833" w:type="pct"/>
          </w:tcPr>
          <w:p w14:paraId="6525D4D3" w14:textId="77777777" w:rsidR="00D81F3B" w:rsidRPr="004E2147" w:rsidRDefault="00D81F3B" w:rsidP="00813F71">
            <w:pPr>
              <w:rPr>
                <w:rFonts w:ascii="Arial" w:hAnsi="Arial" w:cs="Arial"/>
                <w:lang w:val="en-US"/>
              </w:rPr>
            </w:pPr>
            <w:r w:rsidRPr="004E2147">
              <w:rPr>
                <w:rFonts w:ascii="Arial" w:hAnsi="Arial" w:cs="Arial"/>
                <w:lang w:val="en-US"/>
              </w:rPr>
              <w:t>Nature Mental Health; high-tier academic institution.</w:t>
            </w:r>
          </w:p>
        </w:tc>
        <w:tc>
          <w:tcPr>
            <w:tcW w:w="834" w:type="pct"/>
          </w:tcPr>
          <w:p w14:paraId="77627DE9" w14:textId="77777777" w:rsidR="00D81F3B" w:rsidRPr="004E2147" w:rsidRDefault="00D81F3B" w:rsidP="00813F71">
            <w:pPr>
              <w:rPr>
                <w:rFonts w:ascii="Arial" w:hAnsi="Arial" w:cs="Arial"/>
                <w:lang w:val="en-US"/>
              </w:rPr>
            </w:pPr>
            <w:r w:rsidRPr="004E2147">
              <w:rPr>
                <w:rFonts w:ascii="Arial" w:hAnsi="Arial" w:cs="Arial"/>
                <w:lang w:val="en-US"/>
              </w:rPr>
              <w:t>Large dataset (n =1111); longitudinal design.</w:t>
            </w:r>
          </w:p>
        </w:tc>
        <w:tc>
          <w:tcPr>
            <w:tcW w:w="834" w:type="pct"/>
          </w:tcPr>
          <w:p w14:paraId="18855CFE" w14:textId="77777777" w:rsidR="00D81F3B" w:rsidRPr="004E2147" w:rsidRDefault="00D81F3B" w:rsidP="00813F71">
            <w:pPr>
              <w:rPr>
                <w:rFonts w:ascii="Arial" w:hAnsi="Arial" w:cs="Arial"/>
                <w:lang w:val="en-US"/>
              </w:rPr>
            </w:pPr>
            <w:r w:rsidRPr="004E2147">
              <w:rPr>
                <w:rFonts w:ascii="Arial" w:hAnsi="Arial" w:cs="Arial"/>
                <w:lang w:val="en-US"/>
              </w:rPr>
              <w:t>To provide a neurobiological model for early risk.</w:t>
            </w:r>
          </w:p>
        </w:tc>
      </w:tr>
      <w:tr w:rsidR="00D81F3B" w14:paraId="2D69C828" w14:textId="77777777" w:rsidTr="00986E53">
        <w:tc>
          <w:tcPr>
            <w:tcW w:w="833" w:type="pct"/>
          </w:tcPr>
          <w:p w14:paraId="5EE2EDC8" w14:textId="77777777" w:rsidR="00D81F3B" w:rsidRPr="004E2147" w:rsidRDefault="00D81F3B" w:rsidP="00813F71">
            <w:pPr>
              <w:rPr>
                <w:rFonts w:ascii="Arial" w:hAnsi="Arial" w:cs="Arial"/>
                <w:lang w:val="en-US"/>
              </w:rPr>
            </w:pPr>
            <w:r w:rsidRPr="004E2147">
              <w:rPr>
                <w:rFonts w:ascii="Arial" w:hAnsi="Arial" w:cs="Arial"/>
                <w:lang w:val="en-US"/>
              </w:rPr>
              <w:t>Article 4:</w:t>
            </w:r>
            <w:r w:rsidRPr="004E2147">
              <w:rPr>
                <w:rFonts w:ascii="Arial" w:hAnsi="Arial" w:cs="Arial"/>
              </w:rPr>
              <w:t xml:space="preserve"> </w:t>
            </w:r>
            <w:proofErr w:type="spellStart"/>
            <w:r w:rsidRPr="004E2147">
              <w:rPr>
                <w:rFonts w:ascii="Arial" w:hAnsi="Arial" w:cs="Arial"/>
                <w:lang w:val="en-US"/>
              </w:rPr>
              <w:t>Creavin</w:t>
            </w:r>
            <w:proofErr w:type="spellEnd"/>
            <w:r w:rsidRPr="004E2147">
              <w:rPr>
                <w:rFonts w:ascii="Arial" w:hAnsi="Arial" w:cs="Arial"/>
                <w:lang w:val="en-US"/>
              </w:rPr>
              <w:t xml:space="preserve"> </w:t>
            </w:r>
            <w:r w:rsidRPr="004E2147">
              <w:rPr>
                <w:rFonts w:ascii="Arial" w:hAnsi="Arial" w:cs="Arial"/>
                <w:i/>
                <w:iCs/>
                <w:lang w:val="en-US"/>
              </w:rPr>
              <w:t>et</w:t>
            </w:r>
            <w:r w:rsidRPr="004E2147">
              <w:rPr>
                <w:rFonts w:ascii="Arial" w:hAnsi="Arial" w:cs="Arial"/>
                <w:lang w:val="en-US"/>
              </w:rPr>
              <w:t xml:space="preserve"> </w:t>
            </w:r>
            <w:r w:rsidRPr="004E2147">
              <w:rPr>
                <w:rFonts w:ascii="Arial" w:hAnsi="Arial" w:cs="Arial"/>
                <w:i/>
                <w:iCs/>
                <w:lang w:val="en-US"/>
              </w:rPr>
              <w:t>al.</w:t>
            </w:r>
            <w:r w:rsidRPr="004E2147">
              <w:rPr>
                <w:rFonts w:ascii="Arial" w:hAnsi="Arial" w:cs="Arial"/>
                <w:lang w:val="en-US"/>
              </w:rPr>
              <w:t xml:space="preserve"> (2021)</w:t>
            </w:r>
          </w:p>
        </w:tc>
        <w:tc>
          <w:tcPr>
            <w:tcW w:w="833" w:type="pct"/>
          </w:tcPr>
          <w:p w14:paraId="42C90977" w14:textId="77777777" w:rsidR="00D81F3B" w:rsidRPr="004E2147" w:rsidRDefault="00D81F3B" w:rsidP="00813F71">
            <w:pPr>
              <w:rPr>
                <w:rFonts w:ascii="Arial" w:hAnsi="Arial" w:cs="Arial"/>
                <w:lang w:val="en-US"/>
              </w:rPr>
            </w:pPr>
            <w:r w:rsidRPr="004E2147">
              <w:rPr>
                <w:rFonts w:ascii="Arial" w:hAnsi="Arial" w:cs="Arial"/>
                <w:lang w:val="en-US"/>
              </w:rPr>
              <w:t>Published 2021.</w:t>
            </w:r>
          </w:p>
        </w:tc>
        <w:tc>
          <w:tcPr>
            <w:tcW w:w="833" w:type="pct"/>
          </w:tcPr>
          <w:p w14:paraId="357D0514" w14:textId="77777777" w:rsidR="00D81F3B" w:rsidRPr="004E2147" w:rsidRDefault="00D81F3B" w:rsidP="00813F71">
            <w:pPr>
              <w:rPr>
                <w:rFonts w:ascii="Arial" w:hAnsi="Arial" w:cs="Arial"/>
                <w:lang w:val="en-US"/>
              </w:rPr>
            </w:pPr>
            <w:r w:rsidRPr="004E2147">
              <w:rPr>
                <w:rFonts w:ascii="Arial" w:hAnsi="Arial" w:cs="Arial"/>
                <w:lang w:val="en-US"/>
              </w:rPr>
              <w:t>Directly addresses the primary care bottleneck in the UK.</w:t>
            </w:r>
          </w:p>
        </w:tc>
        <w:tc>
          <w:tcPr>
            <w:tcW w:w="833" w:type="pct"/>
          </w:tcPr>
          <w:p w14:paraId="1838AADB" w14:textId="77777777" w:rsidR="00D81F3B" w:rsidRPr="004E2147" w:rsidRDefault="00D81F3B" w:rsidP="00813F71">
            <w:pPr>
              <w:rPr>
                <w:rFonts w:ascii="Arial" w:hAnsi="Arial" w:cs="Arial"/>
                <w:lang w:val="en-US"/>
              </w:rPr>
            </w:pPr>
            <w:r w:rsidRPr="004E2147">
              <w:rPr>
                <w:rFonts w:ascii="Arial" w:hAnsi="Arial" w:cs="Arial"/>
                <w:lang w:val="en-US"/>
              </w:rPr>
              <w:t>Published in BJGP Open; expert medical researchers.</w:t>
            </w:r>
          </w:p>
        </w:tc>
        <w:tc>
          <w:tcPr>
            <w:tcW w:w="834" w:type="pct"/>
          </w:tcPr>
          <w:p w14:paraId="50FF5E30" w14:textId="77777777" w:rsidR="00D81F3B" w:rsidRPr="004E2147" w:rsidRDefault="00D81F3B" w:rsidP="00813F71">
            <w:pPr>
              <w:rPr>
                <w:rFonts w:ascii="Arial" w:hAnsi="Arial" w:cs="Arial"/>
                <w:lang w:val="en-US"/>
              </w:rPr>
            </w:pPr>
            <w:r w:rsidRPr="004E2147">
              <w:rPr>
                <w:rFonts w:ascii="Arial" w:hAnsi="Arial" w:cs="Arial"/>
                <w:lang w:val="en-US"/>
              </w:rPr>
              <w:t>Multi-practice study with clear reference standards.</w:t>
            </w:r>
          </w:p>
        </w:tc>
        <w:tc>
          <w:tcPr>
            <w:tcW w:w="834" w:type="pct"/>
          </w:tcPr>
          <w:p w14:paraId="6FCD2DFA" w14:textId="77777777" w:rsidR="00D81F3B" w:rsidRPr="004E2147" w:rsidRDefault="00D81F3B" w:rsidP="00813F71">
            <w:pPr>
              <w:rPr>
                <w:rFonts w:ascii="Arial" w:hAnsi="Arial" w:cs="Arial"/>
                <w:lang w:val="en-US"/>
              </w:rPr>
            </w:pPr>
            <w:r w:rsidRPr="004E2147">
              <w:rPr>
                <w:rFonts w:ascii="Arial" w:hAnsi="Arial" w:cs="Arial"/>
                <w:lang w:val="en-US"/>
              </w:rPr>
              <w:t>To evaluate current clinical practice standards.</w:t>
            </w:r>
          </w:p>
        </w:tc>
      </w:tr>
      <w:tr w:rsidR="00D81F3B" w14:paraId="608BAB48" w14:textId="77777777" w:rsidTr="00986E53">
        <w:tc>
          <w:tcPr>
            <w:tcW w:w="833" w:type="pct"/>
          </w:tcPr>
          <w:p w14:paraId="4E307594" w14:textId="77777777" w:rsidR="00D81F3B" w:rsidRPr="004E2147" w:rsidRDefault="00D81F3B" w:rsidP="00813F71">
            <w:pPr>
              <w:rPr>
                <w:rFonts w:ascii="Arial" w:hAnsi="Arial" w:cs="Arial"/>
                <w:lang w:val="en-US"/>
              </w:rPr>
            </w:pPr>
            <w:r w:rsidRPr="004E2147">
              <w:rPr>
                <w:rFonts w:ascii="Arial" w:hAnsi="Arial" w:cs="Arial"/>
                <w:lang w:val="en-US"/>
              </w:rPr>
              <w:t>Article 5:</w:t>
            </w:r>
            <w:r w:rsidRPr="004E2147">
              <w:rPr>
                <w:rFonts w:ascii="Arial" w:hAnsi="Arial" w:cs="Arial"/>
              </w:rPr>
              <w:t xml:space="preserve"> </w:t>
            </w:r>
            <w:proofErr w:type="spellStart"/>
            <w:r w:rsidRPr="004E2147">
              <w:rPr>
                <w:rFonts w:ascii="Arial" w:hAnsi="Arial" w:cs="Arial"/>
                <w:lang w:val="en-US"/>
              </w:rPr>
              <w:t>Creavin</w:t>
            </w:r>
            <w:proofErr w:type="spellEnd"/>
            <w:r w:rsidRPr="004E2147">
              <w:rPr>
                <w:rFonts w:ascii="Arial" w:hAnsi="Arial" w:cs="Arial"/>
                <w:lang w:val="en-US"/>
              </w:rPr>
              <w:t xml:space="preserve"> </w:t>
            </w:r>
            <w:r w:rsidRPr="004E2147">
              <w:rPr>
                <w:rFonts w:ascii="Arial" w:hAnsi="Arial" w:cs="Arial"/>
                <w:i/>
                <w:iCs/>
                <w:lang w:val="en-US"/>
              </w:rPr>
              <w:t>et</w:t>
            </w:r>
            <w:r w:rsidRPr="004E2147">
              <w:rPr>
                <w:rFonts w:ascii="Arial" w:hAnsi="Arial" w:cs="Arial"/>
                <w:lang w:val="en-US"/>
              </w:rPr>
              <w:t xml:space="preserve"> </w:t>
            </w:r>
            <w:r w:rsidRPr="004E2147">
              <w:rPr>
                <w:rFonts w:ascii="Arial" w:hAnsi="Arial" w:cs="Arial"/>
                <w:i/>
                <w:iCs/>
                <w:lang w:val="en-US"/>
              </w:rPr>
              <w:t>al</w:t>
            </w:r>
            <w:r w:rsidRPr="004E2147">
              <w:rPr>
                <w:rFonts w:ascii="Arial" w:hAnsi="Arial" w:cs="Arial"/>
                <w:lang w:val="en-US"/>
              </w:rPr>
              <w:t>. (2023)</w:t>
            </w:r>
          </w:p>
        </w:tc>
        <w:tc>
          <w:tcPr>
            <w:tcW w:w="833" w:type="pct"/>
          </w:tcPr>
          <w:p w14:paraId="341BA0CF" w14:textId="77777777" w:rsidR="00D81F3B" w:rsidRPr="004E2147" w:rsidRDefault="00D81F3B" w:rsidP="00813F71">
            <w:pPr>
              <w:rPr>
                <w:rFonts w:ascii="Arial" w:hAnsi="Arial" w:cs="Arial"/>
                <w:lang w:val="en-US"/>
              </w:rPr>
            </w:pPr>
            <w:r w:rsidRPr="004E2147">
              <w:rPr>
                <w:rFonts w:ascii="Arial" w:hAnsi="Arial" w:cs="Arial"/>
                <w:lang w:val="en-US"/>
              </w:rPr>
              <w:t>Published 2023.</w:t>
            </w:r>
          </w:p>
        </w:tc>
        <w:tc>
          <w:tcPr>
            <w:tcW w:w="833" w:type="pct"/>
          </w:tcPr>
          <w:p w14:paraId="22F4EA36" w14:textId="77777777" w:rsidR="00D81F3B" w:rsidRPr="004E2147" w:rsidRDefault="00D81F3B" w:rsidP="00813F71">
            <w:pPr>
              <w:rPr>
                <w:rFonts w:ascii="Arial" w:hAnsi="Arial" w:cs="Arial"/>
                <w:lang w:val="en-US"/>
              </w:rPr>
            </w:pPr>
            <w:r w:rsidRPr="004E2147">
              <w:rPr>
                <w:rFonts w:ascii="Arial" w:hAnsi="Arial" w:cs="Arial"/>
                <w:lang w:val="en-US"/>
              </w:rPr>
              <w:t>Practical application for improving GP diagnosis rates.</w:t>
            </w:r>
          </w:p>
        </w:tc>
        <w:tc>
          <w:tcPr>
            <w:tcW w:w="833" w:type="pct"/>
          </w:tcPr>
          <w:p w14:paraId="28C9D842" w14:textId="77777777" w:rsidR="00D81F3B" w:rsidRPr="004E2147" w:rsidRDefault="00D81F3B" w:rsidP="00813F71">
            <w:pPr>
              <w:rPr>
                <w:rFonts w:ascii="Arial" w:hAnsi="Arial" w:cs="Arial"/>
                <w:lang w:val="en-US"/>
              </w:rPr>
            </w:pPr>
            <w:proofErr w:type="spellStart"/>
            <w:r w:rsidRPr="004E2147">
              <w:rPr>
                <w:rFonts w:ascii="Arial" w:hAnsi="Arial" w:cs="Arial"/>
                <w:lang w:val="en-US"/>
              </w:rPr>
              <w:t>Specialised</w:t>
            </w:r>
            <w:proofErr w:type="spellEnd"/>
            <w:r w:rsidRPr="004E2147">
              <w:rPr>
                <w:rFonts w:ascii="Arial" w:hAnsi="Arial" w:cs="Arial"/>
                <w:lang w:val="en-US"/>
              </w:rPr>
              <w:t xml:space="preserve"> academic journal </w:t>
            </w:r>
            <w:r w:rsidRPr="004E2147">
              <w:rPr>
                <w:rFonts w:ascii="Arial" w:hAnsi="Arial" w:cs="Arial"/>
                <w:lang w:val="en-US"/>
              </w:rPr>
              <w:lastRenderedPageBreak/>
              <w:t>(Journal of Alzheimer's Disease).</w:t>
            </w:r>
          </w:p>
        </w:tc>
        <w:tc>
          <w:tcPr>
            <w:tcW w:w="834" w:type="pct"/>
          </w:tcPr>
          <w:p w14:paraId="627A301F" w14:textId="77777777" w:rsidR="00D81F3B" w:rsidRPr="004E2147" w:rsidRDefault="00D81F3B" w:rsidP="00813F71">
            <w:pPr>
              <w:rPr>
                <w:rFonts w:ascii="Arial" w:hAnsi="Arial" w:cs="Arial"/>
                <w:lang w:val="en-US"/>
              </w:rPr>
            </w:pPr>
            <w:r w:rsidRPr="004E2147">
              <w:rPr>
                <w:rFonts w:ascii="Arial" w:hAnsi="Arial" w:cs="Arial"/>
                <w:lang w:val="en-US"/>
              </w:rPr>
              <w:lastRenderedPageBreak/>
              <w:t>Comparative analysis of multiple validated tools.</w:t>
            </w:r>
          </w:p>
        </w:tc>
        <w:tc>
          <w:tcPr>
            <w:tcW w:w="834" w:type="pct"/>
          </w:tcPr>
          <w:p w14:paraId="0494EE6E" w14:textId="77777777" w:rsidR="00D81F3B" w:rsidRPr="004E2147" w:rsidRDefault="00D81F3B" w:rsidP="00813F71">
            <w:pPr>
              <w:rPr>
                <w:rFonts w:ascii="Arial" w:hAnsi="Arial" w:cs="Arial"/>
                <w:lang w:val="en-US"/>
              </w:rPr>
            </w:pPr>
            <w:r w:rsidRPr="004E2147">
              <w:rPr>
                <w:rFonts w:ascii="Arial" w:hAnsi="Arial" w:cs="Arial"/>
                <w:lang w:val="en-US"/>
              </w:rPr>
              <w:t>To define an efficient primary care diagnostic strategy.</w:t>
            </w:r>
          </w:p>
        </w:tc>
      </w:tr>
      <w:tr w:rsidR="00D81F3B" w14:paraId="591809E4" w14:textId="77777777" w:rsidTr="00986E53">
        <w:tc>
          <w:tcPr>
            <w:tcW w:w="833" w:type="pct"/>
          </w:tcPr>
          <w:p w14:paraId="6936C145" w14:textId="77777777" w:rsidR="00D81F3B" w:rsidRPr="004E2147" w:rsidRDefault="00D81F3B" w:rsidP="00813F71">
            <w:pPr>
              <w:rPr>
                <w:rFonts w:ascii="Arial" w:hAnsi="Arial" w:cs="Arial"/>
                <w:lang w:val="en-US"/>
              </w:rPr>
            </w:pPr>
            <w:r w:rsidRPr="004E2147">
              <w:rPr>
                <w:rFonts w:ascii="Arial" w:hAnsi="Arial" w:cs="Arial"/>
                <w:lang w:val="en-US"/>
              </w:rPr>
              <w:t>Article 6:</w:t>
            </w:r>
            <w:r w:rsidRPr="004E2147">
              <w:rPr>
                <w:rFonts w:ascii="Arial" w:hAnsi="Arial" w:cs="Arial"/>
              </w:rPr>
              <w:t xml:space="preserve"> </w:t>
            </w:r>
            <w:proofErr w:type="spellStart"/>
            <w:r w:rsidRPr="004E2147">
              <w:rPr>
                <w:rFonts w:ascii="Arial" w:hAnsi="Arial" w:cs="Arial"/>
                <w:lang w:val="en-US"/>
              </w:rPr>
              <w:t>Chingono</w:t>
            </w:r>
            <w:proofErr w:type="spellEnd"/>
            <w:r w:rsidRPr="004E2147">
              <w:rPr>
                <w:rFonts w:ascii="Arial" w:hAnsi="Arial" w:cs="Arial"/>
                <w:lang w:val="en-US"/>
              </w:rPr>
              <w:t xml:space="preserve"> </w:t>
            </w:r>
            <w:r w:rsidRPr="004E2147">
              <w:rPr>
                <w:rFonts w:ascii="Arial" w:hAnsi="Arial" w:cs="Arial"/>
                <w:i/>
                <w:iCs/>
                <w:lang w:val="en-US"/>
              </w:rPr>
              <w:t>et al.</w:t>
            </w:r>
            <w:r w:rsidRPr="004E2147">
              <w:rPr>
                <w:rFonts w:ascii="Arial" w:hAnsi="Arial" w:cs="Arial"/>
                <w:lang w:val="en-US"/>
              </w:rPr>
              <w:t xml:space="preserve"> (2025)</w:t>
            </w:r>
          </w:p>
        </w:tc>
        <w:tc>
          <w:tcPr>
            <w:tcW w:w="833" w:type="pct"/>
          </w:tcPr>
          <w:p w14:paraId="74A16548" w14:textId="77777777" w:rsidR="00D81F3B" w:rsidRPr="004E2147" w:rsidRDefault="00D81F3B" w:rsidP="00813F71">
            <w:pPr>
              <w:rPr>
                <w:rFonts w:ascii="Arial" w:hAnsi="Arial" w:cs="Arial"/>
                <w:lang w:val="en-US"/>
              </w:rPr>
            </w:pPr>
            <w:r w:rsidRPr="004E2147">
              <w:rPr>
                <w:rFonts w:ascii="Arial" w:hAnsi="Arial" w:cs="Arial"/>
                <w:lang w:val="en-US"/>
              </w:rPr>
              <w:t>Published 2025 (Forward-looking).</w:t>
            </w:r>
          </w:p>
        </w:tc>
        <w:tc>
          <w:tcPr>
            <w:tcW w:w="833" w:type="pct"/>
          </w:tcPr>
          <w:p w14:paraId="6EB7669A" w14:textId="77777777" w:rsidR="00D81F3B" w:rsidRPr="004E2147" w:rsidRDefault="00D81F3B" w:rsidP="00813F71">
            <w:pPr>
              <w:rPr>
                <w:rFonts w:ascii="Arial" w:hAnsi="Arial" w:cs="Arial"/>
                <w:lang w:val="en-US"/>
              </w:rPr>
            </w:pPr>
            <w:r w:rsidRPr="004E2147">
              <w:rPr>
                <w:rFonts w:ascii="Arial" w:hAnsi="Arial" w:cs="Arial"/>
                <w:lang w:val="en-US"/>
              </w:rPr>
              <w:t>Crucial for involving families in the diagnostic process.</w:t>
            </w:r>
          </w:p>
        </w:tc>
        <w:tc>
          <w:tcPr>
            <w:tcW w:w="833" w:type="pct"/>
          </w:tcPr>
          <w:p w14:paraId="0CE80E12" w14:textId="77777777" w:rsidR="00D81F3B" w:rsidRPr="004E2147" w:rsidRDefault="00D81F3B" w:rsidP="00813F71">
            <w:pPr>
              <w:rPr>
                <w:rFonts w:ascii="Arial" w:hAnsi="Arial" w:cs="Arial"/>
                <w:lang w:val="en-US"/>
              </w:rPr>
            </w:pPr>
            <w:r w:rsidRPr="004E2147">
              <w:rPr>
                <w:rFonts w:ascii="Arial" w:hAnsi="Arial" w:cs="Arial"/>
                <w:lang w:val="en-US"/>
              </w:rPr>
              <w:t>Published in BMC Primary Care; clinical research team.</w:t>
            </w:r>
          </w:p>
        </w:tc>
        <w:tc>
          <w:tcPr>
            <w:tcW w:w="834" w:type="pct"/>
          </w:tcPr>
          <w:p w14:paraId="3D708036" w14:textId="77777777" w:rsidR="00D81F3B" w:rsidRPr="004E2147" w:rsidRDefault="00D81F3B" w:rsidP="00813F71">
            <w:pPr>
              <w:rPr>
                <w:rFonts w:ascii="Arial" w:hAnsi="Arial" w:cs="Arial"/>
                <w:lang w:val="en-US"/>
              </w:rPr>
            </w:pPr>
            <w:r w:rsidRPr="004E2147">
              <w:rPr>
                <w:rFonts w:ascii="Arial" w:hAnsi="Arial" w:cs="Arial"/>
                <w:lang w:val="en-US"/>
              </w:rPr>
              <w:t>Detailed adjustment for informant types and relationships.</w:t>
            </w:r>
          </w:p>
        </w:tc>
        <w:tc>
          <w:tcPr>
            <w:tcW w:w="834" w:type="pct"/>
          </w:tcPr>
          <w:p w14:paraId="1FF36FE3" w14:textId="77777777" w:rsidR="00D81F3B" w:rsidRPr="004E2147" w:rsidRDefault="00D81F3B" w:rsidP="00813F71">
            <w:pPr>
              <w:rPr>
                <w:rFonts w:ascii="Arial" w:hAnsi="Arial" w:cs="Arial"/>
                <w:lang w:val="en-US"/>
              </w:rPr>
            </w:pPr>
            <w:r w:rsidRPr="004E2147">
              <w:rPr>
                <w:rFonts w:ascii="Arial" w:hAnsi="Arial" w:cs="Arial"/>
                <w:lang w:val="en-US"/>
              </w:rPr>
              <w:t>To improve the interpretation of informant questionnaires.</w:t>
            </w:r>
          </w:p>
        </w:tc>
      </w:tr>
      <w:tr w:rsidR="00D81F3B" w14:paraId="79346724" w14:textId="77777777" w:rsidTr="00986E53">
        <w:tc>
          <w:tcPr>
            <w:tcW w:w="833" w:type="pct"/>
          </w:tcPr>
          <w:p w14:paraId="0A405309" w14:textId="77777777" w:rsidR="00D81F3B" w:rsidRPr="004E2147" w:rsidRDefault="00D81F3B" w:rsidP="00813F71">
            <w:pPr>
              <w:rPr>
                <w:rFonts w:ascii="Arial" w:hAnsi="Arial" w:cs="Arial"/>
                <w:lang w:val="en-US"/>
              </w:rPr>
            </w:pPr>
            <w:r w:rsidRPr="004E2147">
              <w:rPr>
                <w:rFonts w:ascii="Arial" w:hAnsi="Arial" w:cs="Arial"/>
                <w:lang w:val="en-US"/>
              </w:rPr>
              <w:t>Article 7:</w:t>
            </w:r>
            <w:r w:rsidRPr="004E2147">
              <w:rPr>
                <w:rFonts w:ascii="Arial" w:hAnsi="Arial" w:cs="Arial"/>
              </w:rPr>
              <w:t xml:space="preserve"> </w:t>
            </w:r>
            <w:r w:rsidRPr="004E2147">
              <w:rPr>
                <w:rFonts w:ascii="Arial" w:hAnsi="Arial" w:cs="Arial"/>
                <w:lang w:val="en-US"/>
              </w:rPr>
              <w:t xml:space="preserve">Jones </w:t>
            </w:r>
            <w:r w:rsidRPr="004E2147">
              <w:rPr>
                <w:rFonts w:ascii="Arial" w:hAnsi="Arial" w:cs="Arial"/>
                <w:i/>
                <w:iCs/>
                <w:lang w:val="en-US"/>
              </w:rPr>
              <w:t xml:space="preserve">et al. </w:t>
            </w:r>
            <w:r w:rsidRPr="004E2147">
              <w:rPr>
                <w:rFonts w:ascii="Arial" w:hAnsi="Arial" w:cs="Arial"/>
                <w:lang w:val="en-US"/>
              </w:rPr>
              <w:t>(2023)</w:t>
            </w:r>
          </w:p>
        </w:tc>
        <w:tc>
          <w:tcPr>
            <w:tcW w:w="833" w:type="pct"/>
          </w:tcPr>
          <w:p w14:paraId="60BE46A0" w14:textId="77777777" w:rsidR="00D81F3B" w:rsidRPr="004E2147" w:rsidRDefault="00D81F3B" w:rsidP="00813F71">
            <w:pPr>
              <w:rPr>
                <w:rFonts w:ascii="Arial" w:hAnsi="Arial" w:cs="Arial"/>
                <w:lang w:val="en-US"/>
              </w:rPr>
            </w:pPr>
            <w:r w:rsidRPr="004E2147">
              <w:rPr>
                <w:rFonts w:ascii="Arial" w:hAnsi="Arial" w:cs="Arial"/>
                <w:lang w:val="en-US"/>
              </w:rPr>
              <w:t>Published 2023.</w:t>
            </w:r>
          </w:p>
        </w:tc>
        <w:tc>
          <w:tcPr>
            <w:tcW w:w="833" w:type="pct"/>
          </w:tcPr>
          <w:p w14:paraId="7EA85777" w14:textId="77777777" w:rsidR="00D81F3B" w:rsidRPr="004E2147" w:rsidRDefault="00D81F3B" w:rsidP="00813F71">
            <w:pPr>
              <w:rPr>
                <w:rFonts w:ascii="Arial" w:hAnsi="Arial" w:cs="Arial"/>
                <w:lang w:val="en-US"/>
              </w:rPr>
            </w:pPr>
            <w:r w:rsidRPr="004E2147">
              <w:rPr>
                <w:rFonts w:ascii="Arial" w:hAnsi="Arial" w:cs="Arial"/>
                <w:lang w:val="en-US"/>
              </w:rPr>
              <w:t>Identifies social and systemic barriers to early intervention.</w:t>
            </w:r>
          </w:p>
        </w:tc>
        <w:tc>
          <w:tcPr>
            <w:tcW w:w="833" w:type="pct"/>
          </w:tcPr>
          <w:p w14:paraId="1B306D4A" w14:textId="77777777" w:rsidR="00D81F3B" w:rsidRPr="004E2147" w:rsidRDefault="00D81F3B" w:rsidP="00813F71">
            <w:pPr>
              <w:rPr>
                <w:rFonts w:ascii="Arial" w:hAnsi="Arial" w:cs="Arial"/>
                <w:lang w:val="en-US"/>
              </w:rPr>
            </w:pPr>
            <w:r w:rsidRPr="004E2147">
              <w:rPr>
                <w:rFonts w:ascii="Arial" w:hAnsi="Arial" w:cs="Arial"/>
                <w:lang w:val="en-US"/>
              </w:rPr>
              <w:t>British Journal of General Practice (BJGP).</w:t>
            </w:r>
          </w:p>
        </w:tc>
        <w:tc>
          <w:tcPr>
            <w:tcW w:w="834" w:type="pct"/>
          </w:tcPr>
          <w:p w14:paraId="2BDD6981" w14:textId="77777777" w:rsidR="00D81F3B" w:rsidRPr="004E2147" w:rsidRDefault="00D81F3B" w:rsidP="00813F71">
            <w:pPr>
              <w:rPr>
                <w:rFonts w:ascii="Arial" w:hAnsi="Arial" w:cs="Arial"/>
                <w:lang w:val="en-US"/>
              </w:rPr>
            </w:pPr>
            <w:r w:rsidRPr="004E2147">
              <w:rPr>
                <w:rFonts w:ascii="Arial" w:hAnsi="Arial" w:cs="Arial"/>
                <w:lang w:val="en-US"/>
              </w:rPr>
              <w:t>Rigorous thematic analysis of clinical interviews.</w:t>
            </w:r>
          </w:p>
        </w:tc>
        <w:tc>
          <w:tcPr>
            <w:tcW w:w="834" w:type="pct"/>
          </w:tcPr>
          <w:p w14:paraId="6825477D" w14:textId="77777777" w:rsidR="00D81F3B" w:rsidRPr="004E2147" w:rsidRDefault="00D81F3B" w:rsidP="00813F71">
            <w:pPr>
              <w:rPr>
                <w:rFonts w:ascii="Arial" w:hAnsi="Arial" w:cs="Arial"/>
                <w:lang w:val="en-US"/>
              </w:rPr>
            </w:pPr>
            <w:r w:rsidRPr="004E2147">
              <w:rPr>
                <w:rFonts w:ascii="Arial" w:hAnsi="Arial" w:cs="Arial"/>
                <w:lang w:val="en-US"/>
              </w:rPr>
              <w:t>To advocate for a "brain health" approach in primary care.</w:t>
            </w:r>
          </w:p>
        </w:tc>
      </w:tr>
      <w:tr w:rsidR="00D81F3B" w14:paraId="5F5E7D65" w14:textId="77777777" w:rsidTr="00986E53">
        <w:tc>
          <w:tcPr>
            <w:tcW w:w="833" w:type="pct"/>
          </w:tcPr>
          <w:p w14:paraId="6A65BD06" w14:textId="77777777" w:rsidR="00D81F3B" w:rsidRPr="004E2147" w:rsidRDefault="00D81F3B" w:rsidP="00813F71">
            <w:pPr>
              <w:rPr>
                <w:rFonts w:ascii="Arial" w:hAnsi="Arial" w:cs="Arial"/>
                <w:lang w:val="en-US"/>
              </w:rPr>
            </w:pPr>
            <w:r w:rsidRPr="004E2147">
              <w:rPr>
                <w:rFonts w:ascii="Arial" w:hAnsi="Arial" w:cs="Arial"/>
                <w:lang w:val="en-US"/>
              </w:rPr>
              <w:t>Article 8:</w:t>
            </w:r>
            <w:r w:rsidRPr="004E2147">
              <w:rPr>
                <w:rFonts w:ascii="Arial" w:hAnsi="Arial" w:cs="Arial"/>
              </w:rPr>
              <w:t xml:space="preserve"> </w:t>
            </w:r>
            <w:r w:rsidRPr="004E2147">
              <w:rPr>
                <w:rFonts w:ascii="Arial" w:hAnsi="Arial" w:cs="Arial"/>
                <w:lang w:val="en-US"/>
              </w:rPr>
              <w:t xml:space="preserve">Bajwa </w:t>
            </w:r>
            <w:r w:rsidRPr="004E2147">
              <w:rPr>
                <w:rFonts w:ascii="Arial" w:hAnsi="Arial" w:cs="Arial"/>
                <w:i/>
                <w:iCs/>
                <w:lang w:val="en-US"/>
              </w:rPr>
              <w:t>et al</w:t>
            </w:r>
            <w:r w:rsidRPr="004E2147">
              <w:rPr>
                <w:rFonts w:ascii="Arial" w:hAnsi="Arial" w:cs="Arial"/>
                <w:lang w:val="en-US"/>
              </w:rPr>
              <w:t>. (2025)</w:t>
            </w:r>
          </w:p>
        </w:tc>
        <w:tc>
          <w:tcPr>
            <w:tcW w:w="833" w:type="pct"/>
          </w:tcPr>
          <w:p w14:paraId="5C116D37" w14:textId="77777777" w:rsidR="00D81F3B" w:rsidRPr="004E2147" w:rsidRDefault="00D81F3B" w:rsidP="00813F71">
            <w:pPr>
              <w:rPr>
                <w:rFonts w:ascii="Arial" w:hAnsi="Arial" w:cs="Arial"/>
                <w:lang w:val="en-US"/>
              </w:rPr>
            </w:pPr>
            <w:r w:rsidRPr="004E2147">
              <w:rPr>
                <w:rFonts w:ascii="Arial" w:hAnsi="Arial" w:cs="Arial"/>
                <w:lang w:val="en-US"/>
              </w:rPr>
              <w:t>Published 2025.</w:t>
            </w:r>
          </w:p>
        </w:tc>
        <w:tc>
          <w:tcPr>
            <w:tcW w:w="833" w:type="pct"/>
          </w:tcPr>
          <w:p w14:paraId="2397AF40" w14:textId="77777777" w:rsidR="00D81F3B" w:rsidRPr="004E2147" w:rsidRDefault="00D81F3B" w:rsidP="00813F71">
            <w:pPr>
              <w:rPr>
                <w:rFonts w:ascii="Arial" w:hAnsi="Arial" w:cs="Arial"/>
                <w:lang w:val="en-US"/>
              </w:rPr>
            </w:pPr>
            <w:r w:rsidRPr="004E2147">
              <w:rPr>
                <w:rFonts w:ascii="Arial" w:hAnsi="Arial" w:cs="Arial"/>
                <w:lang w:val="en-US"/>
              </w:rPr>
              <w:t>Directly addresses UK health equity and access issues.</w:t>
            </w:r>
          </w:p>
        </w:tc>
        <w:tc>
          <w:tcPr>
            <w:tcW w:w="833" w:type="pct"/>
          </w:tcPr>
          <w:p w14:paraId="0D2ADCAE" w14:textId="77777777" w:rsidR="00D81F3B" w:rsidRPr="004E2147" w:rsidRDefault="00D81F3B" w:rsidP="00813F71">
            <w:pPr>
              <w:rPr>
                <w:rFonts w:ascii="Arial" w:hAnsi="Arial" w:cs="Arial"/>
                <w:lang w:val="en-US"/>
              </w:rPr>
            </w:pPr>
            <w:r w:rsidRPr="004E2147">
              <w:rPr>
                <w:rFonts w:ascii="Arial" w:hAnsi="Arial" w:cs="Arial"/>
                <w:lang w:val="en-US"/>
              </w:rPr>
              <w:t>BMJ Open; diverse multidisciplinary research team.</w:t>
            </w:r>
          </w:p>
        </w:tc>
        <w:tc>
          <w:tcPr>
            <w:tcW w:w="834" w:type="pct"/>
          </w:tcPr>
          <w:p w14:paraId="4060BC0E" w14:textId="77777777" w:rsidR="00D81F3B" w:rsidRPr="004E2147" w:rsidRDefault="00D81F3B" w:rsidP="00813F71">
            <w:pPr>
              <w:rPr>
                <w:rFonts w:ascii="Arial" w:hAnsi="Arial" w:cs="Arial"/>
                <w:lang w:val="en-US"/>
              </w:rPr>
            </w:pPr>
            <w:r w:rsidRPr="004E2147">
              <w:rPr>
                <w:rFonts w:ascii="Arial" w:hAnsi="Arial" w:cs="Arial"/>
                <w:lang w:val="en-US"/>
              </w:rPr>
              <w:t>Large qualitative sample (n=147) across multiple cities.</w:t>
            </w:r>
          </w:p>
        </w:tc>
        <w:tc>
          <w:tcPr>
            <w:tcW w:w="834" w:type="pct"/>
          </w:tcPr>
          <w:p w14:paraId="5A1B2B71" w14:textId="77777777" w:rsidR="00D81F3B" w:rsidRPr="004E2147" w:rsidRDefault="00D81F3B" w:rsidP="00813F71">
            <w:pPr>
              <w:rPr>
                <w:rFonts w:ascii="Arial" w:hAnsi="Arial" w:cs="Arial"/>
                <w:lang w:val="en-US"/>
              </w:rPr>
            </w:pPr>
            <w:r w:rsidRPr="004E2147">
              <w:rPr>
                <w:rFonts w:ascii="Arial" w:hAnsi="Arial" w:cs="Arial"/>
                <w:lang w:val="en-US"/>
              </w:rPr>
              <w:t>To recommend culturally inclusive service improvements.</w:t>
            </w:r>
          </w:p>
        </w:tc>
      </w:tr>
      <w:tr w:rsidR="00D81F3B" w14:paraId="1808525E" w14:textId="77777777" w:rsidTr="00986E53">
        <w:tc>
          <w:tcPr>
            <w:tcW w:w="833" w:type="pct"/>
          </w:tcPr>
          <w:p w14:paraId="46FD6262" w14:textId="77777777" w:rsidR="00D81F3B" w:rsidRPr="004E2147" w:rsidRDefault="00D81F3B" w:rsidP="00813F71">
            <w:pPr>
              <w:rPr>
                <w:rFonts w:ascii="Arial" w:hAnsi="Arial" w:cs="Arial"/>
                <w:lang w:val="en-US"/>
              </w:rPr>
            </w:pPr>
            <w:r w:rsidRPr="004E2147">
              <w:rPr>
                <w:rFonts w:ascii="Arial" w:hAnsi="Arial" w:cs="Arial"/>
                <w:lang w:val="en-US"/>
              </w:rPr>
              <w:t xml:space="preserve">Article 9: Kelsey </w:t>
            </w:r>
            <w:r w:rsidRPr="004E2147">
              <w:rPr>
                <w:rFonts w:ascii="Arial" w:hAnsi="Arial" w:cs="Arial"/>
                <w:i/>
                <w:iCs/>
                <w:lang w:val="en-US"/>
              </w:rPr>
              <w:t>et al.</w:t>
            </w:r>
            <w:r w:rsidRPr="004E2147">
              <w:rPr>
                <w:rFonts w:ascii="Arial" w:hAnsi="Arial" w:cs="Arial"/>
                <w:lang w:val="en-US"/>
              </w:rPr>
              <w:t xml:space="preserve"> (2026)</w:t>
            </w:r>
          </w:p>
        </w:tc>
        <w:tc>
          <w:tcPr>
            <w:tcW w:w="833" w:type="pct"/>
          </w:tcPr>
          <w:p w14:paraId="01B42984" w14:textId="77777777" w:rsidR="00D81F3B" w:rsidRPr="004E2147" w:rsidRDefault="00D81F3B" w:rsidP="00813F71">
            <w:pPr>
              <w:rPr>
                <w:rFonts w:ascii="Arial" w:hAnsi="Arial" w:cs="Arial"/>
                <w:lang w:val="en-US"/>
              </w:rPr>
            </w:pPr>
            <w:r w:rsidRPr="004E2147">
              <w:rPr>
                <w:rFonts w:ascii="Arial" w:hAnsi="Arial" w:cs="Arial"/>
                <w:lang w:val="en-US"/>
              </w:rPr>
              <w:t>Published 2026 (State-of-the-art).</w:t>
            </w:r>
          </w:p>
        </w:tc>
        <w:tc>
          <w:tcPr>
            <w:tcW w:w="833" w:type="pct"/>
          </w:tcPr>
          <w:p w14:paraId="77A94D3F" w14:textId="77777777" w:rsidR="00D81F3B" w:rsidRPr="004E2147" w:rsidRDefault="00D81F3B" w:rsidP="00813F71">
            <w:pPr>
              <w:rPr>
                <w:rFonts w:ascii="Arial" w:hAnsi="Arial" w:cs="Arial"/>
                <w:lang w:val="en-US"/>
              </w:rPr>
            </w:pPr>
            <w:r w:rsidRPr="004E2147">
              <w:rPr>
                <w:rFonts w:ascii="Arial" w:hAnsi="Arial" w:cs="Arial"/>
                <w:lang w:val="en-US"/>
              </w:rPr>
              <w:t>Macro-level view of the English healthcare system.</w:t>
            </w:r>
          </w:p>
        </w:tc>
        <w:tc>
          <w:tcPr>
            <w:tcW w:w="833" w:type="pct"/>
          </w:tcPr>
          <w:p w14:paraId="35054EBE" w14:textId="77777777" w:rsidR="00D81F3B" w:rsidRPr="004E2147" w:rsidRDefault="00D81F3B" w:rsidP="00813F71">
            <w:pPr>
              <w:rPr>
                <w:rFonts w:ascii="Arial" w:hAnsi="Arial" w:cs="Arial"/>
                <w:lang w:val="en-US"/>
              </w:rPr>
            </w:pPr>
            <w:r w:rsidRPr="004E2147">
              <w:rPr>
                <w:rFonts w:ascii="Arial" w:hAnsi="Arial" w:cs="Arial"/>
                <w:lang w:val="en-US"/>
              </w:rPr>
              <w:t>BMC Geriatrics; national survey data.</w:t>
            </w:r>
          </w:p>
        </w:tc>
        <w:tc>
          <w:tcPr>
            <w:tcW w:w="834" w:type="pct"/>
          </w:tcPr>
          <w:p w14:paraId="27AAAC50" w14:textId="77777777" w:rsidR="00D81F3B" w:rsidRPr="004E2147" w:rsidRDefault="00D81F3B" w:rsidP="00813F71">
            <w:pPr>
              <w:rPr>
                <w:rFonts w:ascii="Arial" w:hAnsi="Arial" w:cs="Arial"/>
                <w:lang w:val="en-US"/>
              </w:rPr>
            </w:pPr>
            <w:r w:rsidRPr="004E2147">
              <w:rPr>
                <w:rFonts w:ascii="Arial" w:hAnsi="Arial" w:cs="Arial"/>
                <w:lang w:val="en-US"/>
              </w:rPr>
              <w:t>High response rate (73.9% of all English memory services).</w:t>
            </w:r>
          </w:p>
        </w:tc>
        <w:tc>
          <w:tcPr>
            <w:tcW w:w="834" w:type="pct"/>
          </w:tcPr>
          <w:p w14:paraId="59A13202" w14:textId="77777777" w:rsidR="00D81F3B" w:rsidRPr="004E2147" w:rsidRDefault="00D81F3B" w:rsidP="00813F71">
            <w:pPr>
              <w:rPr>
                <w:rFonts w:ascii="Arial" w:hAnsi="Arial" w:cs="Arial"/>
                <w:lang w:val="en-US"/>
              </w:rPr>
            </w:pPr>
            <w:r w:rsidRPr="004E2147">
              <w:rPr>
                <w:rFonts w:ascii="Arial" w:hAnsi="Arial" w:cs="Arial"/>
                <w:lang w:val="en-US"/>
              </w:rPr>
              <w:t>To identify systemic failures in service provision.</w:t>
            </w:r>
          </w:p>
        </w:tc>
      </w:tr>
      <w:tr w:rsidR="006B2A5C" w14:paraId="4FA3969B" w14:textId="77777777" w:rsidTr="00986E53">
        <w:tc>
          <w:tcPr>
            <w:tcW w:w="833" w:type="pct"/>
          </w:tcPr>
          <w:p w14:paraId="0E44E032" w14:textId="6576D5FE" w:rsidR="006B2A5C" w:rsidRPr="004E2147" w:rsidRDefault="006B2A5C" w:rsidP="00813F71">
            <w:pPr>
              <w:rPr>
                <w:rFonts w:ascii="Arial" w:hAnsi="Arial" w:cs="Arial"/>
                <w:lang w:val="en-US"/>
              </w:rPr>
            </w:pPr>
            <w:r w:rsidRPr="004E2147">
              <w:rPr>
                <w:rFonts w:ascii="Arial" w:hAnsi="Arial" w:cs="Arial"/>
                <w:lang w:val="en-US"/>
              </w:rPr>
              <w:t>Article 10: Smith and Surr (2024)</w:t>
            </w:r>
          </w:p>
        </w:tc>
        <w:tc>
          <w:tcPr>
            <w:tcW w:w="833" w:type="pct"/>
          </w:tcPr>
          <w:p w14:paraId="03599AA3" w14:textId="2F4042CC" w:rsidR="006B2A5C" w:rsidRPr="004E2147" w:rsidRDefault="006D53B7" w:rsidP="00813F71">
            <w:pPr>
              <w:rPr>
                <w:rFonts w:ascii="Arial" w:hAnsi="Arial" w:cs="Arial"/>
                <w:lang w:val="en-US"/>
              </w:rPr>
            </w:pPr>
            <w:r w:rsidRPr="004E2147">
              <w:rPr>
                <w:rFonts w:ascii="Arial" w:hAnsi="Arial" w:cs="Arial"/>
                <w:lang w:val="en-US"/>
              </w:rPr>
              <w:t>Published 2024; reflects post-COVID service models in England/Wales.</w:t>
            </w:r>
          </w:p>
        </w:tc>
        <w:tc>
          <w:tcPr>
            <w:tcW w:w="833" w:type="pct"/>
          </w:tcPr>
          <w:p w14:paraId="1F8E02BC" w14:textId="168E4B34" w:rsidR="006B2A5C" w:rsidRPr="004E2147" w:rsidRDefault="008040F3" w:rsidP="00813F71">
            <w:pPr>
              <w:rPr>
                <w:rFonts w:ascii="Arial" w:hAnsi="Arial" w:cs="Arial"/>
                <w:lang w:val="en-US"/>
              </w:rPr>
            </w:pPr>
            <w:r w:rsidRPr="004E2147">
              <w:rPr>
                <w:rFonts w:ascii="Arial" w:hAnsi="Arial" w:cs="Arial"/>
                <w:lang w:val="en-US"/>
              </w:rPr>
              <w:t>High; addresses MAS design, MCI, rarer dementias, and post-diagnostic support.</w:t>
            </w:r>
          </w:p>
        </w:tc>
        <w:tc>
          <w:tcPr>
            <w:tcW w:w="833" w:type="pct"/>
          </w:tcPr>
          <w:p w14:paraId="260B9D85" w14:textId="7FB39593" w:rsidR="006B2A5C" w:rsidRPr="004E2147" w:rsidRDefault="009E4DD9" w:rsidP="00813F71">
            <w:pPr>
              <w:rPr>
                <w:rFonts w:ascii="Arial" w:hAnsi="Arial" w:cs="Arial"/>
                <w:lang w:val="en-US"/>
              </w:rPr>
            </w:pPr>
            <w:r w:rsidRPr="004E2147">
              <w:rPr>
                <w:rFonts w:ascii="Arial" w:hAnsi="Arial" w:cs="Arial"/>
                <w:lang w:val="en-US"/>
              </w:rPr>
              <w:t>Peer-reviewed BMC Health Services Research; UK academic authors.</w:t>
            </w:r>
          </w:p>
        </w:tc>
        <w:tc>
          <w:tcPr>
            <w:tcW w:w="834" w:type="pct"/>
          </w:tcPr>
          <w:p w14:paraId="26A6CC23" w14:textId="70217902" w:rsidR="006B2A5C" w:rsidRPr="004E2147" w:rsidRDefault="00654BB5" w:rsidP="00813F71">
            <w:pPr>
              <w:rPr>
                <w:rFonts w:ascii="Arial" w:hAnsi="Arial" w:cs="Arial"/>
                <w:lang w:val="en-US"/>
              </w:rPr>
            </w:pPr>
            <w:r w:rsidRPr="004E2147">
              <w:rPr>
                <w:rFonts w:ascii="Arial" w:hAnsi="Arial" w:cs="Arial"/>
                <w:lang w:val="en-US"/>
              </w:rPr>
              <w:t>Mixed methods</w:t>
            </w:r>
            <w:r w:rsidR="001F7B69" w:rsidRPr="004E2147">
              <w:rPr>
                <w:rFonts w:ascii="Arial" w:hAnsi="Arial" w:cs="Arial"/>
                <w:lang w:val="en-US"/>
              </w:rPr>
              <w:t xml:space="preserve"> (survey + case studies); self-report limitations acknowledged.</w:t>
            </w:r>
          </w:p>
        </w:tc>
        <w:tc>
          <w:tcPr>
            <w:tcW w:w="834" w:type="pct"/>
          </w:tcPr>
          <w:p w14:paraId="67F225DE" w14:textId="3675F291" w:rsidR="006B2A5C" w:rsidRPr="004E2147" w:rsidRDefault="00282382" w:rsidP="00813F71">
            <w:pPr>
              <w:rPr>
                <w:rFonts w:ascii="Arial" w:hAnsi="Arial" w:cs="Arial"/>
                <w:lang w:val="en-US"/>
              </w:rPr>
            </w:pPr>
            <w:r w:rsidRPr="004E2147">
              <w:rPr>
                <w:rFonts w:ascii="Arial" w:hAnsi="Arial" w:cs="Arial"/>
                <w:lang w:val="en-US"/>
              </w:rPr>
              <w:t>To identify innovative practices and challenges to inform local commissioning.</w:t>
            </w:r>
          </w:p>
        </w:tc>
      </w:tr>
      <w:bookmarkEnd w:id="73"/>
    </w:tbl>
    <w:p w14:paraId="79ED1A65" w14:textId="77777777" w:rsidR="00D81F3B" w:rsidRPr="00D81F3B" w:rsidRDefault="00D81F3B" w:rsidP="00D81F3B"/>
    <w:sectPr w:rsidR="00D81F3B" w:rsidRPr="00D81F3B" w:rsidSect="00F12451">
      <w:pgSz w:w="16838" w:h="11906" w:orient="landscape"/>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FB557" w14:textId="77777777" w:rsidR="007121C7" w:rsidRDefault="007121C7" w:rsidP="00211184">
      <w:pPr>
        <w:spacing w:after="0" w:line="240" w:lineRule="auto"/>
      </w:pPr>
      <w:r>
        <w:separator/>
      </w:r>
    </w:p>
  </w:endnote>
  <w:endnote w:type="continuationSeparator" w:id="0">
    <w:p w14:paraId="6E1F57CB" w14:textId="77777777" w:rsidR="007121C7" w:rsidRDefault="007121C7"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BC855" w14:textId="77777777" w:rsidR="004062F0" w:rsidRDefault="004062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3825569"/>
      <w:docPartObj>
        <w:docPartGallery w:val="Page Numbers (Bottom of Page)"/>
        <w:docPartUnique/>
      </w:docPartObj>
    </w:sdtPr>
    <w:sdtContent>
      <w:p w14:paraId="1C5DAAEF" w14:textId="3347B482" w:rsidR="004062F0" w:rsidRDefault="004062F0">
        <w:pPr>
          <w:pStyle w:val="Footer"/>
          <w:jc w:val="center"/>
        </w:pPr>
        <w:r>
          <w:fldChar w:fldCharType="begin"/>
        </w:r>
        <w:r>
          <w:instrText>PAGE   \* MERGEFORMAT</w:instrText>
        </w:r>
        <w:r>
          <w:fldChar w:fldCharType="separate"/>
        </w:r>
        <w:r>
          <w:t>2</w:t>
        </w:r>
        <w:r>
          <w:fldChar w:fldCharType="end"/>
        </w:r>
      </w:p>
    </w:sdtContent>
  </w:sdt>
  <w:p w14:paraId="0AB4547B" w14:textId="77777777" w:rsidR="004062F0" w:rsidRDefault="004062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FF4DEF" w14:textId="77777777" w:rsidR="004062F0" w:rsidRDefault="004062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A5CB1" w14:textId="77777777" w:rsidR="007121C7" w:rsidRDefault="007121C7" w:rsidP="00211184">
      <w:pPr>
        <w:spacing w:after="0" w:line="240" w:lineRule="auto"/>
      </w:pPr>
      <w:r>
        <w:separator/>
      </w:r>
    </w:p>
  </w:footnote>
  <w:footnote w:type="continuationSeparator" w:id="0">
    <w:p w14:paraId="24BBCE4D" w14:textId="77777777" w:rsidR="007121C7" w:rsidRDefault="007121C7"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42569" w14:textId="77777777" w:rsidR="004062F0" w:rsidRDefault="004062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9ADF3" w14:textId="77777777" w:rsidR="00DD6EED" w:rsidRDefault="00DD6EED">
    <w:pPr>
      <w:pStyle w:val="Header"/>
    </w:pPr>
    <w:r>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DDEBE" w14:textId="77777777" w:rsidR="00DD6EED" w:rsidRDefault="00DD6EED">
    <w:pPr>
      <w:pStyle w:val="Header"/>
    </w:pPr>
  </w:p>
  <w:p w14:paraId="591703CD" w14:textId="77777777" w:rsidR="00DD6EED" w:rsidRDefault="00DD6E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98C4D47"/>
    <w:multiLevelType w:val="hybridMultilevel"/>
    <w:tmpl w:val="9E243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7400252">
    <w:abstractNumId w:val="97"/>
  </w:num>
  <w:num w:numId="2" w16cid:durableId="1389769262">
    <w:abstractNumId w:val="55"/>
  </w:num>
  <w:num w:numId="3" w16cid:durableId="1247492373">
    <w:abstractNumId w:val="90"/>
  </w:num>
  <w:num w:numId="4" w16cid:durableId="1085417644">
    <w:abstractNumId w:val="17"/>
  </w:num>
  <w:num w:numId="5" w16cid:durableId="1224295044">
    <w:abstractNumId w:val="104"/>
  </w:num>
  <w:num w:numId="6" w16cid:durableId="1503549877">
    <w:abstractNumId w:val="102"/>
  </w:num>
  <w:num w:numId="7" w16cid:durableId="1560626438">
    <w:abstractNumId w:val="67"/>
  </w:num>
  <w:num w:numId="8" w16cid:durableId="1286540839">
    <w:abstractNumId w:val="47"/>
  </w:num>
  <w:num w:numId="9" w16cid:durableId="964042094">
    <w:abstractNumId w:val="13"/>
  </w:num>
  <w:num w:numId="10" w16cid:durableId="1948346917">
    <w:abstractNumId w:val="93"/>
  </w:num>
  <w:num w:numId="11" w16cid:durableId="1740055296">
    <w:abstractNumId w:val="66"/>
  </w:num>
  <w:num w:numId="12" w16cid:durableId="41949336">
    <w:abstractNumId w:val="69"/>
  </w:num>
  <w:num w:numId="13" w16cid:durableId="2018071526">
    <w:abstractNumId w:val="45"/>
  </w:num>
  <w:num w:numId="14" w16cid:durableId="1277105371">
    <w:abstractNumId w:val="10"/>
  </w:num>
  <w:num w:numId="15" w16cid:durableId="507600450">
    <w:abstractNumId w:val="99"/>
  </w:num>
  <w:num w:numId="16" w16cid:durableId="607272393">
    <w:abstractNumId w:val="83"/>
  </w:num>
  <w:num w:numId="17" w16cid:durableId="848376275">
    <w:abstractNumId w:val="31"/>
  </w:num>
  <w:num w:numId="18" w16cid:durableId="1156872752">
    <w:abstractNumId w:val="7"/>
  </w:num>
  <w:num w:numId="19" w16cid:durableId="891035855">
    <w:abstractNumId w:val="2"/>
  </w:num>
  <w:num w:numId="20" w16cid:durableId="107743301">
    <w:abstractNumId w:val="59"/>
  </w:num>
  <w:num w:numId="21" w16cid:durableId="1453553632">
    <w:abstractNumId w:val="9"/>
  </w:num>
  <w:num w:numId="22" w16cid:durableId="858129845">
    <w:abstractNumId w:val="105"/>
  </w:num>
  <w:num w:numId="23" w16cid:durableId="1836413275">
    <w:abstractNumId w:val="8"/>
  </w:num>
  <w:num w:numId="24" w16cid:durableId="613757576">
    <w:abstractNumId w:val="89"/>
  </w:num>
  <w:num w:numId="25" w16cid:durableId="981348150">
    <w:abstractNumId w:val="20"/>
  </w:num>
  <w:num w:numId="26" w16cid:durableId="316105651">
    <w:abstractNumId w:val="95"/>
  </w:num>
  <w:num w:numId="27" w16cid:durableId="884223493">
    <w:abstractNumId w:val="4"/>
  </w:num>
  <w:num w:numId="28" w16cid:durableId="1871216229">
    <w:abstractNumId w:val="82"/>
  </w:num>
  <w:num w:numId="29" w16cid:durableId="1011487250">
    <w:abstractNumId w:val="70"/>
  </w:num>
  <w:num w:numId="30" w16cid:durableId="1087384412">
    <w:abstractNumId w:val="74"/>
  </w:num>
  <w:num w:numId="31" w16cid:durableId="642350002">
    <w:abstractNumId w:val="15"/>
  </w:num>
  <w:num w:numId="32" w16cid:durableId="2134860190">
    <w:abstractNumId w:val="44"/>
  </w:num>
  <w:num w:numId="33" w16cid:durableId="600837672">
    <w:abstractNumId w:val="23"/>
  </w:num>
  <w:num w:numId="34" w16cid:durableId="1255096021">
    <w:abstractNumId w:val="53"/>
  </w:num>
  <w:num w:numId="35" w16cid:durableId="1498495263">
    <w:abstractNumId w:val="57"/>
  </w:num>
  <w:num w:numId="36" w16cid:durableId="481893860">
    <w:abstractNumId w:val="50"/>
  </w:num>
  <w:num w:numId="37" w16cid:durableId="2076007661">
    <w:abstractNumId w:val="37"/>
  </w:num>
  <w:num w:numId="38" w16cid:durableId="212234534">
    <w:abstractNumId w:val="62"/>
  </w:num>
  <w:num w:numId="39" w16cid:durableId="1036662997">
    <w:abstractNumId w:val="73"/>
  </w:num>
  <w:num w:numId="40" w16cid:durableId="2041852737">
    <w:abstractNumId w:val="58"/>
  </w:num>
  <w:num w:numId="41" w16cid:durableId="1929190134">
    <w:abstractNumId w:val="106"/>
  </w:num>
  <w:num w:numId="42" w16cid:durableId="368070146">
    <w:abstractNumId w:val="5"/>
  </w:num>
  <w:num w:numId="43" w16cid:durableId="484048981">
    <w:abstractNumId w:val="22"/>
  </w:num>
  <w:num w:numId="44" w16cid:durableId="1677422963">
    <w:abstractNumId w:val="84"/>
  </w:num>
  <w:num w:numId="45" w16cid:durableId="1152140715">
    <w:abstractNumId w:val="54"/>
  </w:num>
  <w:num w:numId="46" w16cid:durableId="185295344">
    <w:abstractNumId w:val="71"/>
  </w:num>
  <w:num w:numId="47" w16cid:durableId="976496828">
    <w:abstractNumId w:val="38"/>
  </w:num>
  <w:num w:numId="48" w16cid:durableId="812478282">
    <w:abstractNumId w:val="12"/>
  </w:num>
  <w:num w:numId="49" w16cid:durableId="2025403708">
    <w:abstractNumId w:val="77"/>
  </w:num>
  <w:num w:numId="50" w16cid:durableId="373772092">
    <w:abstractNumId w:val="25"/>
  </w:num>
  <w:num w:numId="51" w16cid:durableId="878320157">
    <w:abstractNumId w:val="72"/>
  </w:num>
  <w:num w:numId="52" w16cid:durableId="1155495040">
    <w:abstractNumId w:val="30"/>
  </w:num>
  <w:num w:numId="53" w16cid:durableId="1197964832">
    <w:abstractNumId w:val="75"/>
  </w:num>
  <w:num w:numId="54" w16cid:durableId="1082331873">
    <w:abstractNumId w:val="96"/>
  </w:num>
  <w:num w:numId="55" w16cid:durableId="1180120592">
    <w:abstractNumId w:val="103"/>
  </w:num>
  <w:num w:numId="56" w16cid:durableId="1765833940">
    <w:abstractNumId w:val="91"/>
  </w:num>
  <w:num w:numId="57" w16cid:durableId="4329947">
    <w:abstractNumId w:val="46"/>
  </w:num>
  <w:num w:numId="58" w16cid:durableId="1323511130">
    <w:abstractNumId w:val="56"/>
  </w:num>
  <w:num w:numId="59" w16cid:durableId="1916670508">
    <w:abstractNumId w:val="1"/>
  </w:num>
  <w:num w:numId="60" w16cid:durableId="121113952">
    <w:abstractNumId w:val="14"/>
  </w:num>
  <w:num w:numId="61" w16cid:durableId="49958713">
    <w:abstractNumId w:val="49"/>
  </w:num>
  <w:num w:numId="62" w16cid:durableId="594480100">
    <w:abstractNumId w:val="21"/>
  </w:num>
  <w:num w:numId="63" w16cid:durableId="1794052948">
    <w:abstractNumId w:val="78"/>
  </w:num>
  <w:num w:numId="64" w16cid:durableId="469633299">
    <w:abstractNumId w:val="27"/>
  </w:num>
  <w:num w:numId="65" w16cid:durableId="1920433565">
    <w:abstractNumId w:val="61"/>
  </w:num>
  <w:num w:numId="66" w16cid:durableId="2068188589">
    <w:abstractNumId w:val="34"/>
  </w:num>
  <w:num w:numId="67" w16cid:durableId="1624648308">
    <w:abstractNumId w:val="65"/>
  </w:num>
  <w:num w:numId="68" w16cid:durableId="209735564">
    <w:abstractNumId w:val="35"/>
  </w:num>
  <w:num w:numId="69" w16cid:durableId="2025474703">
    <w:abstractNumId w:val="63"/>
  </w:num>
  <w:num w:numId="70" w16cid:durableId="104038255">
    <w:abstractNumId w:val="6"/>
  </w:num>
  <w:num w:numId="71" w16cid:durableId="1004941825">
    <w:abstractNumId w:val="41"/>
  </w:num>
  <w:num w:numId="72" w16cid:durableId="1651595111">
    <w:abstractNumId w:val="36"/>
  </w:num>
  <w:num w:numId="73" w16cid:durableId="9457079">
    <w:abstractNumId w:val="11"/>
  </w:num>
  <w:num w:numId="74" w16cid:durableId="176578703">
    <w:abstractNumId w:val="48"/>
  </w:num>
  <w:num w:numId="75" w16cid:durableId="1875773982">
    <w:abstractNumId w:val="86"/>
  </w:num>
  <w:num w:numId="76" w16cid:durableId="1780565718">
    <w:abstractNumId w:val="39"/>
  </w:num>
  <w:num w:numId="77" w16cid:durableId="363022656">
    <w:abstractNumId w:val="81"/>
  </w:num>
  <w:num w:numId="78" w16cid:durableId="558244729">
    <w:abstractNumId w:val="98"/>
  </w:num>
  <w:num w:numId="79" w16cid:durableId="992953003">
    <w:abstractNumId w:val="92"/>
  </w:num>
  <w:num w:numId="80" w16cid:durableId="757294285">
    <w:abstractNumId w:val="29"/>
  </w:num>
  <w:num w:numId="81" w16cid:durableId="540703955">
    <w:abstractNumId w:val="68"/>
  </w:num>
  <w:num w:numId="82" w16cid:durableId="1942033107">
    <w:abstractNumId w:val="80"/>
  </w:num>
  <w:num w:numId="83" w16cid:durableId="1628387305">
    <w:abstractNumId w:val="19"/>
  </w:num>
  <w:num w:numId="84" w16cid:durableId="1037850650">
    <w:abstractNumId w:val="28"/>
  </w:num>
  <w:num w:numId="85" w16cid:durableId="700980206">
    <w:abstractNumId w:val="43"/>
  </w:num>
  <w:num w:numId="86" w16cid:durableId="1486749697">
    <w:abstractNumId w:val="32"/>
  </w:num>
  <w:num w:numId="87" w16cid:durableId="1930385948">
    <w:abstractNumId w:val="87"/>
  </w:num>
  <w:num w:numId="88" w16cid:durableId="358891950">
    <w:abstractNumId w:val="42"/>
  </w:num>
  <w:num w:numId="89" w16cid:durableId="670572792">
    <w:abstractNumId w:val="24"/>
  </w:num>
  <w:num w:numId="90" w16cid:durableId="501892513">
    <w:abstractNumId w:val="51"/>
  </w:num>
  <w:num w:numId="91" w16cid:durableId="1514297451">
    <w:abstractNumId w:val="64"/>
  </w:num>
  <w:num w:numId="92" w16cid:durableId="1934819863">
    <w:abstractNumId w:val="76"/>
  </w:num>
  <w:num w:numId="93" w16cid:durableId="1467046441">
    <w:abstractNumId w:val="33"/>
  </w:num>
  <w:num w:numId="94" w16cid:durableId="1507209270">
    <w:abstractNumId w:val="16"/>
  </w:num>
  <w:num w:numId="95" w16cid:durableId="1735423729">
    <w:abstractNumId w:val="60"/>
  </w:num>
  <w:num w:numId="96" w16cid:durableId="1275015988">
    <w:abstractNumId w:val="3"/>
  </w:num>
  <w:num w:numId="97" w16cid:durableId="581910302">
    <w:abstractNumId w:val="79"/>
  </w:num>
  <w:num w:numId="98" w16cid:durableId="703794855">
    <w:abstractNumId w:val="0"/>
  </w:num>
  <w:num w:numId="99" w16cid:durableId="1835030709">
    <w:abstractNumId w:val="18"/>
  </w:num>
  <w:num w:numId="100" w16cid:durableId="1807701151">
    <w:abstractNumId w:val="52"/>
  </w:num>
  <w:num w:numId="101" w16cid:durableId="1233465472">
    <w:abstractNumId w:val="40"/>
  </w:num>
  <w:num w:numId="102" w16cid:durableId="1022631636">
    <w:abstractNumId w:val="85"/>
  </w:num>
  <w:num w:numId="103" w16cid:durableId="395977007">
    <w:abstractNumId w:val="107"/>
  </w:num>
  <w:num w:numId="104" w16cid:durableId="2035685689">
    <w:abstractNumId w:val="100"/>
  </w:num>
  <w:num w:numId="105" w16cid:durableId="796995108">
    <w:abstractNumId w:val="88"/>
  </w:num>
  <w:num w:numId="106" w16cid:durableId="797917371">
    <w:abstractNumId w:val="94"/>
  </w:num>
  <w:num w:numId="107" w16cid:durableId="535429264">
    <w:abstractNumId w:val="26"/>
  </w:num>
  <w:num w:numId="108" w16cid:durableId="1503738723">
    <w:abstractNumId w:val="101"/>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A1C"/>
    <w:rsid w:val="0000444E"/>
    <w:rsid w:val="000104ED"/>
    <w:rsid w:val="00010F33"/>
    <w:rsid w:val="000115E4"/>
    <w:rsid w:val="00012BF7"/>
    <w:rsid w:val="000130ED"/>
    <w:rsid w:val="00013CBE"/>
    <w:rsid w:val="00015FC0"/>
    <w:rsid w:val="00022D52"/>
    <w:rsid w:val="0002337B"/>
    <w:rsid w:val="00023E7D"/>
    <w:rsid w:val="000250B8"/>
    <w:rsid w:val="000264A2"/>
    <w:rsid w:val="000400E4"/>
    <w:rsid w:val="00041E07"/>
    <w:rsid w:val="00042579"/>
    <w:rsid w:val="00043D3E"/>
    <w:rsid w:val="00044C3B"/>
    <w:rsid w:val="00045B77"/>
    <w:rsid w:val="00045CDD"/>
    <w:rsid w:val="0004787B"/>
    <w:rsid w:val="0005196E"/>
    <w:rsid w:val="00052108"/>
    <w:rsid w:val="000522DC"/>
    <w:rsid w:val="00056C1D"/>
    <w:rsid w:val="000625E7"/>
    <w:rsid w:val="00063B4C"/>
    <w:rsid w:val="000714C1"/>
    <w:rsid w:val="000739BA"/>
    <w:rsid w:val="000749CF"/>
    <w:rsid w:val="000764E6"/>
    <w:rsid w:val="00080575"/>
    <w:rsid w:val="0008103D"/>
    <w:rsid w:val="00086CD4"/>
    <w:rsid w:val="0008773B"/>
    <w:rsid w:val="00087AE8"/>
    <w:rsid w:val="0009137F"/>
    <w:rsid w:val="00092712"/>
    <w:rsid w:val="000A2C4D"/>
    <w:rsid w:val="000C19FD"/>
    <w:rsid w:val="000C40E4"/>
    <w:rsid w:val="000D05D8"/>
    <w:rsid w:val="000D0641"/>
    <w:rsid w:val="000D2B00"/>
    <w:rsid w:val="000E0687"/>
    <w:rsid w:val="000E5493"/>
    <w:rsid w:val="000E5F77"/>
    <w:rsid w:val="000F0292"/>
    <w:rsid w:val="000F437B"/>
    <w:rsid w:val="001038DA"/>
    <w:rsid w:val="001053A0"/>
    <w:rsid w:val="0010635D"/>
    <w:rsid w:val="001075BC"/>
    <w:rsid w:val="0010798A"/>
    <w:rsid w:val="00110E3E"/>
    <w:rsid w:val="0011453E"/>
    <w:rsid w:val="00116023"/>
    <w:rsid w:val="00120601"/>
    <w:rsid w:val="00122437"/>
    <w:rsid w:val="001232E4"/>
    <w:rsid w:val="00126551"/>
    <w:rsid w:val="00126A5A"/>
    <w:rsid w:val="00127856"/>
    <w:rsid w:val="001326B1"/>
    <w:rsid w:val="001377FE"/>
    <w:rsid w:val="00137DD9"/>
    <w:rsid w:val="0014272E"/>
    <w:rsid w:val="00142A15"/>
    <w:rsid w:val="00147452"/>
    <w:rsid w:val="00147F61"/>
    <w:rsid w:val="001500DC"/>
    <w:rsid w:val="00151A13"/>
    <w:rsid w:val="00153685"/>
    <w:rsid w:val="001541B8"/>
    <w:rsid w:val="001574BD"/>
    <w:rsid w:val="001601E6"/>
    <w:rsid w:val="00164E5F"/>
    <w:rsid w:val="00175DA4"/>
    <w:rsid w:val="00176992"/>
    <w:rsid w:val="00181BC5"/>
    <w:rsid w:val="00182524"/>
    <w:rsid w:val="00183197"/>
    <w:rsid w:val="00193672"/>
    <w:rsid w:val="001A47DB"/>
    <w:rsid w:val="001A707F"/>
    <w:rsid w:val="001B0CC2"/>
    <w:rsid w:val="001B2231"/>
    <w:rsid w:val="001B2253"/>
    <w:rsid w:val="001C3AF6"/>
    <w:rsid w:val="001C46FE"/>
    <w:rsid w:val="001D0900"/>
    <w:rsid w:val="001D1485"/>
    <w:rsid w:val="001D1954"/>
    <w:rsid w:val="001D74BA"/>
    <w:rsid w:val="001E39C6"/>
    <w:rsid w:val="001E437F"/>
    <w:rsid w:val="001E5E36"/>
    <w:rsid w:val="001F19A6"/>
    <w:rsid w:val="001F1F2F"/>
    <w:rsid w:val="001F2B91"/>
    <w:rsid w:val="001F6AA8"/>
    <w:rsid w:val="001F7B69"/>
    <w:rsid w:val="00200799"/>
    <w:rsid w:val="002049EA"/>
    <w:rsid w:val="00206DE5"/>
    <w:rsid w:val="00210D79"/>
    <w:rsid w:val="00211184"/>
    <w:rsid w:val="0021364B"/>
    <w:rsid w:val="00216B71"/>
    <w:rsid w:val="00223AF1"/>
    <w:rsid w:val="00225AE2"/>
    <w:rsid w:val="00236828"/>
    <w:rsid w:val="002413CA"/>
    <w:rsid w:val="00241837"/>
    <w:rsid w:val="0024327B"/>
    <w:rsid w:val="0024451E"/>
    <w:rsid w:val="00244C3C"/>
    <w:rsid w:val="00246CD9"/>
    <w:rsid w:val="0025020C"/>
    <w:rsid w:val="00256951"/>
    <w:rsid w:val="002639FA"/>
    <w:rsid w:val="00272416"/>
    <w:rsid w:val="002744CF"/>
    <w:rsid w:val="00274A6C"/>
    <w:rsid w:val="002777A0"/>
    <w:rsid w:val="0028172F"/>
    <w:rsid w:val="00282382"/>
    <w:rsid w:val="002865F5"/>
    <w:rsid w:val="00292A36"/>
    <w:rsid w:val="0029782F"/>
    <w:rsid w:val="002A1702"/>
    <w:rsid w:val="002A7069"/>
    <w:rsid w:val="002B3383"/>
    <w:rsid w:val="002B3B27"/>
    <w:rsid w:val="002B7688"/>
    <w:rsid w:val="002C1FC9"/>
    <w:rsid w:val="002C630C"/>
    <w:rsid w:val="002C7D42"/>
    <w:rsid w:val="002D041B"/>
    <w:rsid w:val="002D64A3"/>
    <w:rsid w:val="002D64ED"/>
    <w:rsid w:val="002D734B"/>
    <w:rsid w:val="002E43F0"/>
    <w:rsid w:val="002F386A"/>
    <w:rsid w:val="002F432B"/>
    <w:rsid w:val="002F57DD"/>
    <w:rsid w:val="002F5E53"/>
    <w:rsid w:val="00301C30"/>
    <w:rsid w:val="00304C09"/>
    <w:rsid w:val="00311418"/>
    <w:rsid w:val="00312A5A"/>
    <w:rsid w:val="003135AD"/>
    <w:rsid w:val="003252CE"/>
    <w:rsid w:val="00335A9E"/>
    <w:rsid w:val="00340F16"/>
    <w:rsid w:val="00362056"/>
    <w:rsid w:val="00364023"/>
    <w:rsid w:val="00370671"/>
    <w:rsid w:val="00375613"/>
    <w:rsid w:val="00375FBF"/>
    <w:rsid w:val="00376355"/>
    <w:rsid w:val="00376708"/>
    <w:rsid w:val="003776CC"/>
    <w:rsid w:val="00387C89"/>
    <w:rsid w:val="00387E33"/>
    <w:rsid w:val="0039357C"/>
    <w:rsid w:val="00393F39"/>
    <w:rsid w:val="003952A4"/>
    <w:rsid w:val="003A195B"/>
    <w:rsid w:val="003A299A"/>
    <w:rsid w:val="003A2EB7"/>
    <w:rsid w:val="003A5FC0"/>
    <w:rsid w:val="003A66FD"/>
    <w:rsid w:val="003B02BF"/>
    <w:rsid w:val="003B1E32"/>
    <w:rsid w:val="003B25FF"/>
    <w:rsid w:val="003B2EBC"/>
    <w:rsid w:val="003C0F91"/>
    <w:rsid w:val="003C7968"/>
    <w:rsid w:val="003E2DBA"/>
    <w:rsid w:val="003E3A57"/>
    <w:rsid w:val="003F24BD"/>
    <w:rsid w:val="003F3102"/>
    <w:rsid w:val="004062F0"/>
    <w:rsid w:val="00407EB3"/>
    <w:rsid w:val="00413EA3"/>
    <w:rsid w:val="00421771"/>
    <w:rsid w:val="00422144"/>
    <w:rsid w:val="004246F0"/>
    <w:rsid w:val="004346A6"/>
    <w:rsid w:val="004463E6"/>
    <w:rsid w:val="00446DBE"/>
    <w:rsid w:val="004512EF"/>
    <w:rsid w:val="00456A16"/>
    <w:rsid w:val="004603A2"/>
    <w:rsid w:val="004620D2"/>
    <w:rsid w:val="00463854"/>
    <w:rsid w:val="0047372F"/>
    <w:rsid w:val="004738B5"/>
    <w:rsid w:val="00483ADA"/>
    <w:rsid w:val="00490D32"/>
    <w:rsid w:val="004914E1"/>
    <w:rsid w:val="00491AEA"/>
    <w:rsid w:val="004B20FC"/>
    <w:rsid w:val="004B4B2A"/>
    <w:rsid w:val="004B56CC"/>
    <w:rsid w:val="004B6C16"/>
    <w:rsid w:val="004B6CA8"/>
    <w:rsid w:val="004D047F"/>
    <w:rsid w:val="004D4021"/>
    <w:rsid w:val="004D4097"/>
    <w:rsid w:val="004E0291"/>
    <w:rsid w:val="004E2147"/>
    <w:rsid w:val="004E4BD1"/>
    <w:rsid w:val="004E5088"/>
    <w:rsid w:val="004E5C5A"/>
    <w:rsid w:val="004F3580"/>
    <w:rsid w:val="004F3D6C"/>
    <w:rsid w:val="00502549"/>
    <w:rsid w:val="00505FB9"/>
    <w:rsid w:val="005119DE"/>
    <w:rsid w:val="00516368"/>
    <w:rsid w:val="005216D9"/>
    <w:rsid w:val="005268A4"/>
    <w:rsid w:val="00533397"/>
    <w:rsid w:val="0053731C"/>
    <w:rsid w:val="00543B6A"/>
    <w:rsid w:val="005446BF"/>
    <w:rsid w:val="00545567"/>
    <w:rsid w:val="005473CF"/>
    <w:rsid w:val="00550193"/>
    <w:rsid w:val="0055147E"/>
    <w:rsid w:val="00551F54"/>
    <w:rsid w:val="00553FC1"/>
    <w:rsid w:val="005939B5"/>
    <w:rsid w:val="00596AA8"/>
    <w:rsid w:val="005A583D"/>
    <w:rsid w:val="005A5B7F"/>
    <w:rsid w:val="005A6ECC"/>
    <w:rsid w:val="005B1EF4"/>
    <w:rsid w:val="005B3EDE"/>
    <w:rsid w:val="005B6657"/>
    <w:rsid w:val="005B6E67"/>
    <w:rsid w:val="005B7A2E"/>
    <w:rsid w:val="005C161D"/>
    <w:rsid w:val="005C5722"/>
    <w:rsid w:val="005C5E80"/>
    <w:rsid w:val="005C6E05"/>
    <w:rsid w:val="005D2107"/>
    <w:rsid w:val="005D45B1"/>
    <w:rsid w:val="005D79F1"/>
    <w:rsid w:val="005D7A1E"/>
    <w:rsid w:val="005E12B7"/>
    <w:rsid w:val="005E1650"/>
    <w:rsid w:val="005F0B55"/>
    <w:rsid w:val="005F78FB"/>
    <w:rsid w:val="006032FF"/>
    <w:rsid w:val="00604A87"/>
    <w:rsid w:val="00612E70"/>
    <w:rsid w:val="0061652C"/>
    <w:rsid w:val="00621776"/>
    <w:rsid w:val="00621872"/>
    <w:rsid w:val="00625F7A"/>
    <w:rsid w:val="00626CED"/>
    <w:rsid w:val="0062725E"/>
    <w:rsid w:val="00627F84"/>
    <w:rsid w:val="00636D9A"/>
    <w:rsid w:val="00640720"/>
    <w:rsid w:val="006438E9"/>
    <w:rsid w:val="00654BB5"/>
    <w:rsid w:val="0066074B"/>
    <w:rsid w:val="006623EE"/>
    <w:rsid w:val="00664047"/>
    <w:rsid w:val="00665784"/>
    <w:rsid w:val="00673804"/>
    <w:rsid w:val="00674ABB"/>
    <w:rsid w:val="0067733D"/>
    <w:rsid w:val="0068139B"/>
    <w:rsid w:val="0068718F"/>
    <w:rsid w:val="00687ACB"/>
    <w:rsid w:val="00687B90"/>
    <w:rsid w:val="00692DA1"/>
    <w:rsid w:val="00693688"/>
    <w:rsid w:val="006961D2"/>
    <w:rsid w:val="006A2A0D"/>
    <w:rsid w:val="006A3F0D"/>
    <w:rsid w:val="006A4515"/>
    <w:rsid w:val="006A5654"/>
    <w:rsid w:val="006A5906"/>
    <w:rsid w:val="006B0D59"/>
    <w:rsid w:val="006B25C1"/>
    <w:rsid w:val="006B2A5C"/>
    <w:rsid w:val="006B3D9C"/>
    <w:rsid w:val="006C78AA"/>
    <w:rsid w:val="006D4615"/>
    <w:rsid w:val="006D53B7"/>
    <w:rsid w:val="006D7B0D"/>
    <w:rsid w:val="006F04D4"/>
    <w:rsid w:val="006F410F"/>
    <w:rsid w:val="006F4AB2"/>
    <w:rsid w:val="006F50DC"/>
    <w:rsid w:val="006F796D"/>
    <w:rsid w:val="0070082A"/>
    <w:rsid w:val="00704EC5"/>
    <w:rsid w:val="00705FBB"/>
    <w:rsid w:val="007063BA"/>
    <w:rsid w:val="00710336"/>
    <w:rsid w:val="007121C7"/>
    <w:rsid w:val="00712E20"/>
    <w:rsid w:val="00713FEC"/>
    <w:rsid w:val="00715875"/>
    <w:rsid w:val="00717C13"/>
    <w:rsid w:val="00723544"/>
    <w:rsid w:val="0072378E"/>
    <w:rsid w:val="00730C3C"/>
    <w:rsid w:val="0073280B"/>
    <w:rsid w:val="00732E1C"/>
    <w:rsid w:val="00746EE7"/>
    <w:rsid w:val="007502B3"/>
    <w:rsid w:val="00750B5B"/>
    <w:rsid w:val="007513FC"/>
    <w:rsid w:val="00752A7F"/>
    <w:rsid w:val="00756EBA"/>
    <w:rsid w:val="007638E3"/>
    <w:rsid w:val="00766CD8"/>
    <w:rsid w:val="0077163A"/>
    <w:rsid w:val="007778F2"/>
    <w:rsid w:val="00777900"/>
    <w:rsid w:val="007812B3"/>
    <w:rsid w:val="00784973"/>
    <w:rsid w:val="00784F6B"/>
    <w:rsid w:val="007853A0"/>
    <w:rsid w:val="00785752"/>
    <w:rsid w:val="00786A07"/>
    <w:rsid w:val="00795D44"/>
    <w:rsid w:val="007A512F"/>
    <w:rsid w:val="007A59C8"/>
    <w:rsid w:val="007A712E"/>
    <w:rsid w:val="007B50E2"/>
    <w:rsid w:val="007B76ED"/>
    <w:rsid w:val="007C10E5"/>
    <w:rsid w:val="007C1C6F"/>
    <w:rsid w:val="007C246B"/>
    <w:rsid w:val="007C685B"/>
    <w:rsid w:val="007D5AE0"/>
    <w:rsid w:val="007E0B37"/>
    <w:rsid w:val="007E1024"/>
    <w:rsid w:val="007E1BD9"/>
    <w:rsid w:val="007E534E"/>
    <w:rsid w:val="007F352E"/>
    <w:rsid w:val="007F6813"/>
    <w:rsid w:val="007F7847"/>
    <w:rsid w:val="00800408"/>
    <w:rsid w:val="00802A2C"/>
    <w:rsid w:val="008040F3"/>
    <w:rsid w:val="00804B94"/>
    <w:rsid w:val="00806C62"/>
    <w:rsid w:val="00806F3D"/>
    <w:rsid w:val="00807B11"/>
    <w:rsid w:val="00811A7A"/>
    <w:rsid w:val="008136A3"/>
    <w:rsid w:val="00813F71"/>
    <w:rsid w:val="008213E5"/>
    <w:rsid w:val="0082490E"/>
    <w:rsid w:val="00825F34"/>
    <w:rsid w:val="008268DF"/>
    <w:rsid w:val="0082760D"/>
    <w:rsid w:val="00827F41"/>
    <w:rsid w:val="00834226"/>
    <w:rsid w:val="0084640E"/>
    <w:rsid w:val="00855A02"/>
    <w:rsid w:val="0085683D"/>
    <w:rsid w:val="0086534D"/>
    <w:rsid w:val="0086746E"/>
    <w:rsid w:val="00870F87"/>
    <w:rsid w:val="008750C9"/>
    <w:rsid w:val="008759C0"/>
    <w:rsid w:val="00880B2D"/>
    <w:rsid w:val="0088255C"/>
    <w:rsid w:val="00883AB0"/>
    <w:rsid w:val="00890F88"/>
    <w:rsid w:val="00893D3C"/>
    <w:rsid w:val="00894108"/>
    <w:rsid w:val="00895450"/>
    <w:rsid w:val="00895EFD"/>
    <w:rsid w:val="00897FC7"/>
    <w:rsid w:val="008A2116"/>
    <w:rsid w:val="008A78EE"/>
    <w:rsid w:val="008B1B21"/>
    <w:rsid w:val="008B1DFA"/>
    <w:rsid w:val="008B5FAB"/>
    <w:rsid w:val="008B643A"/>
    <w:rsid w:val="008C0094"/>
    <w:rsid w:val="008C38C3"/>
    <w:rsid w:val="008D126F"/>
    <w:rsid w:val="008D127B"/>
    <w:rsid w:val="008D5089"/>
    <w:rsid w:val="008D6F0F"/>
    <w:rsid w:val="008E1F83"/>
    <w:rsid w:val="008E526A"/>
    <w:rsid w:val="008E55C5"/>
    <w:rsid w:val="008E5880"/>
    <w:rsid w:val="008E7B2E"/>
    <w:rsid w:val="008F68FF"/>
    <w:rsid w:val="00903D5B"/>
    <w:rsid w:val="009054A8"/>
    <w:rsid w:val="0090550A"/>
    <w:rsid w:val="00910A1B"/>
    <w:rsid w:val="00910C2F"/>
    <w:rsid w:val="0091248A"/>
    <w:rsid w:val="00916814"/>
    <w:rsid w:val="00921F93"/>
    <w:rsid w:val="009309FF"/>
    <w:rsid w:val="00932105"/>
    <w:rsid w:val="00933490"/>
    <w:rsid w:val="00936389"/>
    <w:rsid w:val="00936439"/>
    <w:rsid w:val="00943C65"/>
    <w:rsid w:val="0094467B"/>
    <w:rsid w:val="0095285B"/>
    <w:rsid w:val="00955CB0"/>
    <w:rsid w:val="009619E4"/>
    <w:rsid w:val="00967809"/>
    <w:rsid w:val="009714C4"/>
    <w:rsid w:val="0097288A"/>
    <w:rsid w:val="00981171"/>
    <w:rsid w:val="00981FC1"/>
    <w:rsid w:val="00986E53"/>
    <w:rsid w:val="0099107C"/>
    <w:rsid w:val="00993E3A"/>
    <w:rsid w:val="00995444"/>
    <w:rsid w:val="009A1B66"/>
    <w:rsid w:val="009A4214"/>
    <w:rsid w:val="009A5EE2"/>
    <w:rsid w:val="009A7EF3"/>
    <w:rsid w:val="009B00F5"/>
    <w:rsid w:val="009B18A3"/>
    <w:rsid w:val="009B18C2"/>
    <w:rsid w:val="009B3370"/>
    <w:rsid w:val="009C0393"/>
    <w:rsid w:val="009C03A0"/>
    <w:rsid w:val="009D06C5"/>
    <w:rsid w:val="009D0833"/>
    <w:rsid w:val="009D1117"/>
    <w:rsid w:val="009D534C"/>
    <w:rsid w:val="009D728C"/>
    <w:rsid w:val="009E0FFA"/>
    <w:rsid w:val="009E29FB"/>
    <w:rsid w:val="009E4DD9"/>
    <w:rsid w:val="009E5B14"/>
    <w:rsid w:val="009F021E"/>
    <w:rsid w:val="009F3BD5"/>
    <w:rsid w:val="009F6853"/>
    <w:rsid w:val="00A00D84"/>
    <w:rsid w:val="00A0453E"/>
    <w:rsid w:val="00A079E7"/>
    <w:rsid w:val="00A228CC"/>
    <w:rsid w:val="00A22C70"/>
    <w:rsid w:val="00A305F7"/>
    <w:rsid w:val="00A30665"/>
    <w:rsid w:val="00A420C9"/>
    <w:rsid w:val="00A42BAD"/>
    <w:rsid w:val="00A5312A"/>
    <w:rsid w:val="00A6636C"/>
    <w:rsid w:val="00A77835"/>
    <w:rsid w:val="00A81B8B"/>
    <w:rsid w:val="00A85C13"/>
    <w:rsid w:val="00A86C3A"/>
    <w:rsid w:val="00A903D3"/>
    <w:rsid w:val="00A90A7A"/>
    <w:rsid w:val="00A96639"/>
    <w:rsid w:val="00A97FF0"/>
    <w:rsid w:val="00AA0499"/>
    <w:rsid w:val="00AA3085"/>
    <w:rsid w:val="00AA437C"/>
    <w:rsid w:val="00AA5113"/>
    <w:rsid w:val="00AA63FF"/>
    <w:rsid w:val="00AB03C8"/>
    <w:rsid w:val="00AB0D62"/>
    <w:rsid w:val="00AB78F0"/>
    <w:rsid w:val="00AC01F9"/>
    <w:rsid w:val="00AC054B"/>
    <w:rsid w:val="00AC39F7"/>
    <w:rsid w:val="00AD548B"/>
    <w:rsid w:val="00AD7632"/>
    <w:rsid w:val="00AE0BB5"/>
    <w:rsid w:val="00AE1BEC"/>
    <w:rsid w:val="00AF216D"/>
    <w:rsid w:val="00AF2A57"/>
    <w:rsid w:val="00AF3D88"/>
    <w:rsid w:val="00B01396"/>
    <w:rsid w:val="00B05FE7"/>
    <w:rsid w:val="00B0762B"/>
    <w:rsid w:val="00B11F5E"/>
    <w:rsid w:val="00B122E4"/>
    <w:rsid w:val="00B12CC2"/>
    <w:rsid w:val="00B20B2F"/>
    <w:rsid w:val="00B228B1"/>
    <w:rsid w:val="00B2418B"/>
    <w:rsid w:val="00B2640C"/>
    <w:rsid w:val="00B26973"/>
    <w:rsid w:val="00B365C0"/>
    <w:rsid w:val="00B4294B"/>
    <w:rsid w:val="00B4317E"/>
    <w:rsid w:val="00B460D3"/>
    <w:rsid w:val="00B5054B"/>
    <w:rsid w:val="00B552BD"/>
    <w:rsid w:val="00B575E2"/>
    <w:rsid w:val="00B60162"/>
    <w:rsid w:val="00B60682"/>
    <w:rsid w:val="00B616BC"/>
    <w:rsid w:val="00B65C14"/>
    <w:rsid w:val="00B7073C"/>
    <w:rsid w:val="00B77EB4"/>
    <w:rsid w:val="00B84CA9"/>
    <w:rsid w:val="00B84DCB"/>
    <w:rsid w:val="00B858A1"/>
    <w:rsid w:val="00B93566"/>
    <w:rsid w:val="00B93818"/>
    <w:rsid w:val="00B94D7D"/>
    <w:rsid w:val="00B956B3"/>
    <w:rsid w:val="00BB05C3"/>
    <w:rsid w:val="00BB0E79"/>
    <w:rsid w:val="00BB2435"/>
    <w:rsid w:val="00BB38B1"/>
    <w:rsid w:val="00BB65AC"/>
    <w:rsid w:val="00BB7A91"/>
    <w:rsid w:val="00BD0328"/>
    <w:rsid w:val="00BD2909"/>
    <w:rsid w:val="00BD6ECC"/>
    <w:rsid w:val="00BE17DE"/>
    <w:rsid w:val="00BE5516"/>
    <w:rsid w:val="00BE755B"/>
    <w:rsid w:val="00BF31DB"/>
    <w:rsid w:val="00BF4750"/>
    <w:rsid w:val="00BF53BB"/>
    <w:rsid w:val="00C1078D"/>
    <w:rsid w:val="00C12B9F"/>
    <w:rsid w:val="00C14177"/>
    <w:rsid w:val="00C142E3"/>
    <w:rsid w:val="00C14894"/>
    <w:rsid w:val="00C15BFE"/>
    <w:rsid w:val="00C17A49"/>
    <w:rsid w:val="00C23833"/>
    <w:rsid w:val="00C27859"/>
    <w:rsid w:val="00C42324"/>
    <w:rsid w:val="00C443C3"/>
    <w:rsid w:val="00C54EE8"/>
    <w:rsid w:val="00C555DF"/>
    <w:rsid w:val="00C56184"/>
    <w:rsid w:val="00C633E5"/>
    <w:rsid w:val="00C63BB4"/>
    <w:rsid w:val="00C642C1"/>
    <w:rsid w:val="00C64FCA"/>
    <w:rsid w:val="00C6785F"/>
    <w:rsid w:val="00C67E7C"/>
    <w:rsid w:val="00C71A02"/>
    <w:rsid w:val="00C76A5A"/>
    <w:rsid w:val="00C773EE"/>
    <w:rsid w:val="00C80D0C"/>
    <w:rsid w:val="00C81331"/>
    <w:rsid w:val="00C91479"/>
    <w:rsid w:val="00C92775"/>
    <w:rsid w:val="00CB3721"/>
    <w:rsid w:val="00CB3AF6"/>
    <w:rsid w:val="00CB3C13"/>
    <w:rsid w:val="00CC2E50"/>
    <w:rsid w:val="00CC4A0F"/>
    <w:rsid w:val="00CC7496"/>
    <w:rsid w:val="00CD09E5"/>
    <w:rsid w:val="00CD334F"/>
    <w:rsid w:val="00CD7D06"/>
    <w:rsid w:val="00CE0718"/>
    <w:rsid w:val="00CE10E4"/>
    <w:rsid w:val="00CE3FD1"/>
    <w:rsid w:val="00CE55A9"/>
    <w:rsid w:val="00CE620E"/>
    <w:rsid w:val="00CF0D55"/>
    <w:rsid w:val="00CF1ED5"/>
    <w:rsid w:val="00D00C35"/>
    <w:rsid w:val="00D01A9A"/>
    <w:rsid w:val="00D025D9"/>
    <w:rsid w:val="00D02F34"/>
    <w:rsid w:val="00D05CA5"/>
    <w:rsid w:val="00D07764"/>
    <w:rsid w:val="00D13A82"/>
    <w:rsid w:val="00D13DB7"/>
    <w:rsid w:val="00D151A9"/>
    <w:rsid w:val="00D17A63"/>
    <w:rsid w:val="00D232D3"/>
    <w:rsid w:val="00D31A91"/>
    <w:rsid w:val="00D376AE"/>
    <w:rsid w:val="00D41129"/>
    <w:rsid w:val="00D42FDE"/>
    <w:rsid w:val="00D50C15"/>
    <w:rsid w:val="00D53268"/>
    <w:rsid w:val="00D53576"/>
    <w:rsid w:val="00D5592D"/>
    <w:rsid w:val="00D55F96"/>
    <w:rsid w:val="00D57587"/>
    <w:rsid w:val="00D602DA"/>
    <w:rsid w:val="00D64845"/>
    <w:rsid w:val="00D65437"/>
    <w:rsid w:val="00D65CC4"/>
    <w:rsid w:val="00D664E2"/>
    <w:rsid w:val="00D70456"/>
    <w:rsid w:val="00D7211F"/>
    <w:rsid w:val="00D75E75"/>
    <w:rsid w:val="00D81F3B"/>
    <w:rsid w:val="00D86CA5"/>
    <w:rsid w:val="00DA1E2D"/>
    <w:rsid w:val="00DA6768"/>
    <w:rsid w:val="00DB05E3"/>
    <w:rsid w:val="00DB71AC"/>
    <w:rsid w:val="00DB7D9B"/>
    <w:rsid w:val="00DB7F42"/>
    <w:rsid w:val="00DC00D1"/>
    <w:rsid w:val="00DC1375"/>
    <w:rsid w:val="00DC30BF"/>
    <w:rsid w:val="00DC6861"/>
    <w:rsid w:val="00DC79B2"/>
    <w:rsid w:val="00DD02A4"/>
    <w:rsid w:val="00DD215F"/>
    <w:rsid w:val="00DD6E89"/>
    <w:rsid w:val="00DD6EED"/>
    <w:rsid w:val="00DE1A02"/>
    <w:rsid w:val="00DE1B35"/>
    <w:rsid w:val="00DE53AD"/>
    <w:rsid w:val="00DF02D6"/>
    <w:rsid w:val="00DF4889"/>
    <w:rsid w:val="00DF556F"/>
    <w:rsid w:val="00DF621B"/>
    <w:rsid w:val="00DF7820"/>
    <w:rsid w:val="00E04FB8"/>
    <w:rsid w:val="00E05C6C"/>
    <w:rsid w:val="00E11289"/>
    <w:rsid w:val="00E157E1"/>
    <w:rsid w:val="00E20257"/>
    <w:rsid w:val="00E2182C"/>
    <w:rsid w:val="00E22B24"/>
    <w:rsid w:val="00E2434A"/>
    <w:rsid w:val="00E325CF"/>
    <w:rsid w:val="00E33963"/>
    <w:rsid w:val="00E36A31"/>
    <w:rsid w:val="00E40B0D"/>
    <w:rsid w:val="00E41D24"/>
    <w:rsid w:val="00E4455A"/>
    <w:rsid w:val="00E55973"/>
    <w:rsid w:val="00E56E66"/>
    <w:rsid w:val="00E65AF0"/>
    <w:rsid w:val="00E71407"/>
    <w:rsid w:val="00E71420"/>
    <w:rsid w:val="00E72B0C"/>
    <w:rsid w:val="00E77D29"/>
    <w:rsid w:val="00E80C6F"/>
    <w:rsid w:val="00E83DB5"/>
    <w:rsid w:val="00E91087"/>
    <w:rsid w:val="00E94DA0"/>
    <w:rsid w:val="00EA199F"/>
    <w:rsid w:val="00EA4338"/>
    <w:rsid w:val="00EA463E"/>
    <w:rsid w:val="00EA5AB3"/>
    <w:rsid w:val="00EA5CC3"/>
    <w:rsid w:val="00EB37E8"/>
    <w:rsid w:val="00EB3C2A"/>
    <w:rsid w:val="00EB48E4"/>
    <w:rsid w:val="00EB6DBD"/>
    <w:rsid w:val="00EC270F"/>
    <w:rsid w:val="00EC2B33"/>
    <w:rsid w:val="00EC5609"/>
    <w:rsid w:val="00ED4C5D"/>
    <w:rsid w:val="00EE043E"/>
    <w:rsid w:val="00EE115E"/>
    <w:rsid w:val="00EE1F9D"/>
    <w:rsid w:val="00EE66B7"/>
    <w:rsid w:val="00EF0302"/>
    <w:rsid w:val="00EF2DBF"/>
    <w:rsid w:val="00EF6341"/>
    <w:rsid w:val="00EF652D"/>
    <w:rsid w:val="00F01300"/>
    <w:rsid w:val="00F039A0"/>
    <w:rsid w:val="00F0489F"/>
    <w:rsid w:val="00F0560A"/>
    <w:rsid w:val="00F0579C"/>
    <w:rsid w:val="00F078EB"/>
    <w:rsid w:val="00F10B2E"/>
    <w:rsid w:val="00F12451"/>
    <w:rsid w:val="00F12F02"/>
    <w:rsid w:val="00F158D7"/>
    <w:rsid w:val="00F20EE5"/>
    <w:rsid w:val="00F30240"/>
    <w:rsid w:val="00F312F7"/>
    <w:rsid w:val="00F32358"/>
    <w:rsid w:val="00F32AE3"/>
    <w:rsid w:val="00F32CAD"/>
    <w:rsid w:val="00F35F2C"/>
    <w:rsid w:val="00F363EE"/>
    <w:rsid w:val="00F44833"/>
    <w:rsid w:val="00F4625F"/>
    <w:rsid w:val="00F516B5"/>
    <w:rsid w:val="00F51763"/>
    <w:rsid w:val="00F544B0"/>
    <w:rsid w:val="00F56011"/>
    <w:rsid w:val="00F67C87"/>
    <w:rsid w:val="00F700B9"/>
    <w:rsid w:val="00F71B60"/>
    <w:rsid w:val="00F7314C"/>
    <w:rsid w:val="00F80AF4"/>
    <w:rsid w:val="00F8366C"/>
    <w:rsid w:val="00F84C23"/>
    <w:rsid w:val="00F92808"/>
    <w:rsid w:val="00FA3C6D"/>
    <w:rsid w:val="00FA4313"/>
    <w:rsid w:val="00FC276B"/>
    <w:rsid w:val="00FC3885"/>
    <w:rsid w:val="00FD1D0A"/>
    <w:rsid w:val="00FD3DE0"/>
    <w:rsid w:val="00FD55B7"/>
    <w:rsid w:val="00FD7729"/>
    <w:rsid w:val="00FD7C22"/>
    <w:rsid w:val="00FE5C58"/>
    <w:rsid w:val="00FE76DF"/>
    <w:rsid w:val="00FF50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7502B3"/>
    <w:pPr>
      <w:widowControl w:val="0"/>
      <w:autoSpaceDE w:val="0"/>
      <w:autoSpaceDN w:val="0"/>
      <w:spacing w:after="24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paragraph"/>
    <w:next w:val="Normal"/>
    <w:link w:val="Heading2Char"/>
    <w:uiPriority w:val="9"/>
    <w:unhideWhenUsed/>
    <w:qFormat/>
    <w:rsid w:val="00AE0BB5"/>
    <w:pPr>
      <w:spacing w:before="0" w:beforeAutospacing="0" w:after="240" w:afterAutospacing="0" w:line="360" w:lineRule="auto"/>
      <w:textAlignment w:val="baseline"/>
      <w:outlineLvl w:val="1"/>
    </w:pPr>
    <w:rPr>
      <w:rFonts w:ascii="Aptos" w:hAnsi="Aptos" w:cs="Arial"/>
      <w:color w:val="0F4761"/>
    </w:rPr>
  </w:style>
  <w:style w:type="paragraph" w:styleId="Heading3">
    <w:name w:val="heading 3"/>
    <w:basedOn w:val="Heading4"/>
    <w:next w:val="Normal"/>
    <w:link w:val="Heading3Char"/>
    <w:uiPriority w:val="9"/>
    <w:unhideWhenUsed/>
    <w:qFormat/>
    <w:rsid w:val="00705FBB"/>
    <w:pPr>
      <w:spacing w:before="0" w:after="240"/>
      <w:outlineLvl w:val="2"/>
    </w:pPr>
    <w:rPr>
      <w:rFonts w:ascii="Aptos" w:hAnsi="Aptos"/>
      <w:sz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7502B3"/>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AE0BB5"/>
    <w:rPr>
      <w:rFonts w:ascii="Aptos" w:eastAsia="Times New Roman" w:hAnsi="Aptos" w:cs="Arial"/>
      <w:color w:val="0F4761"/>
      <w:kern w:val="0"/>
      <w:sz w:val="24"/>
      <w:szCs w:val="24"/>
      <w14:ligatures w14:val="none"/>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705FBB"/>
    <w:rPr>
      <w:rFonts w:ascii="Aptos" w:eastAsiaTheme="majorEastAsia" w:hAnsi="Aptos" w:cstheme="majorBidi"/>
      <w:i/>
      <w:iCs/>
      <w:color w:val="2F5496" w:themeColor="accent1" w:themeShade="BF"/>
      <w:sz w:val="24"/>
    </w:rPr>
  </w:style>
  <w:style w:type="paragraph" w:styleId="Caption">
    <w:name w:val="caption"/>
    <w:basedOn w:val="Normal"/>
    <w:next w:val="Normal"/>
    <w:uiPriority w:val="35"/>
    <w:unhideWhenUsed/>
    <w:qFormat/>
    <w:rsid w:val="00F312F7"/>
    <w:pPr>
      <w:spacing w:after="200" w:line="240" w:lineRule="auto"/>
      <w:jc w:val="left"/>
    </w:pPr>
    <w:rPr>
      <w:rFonts w:ascii="Times New Roman" w:eastAsiaTheme="minorHAnsi" w:hAnsi="Times New Roman"/>
      <w:i/>
      <w:iCs/>
      <w:color w:val="44546A" w:themeColor="text2"/>
      <w:kern w:val="0"/>
      <w:sz w:val="18"/>
      <w:szCs w:val="18"/>
      <w:lang w:eastAsia="en-US"/>
      <w14:ligatures w14:val="none"/>
    </w:rPr>
  </w:style>
  <w:style w:type="paragraph" w:styleId="TOCHeading">
    <w:name w:val="TOC Heading"/>
    <w:basedOn w:val="Heading1"/>
    <w:next w:val="Normal"/>
    <w:uiPriority w:val="39"/>
    <w:unhideWhenUsed/>
    <w:qFormat/>
    <w:rsid w:val="00D232D3"/>
    <w:pPr>
      <w:keepNext/>
      <w:keepLines/>
      <w:widowControl/>
      <w:autoSpaceDE/>
      <w:autoSpaceDN/>
      <w:spacing w:before="240" w:after="0" w:line="259" w:lineRule="auto"/>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D232D3"/>
    <w:pPr>
      <w:spacing w:after="100"/>
    </w:pPr>
  </w:style>
  <w:style w:type="paragraph" w:styleId="TOC2">
    <w:name w:val="toc 2"/>
    <w:basedOn w:val="Normal"/>
    <w:next w:val="Normal"/>
    <w:autoRedefine/>
    <w:uiPriority w:val="39"/>
    <w:unhideWhenUsed/>
    <w:rsid w:val="00D232D3"/>
    <w:pPr>
      <w:spacing w:after="100"/>
      <w:ind w:left="220"/>
    </w:pPr>
  </w:style>
  <w:style w:type="paragraph" w:styleId="TOC3">
    <w:name w:val="toc 3"/>
    <w:basedOn w:val="Normal"/>
    <w:next w:val="Normal"/>
    <w:autoRedefine/>
    <w:uiPriority w:val="39"/>
    <w:unhideWhenUsed/>
    <w:rsid w:val="00D232D3"/>
    <w:pPr>
      <w:spacing w:after="100"/>
      <w:ind w:left="440"/>
    </w:pPr>
  </w:style>
  <w:style w:type="character" w:styleId="CommentReference">
    <w:name w:val="annotation reference"/>
    <w:basedOn w:val="DefaultParagraphFont"/>
    <w:uiPriority w:val="99"/>
    <w:semiHidden/>
    <w:unhideWhenUsed/>
    <w:rsid w:val="008E1F83"/>
    <w:rPr>
      <w:sz w:val="16"/>
      <w:szCs w:val="16"/>
    </w:rPr>
  </w:style>
  <w:style w:type="paragraph" w:styleId="CommentText">
    <w:name w:val="annotation text"/>
    <w:basedOn w:val="Normal"/>
    <w:link w:val="CommentTextChar"/>
    <w:uiPriority w:val="99"/>
    <w:semiHidden/>
    <w:unhideWhenUsed/>
    <w:rsid w:val="008E1F83"/>
    <w:pPr>
      <w:spacing w:line="240" w:lineRule="auto"/>
    </w:pPr>
    <w:rPr>
      <w:sz w:val="20"/>
      <w:szCs w:val="20"/>
    </w:rPr>
  </w:style>
  <w:style w:type="character" w:customStyle="1" w:styleId="CommentTextChar">
    <w:name w:val="Comment Text Char"/>
    <w:basedOn w:val="DefaultParagraphFont"/>
    <w:link w:val="CommentText"/>
    <w:uiPriority w:val="99"/>
    <w:semiHidden/>
    <w:rsid w:val="008E1F83"/>
    <w:rPr>
      <w:rFonts w:ascii="Aptos" w:hAnsi="Aptos"/>
      <w:sz w:val="20"/>
      <w:szCs w:val="20"/>
    </w:rPr>
  </w:style>
  <w:style w:type="paragraph" w:styleId="CommentSubject">
    <w:name w:val="annotation subject"/>
    <w:basedOn w:val="CommentText"/>
    <w:next w:val="CommentText"/>
    <w:link w:val="CommentSubjectChar"/>
    <w:uiPriority w:val="99"/>
    <w:semiHidden/>
    <w:unhideWhenUsed/>
    <w:rsid w:val="008E1F83"/>
    <w:rPr>
      <w:b/>
      <w:bCs/>
    </w:rPr>
  </w:style>
  <w:style w:type="character" w:customStyle="1" w:styleId="CommentSubjectChar">
    <w:name w:val="Comment Subject Char"/>
    <w:basedOn w:val="CommentTextChar"/>
    <w:link w:val="CommentSubject"/>
    <w:uiPriority w:val="99"/>
    <w:semiHidden/>
    <w:rsid w:val="008E1F83"/>
    <w:rPr>
      <w:rFonts w:ascii="Aptos" w:hAnsi="Aptos"/>
      <w:b/>
      <w:bCs/>
      <w:sz w:val="20"/>
      <w:szCs w:val="20"/>
    </w:rPr>
  </w:style>
  <w:style w:type="paragraph" w:styleId="BalloonText">
    <w:name w:val="Balloon Text"/>
    <w:basedOn w:val="Normal"/>
    <w:link w:val="BalloonTextChar"/>
    <w:uiPriority w:val="99"/>
    <w:semiHidden/>
    <w:unhideWhenUsed/>
    <w:rsid w:val="008E1F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1F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34784411">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55/2024/5576029" TargetMode="External"/><Relationship Id="rId21" Type="http://schemas.openxmlformats.org/officeDocument/2006/relationships/hyperlink" Target="https://doi.org/10.1007/978-3-031-31570-1" TargetMode="External"/><Relationship Id="rId42" Type="http://schemas.openxmlformats.org/officeDocument/2006/relationships/hyperlink" Target="https://doi.org/10.1002/cl2.1288" TargetMode="External"/><Relationship Id="rId47" Type="http://schemas.openxmlformats.org/officeDocument/2006/relationships/hyperlink" Target="https://doi.org/10.1186/s12877-026-07155-w" TargetMode="External"/><Relationship Id="rId63" Type="http://schemas.openxmlformats.org/officeDocument/2006/relationships/hyperlink" Target="https://doi.org/10.3389/frma.2023.1268045" TargetMode="External"/><Relationship Id="rId68" Type="http://schemas.openxmlformats.org/officeDocument/2006/relationships/hyperlink" Target="https://www.gov.uk/government/publications/10-year-health-plan-for-england-fit-for-the-future/fit-for-the-future-10-year-health-plan-for-england-accessible-version" TargetMode="External"/><Relationship Id="rId16" Type="http://schemas.openxmlformats.org/officeDocument/2006/relationships/hyperlink" Target="https://doi.org/10.1016/j.glmedi.2025.100198" TargetMode="External"/><Relationship Id="rId11" Type="http://schemas.openxmlformats.org/officeDocument/2006/relationships/image" Target="media/image4.png"/><Relationship Id="rId32" Type="http://schemas.openxmlformats.org/officeDocument/2006/relationships/hyperlink" Target="https://doi.org/10.3233/jad-230320" TargetMode="External"/><Relationship Id="rId37" Type="http://schemas.openxmlformats.org/officeDocument/2006/relationships/hyperlink" Target="https://doi.org/10.1186/s12875-024-02336-1" TargetMode="External"/><Relationship Id="rId53" Type="http://schemas.openxmlformats.org/officeDocument/2006/relationships/hyperlink" Target="https://www.legislation.gov.uk/ukpga/2014/23/contents" TargetMode="External"/><Relationship Id="rId58" Type="http://schemas.openxmlformats.org/officeDocument/2006/relationships/hyperlink" Target="https://doi.org/10.1145/3540250.3560877" TargetMode="External"/><Relationship Id="rId74" Type="http://schemas.openxmlformats.org/officeDocument/2006/relationships/header" Target="header1.xml"/><Relationship Id="rId79"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doi.org/10.3389/fneur.2022.1051543" TargetMode="External"/><Relationship Id="rId19" Type="http://schemas.openxmlformats.org/officeDocument/2006/relationships/hyperlink" Target="https://doi.org/10.35772/ghm.2023.01124" TargetMode="External"/><Relationship Id="rId14" Type="http://schemas.openxmlformats.org/officeDocument/2006/relationships/image" Target="media/image7.png"/><Relationship Id="rId22" Type="http://schemas.openxmlformats.org/officeDocument/2006/relationships/hyperlink" Target="https://doi.org/10.1177/15500594211042708" TargetMode="External"/><Relationship Id="rId27" Type="http://schemas.openxmlformats.org/officeDocument/2006/relationships/hyperlink" Target="https://www.frontiersin.org/journals/molecular-neuroscience/articles/10.3389/fnmol.2022.940484/full" TargetMode="External"/><Relationship Id="rId30" Type="http://schemas.openxmlformats.org/officeDocument/2006/relationships/hyperlink" Target="https://www.cambridge.org/core/journals/bjpsych-advances/article/bridging-the-gap-between-clinical-and-critical-sociological-perspectives-in-dementia/24F972F51B9AAC6151137CEF41D6F2B0" TargetMode="External"/><Relationship Id="rId35" Type="http://schemas.openxmlformats.org/officeDocument/2006/relationships/hyperlink" Target="https://assets.publishing.service.gov.uk/media/5a7a15a7ed915d6eaf153a36/dh_094051.pdf" TargetMode="External"/><Relationship Id="rId43" Type="http://schemas.openxmlformats.org/officeDocument/2006/relationships/hyperlink" Target="https://doi.org/10.1038/s41531-025-01231-5" TargetMode="External"/><Relationship Id="rId48" Type="http://schemas.openxmlformats.org/officeDocument/2006/relationships/hyperlink" Target="https://doi.org/10.3390/jcm13030806" TargetMode="External"/><Relationship Id="rId56" Type="http://schemas.openxmlformats.org/officeDocument/2006/relationships/hyperlink" Target="https://doi.org/10.1093/geronb/gbac197" TargetMode="External"/><Relationship Id="rId64" Type="http://schemas.openxmlformats.org/officeDocument/2006/relationships/hyperlink" Target="https://doi.org/10.1186/s12913-024-11571-2" TargetMode="External"/><Relationship Id="rId69" Type="http://schemas.openxmlformats.org/officeDocument/2006/relationships/hyperlink" Target="https://doi.org/10.1093/ageing/afaf176" TargetMode="External"/><Relationship Id="rId77"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doi.org/10.1007/s12152-023-09522-5" TargetMode="External"/><Relationship Id="rId72" Type="http://schemas.openxmlformats.org/officeDocument/2006/relationships/hyperlink" Target="https://www.who.int/news-room/fact-sheets/detail/dementia"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38/s41562-024-02076-3" TargetMode="External"/><Relationship Id="rId25" Type="http://schemas.openxmlformats.org/officeDocument/2006/relationships/hyperlink" Target="https://doi.org/10.3399/BJGPO.2024.0039" TargetMode="External"/><Relationship Id="rId33" Type="http://schemas.openxmlformats.org/officeDocument/2006/relationships/hyperlink" Target="https://doi.org/10.3399/bjgpo.2021.0058" TargetMode="External"/><Relationship Id="rId38" Type="http://schemas.openxmlformats.org/officeDocument/2006/relationships/hyperlink" Target="https://localdemocracyandhealth.com/wp-content/uploads/2024/11/8f21c-nhs-england-working-in-partnership-with-people-and-communities-statutory-guidance.pdf" TargetMode="External"/><Relationship Id="rId46" Type="http://schemas.openxmlformats.org/officeDocument/2006/relationships/hyperlink" Target="https://doi.org/10.3399/BJGP.2023.0103" TargetMode="External"/><Relationship Id="rId59" Type="http://schemas.openxmlformats.org/officeDocument/2006/relationships/hyperlink" Target="https://www.foundations.uk.com/wpcontent/uploads/2023/07/age_uk_briefing_state_of_health_and_care_of_older_people_july2023.pdft" TargetMode="External"/><Relationship Id="rId67" Type="http://schemas.openxmlformats.org/officeDocument/2006/relationships/hyperlink" Target="https://qbi.uq.edu.au/brain/dementia/history-dementia-research" TargetMode="External"/><Relationship Id="rId20" Type="http://schemas.openxmlformats.org/officeDocument/2006/relationships/hyperlink" Target="https://doi.org/10.1136/bmjopen-2024-092370" TargetMode="External"/><Relationship Id="rId41" Type="http://schemas.openxmlformats.org/officeDocument/2006/relationships/hyperlink" Target="https://doi.org/10.1136/bmj.r1135" TargetMode="External"/><Relationship Id="rId54" Type="http://schemas.openxmlformats.org/officeDocument/2006/relationships/hyperlink" Target="https://doi.org/10.14738/assrj.97.12670" TargetMode="External"/><Relationship Id="rId62" Type="http://schemas.openxmlformats.org/officeDocument/2006/relationships/hyperlink" Target="https://doi.org/10.1111/inm.13449" TargetMode="External"/><Relationship Id="rId70" Type="http://schemas.openxmlformats.org/officeDocument/2006/relationships/hyperlink" Target="https://doi.org/10.3233/JAD-220397" TargetMode="External"/><Relationship Id="rId75"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0574/wjarr.2025.27.2.2913" TargetMode="External"/><Relationship Id="rId23" Type="http://schemas.openxmlformats.org/officeDocument/2006/relationships/hyperlink" Target="https://doi.org/10.1080/14739879.2025.2524813" TargetMode="External"/><Relationship Id="rId28" Type="http://schemas.openxmlformats.org/officeDocument/2006/relationships/hyperlink" Target="https://doi.org/10.1186/s12875-025-02745-w" TargetMode="External"/><Relationship Id="rId36" Type="http://schemas.openxmlformats.org/officeDocument/2006/relationships/hyperlink" Target="https://assets.publishing.service.gov.uk/media/5a80d3ce40f0b62302695b8c/pm-dementia2020.pdf" TargetMode="External"/><Relationship Id="rId49" Type="http://schemas.openxmlformats.org/officeDocument/2006/relationships/hyperlink" Target="https://doi.org/10.1093/brain/awaa403" TargetMode="External"/><Relationship Id="rId57" Type="http://schemas.openxmlformats.org/officeDocument/2006/relationships/hyperlink" Target="https://doi.org/10.3390/ijms24010604" TargetMode="External"/><Relationship Id="rId10" Type="http://schemas.openxmlformats.org/officeDocument/2006/relationships/image" Target="media/image3.jpeg"/><Relationship Id="rId31" Type="http://schemas.openxmlformats.org/officeDocument/2006/relationships/hyperlink" Target="https://continentalhospitals.com/diseases/mild-cognitive-impairment/" TargetMode="External"/><Relationship Id="rId44" Type="http://schemas.openxmlformats.org/officeDocument/2006/relationships/hyperlink" Target="https://doi.org/10.1007/s12559-023-10153-4" TargetMode="External"/><Relationship Id="rId52" Type="http://schemas.openxmlformats.org/officeDocument/2006/relationships/hyperlink" Target="https://www.legislation.gov.uk/ukpga/2010/15/contents" TargetMode="External"/><Relationship Id="rId60" Type="http://schemas.openxmlformats.org/officeDocument/2006/relationships/hyperlink" Target="https://doi.org/10.3390/biomedicines11020355" TargetMode="External"/><Relationship Id="rId65" Type="http://schemas.openxmlformats.org/officeDocument/2006/relationships/hyperlink" Target="https://doi.org/10.1111/scs.13235" TargetMode="External"/><Relationship Id="rId73" Type="http://schemas.openxmlformats.org/officeDocument/2006/relationships/hyperlink" Target="https://doi.org/10.3346/jkms.2023.38.e405" TargetMode="External"/><Relationship Id="rId78" Type="http://schemas.openxmlformats.org/officeDocument/2006/relationships/header" Target="header3.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gif"/><Relationship Id="rId18" Type="http://schemas.openxmlformats.org/officeDocument/2006/relationships/hyperlink" Target="https://doi.org/10.2147/JMDH.S512254" TargetMode="External"/><Relationship Id="rId39" Type="http://schemas.openxmlformats.org/officeDocument/2006/relationships/hyperlink" Target="https://doi.org/10.1038/s44220-024-00259-5" TargetMode="External"/><Relationship Id="rId34" Type="http://schemas.openxmlformats.org/officeDocument/2006/relationships/hyperlink" Target="https://mental.jmir.org/2023/1/e47487/" TargetMode="External"/><Relationship Id="rId50" Type="http://schemas.openxmlformats.org/officeDocument/2006/relationships/hyperlink" Target="https://www.crunchbase.com/organization/labtoo" TargetMode="External"/><Relationship Id="rId55" Type="http://schemas.openxmlformats.org/officeDocument/2006/relationships/hyperlink" Target="https://doi.org/10.1111/jocn.16893"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who.int/publications/i/item/global-action-plan-on-the-public-health-response-to-dementia-2017---2025" TargetMode="External"/><Relationship Id="rId2" Type="http://schemas.openxmlformats.org/officeDocument/2006/relationships/numbering" Target="numbering.xml"/><Relationship Id="rId29" Type="http://schemas.openxmlformats.org/officeDocument/2006/relationships/hyperlink" Target="https://doi.org/10.3233/ADR-230194" TargetMode="External"/><Relationship Id="rId24" Type="http://schemas.openxmlformats.org/officeDocument/2006/relationships/hyperlink" Target="https://www.cambridge.org/core/journals/journal-of-the-international-neuropsychological-society/article/cognitive-reserve-capacity-exploring-and-validating-a-theoretical-model-in-healthy-ageing/6ECC10808798266F075F0E9E7CADF228" TargetMode="External"/><Relationship Id="rId40" Type="http://schemas.openxmlformats.org/officeDocument/2006/relationships/hyperlink" Target="https://doi.org/10.1111/joim.20098" TargetMode="External"/><Relationship Id="rId45" Type="http://schemas.openxmlformats.org/officeDocument/2006/relationships/hyperlink" Target="https://doi.org/10.1080/17582024.2025.2562772" TargetMode="External"/><Relationship Id="rId66" Type="http://schemas.openxmlformats.org/officeDocument/2006/relationships/hyperlink" Target="https://doi.org/10.1093/brain/awab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EFD810-FB9D-4B75-8D2A-B3E25E5CD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2864</TotalTime>
  <Pages>54</Pages>
  <Words>16968</Words>
  <Characters>96720</Characters>
  <Application>Microsoft Office Word</Application>
  <DocSecurity>0</DocSecurity>
  <Lines>806</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Naznin Mahmood (2215438)</cp:lastModifiedBy>
  <cp:revision>102</cp:revision>
  <cp:lastPrinted>2026-06-09T16:43:00Z</cp:lastPrinted>
  <dcterms:created xsi:type="dcterms:W3CDTF">2026-07-23T15:31:00Z</dcterms:created>
  <dcterms:modified xsi:type="dcterms:W3CDTF">2026-07-25T21:01:00Z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10610790-4e30-4225-9440-a991b4d23626</vt:lpwstr>
  </property>
</Properties>
</file>