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D31E6" w14:textId="77777777" w:rsidR="009371EF" w:rsidRDefault="009371EF">
      <w:pPr>
        <w:pStyle w:val="s6"/>
        <w:spacing w:before="0" w:beforeAutospacing="0" w:after="120" w:afterAutospacing="0"/>
        <w:jc w:val="center"/>
        <w:rPr>
          <w:rFonts w:ascii="Arial" w:hAnsi="Arial" w:cs="Arial"/>
          <w:b/>
          <w:bCs/>
          <w:color w:val="000000"/>
          <w:sz w:val="27"/>
          <w:szCs w:val="27"/>
        </w:rPr>
      </w:pPr>
      <w:r>
        <w:rPr>
          <w:rStyle w:val="s5"/>
          <w:rFonts w:ascii="Arial" w:hAnsi="Arial" w:cs="Arial"/>
          <w:b/>
          <w:bCs/>
          <w:color w:val="000000"/>
          <w:sz w:val="27"/>
          <w:szCs w:val="27"/>
        </w:rPr>
        <w:t>INCLUSIVE EDUCATION STRATEGIES FOR CHILDREN WITH SPECIAL EDUCATIONAL NEEDS AND DISABILITIES IN UK SCHOOLS</w:t>
      </w:r>
    </w:p>
    <w:p w14:paraId="6CB0273C" w14:textId="77777777" w:rsidR="009371EF" w:rsidRDefault="009371EF">
      <w:pPr>
        <w:pStyle w:val="s4"/>
        <w:spacing w:before="0" w:beforeAutospacing="0" w:after="120" w:afterAutospacing="0"/>
        <w:rPr>
          <w:rFonts w:ascii="Arial" w:hAnsi="Arial" w:cs="Arial"/>
          <w:b/>
          <w:bCs/>
          <w:color w:val="000000"/>
          <w:sz w:val="27"/>
          <w:szCs w:val="27"/>
        </w:rPr>
      </w:pPr>
      <w:r>
        <w:rPr>
          <w:rFonts w:ascii="Arial" w:hAnsi="Arial" w:cs="Arial"/>
          <w:b/>
          <w:bCs/>
          <w:color w:val="000000"/>
          <w:sz w:val="27"/>
          <w:szCs w:val="27"/>
        </w:rPr>
        <w:t> </w:t>
      </w:r>
    </w:p>
    <w:p w14:paraId="3CDE0B1A" w14:textId="174FB206" w:rsidR="009371EF" w:rsidRDefault="009371EF">
      <w:pPr>
        <w:pStyle w:val="s8"/>
        <w:spacing w:before="0" w:beforeAutospacing="0" w:after="120" w:afterAutospacing="0"/>
        <w:jc w:val="center"/>
        <w:rPr>
          <w:rFonts w:ascii="Arial" w:hAnsi="Arial" w:cs="Arial"/>
          <w:color w:val="000000"/>
          <w:sz w:val="27"/>
          <w:szCs w:val="27"/>
        </w:rPr>
      </w:pPr>
      <w:r>
        <w:rPr>
          <w:rStyle w:val="s7"/>
          <w:rFonts w:ascii="Arial" w:hAnsi="Arial" w:cs="Arial"/>
          <w:color w:val="000000"/>
          <w:sz w:val="27"/>
          <w:szCs w:val="27"/>
        </w:rPr>
        <w:t>Student Name</w:t>
      </w:r>
      <w:r w:rsidR="00A62858">
        <w:rPr>
          <w:rStyle w:val="s7"/>
          <w:rFonts w:ascii="Arial" w:hAnsi="Arial" w:cs="Arial"/>
          <w:color w:val="000000"/>
          <w:sz w:val="27"/>
          <w:szCs w:val="27"/>
        </w:rPr>
        <w:t>: Noreen Akhtar</w:t>
      </w:r>
      <w:r>
        <w:rPr>
          <w:rFonts w:ascii="Arial" w:hAnsi="Arial" w:cs="Arial"/>
          <w:color w:val="000000"/>
          <w:sz w:val="27"/>
          <w:szCs w:val="27"/>
        </w:rPr>
        <w:br/>
      </w:r>
      <w:r>
        <w:rPr>
          <w:rStyle w:val="s7"/>
          <w:rFonts w:ascii="Arial" w:hAnsi="Arial" w:cs="Arial"/>
          <w:color w:val="000000"/>
          <w:sz w:val="27"/>
          <w:szCs w:val="27"/>
        </w:rPr>
        <w:t>Student ID</w:t>
      </w:r>
      <w:r w:rsidR="00A62858">
        <w:rPr>
          <w:rStyle w:val="s7"/>
          <w:rFonts w:ascii="Arial" w:hAnsi="Arial" w:cs="Arial"/>
          <w:color w:val="000000"/>
          <w:sz w:val="27"/>
          <w:szCs w:val="27"/>
        </w:rPr>
        <w:t xml:space="preserve">: </w:t>
      </w:r>
      <w:r w:rsidR="00F71ED9">
        <w:rPr>
          <w:rStyle w:val="s7"/>
          <w:rFonts w:ascii="Arial" w:hAnsi="Arial" w:cs="Arial"/>
          <w:color w:val="000000"/>
          <w:sz w:val="27"/>
          <w:szCs w:val="27"/>
        </w:rPr>
        <w:t>2439740</w:t>
      </w:r>
      <w:r>
        <w:rPr>
          <w:rFonts w:ascii="Arial" w:hAnsi="Arial" w:cs="Arial"/>
          <w:color w:val="000000"/>
          <w:sz w:val="27"/>
          <w:szCs w:val="27"/>
        </w:rPr>
        <w:br/>
      </w:r>
      <w:r>
        <w:rPr>
          <w:rStyle w:val="s7"/>
          <w:rFonts w:ascii="Arial" w:hAnsi="Arial" w:cs="Arial"/>
          <w:color w:val="000000"/>
          <w:sz w:val="27"/>
          <w:szCs w:val="27"/>
        </w:rPr>
        <w:t>Programme:</w:t>
      </w:r>
      <w:r>
        <w:rPr>
          <w:rStyle w:val="apple-converted-space"/>
          <w:rFonts w:ascii="Arial" w:hAnsi="Arial" w:cs="Arial"/>
          <w:color w:val="000000"/>
          <w:sz w:val="27"/>
          <w:szCs w:val="27"/>
        </w:rPr>
        <w:t> </w:t>
      </w:r>
      <w:r>
        <w:rPr>
          <w:rStyle w:val="s7"/>
          <w:rFonts w:ascii="Arial" w:hAnsi="Arial" w:cs="Arial"/>
          <w:color w:val="000000"/>
          <w:sz w:val="27"/>
          <w:szCs w:val="27"/>
        </w:rPr>
        <w:t>Certificate of Higher Education Skills for the Workplace (Health &amp; Social Care)</w:t>
      </w:r>
      <w:r>
        <w:rPr>
          <w:rFonts w:ascii="Arial" w:hAnsi="Arial" w:cs="Arial"/>
          <w:color w:val="000000"/>
          <w:sz w:val="27"/>
          <w:szCs w:val="27"/>
        </w:rPr>
        <w:br/>
      </w:r>
      <w:r>
        <w:rPr>
          <w:rStyle w:val="s7"/>
          <w:rFonts w:ascii="Arial" w:hAnsi="Arial" w:cs="Arial"/>
          <w:color w:val="000000"/>
          <w:sz w:val="27"/>
          <w:szCs w:val="27"/>
        </w:rPr>
        <w:t>Module Code:</w:t>
      </w:r>
      <w:r>
        <w:rPr>
          <w:rStyle w:val="apple-converted-space"/>
          <w:rFonts w:ascii="Arial" w:hAnsi="Arial" w:cs="Arial"/>
          <w:color w:val="000000"/>
          <w:sz w:val="27"/>
          <w:szCs w:val="27"/>
        </w:rPr>
        <w:t> </w:t>
      </w:r>
      <w:r>
        <w:rPr>
          <w:rStyle w:val="s7"/>
          <w:rFonts w:ascii="Arial" w:hAnsi="Arial" w:cs="Arial"/>
          <w:color w:val="000000"/>
          <w:sz w:val="27"/>
          <w:szCs w:val="27"/>
        </w:rPr>
        <w:t>LCHS4007</w:t>
      </w:r>
      <w:r>
        <w:rPr>
          <w:rFonts w:ascii="Arial" w:hAnsi="Arial" w:cs="Arial"/>
          <w:color w:val="000000"/>
          <w:sz w:val="27"/>
          <w:szCs w:val="27"/>
        </w:rPr>
        <w:br/>
      </w:r>
      <w:r>
        <w:rPr>
          <w:rStyle w:val="s7"/>
          <w:rFonts w:ascii="Arial" w:hAnsi="Arial" w:cs="Arial"/>
          <w:color w:val="000000"/>
          <w:sz w:val="27"/>
          <w:szCs w:val="27"/>
        </w:rPr>
        <w:t>Module Title:</w:t>
      </w:r>
      <w:r>
        <w:rPr>
          <w:rStyle w:val="apple-converted-space"/>
          <w:rFonts w:ascii="Arial" w:hAnsi="Arial" w:cs="Arial"/>
          <w:color w:val="000000"/>
          <w:sz w:val="27"/>
          <w:szCs w:val="27"/>
        </w:rPr>
        <w:t> </w:t>
      </w:r>
      <w:r>
        <w:rPr>
          <w:rStyle w:val="s7"/>
          <w:rFonts w:ascii="Arial" w:hAnsi="Arial" w:cs="Arial"/>
          <w:color w:val="000000"/>
          <w:sz w:val="27"/>
          <w:szCs w:val="27"/>
        </w:rPr>
        <w:t>Digital Skills and Research Methods</w:t>
      </w:r>
      <w:r>
        <w:rPr>
          <w:rFonts w:ascii="Arial" w:hAnsi="Arial" w:cs="Arial"/>
          <w:color w:val="000000"/>
          <w:sz w:val="27"/>
          <w:szCs w:val="27"/>
        </w:rPr>
        <w:br/>
      </w:r>
      <w:r>
        <w:rPr>
          <w:rStyle w:val="s7"/>
          <w:rFonts w:ascii="Arial" w:hAnsi="Arial" w:cs="Arial"/>
          <w:color w:val="000000"/>
          <w:sz w:val="27"/>
          <w:szCs w:val="27"/>
        </w:rPr>
        <w:t>Lecturer:</w:t>
      </w:r>
      <w:r>
        <w:rPr>
          <w:rStyle w:val="apple-converted-space"/>
          <w:rFonts w:ascii="Arial" w:hAnsi="Arial" w:cs="Arial"/>
          <w:color w:val="000000"/>
          <w:sz w:val="27"/>
          <w:szCs w:val="27"/>
        </w:rPr>
        <w:t> </w:t>
      </w:r>
      <w:r>
        <w:rPr>
          <w:rStyle w:val="s7"/>
          <w:rFonts w:ascii="Arial" w:hAnsi="Arial" w:cs="Arial"/>
          <w:color w:val="000000"/>
          <w:sz w:val="27"/>
          <w:szCs w:val="27"/>
        </w:rPr>
        <w:t>Hajra Mustasim</w:t>
      </w:r>
      <w:r>
        <w:rPr>
          <w:rFonts w:ascii="Arial" w:hAnsi="Arial" w:cs="Arial"/>
          <w:color w:val="000000"/>
          <w:sz w:val="27"/>
          <w:szCs w:val="27"/>
        </w:rPr>
        <w:br/>
      </w:r>
      <w:r>
        <w:rPr>
          <w:rStyle w:val="s7"/>
          <w:rFonts w:ascii="Arial" w:hAnsi="Arial" w:cs="Arial"/>
          <w:color w:val="000000"/>
          <w:sz w:val="27"/>
          <w:szCs w:val="27"/>
        </w:rPr>
        <w:t>Assignment Title:</w:t>
      </w:r>
      <w:r>
        <w:rPr>
          <w:rStyle w:val="apple-converted-space"/>
          <w:rFonts w:ascii="Arial" w:hAnsi="Arial" w:cs="Arial"/>
          <w:color w:val="000000"/>
          <w:sz w:val="27"/>
          <w:szCs w:val="27"/>
        </w:rPr>
        <w:t> </w:t>
      </w:r>
      <w:r>
        <w:rPr>
          <w:rStyle w:val="s7"/>
          <w:rFonts w:ascii="Arial" w:hAnsi="Arial" w:cs="Arial"/>
          <w:color w:val="000000"/>
          <w:sz w:val="27"/>
          <w:szCs w:val="27"/>
        </w:rPr>
        <w:t>Component 2 – Research Report</w:t>
      </w:r>
      <w:r>
        <w:rPr>
          <w:rFonts w:ascii="Arial" w:hAnsi="Arial" w:cs="Arial"/>
          <w:color w:val="000000"/>
          <w:sz w:val="27"/>
          <w:szCs w:val="27"/>
        </w:rPr>
        <w:br/>
      </w:r>
      <w:r>
        <w:rPr>
          <w:rStyle w:val="s7"/>
          <w:rFonts w:ascii="Arial" w:hAnsi="Arial" w:cs="Arial"/>
          <w:color w:val="000000"/>
          <w:sz w:val="27"/>
          <w:szCs w:val="27"/>
        </w:rPr>
        <w:t>Submission Date:</w:t>
      </w:r>
      <w:r>
        <w:rPr>
          <w:rStyle w:val="apple-converted-space"/>
          <w:rFonts w:ascii="Arial" w:hAnsi="Arial" w:cs="Arial"/>
          <w:color w:val="000000"/>
          <w:sz w:val="27"/>
          <w:szCs w:val="27"/>
        </w:rPr>
        <w:t> </w:t>
      </w:r>
      <w:r>
        <w:rPr>
          <w:rStyle w:val="s7"/>
          <w:rFonts w:ascii="Arial" w:hAnsi="Arial" w:cs="Arial"/>
          <w:color w:val="000000"/>
          <w:sz w:val="27"/>
          <w:szCs w:val="27"/>
        </w:rPr>
        <w:t>Tuesday, 18th November 2025</w:t>
      </w:r>
    </w:p>
    <w:p w14:paraId="41410D8D" w14:textId="334F328A" w:rsidR="009371EF" w:rsidRPr="00860BA5" w:rsidRDefault="00B276C0" w:rsidP="00860BA5">
      <w:pPr>
        <w:pStyle w:val="s8"/>
        <w:spacing w:before="0" w:beforeAutospacing="0" w:after="120" w:afterAutospacing="0"/>
        <w:jc w:val="center"/>
        <w:rPr>
          <w:rStyle w:val="s5"/>
          <w:rFonts w:ascii="Arial" w:hAnsi="Arial" w:cs="Arial"/>
          <w:color w:val="000000"/>
          <w:sz w:val="27"/>
          <w:szCs w:val="27"/>
        </w:rPr>
      </w:pPr>
      <w:r>
        <w:rPr>
          <w:rFonts w:ascii="Arial" w:hAnsi="Arial" w:cs="Arial"/>
          <w:color w:val="000000"/>
          <w:sz w:val="27"/>
          <w:szCs w:val="27"/>
        </w:rPr>
        <w:t> </w:t>
      </w:r>
    </w:p>
    <w:p w14:paraId="78B2383D" w14:textId="7B4B7BED" w:rsidR="00B276C0" w:rsidRPr="00B00131" w:rsidRDefault="00B276C0">
      <w:pPr>
        <w:pStyle w:val="s4"/>
        <w:spacing w:before="0" w:beforeAutospacing="0" w:after="120" w:afterAutospacing="0"/>
        <w:rPr>
          <w:rFonts w:ascii="Arial" w:hAnsi="Arial" w:cs="Arial"/>
          <w:b/>
          <w:bCs/>
          <w:color w:val="000000"/>
          <w:sz w:val="20"/>
          <w:szCs w:val="20"/>
        </w:rPr>
      </w:pPr>
      <w:r w:rsidRPr="00B00131">
        <w:rPr>
          <w:rStyle w:val="s5"/>
          <w:rFonts w:ascii="Arial" w:hAnsi="Arial" w:cs="Arial"/>
          <w:b/>
          <w:bCs/>
          <w:color w:val="000000"/>
          <w:sz w:val="20"/>
          <w:szCs w:val="20"/>
        </w:rPr>
        <w:t>Introduction</w:t>
      </w:r>
    </w:p>
    <w:p w14:paraId="68246CC6" w14:textId="10707C25" w:rsidR="00B276C0" w:rsidRPr="00B00131" w:rsidRDefault="00B276C0">
      <w:pPr>
        <w:pStyle w:val="s9"/>
        <w:spacing w:before="0" w:beforeAutospacing="0" w:after="120" w:afterAutospacing="0"/>
        <w:ind w:firstLine="540"/>
        <w:rPr>
          <w:rFonts w:ascii="Arial" w:hAnsi="Arial" w:cs="Arial"/>
          <w:color w:val="000000"/>
          <w:sz w:val="20"/>
          <w:szCs w:val="20"/>
        </w:rPr>
      </w:pPr>
      <w:r w:rsidRPr="00B00131">
        <w:rPr>
          <w:rStyle w:val="s7"/>
          <w:rFonts w:ascii="Arial" w:hAnsi="Arial" w:cs="Arial"/>
          <w:color w:val="000000"/>
          <w:sz w:val="20"/>
          <w:szCs w:val="20"/>
        </w:rPr>
        <w:t xml:space="preserve">The quality education process of children with Special Educational Needs and Disabilities (SEND) can be discussed as one of the most critical issues of the UK health and social care sector today. As of January 2025, the identified SEN numbered 1.7 million school pupils in England, which </w:t>
      </w:r>
      <w:r w:rsidR="00A10FFC" w:rsidRPr="00B00131">
        <w:rPr>
          <w:rStyle w:val="s7"/>
          <w:rFonts w:ascii="Arial" w:hAnsi="Arial" w:cs="Arial"/>
          <w:color w:val="000000"/>
          <w:sz w:val="20"/>
          <w:szCs w:val="20"/>
        </w:rPr>
        <w:t>formed</w:t>
      </w:r>
      <w:r w:rsidRPr="00B00131">
        <w:rPr>
          <w:rStyle w:val="s7"/>
          <w:rFonts w:ascii="Arial" w:hAnsi="Arial" w:cs="Arial"/>
          <w:color w:val="000000"/>
          <w:sz w:val="20"/>
          <w:szCs w:val="20"/>
        </w:rPr>
        <w:t xml:space="preserve"> 19.6% of the total number of school pupils (House of Commons Library, 2025). This significant percentage of learners demands effective strategies to include education that will guarantee equal access to learning opportunities and favourable life outcomes. The research report focuses on examining the effectiveness of inclusive teaching in UK mainstream schools with students with SEND and specific interest in the role of teaching assistant, the current government policy, and how inclusion can </w:t>
      </w:r>
      <w:r w:rsidR="0020322D" w:rsidRPr="00B00131">
        <w:rPr>
          <w:rStyle w:val="s7"/>
          <w:rFonts w:ascii="Arial" w:hAnsi="Arial" w:cs="Arial"/>
          <w:color w:val="000000"/>
          <w:sz w:val="20"/>
          <w:szCs w:val="20"/>
        </w:rPr>
        <w:t>be</w:t>
      </w:r>
      <w:r w:rsidRPr="00B00131">
        <w:rPr>
          <w:rStyle w:val="s7"/>
          <w:rFonts w:ascii="Arial" w:hAnsi="Arial" w:cs="Arial"/>
          <w:color w:val="000000"/>
          <w:sz w:val="20"/>
          <w:szCs w:val="20"/>
        </w:rPr>
        <w:t xml:space="preserve"> promoted. This report aims to identify the existing problems in the field of SEND provision, explain why the research in this field should be conducted, and provide the proper methods of data collection and research methods to be used to conduct an inclusive education practise.</w:t>
      </w:r>
    </w:p>
    <w:p w14:paraId="586DE86E" w14:textId="77777777" w:rsidR="00B276C0" w:rsidRPr="00B00131" w:rsidRDefault="00B276C0">
      <w:pPr>
        <w:pStyle w:val="s4"/>
        <w:spacing w:before="0" w:beforeAutospacing="0" w:after="120" w:afterAutospacing="0"/>
        <w:rPr>
          <w:rFonts w:ascii="Arial" w:hAnsi="Arial" w:cs="Arial"/>
          <w:b/>
          <w:bCs/>
          <w:color w:val="000000"/>
          <w:sz w:val="20"/>
          <w:szCs w:val="20"/>
        </w:rPr>
      </w:pPr>
      <w:r w:rsidRPr="00B00131">
        <w:rPr>
          <w:rStyle w:val="s5"/>
          <w:rFonts w:ascii="Arial" w:hAnsi="Arial" w:cs="Arial"/>
          <w:b/>
          <w:bCs/>
          <w:color w:val="000000"/>
          <w:sz w:val="20"/>
          <w:szCs w:val="20"/>
        </w:rPr>
        <w:t>Task 1: Research Topic Identification</w:t>
      </w:r>
      <w:r w:rsidRPr="00B00131">
        <w:rPr>
          <w:rStyle w:val="apple-converted-space"/>
          <w:rFonts w:ascii="Arial" w:hAnsi="Arial" w:cs="Arial"/>
          <w:b/>
          <w:bCs/>
          <w:color w:val="000000"/>
          <w:sz w:val="20"/>
          <w:szCs w:val="20"/>
        </w:rPr>
        <w:t> </w:t>
      </w:r>
    </w:p>
    <w:p w14:paraId="0B7AB182" w14:textId="77777777" w:rsidR="00B276C0" w:rsidRPr="00B00131" w:rsidRDefault="00B276C0">
      <w:pPr>
        <w:pStyle w:val="s4"/>
        <w:spacing w:before="0" w:beforeAutospacing="0" w:after="120" w:afterAutospacing="0"/>
        <w:rPr>
          <w:rFonts w:ascii="Arial" w:hAnsi="Arial" w:cs="Arial"/>
          <w:b/>
          <w:bCs/>
          <w:color w:val="000000"/>
          <w:sz w:val="20"/>
          <w:szCs w:val="20"/>
        </w:rPr>
      </w:pPr>
      <w:r w:rsidRPr="00B00131">
        <w:rPr>
          <w:rStyle w:val="s5"/>
          <w:rFonts w:ascii="Arial" w:hAnsi="Arial" w:cs="Arial"/>
          <w:b/>
          <w:bCs/>
          <w:color w:val="000000"/>
          <w:sz w:val="20"/>
          <w:szCs w:val="20"/>
        </w:rPr>
        <w:t>The Issue and Who It Affects</w:t>
      </w:r>
    </w:p>
    <w:p w14:paraId="7CF89121" w14:textId="2886BDB5" w:rsidR="00B276C0" w:rsidRPr="00B00131" w:rsidRDefault="00B276C0">
      <w:pPr>
        <w:pStyle w:val="s9"/>
        <w:spacing w:before="0" w:beforeAutospacing="0" w:after="120" w:afterAutospacing="0"/>
        <w:ind w:firstLine="540"/>
        <w:rPr>
          <w:rFonts w:ascii="Arial" w:hAnsi="Arial" w:cs="Arial"/>
          <w:color w:val="000000"/>
          <w:sz w:val="20"/>
          <w:szCs w:val="20"/>
        </w:rPr>
      </w:pPr>
      <w:r w:rsidRPr="00B00131">
        <w:rPr>
          <w:rStyle w:val="s7"/>
          <w:rFonts w:ascii="Arial" w:hAnsi="Arial" w:cs="Arial"/>
          <w:color w:val="000000"/>
          <w:sz w:val="20"/>
          <w:szCs w:val="20"/>
        </w:rPr>
        <w:t>The concept of inclusive education of SEND children is a problem of the UK education system as it impacts several stakeholders of the health and social care industry. In October 2024, the National Audit office concluded that in the absence of a reform the costs of the SEND system were unsustainable (House of Lords Library, 2024). This crisis presents in diverse forms, posing much difficulty to the children with SEND struggling to receive proper educational support in mainstream classes, teaching assistants who are mostly undertrained and professionalised as the key support providers, mainstream teachers who tend to complain that they are not ready to fulfil diverse learning needs, and local authorities that combats the unsustainable financial strains.</w:t>
      </w:r>
    </w:p>
    <w:p w14:paraId="66E49513" w14:textId="77777777" w:rsidR="00B276C0" w:rsidRPr="00B00131" w:rsidRDefault="00B276C0">
      <w:pPr>
        <w:pStyle w:val="s9"/>
        <w:spacing w:before="0" w:beforeAutospacing="0" w:after="120" w:afterAutospacing="0"/>
        <w:ind w:firstLine="540"/>
        <w:rPr>
          <w:rFonts w:ascii="Arial" w:hAnsi="Arial" w:cs="Arial"/>
          <w:color w:val="000000"/>
          <w:sz w:val="20"/>
          <w:szCs w:val="20"/>
        </w:rPr>
      </w:pPr>
      <w:r w:rsidRPr="00B00131">
        <w:rPr>
          <w:rStyle w:val="s7"/>
          <w:rFonts w:ascii="Arial" w:hAnsi="Arial" w:cs="Arial"/>
          <w:color w:val="000000"/>
          <w:sz w:val="20"/>
          <w:szCs w:val="20"/>
        </w:rPr>
        <w:t>According to a recent Teacher Tapp survey, 88% of teachers respond that they require more assistance to work with learners with SEND, with the most common response of more TA support (Barber, 2024). Nevertheless, in a recent survey by NCFE only 11% of TAs reported that they believed their work is highly valued and respected (Barber, 2024) which shows that the critical nature of their work and its importance to the institution is disconnected.</w:t>
      </w:r>
    </w:p>
    <w:p w14:paraId="7C49E01B" w14:textId="77777777" w:rsidR="00B276C0" w:rsidRPr="00B00131" w:rsidRDefault="00B276C0">
      <w:pPr>
        <w:pStyle w:val="s4"/>
        <w:spacing w:before="0" w:beforeAutospacing="0" w:after="120" w:afterAutospacing="0"/>
        <w:rPr>
          <w:rFonts w:ascii="Arial" w:hAnsi="Arial" w:cs="Arial"/>
          <w:b/>
          <w:bCs/>
          <w:color w:val="000000"/>
          <w:sz w:val="20"/>
          <w:szCs w:val="20"/>
        </w:rPr>
      </w:pPr>
      <w:r w:rsidRPr="00B00131">
        <w:rPr>
          <w:rStyle w:val="s5"/>
          <w:rFonts w:ascii="Arial" w:hAnsi="Arial" w:cs="Arial"/>
          <w:b/>
          <w:bCs/>
          <w:color w:val="000000"/>
          <w:sz w:val="20"/>
          <w:szCs w:val="20"/>
        </w:rPr>
        <w:t>Justification for Research</w:t>
      </w:r>
    </w:p>
    <w:p w14:paraId="3927542F" w14:textId="77777777" w:rsidR="00B276C0" w:rsidRPr="00B00131" w:rsidRDefault="00B276C0">
      <w:pPr>
        <w:pStyle w:val="s9"/>
        <w:spacing w:before="0" w:beforeAutospacing="0" w:after="120" w:afterAutospacing="0"/>
        <w:ind w:firstLine="540"/>
        <w:rPr>
          <w:rFonts w:ascii="Arial" w:hAnsi="Arial" w:cs="Arial"/>
          <w:color w:val="000000"/>
          <w:sz w:val="20"/>
          <w:szCs w:val="20"/>
        </w:rPr>
      </w:pPr>
      <w:r w:rsidRPr="00B00131">
        <w:rPr>
          <w:rStyle w:val="s7"/>
          <w:rFonts w:ascii="Arial" w:hAnsi="Arial" w:cs="Arial"/>
          <w:color w:val="000000"/>
          <w:sz w:val="20"/>
          <w:szCs w:val="20"/>
        </w:rPr>
        <w:t>The study of inclusive education among SEND children is desperately required due to a number of significant reasons. To begin with, inclusive education has a direct effect on the life outcomes and wellbeing of vulnerable children. It is proven that the educated children with SEND experience a lower emotional burden, better attendance, and a better outcome of their education that further leads to better employment opportunities in adulthood (London Councils, 2024). According to the research by Mime Consulting commissioned by the London Councils, children with SEND now constitute slightly above 17% of the number of pupils in the city of London (and in 7 boroughs the proportion of pupils with SEND is at least one in five) (Mime Consulting, 2024).</w:t>
      </w:r>
    </w:p>
    <w:p w14:paraId="40487912" w14:textId="77777777" w:rsidR="00B276C0" w:rsidRPr="00B00131" w:rsidRDefault="00B276C0">
      <w:pPr>
        <w:pStyle w:val="s4"/>
        <w:spacing w:before="0" w:beforeAutospacing="0" w:after="120" w:afterAutospacing="0"/>
        <w:rPr>
          <w:rFonts w:ascii="Arial" w:hAnsi="Arial" w:cs="Arial"/>
          <w:b/>
          <w:bCs/>
          <w:color w:val="000000"/>
          <w:sz w:val="20"/>
          <w:szCs w:val="20"/>
        </w:rPr>
      </w:pPr>
      <w:r w:rsidRPr="00B00131">
        <w:rPr>
          <w:rStyle w:val="s5"/>
          <w:rFonts w:ascii="Arial" w:hAnsi="Arial" w:cs="Arial"/>
          <w:b/>
          <w:bCs/>
          <w:color w:val="000000"/>
          <w:sz w:val="20"/>
          <w:szCs w:val="20"/>
        </w:rPr>
        <w:t>Relevant Information Sources</w:t>
      </w:r>
    </w:p>
    <w:p w14:paraId="37597B16"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5"/>
          <w:rFonts w:ascii="Arial" w:hAnsi="Arial" w:cs="Arial"/>
          <w:b/>
          <w:bCs/>
          <w:color w:val="000000"/>
          <w:sz w:val="20"/>
          <w:szCs w:val="20"/>
        </w:rPr>
        <w:t>Source 1: House of Commons Library (2025) - Special Educational Needs: Support in England</w:t>
      </w:r>
    </w:p>
    <w:p w14:paraId="7ED3C2C5"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7"/>
          <w:rFonts w:ascii="Arial" w:hAnsi="Arial" w:cs="Arial"/>
          <w:color w:val="000000"/>
          <w:sz w:val="20"/>
          <w:szCs w:val="20"/>
        </w:rPr>
        <w:t>Available at:</w:t>
      </w:r>
      <w:r w:rsidRPr="00B00131">
        <w:rPr>
          <w:rStyle w:val="apple-converted-space"/>
          <w:rFonts w:ascii="Arial" w:hAnsi="Arial" w:cs="Arial"/>
          <w:color w:val="000000"/>
          <w:sz w:val="20"/>
          <w:szCs w:val="20"/>
        </w:rPr>
        <w:t> </w:t>
      </w:r>
      <w:hyperlink r:id="rId5" w:history="1">
        <w:r w:rsidRPr="00B00131">
          <w:rPr>
            <w:rStyle w:val="s11"/>
            <w:rFonts w:ascii="Arial" w:hAnsi="Arial" w:cs="Arial"/>
            <w:color w:val="0563C1"/>
            <w:sz w:val="20"/>
            <w:szCs w:val="20"/>
            <w:u w:val="single"/>
          </w:rPr>
          <w:t>https://commonslibrary.parliament.uk/research-briefings/sn07020/</w:t>
        </w:r>
      </w:hyperlink>
    </w:p>
    <w:p w14:paraId="1CE40039" w14:textId="77777777" w:rsidR="00B276C0" w:rsidRPr="00B00131" w:rsidRDefault="00B276C0">
      <w:pPr>
        <w:pStyle w:val="s9"/>
        <w:spacing w:before="0" w:beforeAutospacing="0" w:after="120" w:afterAutospacing="0"/>
        <w:ind w:firstLine="540"/>
        <w:rPr>
          <w:rFonts w:ascii="Arial" w:hAnsi="Arial" w:cs="Arial"/>
          <w:color w:val="000000"/>
          <w:sz w:val="20"/>
          <w:szCs w:val="20"/>
        </w:rPr>
      </w:pPr>
      <w:r w:rsidRPr="00B00131">
        <w:rPr>
          <w:rStyle w:val="s7"/>
          <w:rFonts w:ascii="Arial" w:hAnsi="Arial" w:cs="Arial"/>
          <w:color w:val="000000"/>
          <w:sz w:val="20"/>
          <w:szCs w:val="20"/>
        </w:rPr>
        <w:t>This governmental source has detailed, official statistics of SEND provision in England, including the latest statistics of January 2025. In September 2025, the Education Committee released a comprehensive report Solving the SEND Crisis, which was likely to have recommendations based on inclusivity and early intervention (House of Commons Library, 2025). I chose this source as it provides policy background that is up-to-date, statistical data on the scope of SEND provision, and governmental reform suggestions. The importance of the document is that it offers the systemic context within which inclusive education strategies have to be performed such as financial constraints, legislative frameworks, and suggested policy directions.</w:t>
      </w:r>
    </w:p>
    <w:p w14:paraId="71E93989"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5"/>
          <w:rFonts w:ascii="Arial" w:hAnsi="Arial" w:cs="Arial"/>
          <w:b/>
          <w:bCs/>
          <w:color w:val="000000"/>
          <w:sz w:val="20"/>
          <w:szCs w:val="20"/>
        </w:rPr>
        <w:t>Source 2: Barber, I. (2024) 'How to Use Teaching Assistants to Improve SEND Support', Real Training</w:t>
      </w:r>
    </w:p>
    <w:p w14:paraId="1B512AC4"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7"/>
          <w:rFonts w:ascii="Arial" w:hAnsi="Arial" w:cs="Arial"/>
          <w:color w:val="000000"/>
          <w:sz w:val="20"/>
          <w:szCs w:val="20"/>
        </w:rPr>
        <w:t>Available at:</w:t>
      </w:r>
      <w:r w:rsidRPr="00B00131">
        <w:rPr>
          <w:rStyle w:val="apple-converted-space"/>
          <w:rFonts w:ascii="Arial" w:hAnsi="Arial" w:cs="Arial"/>
          <w:color w:val="000000"/>
          <w:sz w:val="20"/>
          <w:szCs w:val="20"/>
        </w:rPr>
        <w:t> </w:t>
      </w:r>
      <w:hyperlink r:id="rId6" w:history="1">
        <w:r w:rsidRPr="00B00131">
          <w:rPr>
            <w:rStyle w:val="s11"/>
            <w:rFonts w:ascii="Arial" w:hAnsi="Arial" w:cs="Arial"/>
            <w:color w:val="0563C1"/>
            <w:sz w:val="20"/>
            <w:szCs w:val="20"/>
            <w:u w:val="single"/>
          </w:rPr>
          <w:t>https://realtraining.co.uk/2024/11/using-teaching-assistants-to-improve-send-provision</w:t>
        </w:r>
      </w:hyperlink>
    </w:p>
    <w:p w14:paraId="13E26D8F" w14:textId="77777777" w:rsidR="00B276C0" w:rsidRPr="00B00131" w:rsidRDefault="00B276C0">
      <w:pPr>
        <w:pStyle w:val="s9"/>
        <w:spacing w:before="0" w:beforeAutospacing="0" w:after="120" w:afterAutospacing="0"/>
        <w:ind w:firstLine="540"/>
        <w:rPr>
          <w:rFonts w:ascii="Arial" w:hAnsi="Arial" w:cs="Arial"/>
          <w:color w:val="000000"/>
          <w:sz w:val="20"/>
          <w:szCs w:val="20"/>
        </w:rPr>
      </w:pPr>
      <w:r w:rsidRPr="00B00131">
        <w:rPr>
          <w:rStyle w:val="s7"/>
          <w:rFonts w:ascii="Arial" w:hAnsi="Arial" w:cs="Arial"/>
          <w:color w:val="000000"/>
          <w:sz w:val="20"/>
          <w:szCs w:val="20"/>
        </w:rPr>
        <w:t>This practitioner article talks of the vital issue of teaching assistants in the implementation of an inclusive education and the training requirements. The MITA (Maximising the Impact of Teaching Assistants) programme showed that classroom interaction is increased significantly when TAs are taught to assist pupils to acquire the ability to learn on their own (Barber, 2024). I chose this source as it focuses on connecting research and practise providing evidence-based strategies which the teaching assistants can use to work with SEND children. The material is also very timely because the teaching assistants are usually the main day-to-day support of SEND children in normal schools, but the developmental requirements of such professionals are often ignored.</w:t>
      </w:r>
    </w:p>
    <w:p w14:paraId="7091BDF2"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5"/>
          <w:rFonts w:ascii="Arial" w:hAnsi="Arial" w:cs="Arial"/>
          <w:b/>
          <w:bCs/>
          <w:color w:val="000000"/>
          <w:sz w:val="20"/>
          <w:szCs w:val="20"/>
        </w:rPr>
        <w:t xml:space="preserve">Source 3: </w:t>
      </w:r>
      <w:proofErr w:type="spellStart"/>
      <w:r w:rsidRPr="00B00131">
        <w:rPr>
          <w:rStyle w:val="s5"/>
          <w:rFonts w:ascii="Arial" w:hAnsi="Arial" w:cs="Arial"/>
          <w:b/>
          <w:bCs/>
          <w:color w:val="000000"/>
          <w:sz w:val="20"/>
          <w:szCs w:val="20"/>
        </w:rPr>
        <w:t>Azpitarte</w:t>
      </w:r>
      <w:proofErr w:type="spellEnd"/>
      <w:r w:rsidRPr="00B00131">
        <w:rPr>
          <w:rStyle w:val="s5"/>
          <w:rFonts w:ascii="Arial" w:hAnsi="Arial" w:cs="Arial"/>
          <w:b/>
          <w:bCs/>
          <w:color w:val="000000"/>
          <w:sz w:val="20"/>
          <w:szCs w:val="20"/>
        </w:rPr>
        <w:t>, F. et al. (2024) 'Failing Children with Special Educational Needs and Disabilities in England', British Educational Research Journal</w:t>
      </w:r>
    </w:p>
    <w:p w14:paraId="2230D331"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7"/>
          <w:rFonts w:ascii="Arial" w:hAnsi="Arial" w:cs="Arial"/>
          <w:color w:val="000000"/>
          <w:sz w:val="20"/>
          <w:szCs w:val="20"/>
        </w:rPr>
        <w:t>Available at:</w:t>
      </w:r>
      <w:r w:rsidRPr="00B00131">
        <w:rPr>
          <w:rStyle w:val="apple-converted-space"/>
          <w:rFonts w:ascii="Arial" w:hAnsi="Arial" w:cs="Arial"/>
          <w:color w:val="000000"/>
          <w:sz w:val="20"/>
          <w:szCs w:val="20"/>
        </w:rPr>
        <w:t> </w:t>
      </w:r>
      <w:hyperlink r:id="rId7" w:history="1">
        <w:r w:rsidRPr="00B00131">
          <w:rPr>
            <w:rStyle w:val="s11"/>
            <w:rFonts w:ascii="Arial" w:hAnsi="Arial" w:cs="Arial"/>
            <w:color w:val="0563C1"/>
            <w:sz w:val="20"/>
            <w:szCs w:val="20"/>
            <w:u w:val="single"/>
          </w:rPr>
          <w:t>https://bera-journals.onlinelibrary.wiley.com/doi/10.1002/berj.3930</w:t>
        </w:r>
      </w:hyperlink>
    </w:p>
    <w:p w14:paraId="4622D664" w14:textId="77777777" w:rsidR="00B276C0" w:rsidRPr="00B00131" w:rsidRDefault="00B276C0">
      <w:pPr>
        <w:pStyle w:val="s9"/>
        <w:spacing w:before="0" w:beforeAutospacing="0" w:after="120" w:afterAutospacing="0"/>
        <w:ind w:firstLine="540"/>
        <w:rPr>
          <w:rFonts w:ascii="Arial" w:hAnsi="Arial" w:cs="Arial"/>
          <w:color w:val="000000"/>
          <w:sz w:val="20"/>
          <w:szCs w:val="20"/>
        </w:rPr>
      </w:pPr>
      <w:r w:rsidRPr="00B00131">
        <w:rPr>
          <w:rStyle w:val="s7"/>
          <w:rFonts w:ascii="Arial" w:hAnsi="Arial" w:cs="Arial"/>
          <w:color w:val="000000"/>
          <w:sz w:val="20"/>
          <w:szCs w:val="20"/>
        </w:rPr>
        <w:t>The given peer-reviewed academic research offers empirical data regarding the educational outcomes of SEND children whose whole education has taken place within the framework of the existing Children and Families Act of 2014. The study reveals that children with SEND are among the most underprivileged in learning, being much less likely to achieve the expected learning standards than their peers, and having a significant spatial difference in Local Authorities (</w:t>
      </w:r>
      <w:proofErr w:type="spellStart"/>
      <w:r w:rsidRPr="00B00131">
        <w:rPr>
          <w:rStyle w:val="s7"/>
          <w:rFonts w:ascii="Arial" w:hAnsi="Arial" w:cs="Arial"/>
          <w:color w:val="000000"/>
          <w:sz w:val="20"/>
          <w:szCs w:val="20"/>
        </w:rPr>
        <w:t>Azpitarte</w:t>
      </w:r>
      <w:proofErr w:type="spellEnd"/>
      <w:r w:rsidRPr="00B00131">
        <w:rPr>
          <w:rStyle w:val="s7"/>
          <w:rFonts w:ascii="Arial" w:hAnsi="Arial" w:cs="Arial"/>
          <w:color w:val="000000"/>
          <w:sz w:val="20"/>
          <w:szCs w:val="20"/>
        </w:rPr>
        <w:t xml:space="preserve"> et al., 2024). I chose this source since it has rigorous and evidence-based analysis of inclusion results based on national pupil database data. The study is especially useful because it shows that even with the intentions of policies, there are still high levels of inequalities which gives good reasons to examine more effective inclusion education strategies.</w:t>
      </w:r>
    </w:p>
    <w:p w14:paraId="4187A121" w14:textId="77777777" w:rsidR="00B276C0" w:rsidRPr="00B00131" w:rsidRDefault="00B276C0">
      <w:pPr>
        <w:pStyle w:val="s4"/>
        <w:spacing w:before="0" w:beforeAutospacing="0" w:after="120" w:afterAutospacing="0"/>
        <w:rPr>
          <w:rFonts w:ascii="Arial" w:hAnsi="Arial" w:cs="Arial"/>
          <w:b/>
          <w:bCs/>
          <w:color w:val="000000"/>
          <w:sz w:val="20"/>
          <w:szCs w:val="20"/>
        </w:rPr>
      </w:pPr>
      <w:r w:rsidRPr="00B00131">
        <w:rPr>
          <w:rStyle w:val="s5"/>
          <w:rFonts w:ascii="Arial" w:hAnsi="Arial" w:cs="Arial"/>
          <w:b/>
          <w:bCs/>
          <w:color w:val="000000"/>
          <w:sz w:val="20"/>
          <w:szCs w:val="20"/>
        </w:rPr>
        <w:t>Task 2: Research Methodologies</w:t>
      </w:r>
      <w:r w:rsidRPr="00B00131">
        <w:rPr>
          <w:rStyle w:val="apple-converted-space"/>
          <w:rFonts w:ascii="Arial" w:hAnsi="Arial" w:cs="Arial"/>
          <w:b/>
          <w:bCs/>
          <w:color w:val="000000"/>
          <w:sz w:val="20"/>
          <w:szCs w:val="20"/>
        </w:rPr>
        <w:t> </w:t>
      </w:r>
    </w:p>
    <w:p w14:paraId="0B3D50EC" w14:textId="77777777" w:rsidR="00B276C0" w:rsidRPr="00B00131" w:rsidRDefault="00B276C0">
      <w:pPr>
        <w:pStyle w:val="s4"/>
        <w:spacing w:before="0" w:beforeAutospacing="0" w:after="120" w:afterAutospacing="0"/>
        <w:rPr>
          <w:rFonts w:ascii="Arial" w:hAnsi="Arial" w:cs="Arial"/>
          <w:b/>
          <w:bCs/>
          <w:color w:val="000000"/>
          <w:sz w:val="20"/>
          <w:szCs w:val="20"/>
        </w:rPr>
      </w:pPr>
      <w:r w:rsidRPr="00B00131">
        <w:rPr>
          <w:rStyle w:val="s5"/>
          <w:rFonts w:ascii="Arial" w:hAnsi="Arial" w:cs="Arial"/>
          <w:b/>
          <w:bCs/>
          <w:color w:val="000000"/>
          <w:sz w:val="20"/>
          <w:szCs w:val="20"/>
        </w:rPr>
        <w:t>Overview of Research Approaches</w:t>
      </w:r>
    </w:p>
    <w:p w14:paraId="4A5630B8" w14:textId="77777777" w:rsidR="00B276C0" w:rsidRPr="00B00131" w:rsidRDefault="00B276C0">
      <w:pPr>
        <w:pStyle w:val="s9"/>
        <w:spacing w:before="0" w:beforeAutospacing="0" w:after="120" w:afterAutospacing="0"/>
        <w:ind w:firstLine="540"/>
        <w:rPr>
          <w:rFonts w:ascii="Arial" w:hAnsi="Arial" w:cs="Arial"/>
          <w:color w:val="000000"/>
          <w:sz w:val="20"/>
          <w:szCs w:val="20"/>
        </w:rPr>
      </w:pPr>
      <w:r w:rsidRPr="00B00131">
        <w:rPr>
          <w:rStyle w:val="s7"/>
          <w:rFonts w:ascii="Arial" w:hAnsi="Arial" w:cs="Arial"/>
          <w:color w:val="000000"/>
          <w:sz w:val="20"/>
          <w:szCs w:val="20"/>
        </w:rPr>
        <w:t>In educational research, there are generally two broad categories of research methods, namely quantitative and qualitative methods. Quantitative research entails the gathering of numerical data, which is measurable in quantity, objective measurement of variables, testing hypotheses, and determining patterns among large samples. Structured surveys that involve closed questions, standardised educational tests, statistical evaluation of existing information, and experimental designs that can be used to measure the effectiveness of interventions are common quantitative methods (Creswell and Creswell, 2018).</w:t>
      </w:r>
    </w:p>
    <w:p w14:paraId="6797EB84" w14:textId="77777777" w:rsidR="00B276C0" w:rsidRPr="00B00131" w:rsidRDefault="00B276C0">
      <w:pPr>
        <w:pStyle w:val="s9"/>
        <w:spacing w:before="0" w:beforeAutospacing="0" w:after="120" w:afterAutospacing="0"/>
        <w:ind w:firstLine="540"/>
        <w:rPr>
          <w:rFonts w:ascii="Arial" w:hAnsi="Arial" w:cs="Arial"/>
          <w:color w:val="000000"/>
          <w:sz w:val="20"/>
          <w:szCs w:val="20"/>
        </w:rPr>
      </w:pPr>
      <w:r w:rsidRPr="00B00131">
        <w:rPr>
          <w:rStyle w:val="s7"/>
          <w:rFonts w:ascii="Arial" w:hAnsi="Arial" w:cs="Arial"/>
          <w:color w:val="000000"/>
          <w:sz w:val="20"/>
          <w:szCs w:val="20"/>
        </w:rPr>
        <w:t>Qualitative research attempts to comprehend experiences, views and significances with descriptive information that is detailed. It focuses more on the study of intricate phenomena within natural contexts, the perspectives and experiences of participants, and the development of deep, contextual information, which answers the question why and how education produces certain results. Common types of qualitative techniques are semi-structured interviews, focus groups, classroom observations, case studies, and thematic analysis (Braun and Clarke, 2021).</w:t>
      </w:r>
    </w:p>
    <w:p w14:paraId="30A2D010" w14:textId="77777777" w:rsidR="00A62858" w:rsidRDefault="00A62858">
      <w:pPr>
        <w:pStyle w:val="s4"/>
        <w:spacing w:before="0" w:beforeAutospacing="0" w:after="120" w:afterAutospacing="0"/>
        <w:rPr>
          <w:rStyle w:val="s5"/>
          <w:rFonts w:ascii="Arial" w:hAnsi="Arial" w:cs="Arial"/>
          <w:b/>
          <w:bCs/>
          <w:color w:val="000000"/>
          <w:sz w:val="20"/>
          <w:szCs w:val="20"/>
        </w:rPr>
      </w:pPr>
    </w:p>
    <w:p w14:paraId="4A331DA4" w14:textId="54287F27" w:rsidR="00B276C0" w:rsidRPr="00B00131" w:rsidRDefault="00B276C0">
      <w:pPr>
        <w:pStyle w:val="s4"/>
        <w:spacing w:before="0" w:beforeAutospacing="0" w:after="120" w:afterAutospacing="0"/>
        <w:rPr>
          <w:rFonts w:ascii="Arial" w:hAnsi="Arial" w:cs="Arial"/>
          <w:b/>
          <w:bCs/>
          <w:color w:val="000000"/>
          <w:sz w:val="20"/>
          <w:szCs w:val="20"/>
        </w:rPr>
      </w:pPr>
      <w:r w:rsidRPr="00B00131">
        <w:rPr>
          <w:rStyle w:val="s5"/>
          <w:rFonts w:ascii="Arial" w:hAnsi="Arial" w:cs="Arial"/>
          <w:b/>
          <w:bCs/>
          <w:color w:val="000000"/>
          <w:sz w:val="20"/>
          <w:szCs w:val="20"/>
        </w:rPr>
        <w:t>Selection Methodology and Rationalisation.</w:t>
      </w:r>
    </w:p>
    <w:p w14:paraId="25D04B2B" w14:textId="789EBAEC" w:rsidR="00B276C0" w:rsidRPr="00B00131" w:rsidRDefault="00B276C0" w:rsidP="00334F62">
      <w:pPr>
        <w:pStyle w:val="s9"/>
        <w:spacing w:before="0" w:beforeAutospacing="0" w:after="120" w:afterAutospacing="0"/>
        <w:ind w:firstLine="540"/>
        <w:rPr>
          <w:rFonts w:ascii="Arial" w:hAnsi="Arial" w:cs="Arial"/>
          <w:color w:val="000000"/>
          <w:sz w:val="20"/>
          <w:szCs w:val="20"/>
        </w:rPr>
      </w:pPr>
      <w:r w:rsidRPr="00B00131">
        <w:rPr>
          <w:rStyle w:val="s7"/>
          <w:rFonts w:ascii="Arial" w:hAnsi="Arial" w:cs="Arial"/>
          <w:color w:val="000000"/>
          <w:sz w:val="20"/>
          <w:szCs w:val="20"/>
        </w:rPr>
        <w:t>In the study about inclusive instruction methods with the SEND children, I would use a qualitative and quantitative approach as a mixture.</w:t>
      </w:r>
      <w:r w:rsidR="00184000" w:rsidRPr="00B00131">
        <w:rPr>
          <w:rStyle w:val="s7"/>
          <w:rFonts w:ascii="Arial" w:hAnsi="Arial" w:cs="Arial"/>
          <w:color w:val="000000"/>
          <w:sz w:val="20"/>
          <w:szCs w:val="20"/>
        </w:rPr>
        <w:t xml:space="preserve"> </w:t>
      </w:r>
      <w:r w:rsidRPr="00B00131">
        <w:rPr>
          <w:rStyle w:val="s7"/>
          <w:rFonts w:ascii="Arial" w:hAnsi="Arial" w:cs="Arial"/>
          <w:color w:val="000000"/>
          <w:sz w:val="20"/>
          <w:szCs w:val="20"/>
        </w:rPr>
        <w:t>This methodology is in line with the current SEND studies which acknowledge the flaws of quantitative or qualitative research. This method was used in the London Councils report, which includes the analysis of the National Pupil Database with the focus groups and the visits to schools (Mime Consulting, 2024). Quantitative evidence gives generalisable results on what works, and qualitative evidence describes the contextual conditions that facilitate or limit implementation, creating practical recommendations that are based on statistical results and practical knowledge.</w:t>
      </w:r>
    </w:p>
    <w:p w14:paraId="42E075A1" w14:textId="77777777" w:rsidR="00B276C0" w:rsidRPr="00B00131" w:rsidRDefault="00B276C0">
      <w:pPr>
        <w:pStyle w:val="s4"/>
        <w:spacing w:before="0" w:beforeAutospacing="0" w:after="120" w:afterAutospacing="0"/>
        <w:rPr>
          <w:rFonts w:ascii="Arial" w:hAnsi="Arial" w:cs="Arial"/>
          <w:b/>
          <w:bCs/>
          <w:color w:val="000000"/>
          <w:sz w:val="20"/>
          <w:szCs w:val="20"/>
        </w:rPr>
      </w:pPr>
      <w:r w:rsidRPr="00B00131">
        <w:rPr>
          <w:rStyle w:val="s5"/>
          <w:rFonts w:ascii="Arial" w:hAnsi="Arial" w:cs="Arial"/>
          <w:b/>
          <w:bCs/>
          <w:color w:val="000000"/>
          <w:sz w:val="20"/>
          <w:szCs w:val="20"/>
        </w:rPr>
        <w:t>Task 3: Data Collection</w:t>
      </w:r>
    </w:p>
    <w:p w14:paraId="380D867E" w14:textId="77777777" w:rsidR="00B276C0" w:rsidRPr="00B00131" w:rsidRDefault="00B276C0">
      <w:pPr>
        <w:pStyle w:val="s4"/>
        <w:spacing w:before="0" w:beforeAutospacing="0" w:after="120" w:afterAutospacing="0"/>
        <w:rPr>
          <w:rFonts w:ascii="Arial" w:hAnsi="Arial" w:cs="Arial"/>
          <w:b/>
          <w:bCs/>
          <w:color w:val="000000"/>
          <w:sz w:val="20"/>
          <w:szCs w:val="20"/>
        </w:rPr>
      </w:pPr>
      <w:r w:rsidRPr="00B00131">
        <w:rPr>
          <w:rStyle w:val="s5"/>
          <w:rFonts w:ascii="Arial" w:hAnsi="Arial" w:cs="Arial"/>
          <w:b/>
          <w:bCs/>
          <w:color w:val="000000"/>
          <w:sz w:val="20"/>
          <w:szCs w:val="20"/>
        </w:rPr>
        <w:t>Summary of First-hand and Secondary Data.</w:t>
      </w:r>
    </w:p>
    <w:p w14:paraId="79ED63EA" w14:textId="77777777" w:rsidR="00B276C0" w:rsidRPr="00B00131" w:rsidRDefault="00B276C0">
      <w:pPr>
        <w:pStyle w:val="s9"/>
        <w:spacing w:before="0" w:beforeAutospacing="0" w:after="120" w:afterAutospacing="0"/>
        <w:ind w:firstLine="540"/>
        <w:rPr>
          <w:rFonts w:ascii="Arial" w:hAnsi="Arial" w:cs="Arial"/>
          <w:color w:val="000000"/>
          <w:sz w:val="20"/>
          <w:szCs w:val="20"/>
        </w:rPr>
      </w:pPr>
      <w:r w:rsidRPr="00B00131">
        <w:rPr>
          <w:rStyle w:val="s7"/>
          <w:rFonts w:ascii="Arial" w:hAnsi="Arial" w:cs="Arial"/>
          <w:color w:val="000000"/>
          <w:sz w:val="20"/>
          <w:szCs w:val="20"/>
        </w:rPr>
        <w:t>Research usually employs two sources of data collection, primary and secondary data. Primary data is the original data that the researcher gathers directly to be used in the present research by applying techniques of surveys, interviews, observations, experiment, or focus group. Primary data is positive in that it is highly customised to the objectives of the research and offer up-to-date information which is context-specific (Kumar, 2019).</w:t>
      </w:r>
    </w:p>
    <w:p w14:paraId="231F078A" w14:textId="77777777" w:rsidR="00B276C0" w:rsidRPr="00B00131" w:rsidRDefault="00B276C0">
      <w:pPr>
        <w:pStyle w:val="s9"/>
        <w:spacing w:before="0" w:beforeAutospacing="0" w:after="120" w:afterAutospacing="0"/>
        <w:ind w:firstLine="540"/>
        <w:rPr>
          <w:rFonts w:ascii="Arial" w:hAnsi="Arial" w:cs="Arial"/>
          <w:color w:val="000000"/>
          <w:sz w:val="20"/>
          <w:szCs w:val="20"/>
        </w:rPr>
      </w:pPr>
      <w:r w:rsidRPr="00B00131">
        <w:rPr>
          <w:rStyle w:val="s7"/>
          <w:rFonts w:ascii="Arial" w:hAnsi="Arial" w:cs="Arial"/>
          <w:color w:val="000000"/>
          <w:sz w:val="20"/>
          <w:szCs w:val="20"/>
        </w:rPr>
        <w:t>Secondary data refers to the information that has been gathered by other people already under the purposes of other study areas yet can be used to answer new questions in a research. There are government statistics, published research studies, official reports, databases of education, policy documents, and institutional records. The secondary data offers economical information on accessing big data, previous insights, and predefined references to compare with (Johnston, 2017).</w:t>
      </w:r>
    </w:p>
    <w:p w14:paraId="7870F273" w14:textId="77777777" w:rsidR="00B276C0" w:rsidRPr="00B00131" w:rsidRDefault="00B276C0">
      <w:pPr>
        <w:pStyle w:val="s4"/>
        <w:spacing w:before="0" w:beforeAutospacing="0" w:after="120" w:afterAutospacing="0"/>
        <w:rPr>
          <w:rFonts w:ascii="Arial" w:hAnsi="Arial" w:cs="Arial"/>
          <w:b/>
          <w:bCs/>
          <w:color w:val="000000"/>
          <w:sz w:val="20"/>
          <w:szCs w:val="20"/>
        </w:rPr>
      </w:pPr>
      <w:r w:rsidRPr="00B00131">
        <w:rPr>
          <w:rStyle w:val="s5"/>
          <w:rFonts w:ascii="Arial" w:hAnsi="Arial" w:cs="Arial"/>
          <w:b/>
          <w:bCs/>
          <w:color w:val="000000"/>
          <w:sz w:val="20"/>
          <w:szCs w:val="20"/>
        </w:rPr>
        <w:t>Selected Data Source and Justification.</w:t>
      </w:r>
    </w:p>
    <w:p w14:paraId="20122442" w14:textId="77777777" w:rsidR="00B276C0" w:rsidRPr="00B00131" w:rsidRDefault="00B276C0">
      <w:pPr>
        <w:pStyle w:val="s9"/>
        <w:spacing w:before="0" w:beforeAutospacing="0" w:after="120" w:afterAutospacing="0"/>
        <w:ind w:firstLine="540"/>
        <w:rPr>
          <w:rFonts w:ascii="Arial" w:hAnsi="Arial" w:cs="Arial"/>
          <w:color w:val="000000"/>
          <w:sz w:val="20"/>
          <w:szCs w:val="20"/>
        </w:rPr>
      </w:pPr>
      <w:r w:rsidRPr="00B00131">
        <w:rPr>
          <w:rStyle w:val="s7"/>
          <w:rFonts w:ascii="Arial" w:hAnsi="Arial" w:cs="Arial"/>
          <w:color w:val="000000"/>
          <w:sz w:val="20"/>
          <w:szCs w:val="20"/>
        </w:rPr>
        <w:t>In this study about the strategies used in the inclusive education of SEND children, the secondary sources of data would be employed as the main ones with the selective use of primary data where the gaps occur. The rationale behind this choice is that there is already large amount of secondary data on SEND provision in England. The National Pupil Database is very detailed regarding the pupil characteristics, attainment, and school experiences (</w:t>
      </w:r>
      <w:proofErr w:type="spellStart"/>
      <w:r w:rsidRPr="00B00131">
        <w:rPr>
          <w:rStyle w:val="s7"/>
          <w:rFonts w:ascii="Arial" w:hAnsi="Arial" w:cs="Arial"/>
          <w:color w:val="000000"/>
          <w:sz w:val="20"/>
          <w:szCs w:val="20"/>
        </w:rPr>
        <w:t>Azpitarte</w:t>
      </w:r>
      <w:proofErr w:type="spellEnd"/>
      <w:r w:rsidRPr="00B00131">
        <w:rPr>
          <w:rStyle w:val="s7"/>
          <w:rFonts w:ascii="Arial" w:hAnsi="Arial" w:cs="Arial"/>
          <w:color w:val="000000"/>
          <w:sz w:val="20"/>
          <w:szCs w:val="20"/>
        </w:rPr>
        <w:t xml:space="preserve"> et al., 2024), whereas government departments are periodically releasing data about SEND identification, support offers, and outcomes. The available data is efficient, economical and offers a bigger sample size than the primary data could have offered on its own.</w:t>
      </w:r>
    </w:p>
    <w:p w14:paraId="7305C2D4" w14:textId="77777777" w:rsidR="00B276C0" w:rsidRPr="00B00131" w:rsidRDefault="00B276C0">
      <w:pPr>
        <w:pStyle w:val="s9"/>
        <w:spacing w:before="0" w:beforeAutospacing="0" w:after="120" w:afterAutospacing="0"/>
        <w:ind w:firstLine="540"/>
        <w:rPr>
          <w:rFonts w:ascii="Arial" w:hAnsi="Arial" w:cs="Arial"/>
          <w:color w:val="000000"/>
          <w:sz w:val="20"/>
          <w:szCs w:val="20"/>
        </w:rPr>
      </w:pPr>
      <w:r w:rsidRPr="00B00131">
        <w:rPr>
          <w:rStyle w:val="s7"/>
          <w:rFonts w:ascii="Arial" w:hAnsi="Arial" w:cs="Arial"/>
          <w:color w:val="000000"/>
          <w:sz w:val="20"/>
          <w:szCs w:val="20"/>
        </w:rPr>
        <w:t>The secondary data allows to analyse trends over time and compare them in terms of local authorities, schools, and types of SENDs and see differences in the provision of SEND education (</w:t>
      </w:r>
      <w:proofErr w:type="spellStart"/>
      <w:r w:rsidRPr="00B00131">
        <w:rPr>
          <w:rStyle w:val="s7"/>
          <w:rFonts w:ascii="Arial" w:hAnsi="Arial" w:cs="Arial"/>
          <w:color w:val="000000"/>
          <w:sz w:val="20"/>
          <w:szCs w:val="20"/>
        </w:rPr>
        <w:t>Azpitarte</w:t>
      </w:r>
      <w:proofErr w:type="spellEnd"/>
      <w:r w:rsidRPr="00B00131">
        <w:rPr>
          <w:rStyle w:val="s7"/>
          <w:rFonts w:ascii="Arial" w:hAnsi="Arial" w:cs="Arial"/>
          <w:color w:val="000000"/>
          <w:sz w:val="20"/>
          <w:szCs w:val="20"/>
        </w:rPr>
        <w:t xml:space="preserve"> et al., 2024). Nevertheless, secondary information might not include the live experiences of teaching assistants or classroom specific strategies. Thus, secondary analysis could be supplemented by a targeted primary data collection that will require brief practitioner surveys or interviews to offer up-to-date information on what practises are inclusive and to cover the research focus of the role and purpose of teaching assistants and practical interventions (Barber, 2024).</w:t>
      </w:r>
    </w:p>
    <w:p w14:paraId="3F102A77" w14:textId="77777777" w:rsidR="00B276C0" w:rsidRPr="00B00131" w:rsidRDefault="00B276C0">
      <w:pPr>
        <w:pStyle w:val="s4"/>
        <w:spacing w:before="0" w:beforeAutospacing="0" w:after="120" w:afterAutospacing="0"/>
        <w:rPr>
          <w:rFonts w:ascii="Arial" w:hAnsi="Arial" w:cs="Arial"/>
          <w:b/>
          <w:bCs/>
          <w:color w:val="000000"/>
          <w:sz w:val="20"/>
          <w:szCs w:val="20"/>
        </w:rPr>
      </w:pPr>
      <w:r w:rsidRPr="00B00131">
        <w:rPr>
          <w:rStyle w:val="s5"/>
          <w:rFonts w:ascii="Arial" w:hAnsi="Arial" w:cs="Arial"/>
          <w:b/>
          <w:bCs/>
          <w:color w:val="000000"/>
          <w:sz w:val="20"/>
          <w:szCs w:val="20"/>
        </w:rPr>
        <w:t>Conclusion</w:t>
      </w:r>
    </w:p>
    <w:p w14:paraId="51CE8401" w14:textId="77777777" w:rsidR="005776BD" w:rsidRPr="00B00131" w:rsidRDefault="00B276C0">
      <w:pPr>
        <w:pStyle w:val="p1"/>
        <w:rPr>
          <w:rFonts w:ascii="Arial" w:hAnsi="Arial" w:cs="Arial"/>
          <w:sz w:val="20"/>
          <w:szCs w:val="20"/>
        </w:rPr>
      </w:pPr>
      <w:r w:rsidRPr="00B00131">
        <w:rPr>
          <w:rFonts w:ascii="Arial" w:hAnsi="Arial" w:cs="Arial"/>
          <w:b/>
          <w:bCs/>
          <w:color w:val="000000"/>
          <w:sz w:val="20"/>
          <w:szCs w:val="20"/>
        </w:rPr>
        <w:t> </w:t>
      </w:r>
      <w:r w:rsidR="005776BD" w:rsidRPr="00B00131">
        <w:rPr>
          <w:rStyle w:val="s1"/>
          <w:rFonts w:ascii="Arial" w:hAnsi="Arial" w:cs="Arial"/>
          <w:sz w:val="20"/>
          <w:szCs w:val="20"/>
        </w:rPr>
        <w:t>The research report highlights inclusive education for children with SEND as a key issue requiring urgent attention within the UK health and social care sector. With more than 1.7 million pupils currently identified with SEN (House of Commons Library, 2025) and many experiencing deteriorating academic and social outcomes, there is a clear need to improve inclusive teaching approaches to better support these vulnerable learners. The justification for the research is strong: inclusive education significantly influences lifelong opportunities, current funding is inadequate with only 1% of school leaders satisfied with financial support (London Councils, 2024), and there remain considerable gaps between policy intentions and practice a decade after SEND reforms (Nnamani, 2024). A mixed-methods approach using both secondary and selected primary data, similar to recent work by Mime Consulting (2024), would provide a comprehensive understanding of effective strategies. This research could inform policy development, enhance training, improve recognition of teaching assistants (Barber, 2024), and lead to better life outcomes for SEND children.</w:t>
      </w:r>
    </w:p>
    <w:p w14:paraId="6C776F86" w14:textId="7AAB01FC" w:rsidR="00B276C0" w:rsidRPr="00B00131" w:rsidRDefault="00B276C0">
      <w:pPr>
        <w:pStyle w:val="s4"/>
        <w:spacing w:before="0" w:beforeAutospacing="0" w:after="120" w:afterAutospacing="0"/>
        <w:rPr>
          <w:rFonts w:ascii="Arial" w:hAnsi="Arial" w:cs="Arial"/>
          <w:b/>
          <w:bCs/>
          <w:color w:val="000000"/>
          <w:sz w:val="20"/>
          <w:szCs w:val="20"/>
        </w:rPr>
      </w:pPr>
    </w:p>
    <w:p w14:paraId="4546F8A9" w14:textId="77777777" w:rsidR="00A62858" w:rsidRDefault="00A62858">
      <w:pPr>
        <w:pStyle w:val="s4"/>
        <w:spacing w:before="0" w:beforeAutospacing="0" w:after="120" w:afterAutospacing="0"/>
        <w:rPr>
          <w:rStyle w:val="s5"/>
          <w:rFonts w:ascii="Arial" w:hAnsi="Arial" w:cs="Arial"/>
          <w:b/>
          <w:bCs/>
          <w:color w:val="000000"/>
          <w:sz w:val="20"/>
          <w:szCs w:val="20"/>
        </w:rPr>
      </w:pPr>
    </w:p>
    <w:p w14:paraId="1511E582" w14:textId="77777777" w:rsidR="00DD5FA7" w:rsidRDefault="00DD5FA7">
      <w:pPr>
        <w:pStyle w:val="s4"/>
        <w:spacing w:before="0" w:beforeAutospacing="0" w:after="120" w:afterAutospacing="0"/>
        <w:rPr>
          <w:rStyle w:val="s5"/>
          <w:rFonts w:ascii="Arial" w:hAnsi="Arial" w:cs="Arial"/>
          <w:b/>
          <w:bCs/>
          <w:color w:val="000000"/>
          <w:sz w:val="20"/>
          <w:szCs w:val="20"/>
        </w:rPr>
      </w:pPr>
    </w:p>
    <w:p w14:paraId="526AC9EE" w14:textId="5B5633E6" w:rsidR="00B276C0" w:rsidRPr="00B00131" w:rsidRDefault="00B276C0">
      <w:pPr>
        <w:pStyle w:val="s4"/>
        <w:spacing w:before="0" w:beforeAutospacing="0" w:after="120" w:afterAutospacing="0"/>
        <w:rPr>
          <w:rFonts w:ascii="Arial" w:hAnsi="Arial" w:cs="Arial"/>
          <w:b/>
          <w:bCs/>
          <w:color w:val="000000"/>
          <w:sz w:val="20"/>
          <w:szCs w:val="20"/>
        </w:rPr>
      </w:pPr>
      <w:r w:rsidRPr="00B00131">
        <w:rPr>
          <w:rStyle w:val="s5"/>
          <w:rFonts w:ascii="Arial" w:hAnsi="Arial" w:cs="Arial"/>
          <w:b/>
          <w:bCs/>
          <w:color w:val="000000"/>
          <w:sz w:val="20"/>
          <w:szCs w:val="20"/>
        </w:rPr>
        <w:t>References</w:t>
      </w:r>
    </w:p>
    <w:p w14:paraId="65D1894C" w14:textId="77777777" w:rsidR="00B276C0" w:rsidRPr="00B00131" w:rsidRDefault="00B276C0">
      <w:pPr>
        <w:pStyle w:val="s10"/>
        <w:spacing w:before="0" w:beforeAutospacing="0" w:after="120" w:afterAutospacing="0"/>
        <w:rPr>
          <w:rFonts w:ascii="Arial" w:hAnsi="Arial" w:cs="Arial"/>
          <w:color w:val="000000"/>
          <w:sz w:val="20"/>
          <w:szCs w:val="20"/>
        </w:rPr>
      </w:pPr>
      <w:proofErr w:type="spellStart"/>
      <w:r w:rsidRPr="00B00131">
        <w:rPr>
          <w:rStyle w:val="s7"/>
          <w:rFonts w:ascii="Arial" w:hAnsi="Arial" w:cs="Arial"/>
          <w:color w:val="000000"/>
          <w:sz w:val="20"/>
          <w:szCs w:val="20"/>
        </w:rPr>
        <w:t>Azpitarte</w:t>
      </w:r>
      <w:proofErr w:type="spellEnd"/>
      <w:r w:rsidRPr="00B00131">
        <w:rPr>
          <w:rStyle w:val="s7"/>
          <w:rFonts w:ascii="Arial" w:hAnsi="Arial" w:cs="Arial"/>
          <w:color w:val="000000"/>
          <w:sz w:val="20"/>
          <w:szCs w:val="20"/>
        </w:rPr>
        <w:t>, F., Holt, L., Bowlby, S. and Lea, J. (2024) 'Failing children with Special Educational Needs and Disabilities in England: New evidence of poor outcomes and a postcode lottery at the Local Authority level at Key Stage 1',</w:t>
      </w:r>
      <w:r w:rsidRPr="00B00131">
        <w:rPr>
          <w:rStyle w:val="apple-converted-space"/>
          <w:rFonts w:ascii="Arial" w:hAnsi="Arial" w:cs="Arial"/>
          <w:color w:val="000000"/>
          <w:sz w:val="20"/>
          <w:szCs w:val="20"/>
        </w:rPr>
        <w:t> </w:t>
      </w:r>
      <w:r w:rsidRPr="00B00131">
        <w:rPr>
          <w:rStyle w:val="s12"/>
          <w:rFonts w:ascii="Arial" w:hAnsi="Arial" w:cs="Arial"/>
          <w:i/>
          <w:iCs/>
          <w:color w:val="000000"/>
          <w:sz w:val="20"/>
          <w:szCs w:val="20"/>
        </w:rPr>
        <w:t>British Educational Research Journal</w:t>
      </w:r>
      <w:r w:rsidRPr="00B00131">
        <w:rPr>
          <w:rStyle w:val="s7"/>
          <w:rFonts w:ascii="Arial" w:hAnsi="Arial" w:cs="Arial"/>
          <w:color w:val="000000"/>
          <w:sz w:val="20"/>
          <w:szCs w:val="20"/>
        </w:rPr>
        <w:t>, 50(2), pp. 613-636. Available at:</w:t>
      </w:r>
      <w:r w:rsidRPr="00B00131">
        <w:rPr>
          <w:rStyle w:val="apple-converted-space"/>
          <w:rFonts w:ascii="Arial" w:hAnsi="Arial" w:cs="Arial"/>
          <w:color w:val="000000"/>
          <w:sz w:val="20"/>
          <w:szCs w:val="20"/>
        </w:rPr>
        <w:t> </w:t>
      </w:r>
      <w:hyperlink r:id="rId8" w:history="1">
        <w:r w:rsidRPr="00B00131">
          <w:rPr>
            <w:rStyle w:val="s11"/>
            <w:rFonts w:ascii="Arial" w:hAnsi="Arial" w:cs="Arial"/>
            <w:color w:val="0563C1"/>
            <w:sz w:val="20"/>
            <w:szCs w:val="20"/>
            <w:u w:val="single"/>
          </w:rPr>
          <w:t>https://bera-journals.onlinelibrary.wiley.com/doi/10.1002/berj.3930</w:t>
        </w:r>
      </w:hyperlink>
    </w:p>
    <w:p w14:paraId="328D20A5"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7"/>
          <w:rFonts w:ascii="Arial" w:hAnsi="Arial" w:cs="Arial"/>
          <w:color w:val="000000"/>
          <w:sz w:val="20"/>
          <w:szCs w:val="20"/>
        </w:rPr>
        <w:t>Barber, I. (2024) 'How to Use Teaching Assistants to Improve SEND Support',</w:t>
      </w:r>
      <w:r w:rsidRPr="00B00131">
        <w:rPr>
          <w:rStyle w:val="apple-converted-space"/>
          <w:rFonts w:ascii="Arial" w:hAnsi="Arial" w:cs="Arial"/>
          <w:color w:val="000000"/>
          <w:sz w:val="20"/>
          <w:szCs w:val="20"/>
        </w:rPr>
        <w:t> </w:t>
      </w:r>
      <w:r w:rsidRPr="00B00131">
        <w:rPr>
          <w:rStyle w:val="s12"/>
          <w:rFonts w:ascii="Arial" w:hAnsi="Arial" w:cs="Arial"/>
          <w:i/>
          <w:iCs/>
          <w:color w:val="000000"/>
          <w:sz w:val="20"/>
          <w:szCs w:val="20"/>
        </w:rPr>
        <w:t>Real Training</w:t>
      </w:r>
      <w:r w:rsidRPr="00B00131">
        <w:rPr>
          <w:rStyle w:val="s7"/>
          <w:rFonts w:ascii="Arial" w:hAnsi="Arial" w:cs="Arial"/>
          <w:color w:val="000000"/>
          <w:sz w:val="20"/>
          <w:szCs w:val="20"/>
        </w:rPr>
        <w:t>, 20 November. Available at:</w:t>
      </w:r>
      <w:r w:rsidRPr="00B00131">
        <w:rPr>
          <w:rStyle w:val="apple-converted-space"/>
          <w:rFonts w:ascii="Arial" w:hAnsi="Arial" w:cs="Arial"/>
          <w:color w:val="000000"/>
          <w:sz w:val="20"/>
          <w:szCs w:val="20"/>
        </w:rPr>
        <w:t> </w:t>
      </w:r>
      <w:hyperlink r:id="rId9" w:history="1">
        <w:r w:rsidRPr="00B00131">
          <w:rPr>
            <w:rStyle w:val="s11"/>
            <w:rFonts w:ascii="Arial" w:hAnsi="Arial" w:cs="Arial"/>
            <w:color w:val="0563C1"/>
            <w:sz w:val="20"/>
            <w:szCs w:val="20"/>
            <w:u w:val="single"/>
          </w:rPr>
          <w:t>https://realtraining.co.uk/2024/11/using-teaching-assistants-to-improve-send-provision</w:t>
        </w:r>
      </w:hyperlink>
    </w:p>
    <w:p w14:paraId="6B2A3354"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7"/>
          <w:rFonts w:ascii="Arial" w:hAnsi="Arial" w:cs="Arial"/>
          <w:color w:val="000000"/>
          <w:sz w:val="20"/>
          <w:szCs w:val="20"/>
        </w:rPr>
        <w:t>Braun, V. and Clarke, V. (2021)</w:t>
      </w:r>
      <w:r w:rsidRPr="00B00131">
        <w:rPr>
          <w:rStyle w:val="apple-converted-space"/>
          <w:rFonts w:ascii="Arial" w:hAnsi="Arial" w:cs="Arial"/>
          <w:color w:val="000000"/>
          <w:sz w:val="20"/>
          <w:szCs w:val="20"/>
        </w:rPr>
        <w:t> </w:t>
      </w:r>
      <w:r w:rsidRPr="00B00131">
        <w:rPr>
          <w:rStyle w:val="s12"/>
          <w:rFonts w:ascii="Arial" w:hAnsi="Arial" w:cs="Arial"/>
          <w:i/>
          <w:iCs/>
          <w:color w:val="000000"/>
          <w:sz w:val="20"/>
          <w:szCs w:val="20"/>
        </w:rPr>
        <w:t>Thematic Analysis: A Practical Guide</w:t>
      </w:r>
      <w:r w:rsidRPr="00B00131">
        <w:rPr>
          <w:rStyle w:val="s7"/>
          <w:rFonts w:ascii="Arial" w:hAnsi="Arial" w:cs="Arial"/>
          <w:color w:val="000000"/>
          <w:sz w:val="20"/>
          <w:szCs w:val="20"/>
        </w:rPr>
        <w:t>. London: SAGE Publications.</w:t>
      </w:r>
    </w:p>
    <w:p w14:paraId="4D00121B"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7"/>
          <w:rFonts w:ascii="Arial" w:hAnsi="Arial" w:cs="Arial"/>
          <w:color w:val="000000"/>
          <w:sz w:val="20"/>
          <w:szCs w:val="20"/>
        </w:rPr>
        <w:t>Creswell, J.W. and Creswell, J.D. (2018)</w:t>
      </w:r>
      <w:r w:rsidRPr="00B00131">
        <w:rPr>
          <w:rStyle w:val="apple-converted-space"/>
          <w:rFonts w:ascii="Arial" w:hAnsi="Arial" w:cs="Arial"/>
          <w:color w:val="000000"/>
          <w:sz w:val="20"/>
          <w:szCs w:val="20"/>
        </w:rPr>
        <w:t> </w:t>
      </w:r>
      <w:r w:rsidRPr="00B00131">
        <w:rPr>
          <w:rStyle w:val="s12"/>
          <w:rFonts w:ascii="Arial" w:hAnsi="Arial" w:cs="Arial"/>
          <w:i/>
          <w:iCs/>
          <w:color w:val="000000"/>
          <w:sz w:val="20"/>
          <w:szCs w:val="20"/>
        </w:rPr>
        <w:t>Research Design: Qualitative, Quantitative, and Mixed Methods Approaches</w:t>
      </w:r>
      <w:r w:rsidRPr="00B00131">
        <w:rPr>
          <w:rStyle w:val="s7"/>
          <w:rFonts w:ascii="Arial" w:hAnsi="Arial" w:cs="Arial"/>
          <w:color w:val="000000"/>
          <w:sz w:val="20"/>
          <w:szCs w:val="20"/>
        </w:rPr>
        <w:t xml:space="preserve">. 5th </w:t>
      </w:r>
      <w:proofErr w:type="spellStart"/>
      <w:r w:rsidRPr="00B00131">
        <w:rPr>
          <w:rStyle w:val="s7"/>
          <w:rFonts w:ascii="Arial" w:hAnsi="Arial" w:cs="Arial"/>
          <w:color w:val="000000"/>
          <w:sz w:val="20"/>
          <w:szCs w:val="20"/>
        </w:rPr>
        <w:t>edn</w:t>
      </w:r>
      <w:proofErr w:type="spellEnd"/>
      <w:r w:rsidRPr="00B00131">
        <w:rPr>
          <w:rStyle w:val="s7"/>
          <w:rFonts w:ascii="Arial" w:hAnsi="Arial" w:cs="Arial"/>
          <w:color w:val="000000"/>
          <w:sz w:val="20"/>
          <w:szCs w:val="20"/>
        </w:rPr>
        <w:t>. London: SAGE Publications.</w:t>
      </w:r>
    </w:p>
    <w:p w14:paraId="16C36190"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7"/>
          <w:rFonts w:ascii="Arial" w:hAnsi="Arial" w:cs="Arial"/>
          <w:color w:val="000000"/>
          <w:sz w:val="20"/>
          <w:szCs w:val="20"/>
        </w:rPr>
        <w:t>House of Commons Library (2025)</w:t>
      </w:r>
      <w:r w:rsidRPr="00B00131">
        <w:rPr>
          <w:rStyle w:val="apple-converted-space"/>
          <w:rFonts w:ascii="Arial" w:hAnsi="Arial" w:cs="Arial"/>
          <w:color w:val="000000"/>
          <w:sz w:val="20"/>
          <w:szCs w:val="20"/>
        </w:rPr>
        <w:t> </w:t>
      </w:r>
      <w:r w:rsidRPr="00B00131">
        <w:rPr>
          <w:rStyle w:val="s12"/>
          <w:rFonts w:ascii="Arial" w:hAnsi="Arial" w:cs="Arial"/>
          <w:i/>
          <w:iCs/>
          <w:color w:val="000000"/>
          <w:sz w:val="20"/>
          <w:szCs w:val="20"/>
        </w:rPr>
        <w:t>Special Educational Needs: Support in England</w:t>
      </w:r>
      <w:r w:rsidRPr="00B00131">
        <w:rPr>
          <w:rStyle w:val="s7"/>
          <w:rFonts w:ascii="Arial" w:hAnsi="Arial" w:cs="Arial"/>
          <w:color w:val="000000"/>
          <w:sz w:val="20"/>
          <w:szCs w:val="20"/>
        </w:rPr>
        <w:t>. Research Briefing SN07020. Available at:</w:t>
      </w:r>
      <w:r w:rsidRPr="00B00131">
        <w:rPr>
          <w:rStyle w:val="apple-converted-space"/>
          <w:rFonts w:ascii="Arial" w:hAnsi="Arial" w:cs="Arial"/>
          <w:color w:val="000000"/>
          <w:sz w:val="20"/>
          <w:szCs w:val="20"/>
        </w:rPr>
        <w:t> </w:t>
      </w:r>
      <w:hyperlink r:id="rId10" w:history="1">
        <w:r w:rsidRPr="00B00131">
          <w:rPr>
            <w:rStyle w:val="s11"/>
            <w:rFonts w:ascii="Arial" w:hAnsi="Arial" w:cs="Arial"/>
            <w:color w:val="0563C1"/>
            <w:sz w:val="20"/>
            <w:szCs w:val="20"/>
            <w:u w:val="single"/>
          </w:rPr>
          <w:t>https://commonslibrary.parliament.uk/research-briefings/sn07020/</w:t>
        </w:r>
      </w:hyperlink>
    </w:p>
    <w:p w14:paraId="60829D4A"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7"/>
          <w:rFonts w:ascii="Arial" w:hAnsi="Arial" w:cs="Arial"/>
          <w:color w:val="000000"/>
          <w:sz w:val="20"/>
          <w:szCs w:val="20"/>
        </w:rPr>
        <w:t>House of Lords Library (2024)</w:t>
      </w:r>
      <w:r w:rsidRPr="00B00131">
        <w:rPr>
          <w:rStyle w:val="apple-converted-space"/>
          <w:rFonts w:ascii="Arial" w:hAnsi="Arial" w:cs="Arial"/>
          <w:color w:val="000000"/>
          <w:sz w:val="20"/>
          <w:szCs w:val="20"/>
        </w:rPr>
        <w:t> </w:t>
      </w:r>
      <w:r w:rsidRPr="00B00131">
        <w:rPr>
          <w:rStyle w:val="s12"/>
          <w:rFonts w:ascii="Arial" w:hAnsi="Arial" w:cs="Arial"/>
          <w:i/>
          <w:iCs/>
          <w:color w:val="000000"/>
          <w:sz w:val="20"/>
          <w:szCs w:val="20"/>
        </w:rPr>
        <w:t>Special Educational Needs and Disabilities: Government Support</w:t>
      </w:r>
      <w:r w:rsidRPr="00B00131">
        <w:rPr>
          <w:rStyle w:val="s7"/>
          <w:rFonts w:ascii="Arial" w:hAnsi="Arial" w:cs="Arial"/>
          <w:color w:val="000000"/>
          <w:sz w:val="20"/>
          <w:szCs w:val="20"/>
        </w:rPr>
        <w:t>. Available at:</w:t>
      </w:r>
      <w:r w:rsidRPr="00B00131">
        <w:rPr>
          <w:rStyle w:val="apple-converted-space"/>
          <w:rFonts w:ascii="Arial" w:hAnsi="Arial" w:cs="Arial"/>
          <w:color w:val="000000"/>
          <w:sz w:val="20"/>
          <w:szCs w:val="20"/>
        </w:rPr>
        <w:t> </w:t>
      </w:r>
      <w:hyperlink r:id="rId11" w:history="1">
        <w:r w:rsidRPr="00B00131">
          <w:rPr>
            <w:rStyle w:val="s11"/>
            <w:rFonts w:ascii="Arial" w:hAnsi="Arial" w:cs="Arial"/>
            <w:color w:val="0563C1"/>
            <w:sz w:val="20"/>
            <w:szCs w:val="20"/>
            <w:u w:val="single"/>
          </w:rPr>
          <w:t>https://lordslibrary.parliament.uk/special-educational-needs-and-disabilities-government-support/</w:t>
        </w:r>
      </w:hyperlink>
    </w:p>
    <w:p w14:paraId="0DD900C5"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7"/>
          <w:rFonts w:ascii="Arial" w:hAnsi="Arial" w:cs="Arial"/>
          <w:color w:val="000000"/>
          <w:sz w:val="20"/>
          <w:szCs w:val="20"/>
        </w:rPr>
        <w:t>Johnston, M.P. (2017) 'Secondary data analysis: A method of which the time has come',</w:t>
      </w:r>
      <w:r w:rsidRPr="00B00131">
        <w:rPr>
          <w:rStyle w:val="apple-converted-space"/>
          <w:rFonts w:ascii="Arial" w:hAnsi="Arial" w:cs="Arial"/>
          <w:color w:val="000000"/>
          <w:sz w:val="20"/>
          <w:szCs w:val="20"/>
        </w:rPr>
        <w:t> </w:t>
      </w:r>
      <w:r w:rsidRPr="00B00131">
        <w:rPr>
          <w:rStyle w:val="s12"/>
          <w:rFonts w:ascii="Arial" w:hAnsi="Arial" w:cs="Arial"/>
          <w:i/>
          <w:iCs/>
          <w:color w:val="000000"/>
          <w:sz w:val="20"/>
          <w:szCs w:val="20"/>
        </w:rPr>
        <w:t>Qualitative and Quantitative Methods in Libraries</w:t>
      </w:r>
      <w:r w:rsidRPr="00B00131">
        <w:rPr>
          <w:rStyle w:val="s7"/>
          <w:rFonts w:ascii="Arial" w:hAnsi="Arial" w:cs="Arial"/>
          <w:color w:val="000000"/>
          <w:sz w:val="20"/>
          <w:szCs w:val="20"/>
        </w:rPr>
        <w:t>, 3(3), pp. 619-626.</w:t>
      </w:r>
    </w:p>
    <w:p w14:paraId="58FF33B9"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7"/>
          <w:rFonts w:ascii="Arial" w:hAnsi="Arial" w:cs="Arial"/>
          <w:color w:val="000000"/>
          <w:sz w:val="20"/>
          <w:szCs w:val="20"/>
        </w:rPr>
        <w:t>Kumar, R. (2019)</w:t>
      </w:r>
      <w:r w:rsidRPr="00B00131">
        <w:rPr>
          <w:rStyle w:val="apple-converted-space"/>
          <w:rFonts w:ascii="Arial" w:hAnsi="Arial" w:cs="Arial"/>
          <w:color w:val="000000"/>
          <w:sz w:val="20"/>
          <w:szCs w:val="20"/>
        </w:rPr>
        <w:t> </w:t>
      </w:r>
      <w:r w:rsidRPr="00B00131">
        <w:rPr>
          <w:rStyle w:val="s12"/>
          <w:rFonts w:ascii="Arial" w:hAnsi="Arial" w:cs="Arial"/>
          <w:i/>
          <w:iCs/>
          <w:color w:val="000000"/>
          <w:sz w:val="20"/>
          <w:szCs w:val="20"/>
        </w:rPr>
        <w:t>Research Methodology: A Step-by-Step Guide for Beginners</w:t>
      </w:r>
      <w:r w:rsidRPr="00B00131">
        <w:rPr>
          <w:rStyle w:val="s7"/>
          <w:rFonts w:ascii="Arial" w:hAnsi="Arial" w:cs="Arial"/>
          <w:color w:val="000000"/>
          <w:sz w:val="20"/>
          <w:szCs w:val="20"/>
        </w:rPr>
        <w:t xml:space="preserve">. 5th </w:t>
      </w:r>
      <w:proofErr w:type="spellStart"/>
      <w:r w:rsidRPr="00B00131">
        <w:rPr>
          <w:rStyle w:val="s7"/>
          <w:rFonts w:ascii="Arial" w:hAnsi="Arial" w:cs="Arial"/>
          <w:color w:val="000000"/>
          <w:sz w:val="20"/>
          <w:szCs w:val="20"/>
        </w:rPr>
        <w:t>edn</w:t>
      </w:r>
      <w:proofErr w:type="spellEnd"/>
      <w:r w:rsidRPr="00B00131">
        <w:rPr>
          <w:rStyle w:val="s7"/>
          <w:rFonts w:ascii="Arial" w:hAnsi="Arial" w:cs="Arial"/>
          <w:color w:val="000000"/>
          <w:sz w:val="20"/>
          <w:szCs w:val="20"/>
        </w:rPr>
        <w:t>. London: SAGE Publications.</w:t>
      </w:r>
    </w:p>
    <w:p w14:paraId="517015D9"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7"/>
          <w:rFonts w:ascii="Arial" w:hAnsi="Arial" w:cs="Arial"/>
          <w:color w:val="000000"/>
          <w:sz w:val="20"/>
          <w:szCs w:val="20"/>
        </w:rPr>
        <w:t>London Councils (2024)</w:t>
      </w:r>
      <w:r w:rsidRPr="00B00131">
        <w:rPr>
          <w:rStyle w:val="apple-converted-space"/>
          <w:rFonts w:ascii="Arial" w:hAnsi="Arial" w:cs="Arial"/>
          <w:color w:val="000000"/>
          <w:sz w:val="20"/>
          <w:szCs w:val="20"/>
        </w:rPr>
        <w:t> </w:t>
      </w:r>
      <w:r w:rsidRPr="00B00131">
        <w:rPr>
          <w:rStyle w:val="s12"/>
          <w:rFonts w:ascii="Arial" w:hAnsi="Arial" w:cs="Arial"/>
          <w:i/>
          <w:iCs/>
          <w:color w:val="000000"/>
          <w:sz w:val="20"/>
          <w:szCs w:val="20"/>
        </w:rPr>
        <w:t>Inclusion in London's Schools</w:t>
      </w:r>
      <w:r w:rsidRPr="00B00131">
        <w:rPr>
          <w:rStyle w:val="s7"/>
          <w:rFonts w:ascii="Arial" w:hAnsi="Arial" w:cs="Arial"/>
          <w:color w:val="000000"/>
          <w:sz w:val="20"/>
          <w:szCs w:val="20"/>
        </w:rPr>
        <w:t>. Available at:</w:t>
      </w:r>
      <w:r w:rsidRPr="00B00131">
        <w:rPr>
          <w:rStyle w:val="apple-converted-space"/>
          <w:rFonts w:ascii="Arial" w:hAnsi="Arial" w:cs="Arial"/>
          <w:color w:val="000000"/>
          <w:sz w:val="20"/>
          <w:szCs w:val="20"/>
        </w:rPr>
        <w:t> </w:t>
      </w:r>
      <w:hyperlink r:id="rId12" w:history="1">
        <w:r w:rsidRPr="00B00131">
          <w:rPr>
            <w:rStyle w:val="s11"/>
            <w:rFonts w:ascii="Arial" w:hAnsi="Arial" w:cs="Arial"/>
            <w:color w:val="0563C1"/>
            <w:sz w:val="20"/>
            <w:szCs w:val="20"/>
            <w:u w:val="single"/>
          </w:rPr>
          <w:t>https://www.londoncouncils.gov.uk/news-and-press-releases/2024/london-councils-announce-recommendations-enhance-inclusion-young</w:t>
        </w:r>
      </w:hyperlink>
    </w:p>
    <w:p w14:paraId="54031746"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7"/>
          <w:rFonts w:ascii="Arial" w:hAnsi="Arial" w:cs="Arial"/>
          <w:color w:val="000000"/>
          <w:sz w:val="20"/>
          <w:szCs w:val="20"/>
        </w:rPr>
        <w:t>Mime Consulting (2024)</w:t>
      </w:r>
      <w:r w:rsidRPr="00B00131">
        <w:rPr>
          <w:rStyle w:val="apple-converted-space"/>
          <w:rFonts w:ascii="Arial" w:hAnsi="Arial" w:cs="Arial"/>
          <w:color w:val="000000"/>
          <w:sz w:val="20"/>
          <w:szCs w:val="20"/>
        </w:rPr>
        <w:t> </w:t>
      </w:r>
      <w:r w:rsidRPr="00B00131">
        <w:rPr>
          <w:rStyle w:val="s12"/>
          <w:rFonts w:ascii="Arial" w:hAnsi="Arial" w:cs="Arial"/>
          <w:i/>
          <w:iCs/>
          <w:color w:val="000000"/>
          <w:sz w:val="20"/>
          <w:szCs w:val="20"/>
        </w:rPr>
        <w:t>Inclusion in London's Schools</w:t>
      </w:r>
      <w:r w:rsidRPr="00B00131">
        <w:rPr>
          <w:rStyle w:val="s7"/>
          <w:rFonts w:ascii="Arial" w:hAnsi="Arial" w:cs="Arial"/>
          <w:color w:val="000000"/>
          <w:sz w:val="20"/>
          <w:szCs w:val="20"/>
        </w:rPr>
        <w:t>. Commissioned by London Councils. Available at:</w:t>
      </w:r>
      <w:r w:rsidRPr="00B00131">
        <w:rPr>
          <w:rStyle w:val="apple-converted-space"/>
          <w:rFonts w:ascii="Arial" w:hAnsi="Arial" w:cs="Arial"/>
          <w:color w:val="000000"/>
          <w:sz w:val="20"/>
          <w:szCs w:val="20"/>
        </w:rPr>
        <w:t> </w:t>
      </w:r>
      <w:hyperlink r:id="rId13" w:history="1">
        <w:r w:rsidRPr="00B00131">
          <w:rPr>
            <w:rStyle w:val="s11"/>
            <w:rFonts w:ascii="Arial" w:hAnsi="Arial" w:cs="Arial"/>
            <w:color w:val="0563C1"/>
            <w:sz w:val="20"/>
            <w:szCs w:val="20"/>
            <w:u w:val="single"/>
          </w:rPr>
          <w:t>https://www.mimeconsulting.co.uk/report-launch-send-inclusion-london-schools/</w:t>
        </w:r>
      </w:hyperlink>
    </w:p>
    <w:p w14:paraId="15A0B26C"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7"/>
          <w:rFonts w:ascii="Arial" w:hAnsi="Arial" w:cs="Arial"/>
          <w:color w:val="000000"/>
          <w:sz w:val="20"/>
          <w:szCs w:val="20"/>
        </w:rPr>
        <w:t>Nnamani, S.E. (2024) ''What is the Problem Represented to Be' in the educational policies relating to the social inclusion of learners with SEN in mainstream schools in England?',</w:t>
      </w:r>
      <w:r w:rsidRPr="00B00131">
        <w:rPr>
          <w:rStyle w:val="apple-converted-space"/>
          <w:rFonts w:ascii="Arial" w:hAnsi="Arial" w:cs="Arial"/>
          <w:color w:val="000000"/>
          <w:sz w:val="20"/>
          <w:szCs w:val="20"/>
        </w:rPr>
        <w:t> </w:t>
      </w:r>
      <w:r w:rsidRPr="00B00131">
        <w:rPr>
          <w:rStyle w:val="s12"/>
          <w:rFonts w:ascii="Arial" w:hAnsi="Arial" w:cs="Arial"/>
          <w:i/>
          <w:iCs/>
          <w:color w:val="000000"/>
          <w:sz w:val="20"/>
          <w:szCs w:val="20"/>
        </w:rPr>
        <w:t>Journal of Research in Special Educational Needs</w:t>
      </w:r>
      <w:r w:rsidRPr="00B00131">
        <w:rPr>
          <w:rStyle w:val="s7"/>
          <w:rFonts w:ascii="Arial" w:hAnsi="Arial" w:cs="Arial"/>
          <w:color w:val="000000"/>
          <w:sz w:val="20"/>
          <w:szCs w:val="20"/>
        </w:rPr>
        <w:t>, 24(3), pp. 445-455.</w:t>
      </w:r>
    </w:p>
    <w:p w14:paraId="50E9927B" w14:textId="77777777" w:rsidR="00B276C0" w:rsidRPr="00B00131" w:rsidRDefault="00B276C0">
      <w:pPr>
        <w:pStyle w:val="s10"/>
        <w:spacing w:before="0" w:beforeAutospacing="0" w:after="120" w:afterAutospacing="0"/>
        <w:rPr>
          <w:rFonts w:ascii="Arial" w:hAnsi="Arial" w:cs="Arial"/>
          <w:color w:val="000000"/>
          <w:sz w:val="20"/>
          <w:szCs w:val="20"/>
        </w:rPr>
      </w:pPr>
      <w:r w:rsidRPr="00B00131">
        <w:rPr>
          <w:rStyle w:val="s7"/>
          <w:rFonts w:ascii="Arial" w:hAnsi="Arial" w:cs="Arial"/>
          <w:color w:val="000000"/>
          <w:sz w:val="20"/>
          <w:szCs w:val="20"/>
        </w:rPr>
        <w:t>Woolfson, L.M. (2024) 'Is inclusive education for children with special educational needs and disabilities an impossible dream?',</w:t>
      </w:r>
      <w:r w:rsidRPr="00B00131">
        <w:rPr>
          <w:rStyle w:val="apple-converted-space"/>
          <w:rFonts w:ascii="Arial" w:hAnsi="Arial" w:cs="Arial"/>
          <w:color w:val="000000"/>
          <w:sz w:val="20"/>
          <w:szCs w:val="20"/>
        </w:rPr>
        <w:t> </w:t>
      </w:r>
      <w:r w:rsidRPr="00B00131">
        <w:rPr>
          <w:rStyle w:val="s12"/>
          <w:rFonts w:ascii="Arial" w:hAnsi="Arial" w:cs="Arial"/>
          <w:i/>
          <w:iCs/>
          <w:color w:val="000000"/>
          <w:sz w:val="20"/>
          <w:szCs w:val="20"/>
        </w:rPr>
        <w:t>British Journal of Educational Psychology</w:t>
      </w:r>
      <w:r w:rsidRPr="00B00131">
        <w:rPr>
          <w:rStyle w:val="s7"/>
          <w:rFonts w:ascii="Arial" w:hAnsi="Arial" w:cs="Arial"/>
          <w:color w:val="000000"/>
          <w:sz w:val="20"/>
          <w:szCs w:val="20"/>
        </w:rPr>
        <w:t>, 94(4), pp. 1545-1561. Available at:</w:t>
      </w:r>
      <w:r w:rsidRPr="00B00131">
        <w:rPr>
          <w:rStyle w:val="apple-converted-space"/>
          <w:rFonts w:ascii="Arial" w:hAnsi="Arial" w:cs="Arial"/>
          <w:color w:val="000000"/>
          <w:sz w:val="20"/>
          <w:szCs w:val="20"/>
        </w:rPr>
        <w:t> </w:t>
      </w:r>
      <w:hyperlink r:id="rId14" w:history="1">
        <w:r w:rsidRPr="00B00131">
          <w:rPr>
            <w:rStyle w:val="s11"/>
            <w:rFonts w:ascii="Arial" w:hAnsi="Arial" w:cs="Arial"/>
            <w:color w:val="0563C1"/>
            <w:sz w:val="20"/>
            <w:szCs w:val="20"/>
            <w:u w:val="single"/>
          </w:rPr>
          <w:t>https://pmc.ncbi.nlm.nih.gov/articles/PMC12319189/</w:t>
        </w:r>
      </w:hyperlink>
    </w:p>
    <w:p w14:paraId="6EBB7E36" w14:textId="77777777" w:rsidR="00B276C0" w:rsidRPr="00B00131" w:rsidRDefault="00B276C0">
      <w:pPr>
        <w:rPr>
          <w:rFonts w:ascii="Arial" w:hAnsi="Arial" w:cs="Arial"/>
          <w:sz w:val="20"/>
          <w:szCs w:val="20"/>
        </w:rPr>
      </w:pPr>
    </w:p>
    <w:sectPr w:rsidR="00B276C0" w:rsidRPr="00B001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6C0"/>
    <w:rsid w:val="00026836"/>
    <w:rsid w:val="00184000"/>
    <w:rsid w:val="0020322D"/>
    <w:rsid w:val="00245D0D"/>
    <w:rsid w:val="00334F62"/>
    <w:rsid w:val="003877BB"/>
    <w:rsid w:val="00567E74"/>
    <w:rsid w:val="005776BD"/>
    <w:rsid w:val="005A119A"/>
    <w:rsid w:val="006925D2"/>
    <w:rsid w:val="00746301"/>
    <w:rsid w:val="00860BA5"/>
    <w:rsid w:val="00917604"/>
    <w:rsid w:val="009371EF"/>
    <w:rsid w:val="00A10FFC"/>
    <w:rsid w:val="00A62858"/>
    <w:rsid w:val="00B00131"/>
    <w:rsid w:val="00B276C0"/>
    <w:rsid w:val="00C0167D"/>
    <w:rsid w:val="00DD5FA7"/>
    <w:rsid w:val="00F71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B9C5C"/>
  <w15:chartTrackingRefBased/>
  <w15:docId w15:val="{7338B05F-AD5F-2F43-B21A-9EC06C43C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76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76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76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76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76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76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76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76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76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6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76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76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76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76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76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6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6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6C0"/>
    <w:rPr>
      <w:rFonts w:eastAsiaTheme="majorEastAsia" w:cstheme="majorBidi"/>
      <w:color w:val="272727" w:themeColor="text1" w:themeTint="D8"/>
    </w:rPr>
  </w:style>
  <w:style w:type="paragraph" w:styleId="Title">
    <w:name w:val="Title"/>
    <w:basedOn w:val="Normal"/>
    <w:next w:val="Normal"/>
    <w:link w:val="TitleChar"/>
    <w:uiPriority w:val="10"/>
    <w:qFormat/>
    <w:rsid w:val="00B276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6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6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76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6C0"/>
    <w:pPr>
      <w:spacing w:before="160"/>
      <w:jc w:val="center"/>
    </w:pPr>
    <w:rPr>
      <w:i/>
      <w:iCs/>
      <w:color w:val="404040" w:themeColor="text1" w:themeTint="BF"/>
    </w:rPr>
  </w:style>
  <w:style w:type="character" w:customStyle="1" w:styleId="QuoteChar">
    <w:name w:val="Quote Char"/>
    <w:basedOn w:val="DefaultParagraphFont"/>
    <w:link w:val="Quote"/>
    <w:uiPriority w:val="29"/>
    <w:rsid w:val="00B276C0"/>
    <w:rPr>
      <w:i/>
      <w:iCs/>
      <w:color w:val="404040" w:themeColor="text1" w:themeTint="BF"/>
    </w:rPr>
  </w:style>
  <w:style w:type="paragraph" w:styleId="ListParagraph">
    <w:name w:val="List Paragraph"/>
    <w:basedOn w:val="Normal"/>
    <w:uiPriority w:val="34"/>
    <w:qFormat/>
    <w:rsid w:val="00B276C0"/>
    <w:pPr>
      <w:ind w:left="720"/>
      <w:contextualSpacing/>
    </w:pPr>
  </w:style>
  <w:style w:type="character" w:styleId="IntenseEmphasis">
    <w:name w:val="Intense Emphasis"/>
    <w:basedOn w:val="DefaultParagraphFont"/>
    <w:uiPriority w:val="21"/>
    <w:qFormat/>
    <w:rsid w:val="00B276C0"/>
    <w:rPr>
      <w:i/>
      <w:iCs/>
      <w:color w:val="0F4761" w:themeColor="accent1" w:themeShade="BF"/>
    </w:rPr>
  </w:style>
  <w:style w:type="paragraph" w:styleId="IntenseQuote">
    <w:name w:val="Intense Quote"/>
    <w:basedOn w:val="Normal"/>
    <w:next w:val="Normal"/>
    <w:link w:val="IntenseQuoteChar"/>
    <w:uiPriority w:val="30"/>
    <w:qFormat/>
    <w:rsid w:val="00B276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76C0"/>
    <w:rPr>
      <w:i/>
      <w:iCs/>
      <w:color w:val="0F4761" w:themeColor="accent1" w:themeShade="BF"/>
    </w:rPr>
  </w:style>
  <w:style w:type="character" w:styleId="IntenseReference">
    <w:name w:val="Intense Reference"/>
    <w:basedOn w:val="DefaultParagraphFont"/>
    <w:uiPriority w:val="32"/>
    <w:qFormat/>
    <w:rsid w:val="00B276C0"/>
    <w:rPr>
      <w:b/>
      <w:bCs/>
      <w:smallCaps/>
      <w:color w:val="0F4761" w:themeColor="accent1" w:themeShade="BF"/>
      <w:spacing w:val="5"/>
    </w:rPr>
  </w:style>
  <w:style w:type="paragraph" w:customStyle="1" w:styleId="s8">
    <w:name w:val="s8"/>
    <w:basedOn w:val="Normal"/>
    <w:rsid w:val="00B276C0"/>
    <w:pPr>
      <w:spacing w:before="100" w:beforeAutospacing="1" w:after="100" w:afterAutospacing="1" w:line="240" w:lineRule="auto"/>
    </w:pPr>
    <w:rPr>
      <w:rFonts w:ascii="Times New Roman" w:hAnsi="Times New Roman" w:cs="Times New Roman"/>
      <w:kern w:val="0"/>
      <w14:ligatures w14:val="none"/>
    </w:rPr>
  </w:style>
  <w:style w:type="paragraph" w:customStyle="1" w:styleId="s4">
    <w:name w:val="s4"/>
    <w:basedOn w:val="Normal"/>
    <w:rsid w:val="00B276C0"/>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B276C0"/>
  </w:style>
  <w:style w:type="paragraph" w:customStyle="1" w:styleId="s9">
    <w:name w:val="s9"/>
    <w:basedOn w:val="Normal"/>
    <w:rsid w:val="00B276C0"/>
    <w:pPr>
      <w:spacing w:before="100" w:beforeAutospacing="1" w:after="100" w:afterAutospacing="1" w:line="240" w:lineRule="auto"/>
    </w:pPr>
    <w:rPr>
      <w:rFonts w:ascii="Times New Roman" w:hAnsi="Times New Roman" w:cs="Times New Roman"/>
      <w:kern w:val="0"/>
      <w14:ligatures w14:val="none"/>
    </w:rPr>
  </w:style>
  <w:style w:type="character" w:customStyle="1" w:styleId="s7">
    <w:name w:val="s7"/>
    <w:basedOn w:val="DefaultParagraphFont"/>
    <w:rsid w:val="00B276C0"/>
  </w:style>
  <w:style w:type="character" w:customStyle="1" w:styleId="apple-converted-space">
    <w:name w:val="apple-converted-space"/>
    <w:basedOn w:val="DefaultParagraphFont"/>
    <w:rsid w:val="00B276C0"/>
  </w:style>
  <w:style w:type="paragraph" w:customStyle="1" w:styleId="s10">
    <w:name w:val="s10"/>
    <w:basedOn w:val="Normal"/>
    <w:rsid w:val="00B276C0"/>
    <w:pPr>
      <w:spacing w:before="100" w:beforeAutospacing="1" w:after="100" w:afterAutospacing="1" w:line="240" w:lineRule="auto"/>
    </w:pPr>
    <w:rPr>
      <w:rFonts w:ascii="Times New Roman" w:hAnsi="Times New Roman" w:cs="Times New Roman"/>
      <w:kern w:val="0"/>
      <w14:ligatures w14:val="none"/>
    </w:rPr>
  </w:style>
  <w:style w:type="character" w:customStyle="1" w:styleId="s11">
    <w:name w:val="s11"/>
    <w:basedOn w:val="DefaultParagraphFont"/>
    <w:rsid w:val="00B276C0"/>
  </w:style>
  <w:style w:type="character" w:customStyle="1" w:styleId="s12">
    <w:name w:val="s12"/>
    <w:basedOn w:val="DefaultParagraphFont"/>
    <w:rsid w:val="00B276C0"/>
  </w:style>
  <w:style w:type="paragraph" w:customStyle="1" w:styleId="p1">
    <w:name w:val="p1"/>
    <w:basedOn w:val="Normal"/>
    <w:rsid w:val="005776BD"/>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5776BD"/>
  </w:style>
  <w:style w:type="paragraph" w:customStyle="1" w:styleId="s6">
    <w:name w:val="s6"/>
    <w:basedOn w:val="Normal"/>
    <w:rsid w:val="009371EF"/>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ra-journals.onlinelibrary.wiley.com/doi/10.1002/berj.3930" TargetMode="External"/><Relationship Id="rId13" Type="http://schemas.openxmlformats.org/officeDocument/2006/relationships/hyperlink" Target="https://www.mimeconsulting.co.uk/report-launch-send-inclusion-london-schools/" TargetMode="External"/><Relationship Id="rId3" Type="http://schemas.openxmlformats.org/officeDocument/2006/relationships/settings" Target="settings.xml"/><Relationship Id="rId7" Type="http://schemas.openxmlformats.org/officeDocument/2006/relationships/hyperlink" Target="https://bera-journals.onlinelibrary.wiley.com/doi/10.1002/berj.3930" TargetMode="External"/><Relationship Id="rId12" Type="http://schemas.openxmlformats.org/officeDocument/2006/relationships/hyperlink" Target="https://www.londoncouncils.gov.uk/news-and-press-releases/2024/london-councils-announce-recommendations-enhance-inclusion-you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realtraining.co.uk/2024/11/using-teaching-assistants-to-improve-send-provision" TargetMode="External"/><Relationship Id="rId11" Type="http://schemas.openxmlformats.org/officeDocument/2006/relationships/hyperlink" Target="https://lordslibrary.parliament.uk/special-educational-needs-and-disabilities-government-support/" TargetMode="External"/><Relationship Id="rId5" Type="http://schemas.openxmlformats.org/officeDocument/2006/relationships/hyperlink" Target="https://commonslibrary.parliament.uk/research-briefings/sn07020/" TargetMode="External"/><Relationship Id="rId15" Type="http://schemas.openxmlformats.org/officeDocument/2006/relationships/fontTable" Target="fontTable.xml"/><Relationship Id="rId10" Type="http://schemas.openxmlformats.org/officeDocument/2006/relationships/hyperlink" Target="https://commonslibrary.parliament.uk/research-briefings/sn07020/" TargetMode="External"/><Relationship Id="rId4" Type="http://schemas.openxmlformats.org/officeDocument/2006/relationships/webSettings" Target="webSettings.xml"/><Relationship Id="rId9" Type="http://schemas.openxmlformats.org/officeDocument/2006/relationships/hyperlink" Target="https://realtraining.co.uk/2024/11/using-teaching-assistants-to-improve-send-provision" TargetMode="External"/><Relationship Id="rId14" Type="http://schemas.openxmlformats.org/officeDocument/2006/relationships/hyperlink" Target="https://pmc.ncbi.nlm.nih.gov/articles/PMC123191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71402-0AE9-455A-8583-2C26D2C269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2309</Words>
  <Characters>13164</Characters>
  <Application>Microsoft Office Word</Application>
  <DocSecurity>0</DocSecurity>
  <Lines>109</Lines>
  <Paragraphs>30</Paragraphs>
  <ScaleCrop>false</ScaleCrop>
  <Company/>
  <LinksUpToDate>false</LinksUpToDate>
  <CharactersWithSpaces>15443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Irram Amin</dc:creator>
  <cp:keywords/>
  <dc:description/>
  <cp:lastModifiedBy>Irram Amin</cp:lastModifiedBy>
  <cp:revision>5</cp:revision>
  <dcterms:created xsi:type="dcterms:W3CDTF">2025-11-17T17:21:00Z</dcterms:created>
  <dcterms:modified xsi:type="dcterms:W3CDTF">2025-11-17T20:30:00Z</dcterms:modified>
</cp:coreProperties>
</file>