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Student number: 1503075</w:t>
      </w:r>
    </w:p>
    <w:p w:rsidR="00000000" w:rsidDel="00000000" w:rsidP="00000000" w:rsidRDefault="00000000" w:rsidRPr="00000000" w14:paraId="00000001">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480" w:lineRule="auto"/>
        <w:contextualSpacing w:val="0"/>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Effective teaching, learning, and assessment (ETLA):</w:t>
      </w:r>
    </w:p>
    <w:p w:rsidR="00000000" w:rsidDel="00000000" w:rsidP="00000000" w:rsidRDefault="00000000" w:rsidRPr="00000000" w14:paraId="00000003">
      <w:pPr>
        <w:spacing w:line="480" w:lineRule="auto"/>
        <w:contextualSpacing w:val="0"/>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Critical reflective evaluation of the micro teaching session and an academic critique of the contemporary pedagogies and cross cutting enhancement themes used.</w:t>
      </w:r>
    </w:p>
    <w:p w:rsidR="00000000" w:rsidDel="00000000" w:rsidP="00000000" w:rsidRDefault="00000000" w:rsidRPr="00000000" w14:paraId="00000004">
      <w:pPr>
        <w:spacing w:line="480" w:lineRule="auto"/>
        <w:contextualSpacing w:val="0"/>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5">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assignment, I will be reflecting on my experiences of the second micro teaching session, and I will be critically evaluating it using Gibbs’ reflective model (1988). I will also be academically critiquing the use of contemporary pedagogies and teaching strategies, including the cross cutting enhancement themes used within the session, and whether or not these were useful in impacting the learning experience.</w:t>
      </w:r>
    </w:p>
    <w:p w:rsidR="00000000" w:rsidDel="00000000" w:rsidP="00000000" w:rsidRDefault="00000000" w:rsidRPr="00000000" w14:paraId="00000006">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prospect of another micro teaching session was not as daunting as it had been previously. I felt that my previous experience had overall been a rather positive one, and I had learned a great deal from the practical element of it; for example, being in front of a class, engaging with learners, giving positive encouragement and also receiving constructive criticism. These elements of the micro teach had added a layer of confidence so to speak. However, I was not completely undaunted by the prospect, and realised that I had the added pressure of having to add a cross cutting enhancement theme to my lesson; something which I was not required to consider in the first micro teach. </w:t>
      </w:r>
    </w:p>
    <w:p w:rsidR="00000000" w:rsidDel="00000000" w:rsidP="00000000" w:rsidRDefault="00000000" w:rsidRPr="00000000" w14:paraId="00000008">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U.N.E.S.C.O (Nd), a cross cutting theme is important curriculum content which should be taught across several disciplines rather than just one, and this enriches the learning experience. However, Roubanis (2015) suggests from her research that cross cutting themes may distract from the main topic being taught. It could be suggested that it requires the skill, pragmatism and sensitivity of the teacher to incorporate cross cutting themes in a seamless fashion into the lesson. Examples of cross cutting themes could be issues or concepts such as sustainable development, gender equality, the Welsh language, social inclusion and entrepreneurism (Welsh Government, 2018).</w:t>
      </w:r>
    </w:p>
    <w:p w:rsidR="00000000" w:rsidDel="00000000" w:rsidP="00000000" w:rsidRDefault="00000000" w:rsidRPr="00000000" w14:paraId="0000000A">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micro teach, I chose to incorporate the Welsh language, and also social inclusion, because my subject is social care, and one of the foundational values of modern social care is that every member of society has something to offer and that no person should be excluded. I wanted to apply these values to my micro teach. I also found after reflection that I had also incorporated communication and verbals skills through the class discussion, and also numeracy and literacy into the lesson by means of reading UK poverty facts and statistics.</w:t>
      </w:r>
    </w:p>
    <w:p w:rsidR="00000000" w:rsidDel="00000000" w:rsidP="00000000" w:rsidRDefault="00000000" w:rsidRPr="00000000" w14:paraId="0000000B">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lesson was quite different in a number of ways to the previous micro teach in that the number of students I was teaching was considerably less than in the previous micro teach. Not only this, but this second teaching session was fifteen minutes longer. The decreased number of students in class for this second micro teach came with its own challenges, but also with some advantages. In some ways, having a much smaller number in the class was difficult due to not have many people with which a large group discussion could be facilitated. At times, there were quiet moments, and discussion did not flow. This could be due to the fact that the individuals felt awkward or that they felt I could hear their discussion. My hearing of their discussion (which was unavoidable given the room size and amount of people in it) could have been a factor which inhibited their critical thinking and discussion, due to them perhaps being a rather polite group and maybe not wanting to offend me if they had disagreed with an element I had taught them. This is one way I had theorised the lack of chatter, but it may also have been the personality mix of the individuals in the group. </w:t>
      </w:r>
    </w:p>
    <w:p w:rsidR="00000000" w:rsidDel="00000000" w:rsidP="00000000" w:rsidRDefault="00000000" w:rsidRPr="00000000" w14:paraId="0000000D">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positive element to having a small number of students to teach meant that the atmosphere was a more relaxed and less academically intimidating environment, and allowed the students to develop a rapport between them that they may not have had the opportunity to do so otherwise had there been a larger number of students in the lesson. I concluded from this observation, and also from research, that learner engagement is increased in smaller groups whereby active learner participation is encouraged (Mesquito et al. 2015). Given that it may have been personality types which accounted for the quiet discussion, rather than the lack of opportunity given for discussion, the small number of students may have been advantageous in this instance, because in a larger setting, more vocal individuals may have dominated discussion. The small number of students in the class for this lesson would provide an advantageous platform for me to be able to use the contemporary teaching pedagogies I had planned to utilise in my lesson. In a real world environment, as a teacher, it would be essential to be able to be resilient and adaptable; the lesson the teacher plans may not always be the lesson delivered, and as such, the need to continuously monitor and assess students’ understanding of the topic being taught is essential in order to modify or revisit concepts as necessary. </w:t>
      </w:r>
    </w:p>
    <w:p w:rsidR="00000000" w:rsidDel="00000000" w:rsidP="00000000" w:rsidRDefault="00000000" w:rsidRPr="00000000" w14:paraId="0000000E">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lesson topic I chose was that of how poverty affects the life chances and outcomes of children and young people, and I specifically looked at three key areas within this: social, economic and cultural factors. I began the lesson by introducing the topic and discussing the lesson objectives in both English and Welsh. This was done via powerpoint. I then introduced the discussion of the differences between abject poverty and relative poverty and also the definition of relative poverty, being that that is the type of poverty predominantly seen in the UK and it is within this context that the lesson would be taught. After discussing these differences, I then introduced the UK Government policy of Every Child Matters (UK Government, 2003) and the five key outcomes. This was so that the students could have this to refer to while the two short videos played.  I also asked them to make notes on any important points they felt related to the Every Child Matters Framework and whether the five key outcomes of government policy had effects on the children shown in the videos. I believe that the two videos helped to provide a dramatic context to the lesson, and learners of all styles benefit from this method of teaching. In fact it could be argued that this is a form of flipping the lesson and keeping the learners engaged in the lesson (SMU, Nd). This again was another teaching strategy I used in order to cater for the visual learner, but again, it was evident that all of the students engaged with the videos. Utilising audio visual content in the lesson provided variety and ultimately this was a factor in keeping the students focus from shifting.</w:t>
      </w:r>
    </w:p>
    <w:p w:rsidR="00000000" w:rsidDel="00000000" w:rsidP="00000000" w:rsidRDefault="00000000" w:rsidRPr="00000000" w14:paraId="00000010">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students were very receptive and listened well, although I felt that the students were engaged, I would have welcomed more student led discussion, as from my studies into student engagement, I learned that quantitative and qualitative research data collected by McMullen (2014) showed that using student led techniques and approaches increased student engagement, enjoyment and participation in the lesson. It could be argued that this is the essence of teaching itself. I did my best to facilitate and actively encourage this by regularly asking students their thoughts, and whether they felt they had relevant information or personal experiences they wanted to share. </w:t>
      </w:r>
    </w:p>
    <w:p w:rsidR="00000000" w:rsidDel="00000000" w:rsidP="00000000" w:rsidRDefault="00000000" w:rsidRPr="00000000" w14:paraId="00000012">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teaching strategy I used was a student led discussion, and I would have been encouraged to have seen more of this; again, it could have been the personality types in the mix, rather than the lack of opportunity, as I felt I did give the students ample opportunities to share their views. </w:t>
      </w:r>
    </w:p>
    <w:p w:rsidR="00000000" w:rsidDel="00000000" w:rsidP="00000000" w:rsidRDefault="00000000" w:rsidRPr="00000000" w14:paraId="00000014">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videos showed current footage of actual families living in relative poverty, some in abject poverty, and I could see from the reactions of the students that it did have rather an emotive effect on them. This was something I encouraged, as it could be argued that if an individual feels affected emotionally by an issue, they are more likely to vocalise their thoughts; although I did not want emotion to cloud or affect the logical reasoning of the students, (Jung et al. 2014). </w:t>
      </w:r>
    </w:p>
    <w:p w:rsidR="00000000" w:rsidDel="00000000" w:rsidP="00000000" w:rsidRDefault="00000000" w:rsidRPr="00000000" w14:paraId="00000016">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the unfortunate experience of the wifi failing during the lesson, and as such, neither of my videos would play to begin with. This was rather distressing, but I managed to maintain composure and made comical comments about it, so as to maintain a relaxed atmosphere. It really was not the end of the world that they did not play, but it did cause me momentary anxiety. After a few minutes, the videos did eventually play, and the students were very kind and said how unfortunate it was; they were also about to do their own micro teaches, so there was an element of empathy involved. This incident proved that as a teacher, it is vitally important to remain calm, and to think on your feet if something goes awry in your lesson. This is something I reflected on a great deal afterwards. It could be argued that resilience, flexibility and adaptability are key components to a successful teacher’s style of teaching. In fact, research conducted by Clarà (2017) argues that teacher resilience is about being able to maintain wellbeing while being faced with adverse or difficult experiences. The wifi going down was not essentially a catastrophic issue, but nevertheless, it could have created enough of a negative diversion to be damaging to the lesson flow and could have interrupted the engagement of the students, however, this was averted by the good humour of the students, and also, I believe, by my ability to keep the lesson on track and not allow the issue to affect my confidence negatively.</w:t>
      </w:r>
    </w:p>
    <w:p w:rsidR="00000000" w:rsidDel="00000000" w:rsidP="00000000" w:rsidRDefault="00000000" w:rsidRPr="00000000" w14:paraId="00000018">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on from both videos, with the lesson back on track, I then asked the students to complete an activity as a group. Had the class size been larger, I would have split the class into three groups, but as it was, I had the five students work together to complete the task. The activity I gave the students was that they needed to complete a mind map or spider diagram on the three sub categories discussed during the lesson; how does poverty affect the life chances and outcomes of children and young people, with focus on social, economic and cultural issues. I explained to the students that each topic needed to be in the centre of the spider diagram or mind map; one for social, another for cultural and one for economic, and that they needed to discuss how poverty specifically affects children and young people in these ways. I gave them some time to discuss without visiting the group or influencing their discussion in any way. The main focus of this activity was the student led discussion. </w:t>
      </w:r>
    </w:p>
    <w:p w:rsidR="00000000" w:rsidDel="00000000" w:rsidP="00000000" w:rsidRDefault="00000000" w:rsidRPr="00000000" w14:paraId="0000001A">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another of my planned contemporary teaching strategy for the lesson; a student led discussion about the issues facing children and young people in poverty. The model I used for this was the one recommended by Tahmaseb (2018) which consisted of the following: </w:t>
      </w:r>
    </w:p>
    <w:p w:rsidR="00000000" w:rsidDel="00000000" w:rsidP="00000000" w:rsidRDefault="00000000" w:rsidRPr="00000000" w14:paraId="0000001B">
      <w:pPr>
        <w:numPr>
          <w:ilvl w:val="0"/>
          <w:numId w:val="1"/>
        </w:numPr>
        <w:spacing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Pitching an open ended case to the students while also providing information and materials for them to view, watch or listen to.</w:t>
      </w:r>
    </w:p>
    <w:p w:rsidR="00000000" w:rsidDel="00000000" w:rsidP="00000000" w:rsidRDefault="00000000" w:rsidRPr="00000000" w14:paraId="0000001C">
      <w:pPr>
        <w:numPr>
          <w:ilvl w:val="0"/>
          <w:numId w:val="1"/>
        </w:numPr>
        <w:spacing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Using a genuine question - although I modified this somewhat to fit the topic. Rather than the students coming up with the question, I posed the question to them (I modified this due to the fact that I had made the assessment that the group was rather too quiet to have the type of vocal discussion I had hoped for). I therefore wanted the students to come up with genuine arguments and thoughts about whether or not they felt that the Every Child Matters (2003) framework had had any influence on the outcomes for children and young people since its inception by the 2003-2005 Labour government, especially in the social, cultural and economic areas. This was not a political debate, but rather a discussion about the very real issues faced by thousands of children every day. </w:t>
      </w:r>
    </w:p>
    <w:p w:rsidR="00000000" w:rsidDel="00000000" w:rsidP="00000000" w:rsidRDefault="00000000" w:rsidRPr="00000000" w14:paraId="0000001D">
      <w:pPr>
        <w:numPr>
          <w:ilvl w:val="0"/>
          <w:numId w:val="1"/>
        </w:numPr>
        <w:spacing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third element of this model is to share the information they have found or discussed. I wanted to be able to step back and allow the students to take ownership of the discussion.</w:t>
      </w:r>
    </w:p>
    <w:p w:rsidR="00000000" w:rsidDel="00000000" w:rsidP="00000000" w:rsidRDefault="00000000" w:rsidRPr="00000000" w14:paraId="0000001E">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feedback and spider diagrams/mind maps showed that a positive discussion had been had, and I only needed to step in once or twice to guide the discussion back on track due to to a small digression. In an ideal world, I would have had a virtual classroom, such as the Google Classroom, and I would have photographed the completed activity and uploaded it to the online classroom. </w:t>
      </w:r>
    </w:p>
    <w:p w:rsidR="00000000" w:rsidDel="00000000" w:rsidP="00000000" w:rsidRDefault="00000000" w:rsidRPr="00000000" w14:paraId="0000001F">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lesson ended with a recap, and with a question and answer session, while also revisiting the lesson objectives. I summed up the lesson bilingually, and asked the students one last time if there was anything they wanted to add and also how they felt about the lesson. This was also another way I could incorporate my cross cutting enhancement theme and the UKPSF (2011), by giving room for students to vocalise their opinions and thoughts. </w:t>
      </w:r>
    </w:p>
    <w:p w:rsidR="00000000" w:rsidDel="00000000" w:rsidP="00000000" w:rsidRDefault="00000000" w:rsidRPr="00000000" w14:paraId="00000020">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planning and delivery of my lesson, I demonstrated the following from the UK Professional Standards Framework, (2011):</w:t>
      </w:r>
    </w:p>
    <w:p w:rsidR="00000000" w:rsidDel="00000000" w:rsidP="00000000" w:rsidRDefault="00000000" w:rsidRPr="00000000" w14:paraId="00000022">
      <w:pPr>
        <w:spacing w:line="48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48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A1 - I designed and planned my learning activity which will taught the postgraduate students about the principles of Every Child Matters (2003), and how poverty affects life chances and outcomes. </w:t>
      </w:r>
    </w:p>
    <w:p w:rsidR="00000000" w:rsidDel="00000000" w:rsidP="00000000" w:rsidRDefault="00000000" w:rsidRPr="00000000" w14:paraId="00000024">
      <w:pPr>
        <w:spacing w:line="48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48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A2 - I taught the students about the topic , how and why it affects children and young people, and government policy regarding the issue. </w:t>
      </w:r>
    </w:p>
    <w:p w:rsidR="00000000" w:rsidDel="00000000" w:rsidP="00000000" w:rsidRDefault="00000000" w:rsidRPr="00000000" w14:paraId="00000026">
      <w:pPr>
        <w:spacing w:line="48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48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A3, K5 - After introducing the lesson and providing opportunities for student involvement, the students were required to give feedback after watching the videos, and they also completed an activity in groups. There was also an opportunity for Q and A and I  observed and listened to the students to ascertain their understanding of the topic. </w:t>
      </w:r>
    </w:p>
    <w:p w:rsidR="00000000" w:rsidDel="00000000" w:rsidP="00000000" w:rsidRDefault="00000000" w:rsidRPr="00000000" w14:paraId="00000028">
      <w:pPr>
        <w:spacing w:line="48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48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A4 -  I understood that learners learn in various ways, some may be introverted or extroverted; some may enjoy participation in discussion and some may not. I ensured that I catered for varying learning styles with a variety of activities including visual aids, read/write activities, and also a discussion/debate.</w:t>
      </w:r>
    </w:p>
    <w:p w:rsidR="00000000" w:rsidDel="00000000" w:rsidP="00000000" w:rsidRDefault="00000000" w:rsidRPr="00000000" w14:paraId="0000002A">
      <w:pPr>
        <w:spacing w:line="48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48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K1 - I will demonstrated knowledge of my subject material by introducing the core principles of Every Child Matters, with focus on how poverty can impact on children and young people socially, culturally and economically. </w:t>
      </w:r>
    </w:p>
    <w:p w:rsidR="00000000" w:rsidDel="00000000" w:rsidP="00000000" w:rsidRDefault="00000000" w:rsidRPr="00000000" w14:paraId="0000002C">
      <w:pPr>
        <w:spacing w:line="48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48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K4 - I used powerpoint and showed the students at least two videos. </w:t>
      </w:r>
    </w:p>
    <w:p w:rsidR="00000000" w:rsidDel="00000000" w:rsidP="00000000" w:rsidRDefault="00000000" w:rsidRPr="00000000" w14:paraId="0000002E">
      <w:pPr>
        <w:spacing w:line="48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48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V1, V2, V4 - I have a sound value base in anti discriminatory practice (Equality Act, 2010) and the Code of Professional Practice for Social Care (2015), and therefore, I conduct my lessons in such a way that I value every member of the class, and respect diversity. I understand there may be cultural differences and varied views, and that I need to remain pragmatic and objective as a teacher, while encouraging student engagement, discussion and debate. There was a mix of genders and ages in the class, and I was mindful to be impartial and aim to make sure the lesson catered for the abilities and ages present. This meant that I did not patronise or condescend anyone, but vocally valued each class member’s input. </w:t>
      </w:r>
    </w:p>
    <w:p w:rsidR="00000000" w:rsidDel="00000000" w:rsidP="00000000" w:rsidRDefault="00000000" w:rsidRPr="00000000" w14:paraId="00000030">
      <w:pPr>
        <w:spacing w:line="48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with reflection, it could be argued that I incorporated the following cross cutting enhancement themes in my micro teaching session:</w:t>
      </w:r>
    </w:p>
    <w:p w:rsidR="00000000" w:rsidDel="00000000" w:rsidP="00000000" w:rsidRDefault="00000000" w:rsidRPr="00000000" w14:paraId="00000031">
      <w:pPr>
        <w:spacing w:line="48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Numeracy: By looking at poverty statistics.</w:t>
      </w:r>
    </w:p>
    <w:p w:rsidR="00000000" w:rsidDel="00000000" w:rsidP="00000000" w:rsidRDefault="00000000" w:rsidRPr="00000000" w14:paraId="00000032">
      <w:pPr>
        <w:spacing w:line="48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Literacy, communication and listening skills: While undertaking the group activity and class discussion.</w:t>
      </w:r>
    </w:p>
    <w:p w:rsidR="00000000" w:rsidDel="00000000" w:rsidP="00000000" w:rsidRDefault="00000000" w:rsidRPr="00000000" w14:paraId="00000033">
      <w:pPr>
        <w:spacing w:line="48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Bilingualism and Vocabulary: Discussing terminology and the topic throughout the lesson in English and Welsh wherever possible/appropriate (not all students are fluent Welsh speakers).</w:t>
      </w:r>
    </w:p>
    <w:p w:rsidR="00000000" w:rsidDel="00000000" w:rsidP="00000000" w:rsidRDefault="00000000" w:rsidRPr="00000000" w14:paraId="00000034">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the lesson was a positive experience, and I do feel that the cross cutting enhancement themes and contemporary teaching strategies worked well. In my opinion, as a student teacher, incorporating these into my lesson felt rather mechanical at first and I worried about them as these are new concepts to me. However, rather than be a distraction, I found that once I understood what I needed to do, it did not seem so daunting and I feel it did add a very positive basis for the lesson. Students were not only learning one topic, but their exposure to other concepts meant that they were learning about and using multiple skills at the same time. I do acknowledge Roubanis’ (2015) research and how cross cutting themes can distract, but I believe this to be the case only if the teacher does not incorporate them effectively and seamlessly enough. I enjoyed this experience and especially gained value from the small group environment. I also learned a painful lesson to prepare alternative materials in case the wifi fails; something which hindsight has now taught me, and it will be an issue I will ensure I prepare for again. On reflection, it is evident that as a teacher, you can never really tell how a lesson will go, and there are many variables when working with unique individuals. Being calm, and confident, it is possible to navigate your way through even a difficult lesson (especially when there is not wifi!), and successfully accomplish your objectives. </w:t>
      </w:r>
    </w:p>
    <w:p w:rsidR="00000000" w:rsidDel="00000000" w:rsidP="00000000" w:rsidRDefault="00000000" w:rsidRPr="00000000" w14:paraId="00000036">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contextualSpacing w:val="0"/>
        <w:rPr/>
      </w:pPr>
      <w:r w:rsidDel="00000000" w:rsidR="00000000" w:rsidRPr="00000000">
        <w:rPr>
          <w:rtl w:val="0"/>
        </w:rPr>
      </w:r>
    </w:p>
    <w:p w:rsidR="00000000" w:rsidDel="00000000" w:rsidP="00000000" w:rsidRDefault="00000000" w:rsidRPr="00000000" w14:paraId="0000004B">
      <w:pPr>
        <w:spacing w:line="480" w:lineRule="auto"/>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References</w:t>
      </w:r>
    </w:p>
    <w:p w:rsidR="00000000" w:rsidDel="00000000" w:rsidP="00000000" w:rsidRDefault="00000000" w:rsidRPr="00000000" w14:paraId="0000004C">
      <w:pPr>
        <w:spacing w:line="480" w:lineRule="auto"/>
        <w:contextualSpacing w:val="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4D">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Clarà, M., (2017). Teacher resilience and meaning transformation: how teachers reappraise situations of adversity. </w:t>
      </w:r>
      <w:r w:rsidDel="00000000" w:rsidR="00000000" w:rsidRPr="00000000">
        <w:rPr>
          <w:rFonts w:ascii="Times New Roman" w:cs="Times New Roman" w:eastAsia="Times New Roman" w:hAnsi="Times New Roman"/>
          <w:i w:val="1"/>
          <w:sz w:val="24"/>
          <w:szCs w:val="24"/>
          <w:rtl w:val="0"/>
        </w:rPr>
        <w:t xml:space="preserve">Teaching and Teacher Education. </w:t>
      </w:r>
      <w:r w:rsidDel="00000000" w:rsidR="00000000" w:rsidRPr="00000000">
        <w:rPr>
          <w:rFonts w:ascii="Times New Roman" w:cs="Times New Roman" w:eastAsia="Times New Roman" w:hAnsi="Times New Roman"/>
          <w:sz w:val="24"/>
          <w:szCs w:val="24"/>
          <w:rtl w:val="0"/>
        </w:rPr>
        <w:t xml:space="preserve">Vol 63. pp. 82-91.</w:t>
      </w:r>
    </w:p>
    <w:p w:rsidR="00000000" w:rsidDel="00000000" w:rsidP="00000000" w:rsidRDefault="00000000" w:rsidRPr="00000000" w14:paraId="0000004E">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48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Gibbs, G., (1988)</w:t>
      </w:r>
      <w:r w:rsidDel="00000000" w:rsidR="00000000" w:rsidRPr="00000000">
        <w:rPr>
          <w:rFonts w:ascii="Times New Roman" w:cs="Times New Roman" w:eastAsia="Times New Roman" w:hAnsi="Times New Roman"/>
          <w:i w:val="1"/>
          <w:sz w:val="24"/>
          <w:szCs w:val="24"/>
          <w:highlight w:val="white"/>
          <w:rtl w:val="0"/>
        </w:rPr>
        <w:t xml:space="preserve"> Learning by Doing: A guide to teaching and learning methods. </w:t>
      </w:r>
      <w:r w:rsidDel="00000000" w:rsidR="00000000" w:rsidRPr="00000000">
        <w:rPr>
          <w:rFonts w:ascii="Times New Roman" w:cs="Times New Roman" w:eastAsia="Times New Roman" w:hAnsi="Times New Roman"/>
          <w:sz w:val="24"/>
          <w:szCs w:val="24"/>
          <w:highlight w:val="white"/>
          <w:rtl w:val="0"/>
        </w:rPr>
        <w:t xml:space="preserve">Further Education Unit. Oxford Polytechnic: Oxford.</w:t>
      </w:r>
    </w:p>
    <w:p w:rsidR="00000000" w:rsidDel="00000000" w:rsidP="00000000" w:rsidRDefault="00000000" w:rsidRPr="00000000" w14:paraId="00000050">
      <w:pPr>
        <w:spacing w:line="48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1">
      <w:pPr>
        <w:spacing w:line="48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Higher Education Academy, (2011). </w:t>
      </w:r>
      <w:r w:rsidDel="00000000" w:rsidR="00000000" w:rsidRPr="00000000">
        <w:rPr>
          <w:rFonts w:ascii="Times New Roman" w:cs="Times New Roman" w:eastAsia="Times New Roman" w:hAnsi="Times New Roman"/>
          <w:i w:val="1"/>
          <w:sz w:val="24"/>
          <w:szCs w:val="24"/>
          <w:highlight w:val="white"/>
          <w:rtl w:val="0"/>
        </w:rPr>
        <w:t xml:space="preserve">UK Professional Standards Framework (UKPSF). </w:t>
      </w:r>
      <w:r w:rsidDel="00000000" w:rsidR="00000000" w:rsidRPr="00000000">
        <w:rPr>
          <w:rFonts w:ascii="Times New Roman" w:cs="Times New Roman" w:eastAsia="Times New Roman" w:hAnsi="Times New Roman"/>
          <w:sz w:val="24"/>
          <w:szCs w:val="24"/>
          <w:highlight w:val="white"/>
          <w:rtl w:val="0"/>
        </w:rPr>
        <w:t xml:space="preserve">Available from: https://www.heacademy.ac.uk/ukpsf. (Accessed on: October 8 2018). </w:t>
      </w:r>
    </w:p>
    <w:p w:rsidR="00000000" w:rsidDel="00000000" w:rsidP="00000000" w:rsidRDefault="00000000" w:rsidRPr="00000000" w14:paraId="00000052">
      <w:pPr>
        <w:spacing w:line="48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3">
      <w:pPr>
        <w:spacing w:line="48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Jung, N., Wranke, C., Hamburger, K.,and  Knauff, M., How emotions affect logical reasoning: evidence from experiments with mood-manipulated participants, spider phobics, and people with exam anxiety. </w:t>
      </w:r>
      <w:r w:rsidDel="00000000" w:rsidR="00000000" w:rsidRPr="00000000">
        <w:rPr>
          <w:rFonts w:ascii="Times New Roman" w:cs="Times New Roman" w:eastAsia="Times New Roman" w:hAnsi="Times New Roman"/>
          <w:i w:val="1"/>
          <w:sz w:val="24"/>
          <w:szCs w:val="24"/>
          <w:highlight w:val="white"/>
          <w:rtl w:val="0"/>
        </w:rPr>
        <w:t xml:space="preserve">Frontiers in Psychology</w:t>
      </w:r>
      <w:r w:rsidDel="00000000" w:rsidR="00000000" w:rsidRPr="00000000">
        <w:rPr>
          <w:rFonts w:ascii="Times New Roman" w:cs="Times New Roman" w:eastAsia="Times New Roman" w:hAnsi="Times New Roman"/>
          <w:sz w:val="24"/>
          <w:szCs w:val="24"/>
          <w:highlight w:val="white"/>
          <w:rtl w:val="0"/>
        </w:rPr>
        <w:t xml:space="preserve">. Vol 5. pp. 570.</w:t>
      </w:r>
    </w:p>
    <w:p w:rsidR="00000000" w:rsidDel="00000000" w:rsidP="00000000" w:rsidRDefault="00000000" w:rsidRPr="00000000" w14:paraId="00000054">
      <w:pPr>
        <w:spacing w:line="48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5">
      <w:pPr>
        <w:spacing w:line="48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McMullen, V. B., (2014). Using Student-Led Seminars and Conceptual Workshops to Increase Student Participation. </w:t>
      </w:r>
      <w:r w:rsidDel="00000000" w:rsidR="00000000" w:rsidRPr="00000000">
        <w:rPr>
          <w:rFonts w:ascii="Times New Roman" w:cs="Times New Roman" w:eastAsia="Times New Roman" w:hAnsi="Times New Roman"/>
          <w:i w:val="1"/>
          <w:sz w:val="24"/>
          <w:szCs w:val="24"/>
          <w:highlight w:val="white"/>
          <w:rtl w:val="0"/>
        </w:rPr>
        <w:t xml:space="preserve">College Teaching.</w:t>
      </w:r>
      <w:r w:rsidDel="00000000" w:rsidR="00000000" w:rsidRPr="00000000">
        <w:rPr>
          <w:rFonts w:ascii="Times New Roman" w:cs="Times New Roman" w:eastAsia="Times New Roman" w:hAnsi="Times New Roman"/>
          <w:sz w:val="24"/>
          <w:szCs w:val="24"/>
          <w:highlight w:val="white"/>
          <w:rtl w:val="0"/>
        </w:rPr>
        <w:t xml:space="preserve"> Vol 62. (2). pp. 62-67.</w:t>
      </w:r>
    </w:p>
    <w:p w:rsidR="00000000" w:rsidDel="00000000" w:rsidP="00000000" w:rsidRDefault="00000000" w:rsidRPr="00000000" w14:paraId="00000056">
      <w:pPr>
        <w:spacing w:line="48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7">
      <w:pPr>
        <w:spacing w:line="48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Mesquita, I., Coutinho, P., Martin-Silva, L., Parente, B., Faria, M., and Afonso, J., (2015). The value of indirect teaching strategies in enhancing student-coaches learning engagement. </w:t>
      </w:r>
      <w:r w:rsidDel="00000000" w:rsidR="00000000" w:rsidRPr="00000000">
        <w:rPr>
          <w:rFonts w:ascii="Times New Roman" w:cs="Times New Roman" w:eastAsia="Times New Roman" w:hAnsi="Times New Roman"/>
          <w:i w:val="1"/>
          <w:sz w:val="24"/>
          <w:szCs w:val="24"/>
          <w:highlight w:val="white"/>
          <w:rtl w:val="0"/>
        </w:rPr>
        <w:t xml:space="preserve">Journal of Sports Science and Medicine. </w:t>
      </w:r>
      <w:r w:rsidDel="00000000" w:rsidR="00000000" w:rsidRPr="00000000">
        <w:rPr>
          <w:rFonts w:ascii="Times New Roman" w:cs="Times New Roman" w:eastAsia="Times New Roman" w:hAnsi="Times New Roman"/>
          <w:sz w:val="24"/>
          <w:szCs w:val="24"/>
          <w:highlight w:val="white"/>
          <w:rtl w:val="0"/>
        </w:rPr>
        <w:t xml:space="preserve">Vol 14. (3). pp. 657.</w:t>
      </w:r>
    </w:p>
    <w:p w:rsidR="00000000" w:rsidDel="00000000" w:rsidP="00000000" w:rsidRDefault="00000000" w:rsidRPr="00000000" w14:paraId="00000058">
      <w:pPr>
        <w:spacing w:line="48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9">
      <w:pPr>
        <w:spacing w:line="48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Roubanis, J. (2015). FCS-BOK: Are All the Cross-Cutting Themes Essential? </w:t>
      </w:r>
      <w:r w:rsidDel="00000000" w:rsidR="00000000" w:rsidRPr="00000000">
        <w:rPr>
          <w:rFonts w:ascii="Times New Roman" w:cs="Times New Roman" w:eastAsia="Times New Roman" w:hAnsi="Times New Roman"/>
          <w:i w:val="1"/>
          <w:sz w:val="24"/>
          <w:szCs w:val="24"/>
          <w:highlight w:val="white"/>
          <w:rtl w:val="0"/>
        </w:rPr>
        <w:t xml:space="preserve">Journal of Family and Consumer Sciences. </w:t>
      </w:r>
      <w:r w:rsidDel="00000000" w:rsidR="00000000" w:rsidRPr="00000000">
        <w:rPr>
          <w:rFonts w:ascii="Times New Roman" w:cs="Times New Roman" w:eastAsia="Times New Roman" w:hAnsi="Times New Roman"/>
          <w:sz w:val="24"/>
          <w:szCs w:val="24"/>
          <w:highlight w:val="white"/>
          <w:rtl w:val="0"/>
        </w:rPr>
        <w:t xml:space="preserve"> Vol </w:t>
      </w:r>
      <w:r w:rsidDel="00000000" w:rsidR="00000000" w:rsidRPr="00000000">
        <w:rPr>
          <w:rFonts w:ascii="Times New Roman" w:cs="Times New Roman" w:eastAsia="Times New Roman" w:hAnsi="Times New Roman"/>
          <w:sz w:val="24"/>
          <w:szCs w:val="24"/>
          <w:highlight w:val="white"/>
          <w:rtl w:val="0"/>
        </w:rPr>
        <w:t xml:space="preserve">107.(4). pp. 54-55.</w:t>
      </w:r>
    </w:p>
    <w:p w:rsidR="00000000" w:rsidDel="00000000" w:rsidP="00000000" w:rsidRDefault="00000000" w:rsidRPr="00000000" w14:paraId="0000005A">
      <w:pPr>
        <w:spacing w:line="48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B">
      <w:pPr>
        <w:spacing w:line="48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Southern Methodist University (SMU), (No date). </w:t>
      </w:r>
      <w:r w:rsidDel="00000000" w:rsidR="00000000" w:rsidRPr="00000000">
        <w:rPr>
          <w:rFonts w:ascii="Times New Roman" w:cs="Times New Roman" w:eastAsia="Times New Roman" w:hAnsi="Times New Roman"/>
          <w:i w:val="1"/>
          <w:sz w:val="24"/>
          <w:szCs w:val="24"/>
          <w:highlight w:val="white"/>
          <w:rtl w:val="0"/>
        </w:rPr>
        <w:t xml:space="preserve">Using Technology to Enhance Teaching and Learning. </w:t>
      </w:r>
      <w:r w:rsidDel="00000000" w:rsidR="00000000" w:rsidRPr="00000000">
        <w:rPr>
          <w:rFonts w:ascii="Times New Roman" w:cs="Times New Roman" w:eastAsia="Times New Roman" w:hAnsi="Times New Roman"/>
          <w:sz w:val="24"/>
          <w:szCs w:val="24"/>
          <w:highlight w:val="white"/>
          <w:rtl w:val="0"/>
        </w:rPr>
        <w:t xml:space="preserve">Available from: https://www.smu.edu/Provost/CTE/Resources/Technology. (Accessed on: October 8 2018).</w:t>
      </w:r>
    </w:p>
    <w:p w:rsidR="00000000" w:rsidDel="00000000" w:rsidP="00000000" w:rsidRDefault="00000000" w:rsidRPr="00000000" w14:paraId="0000005C">
      <w:pPr>
        <w:spacing w:line="48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D">
      <w:pPr>
        <w:spacing w:line="48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Tahmaseb, R., (2018). </w:t>
      </w:r>
      <w:r w:rsidDel="00000000" w:rsidR="00000000" w:rsidRPr="00000000">
        <w:rPr>
          <w:rFonts w:ascii="Times New Roman" w:cs="Times New Roman" w:eastAsia="Times New Roman" w:hAnsi="Times New Roman"/>
          <w:i w:val="1"/>
          <w:sz w:val="24"/>
          <w:szCs w:val="24"/>
          <w:highlight w:val="white"/>
          <w:rtl w:val="0"/>
        </w:rPr>
        <w:t xml:space="preserve">Effective Student-Led discussions. </w:t>
      </w:r>
      <w:r w:rsidDel="00000000" w:rsidR="00000000" w:rsidRPr="00000000">
        <w:rPr>
          <w:rFonts w:ascii="Times New Roman" w:cs="Times New Roman" w:eastAsia="Times New Roman" w:hAnsi="Times New Roman"/>
          <w:sz w:val="24"/>
          <w:szCs w:val="24"/>
          <w:highlight w:val="white"/>
          <w:rtl w:val="0"/>
        </w:rPr>
        <w:t xml:space="preserve">Available from: </w:t>
      </w:r>
      <w:r w:rsidDel="00000000" w:rsidR="00000000" w:rsidRPr="00000000">
        <w:rPr>
          <w:rFonts w:ascii="Times New Roman" w:cs="Times New Roman" w:eastAsia="Times New Roman" w:hAnsi="Times New Roman"/>
          <w:sz w:val="24"/>
          <w:szCs w:val="24"/>
          <w:highlight w:val="white"/>
          <w:rtl w:val="0"/>
        </w:rPr>
        <w:t xml:space="preserve">https://www.edutopia.org/article/effective-student-led-discussions.</w:t>
      </w:r>
      <w:r w:rsidDel="00000000" w:rsidR="00000000" w:rsidRPr="00000000">
        <w:rPr>
          <w:rFonts w:ascii="Times New Roman" w:cs="Times New Roman" w:eastAsia="Times New Roman" w:hAnsi="Times New Roman"/>
          <w:sz w:val="24"/>
          <w:szCs w:val="24"/>
          <w:highlight w:val="white"/>
          <w:rtl w:val="0"/>
        </w:rPr>
        <w:t xml:space="preserve"> (Accessed on November 22 2018). </w:t>
      </w:r>
    </w:p>
    <w:p w:rsidR="00000000" w:rsidDel="00000000" w:rsidP="00000000" w:rsidRDefault="00000000" w:rsidRPr="00000000" w14:paraId="0000005E">
      <w:pPr>
        <w:spacing w:line="48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F">
      <w:pPr>
        <w:spacing w:line="480" w:lineRule="auto"/>
        <w:contextualSpacing w:val="0"/>
        <w:rPr>
          <w:rFonts w:ascii="Times New Roman" w:cs="Times New Roman" w:eastAsia="Times New Roman" w:hAnsi="Times New Roman"/>
          <w:sz w:val="24"/>
          <w:szCs w:val="24"/>
          <w:highlight w:val="white"/>
          <w:vertAlign w:val="superscript"/>
        </w:rPr>
      </w:pPr>
      <w:r w:rsidDel="00000000" w:rsidR="00000000" w:rsidRPr="00000000">
        <w:rPr>
          <w:rFonts w:ascii="Times New Roman" w:cs="Times New Roman" w:eastAsia="Times New Roman" w:hAnsi="Times New Roman"/>
          <w:sz w:val="24"/>
          <w:szCs w:val="24"/>
          <w:highlight w:val="white"/>
          <w:rtl w:val="0"/>
        </w:rPr>
        <w:t xml:space="preserve">UK Government, (2003). </w:t>
      </w:r>
      <w:r w:rsidDel="00000000" w:rsidR="00000000" w:rsidRPr="00000000">
        <w:rPr>
          <w:rFonts w:ascii="Times New Roman" w:cs="Times New Roman" w:eastAsia="Times New Roman" w:hAnsi="Times New Roman"/>
          <w:i w:val="1"/>
          <w:sz w:val="24"/>
          <w:szCs w:val="24"/>
          <w:highlight w:val="white"/>
          <w:rtl w:val="0"/>
        </w:rPr>
        <w:t xml:space="preserve">Every Child Matters. </w:t>
      </w:r>
      <w:r w:rsidDel="00000000" w:rsidR="00000000" w:rsidRPr="00000000">
        <w:rPr>
          <w:rFonts w:ascii="Times New Roman" w:cs="Times New Roman" w:eastAsia="Times New Roman" w:hAnsi="Times New Roman"/>
          <w:sz w:val="24"/>
          <w:szCs w:val="24"/>
          <w:highlight w:val="white"/>
          <w:rtl w:val="0"/>
        </w:rPr>
        <w:t xml:space="preserve">Available from: </w:t>
      </w:r>
      <w:r w:rsidDel="00000000" w:rsidR="00000000" w:rsidRPr="00000000">
        <w:rPr>
          <w:rFonts w:ascii="Times New Roman" w:cs="Times New Roman" w:eastAsia="Times New Roman" w:hAnsi="Times New Roman"/>
          <w:sz w:val="24"/>
          <w:szCs w:val="24"/>
          <w:highlight w:val="white"/>
          <w:rtl w:val="0"/>
        </w:rPr>
        <w:t xml:space="preserve">https://www.gov.uk/government/publications/every-child-matters</w:t>
      </w:r>
      <w:r w:rsidDel="00000000" w:rsidR="00000000" w:rsidRPr="00000000">
        <w:rPr>
          <w:rFonts w:ascii="Times New Roman" w:cs="Times New Roman" w:eastAsia="Times New Roman" w:hAnsi="Times New Roman"/>
          <w:sz w:val="24"/>
          <w:szCs w:val="24"/>
          <w:highlight w:val="white"/>
          <w:rtl w:val="0"/>
        </w:rPr>
        <w:t xml:space="preserve">. (Accessed on November 22 2018). </w:t>
      </w:r>
      <w:r w:rsidDel="00000000" w:rsidR="00000000" w:rsidRPr="00000000">
        <w:rPr>
          <w:rtl w:val="0"/>
        </w:rPr>
      </w:r>
    </w:p>
    <w:p w:rsidR="00000000" w:rsidDel="00000000" w:rsidP="00000000" w:rsidRDefault="00000000" w:rsidRPr="00000000" w14:paraId="00000060">
      <w:pPr>
        <w:spacing w:line="48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1">
      <w:pPr>
        <w:spacing w:line="48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UNESCO, (No date). </w:t>
      </w:r>
      <w:r w:rsidDel="00000000" w:rsidR="00000000" w:rsidRPr="00000000">
        <w:rPr>
          <w:rFonts w:ascii="Times New Roman" w:cs="Times New Roman" w:eastAsia="Times New Roman" w:hAnsi="Times New Roman"/>
          <w:i w:val="1"/>
          <w:sz w:val="24"/>
          <w:szCs w:val="24"/>
          <w:highlight w:val="white"/>
          <w:rtl w:val="0"/>
        </w:rPr>
        <w:t xml:space="preserve">Cross cutting themes. </w:t>
      </w:r>
      <w:r w:rsidDel="00000000" w:rsidR="00000000" w:rsidRPr="00000000">
        <w:rPr>
          <w:rFonts w:ascii="Times New Roman" w:cs="Times New Roman" w:eastAsia="Times New Roman" w:hAnsi="Times New Roman"/>
          <w:sz w:val="24"/>
          <w:szCs w:val="24"/>
          <w:highlight w:val="white"/>
          <w:rtl w:val="0"/>
        </w:rPr>
        <w:t xml:space="preserve">Available from: </w:t>
      </w:r>
      <w:r w:rsidDel="00000000" w:rsidR="00000000" w:rsidRPr="00000000">
        <w:rPr>
          <w:rFonts w:ascii="Times New Roman" w:cs="Times New Roman" w:eastAsia="Times New Roman" w:hAnsi="Times New Roman"/>
          <w:sz w:val="24"/>
          <w:szCs w:val="24"/>
          <w:highlight w:val="white"/>
          <w:rtl w:val="0"/>
        </w:rPr>
        <w:t xml:space="preserve">http://www.ibe.unesco.org/en/glossary-curriculum-terminology/c/cross-cutting-themes</w:t>
      </w:r>
      <w:r w:rsidDel="00000000" w:rsidR="00000000" w:rsidRPr="00000000">
        <w:rPr>
          <w:rFonts w:ascii="Times New Roman" w:cs="Times New Roman" w:eastAsia="Times New Roman" w:hAnsi="Times New Roman"/>
          <w:sz w:val="24"/>
          <w:szCs w:val="24"/>
          <w:highlight w:val="white"/>
          <w:rtl w:val="0"/>
        </w:rPr>
        <w:t xml:space="preserve">. (Accessed on: November 8 2018). </w:t>
      </w:r>
    </w:p>
    <w:p w:rsidR="00000000" w:rsidDel="00000000" w:rsidP="00000000" w:rsidRDefault="00000000" w:rsidRPr="00000000" w14:paraId="00000062">
      <w:pPr>
        <w:spacing w:line="48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3">
      <w:pPr>
        <w:spacing w:line="48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Welsh Government, (2018). </w:t>
      </w:r>
      <w:r w:rsidDel="00000000" w:rsidR="00000000" w:rsidRPr="00000000">
        <w:rPr>
          <w:rFonts w:ascii="Times New Roman" w:cs="Times New Roman" w:eastAsia="Times New Roman" w:hAnsi="Times New Roman"/>
          <w:i w:val="1"/>
          <w:sz w:val="24"/>
          <w:szCs w:val="24"/>
          <w:highlight w:val="white"/>
          <w:rtl w:val="0"/>
        </w:rPr>
        <w:t xml:space="preserve">Cross-cutting themes guidance. </w:t>
      </w:r>
      <w:r w:rsidDel="00000000" w:rsidR="00000000" w:rsidRPr="00000000">
        <w:rPr>
          <w:rFonts w:ascii="Times New Roman" w:cs="Times New Roman" w:eastAsia="Times New Roman" w:hAnsi="Times New Roman"/>
          <w:sz w:val="24"/>
          <w:szCs w:val="24"/>
          <w:highlight w:val="white"/>
          <w:rtl w:val="0"/>
        </w:rPr>
        <w:t xml:space="preserve">Available from: </w:t>
      </w:r>
      <w:r w:rsidDel="00000000" w:rsidR="00000000" w:rsidRPr="00000000">
        <w:rPr>
          <w:rFonts w:ascii="Times New Roman" w:cs="Times New Roman" w:eastAsia="Times New Roman" w:hAnsi="Times New Roman"/>
          <w:sz w:val="24"/>
          <w:szCs w:val="24"/>
          <w:highlight w:val="white"/>
          <w:rtl w:val="0"/>
        </w:rPr>
        <w:t xml:space="preserve">https://gov.wales/funding/eu-funds/2014-2020/wefo-guidance/cross-cutting-guidance/?lang=en</w:t>
      </w:r>
      <w:r w:rsidDel="00000000" w:rsidR="00000000" w:rsidRPr="00000000">
        <w:rPr>
          <w:rFonts w:ascii="Times New Roman" w:cs="Times New Roman" w:eastAsia="Times New Roman" w:hAnsi="Times New Roman"/>
          <w:sz w:val="24"/>
          <w:szCs w:val="24"/>
          <w:highlight w:val="white"/>
          <w:rtl w:val="0"/>
        </w:rPr>
        <w:t xml:space="preserve">. (Accessed on November 22 2018). </w:t>
      </w:r>
    </w:p>
    <w:p w:rsidR="00000000" w:rsidDel="00000000" w:rsidP="00000000" w:rsidRDefault="00000000" w:rsidRPr="00000000" w14:paraId="00000064">
      <w:pPr>
        <w:spacing w:line="480" w:lineRule="auto"/>
        <w:contextualSpacing w:val="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65">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contextualSpacing w:val="0"/>
        <w:rPr/>
      </w:pPr>
      <w:r w:rsidDel="00000000" w:rsidR="00000000" w:rsidRPr="00000000">
        <w:rPr>
          <w:rtl w:val="0"/>
        </w:rPr>
      </w:r>
    </w:p>
    <w:sectPr>
      <w:footerReference r:id="rId6" w:type="default"/>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7">
    <w:pPr>
      <w:contextualSpacing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