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2E01D"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F0D4433" wp14:editId="0AFE096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828C2B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504A5A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F0D4433"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828C2B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504A5A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EBAB890" wp14:editId="6C473C7C">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DD3618D"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1524926"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EBAB890"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7DD3618D"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1524926"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4EC74B4"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03E84887" wp14:editId="013310AE">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1D6F9061" w14:textId="77777777" w:rsidR="00530E16" w:rsidRDefault="004468F8">
                            <w:pPr>
                              <w:spacing w:after="0" w:line="240" w:lineRule="auto"/>
                              <w:textDirection w:val="btLr"/>
                            </w:pPr>
                            <w:r>
                              <w:rPr>
                                <w:rFonts w:ascii="Play" w:eastAsia="Play" w:hAnsi="Play" w:cs="Play"/>
                                <w:color w:val="262626"/>
                                <w:sz w:val="72"/>
                              </w:rPr>
                              <w:t>Individual Report</w:t>
                            </w:r>
                          </w:p>
                          <w:p w14:paraId="5C02AC08" w14:textId="77777777" w:rsidR="00530E16" w:rsidRDefault="004468F8">
                            <w:pPr>
                              <w:spacing w:before="120" w:line="277" w:lineRule="auto"/>
                              <w:textDirection w:val="btLr"/>
                            </w:pPr>
                            <w:r>
                              <w:rPr>
                                <w:color w:val="404040"/>
                                <w:sz w:val="36"/>
                              </w:rPr>
                              <w:t>Module Name: Digital Skills and Research Methods</w:t>
                            </w:r>
                          </w:p>
                          <w:p w14:paraId="6D8EA417" w14:textId="77777777" w:rsidR="00530E16" w:rsidRDefault="004468F8">
                            <w:pPr>
                              <w:spacing w:before="120" w:line="277" w:lineRule="auto"/>
                              <w:textDirection w:val="btLr"/>
                            </w:pPr>
                            <w:r>
                              <w:rPr>
                                <w:color w:val="404040"/>
                                <w:sz w:val="36"/>
                              </w:rPr>
                              <w:t>Module Code: LCHS 4007</w:t>
                            </w:r>
                          </w:p>
                          <w:p w14:paraId="143A09DC" w14:textId="0756C34A" w:rsidR="00530E16" w:rsidRDefault="004468F8">
                            <w:pPr>
                              <w:spacing w:before="120" w:line="277" w:lineRule="auto"/>
                              <w:textDirection w:val="btLr"/>
                            </w:pPr>
                            <w:r>
                              <w:rPr>
                                <w:color w:val="404040"/>
                                <w:sz w:val="36"/>
                              </w:rPr>
                              <w:t xml:space="preserve">Student name: </w:t>
                            </w:r>
                            <w:r w:rsidR="00307D60">
                              <w:rPr>
                                <w:color w:val="404040"/>
                                <w:sz w:val="36"/>
                              </w:rPr>
                              <w:t>Ivana Balogova</w:t>
                            </w:r>
                          </w:p>
                          <w:p w14:paraId="1198E802" w14:textId="3BC46BF5" w:rsidR="00530E16" w:rsidRDefault="004468F8">
                            <w:pPr>
                              <w:spacing w:before="120" w:line="277" w:lineRule="auto"/>
                              <w:textDirection w:val="btLr"/>
                            </w:pPr>
                            <w:r>
                              <w:rPr>
                                <w:color w:val="404040"/>
                                <w:sz w:val="36"/>
                              </w:rPr>
                              <w:t>Student ID:</w:t>
                            </w:r>
                            <w:r w:rsidR="00307D60">
                              <w:rPr>
                                <w:color w:val="404040"/>
                                <w:sz w:val="36"/>
                              </w:rPr>
                              <w:t>1916775</w:t>
                            </w:r>
                          </w:p>
                          <w:p w14:paraId="32095936" w14:textId="455250BF" w:rsidR="00530E16" w:rsidRDefault="004468F8">
                            <w:pPr>
                              <w:spacing w:before="120" w:line="277" w:lineRule="auto"/>
                              <w:textDirection w:val="btLr"/>
                            </w:pPr>
                            <w:r>
                              <w:rPr>
                                <w:color w:val="404040"/>
                                <w:sz w:val="36"/>
                              </w:rPr>
                              <w:t xml:space="preserve">Lecturer’s Name: </w:t>
                            </w:r>
                            <w:r w:rsidR="00307D60">
                              <w:rPr>
                                <w:color w:val="404040"/>
                                <w:sz w:val="36"/>
                              </w:rPr>
                              <w:t xml:space="preserve">Mr </w:t>
                            </w:r>
                            <w:proofErr w:type="spellStart"/>
                            <w:r w:rsidR="00307D60">
                              <w:rPr>
                                <w:color w:val="404040"/>
                                <w:sz w:val="36"/>
                              </w:rPr>
                              <w:t>sadeeq</w:t>
                            </w:r>
                            <w:proofErr w:type="spellEnd"/>
                            <w:r w:rsidR="00307D60">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03E84887"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1D6F9061" w14:textId="77777777" w:rsidR="00530E16" w:rsidRDefault="004468F8">
                      <w:pPr>
                        <w:spacing w:after="0" w:line="240" w:lineRule="auto"/>
                        <w:textDirection w:val="btLr"/>
                      </w:pPr>
                      <w:r>
                        <w:rPr>
                          <w:rFonts w:ascii="Play" w:eastAsia="Play" w:hAnsi="Play" w:cs="Play"/>
                          <w:color w:val="262626"/>
                          <w:sz w:val="72"/>
                        </w:rPr>
                        <w:t>Individual Report</w:t>
                      </w:r>
                    </w:p>
                    <w:p w14:paraId="5C02AC08" w14:textId="77777777" w:rsidR="00530E16" w:rsidRDefault="004468F8">
                      <w:pPr>
                        <w:spacing w:before="120" w:line="277" w:lineRule="auto"/>
                        <w:textDirection w:val="btLr"/>
                      </w:pPr>
                      <w:r>
                        <w:rPr>
                          <w:color w:val="404040"/>
                          <w:sz w:val="36"/>
                        </w:rPr>
                        <w:t>Module Name: Digital Skills and Research Methods</w:t>
                      </w:r>
                    </w:p>
                    <w:p w14:paraId="6D8EA417" w14:textId="77777777" w:rsidR="00530E16" w:rsidRDefault="004468F8">
                      <w:pPr>
                        <w:spacing w:before="120" w:line="277" w:lineRule="auto"/>
                        <w:textDirection w:val="btLr"/>
                      </w:pPr>
                      <w:r>
                        <w:rPr>
                          <w:color w:val="404040"/>
                          <w:sz w:val="36"/>
                        </w:rPr>
                        <w:t>Module Code: LCHS 4007</w:t>
                      </w:r>
                    </w:p>
                    <w:p w14:paraId="143A09DC" w14:textId="0756C34A" w:rsidR="00530E16" w:rsidRDefault="004468F8">
                      <w:pPr>
                        <w:spacing w:before="120" w:line="277" w:lineRule="auto"/>
                        <w:textDirection w:val="btLr"/>
                      </w:pPr>
                      <w:r>
                        <w:rPr>
                          <w:color w:val="404040"/>
                          <w:sz w:val="36"/>
                        </w:rPr>
                        <w:t xml:space="preserve">Student name: </w:t>
                      </w:r>
                      <w:r w:rsidR="00307D60">
                        <w:rPr>
                          <w:color w:val="404040"/>
                          <w:sz w:val="36"/>
                        </w:rPr>
                        <w:t>Ivana Balogova</w:t>
                      </w:r>
                    </w:p>
                    <w:p w14:paraId="1198E802" w14:textId="3BC46BF5" w:rsidR="00530E16" w:rsidRDefault="004468F8">
                      <w:pPr>
                        <w:spacing w:before="120" w:line="277" w:lineRule="auto"/>
                        <w:textDirection w:val="btLr"/>
                      </w:pPr>
                      <w:r>
                        <w:rPr>
                          <w:color w:val="404040"/>
                          <w:sz w:val="36"/>
                        </w:rPr>
                        <w:t>Student ID:</w:t>
                      </w:r>
                      <w:r w:rsidR="00307D60">
                        <w:rPr>
                          <w:color w:val="404040"/>
                          <w:sz w:val="36"/>
                        </w:rPr>
                        <w:t>1916775</w:t>
                      </w:r>
                    </w:p>
                    <w:p w14:paraId="32095936" w14:textId="455250BF" w:rsidR="00530E16" w:rsidRDefault="004468F8">
                      <w:pPr>
                        <w:spacing w:before="120" w:line="277" w:lineRule="auto"/>
                        <w:textDirection w:val="btLr"/>
                      </w:pPr>
                      <w:r>
                        <w:rPr>
                          <w:color w:val="404040"/>
                          <w:sz w:val="36"/>
                        </w:rPr>
                        <w:t xml:space="preserve">Lecturer’s Name: </w:t>
                      </w:r>
                      <w:r w:rsidR="00307D60">
                        <w:rPr>
                          <w:color w:val="404040"/>
                          <w:sz w:val="36"/>
                        </w:rPr>
                        <w:t xml:space="preserve">Mr </w:t>
                      </w:r>
                      <w:proofErr w:type="spellStart"/>
                      <w:r w:rsidR="00307D60">
                        <w:rPr>
                          <w:color w:val="404040"/>
                          <w:sz w:val="36"/>
                        </w:rPr>
                        <w:t>sadeeq</w:t>
                      </w:r>
                      <w:proofErr w:type="spellEnd"/>
                      <w:r w:rsidR="00307D60">
                        <w:rPr>
                          <w:color w:val="404040"/>
                          <w:sz w:val="36"/>
                        </w:rPr>
                        <w:t xml:space="preserve"> </w:t>
                      </w:r>
                    </w:p>
                  </w:txbxContent>
                </v:textbox>
                <w10:wrap anchorx="page" anchory="page"/>
              </v:rect>
            </w:pict>
          </mc:Fallback>
        </mc:AlternateContent>
      </w:r>
      <w:r>
        <w:br w:type="page"/>
      </w:r>
    </w:p>
    <w:p w14:paraId="0E45F1C3" w14:textId="77777777" w:rsidR="00530E16" w:rsidRDefault="00530E16">
      <w:pPr>
        <w:rPr>
          <w:rFonts w:ascii="Arial" w:eastAsia="Arial" w:hAnsi="Arial" w:cs="Arial"/>
        </w:rPr>
      </w:pPr>
    </w:p>
    <w:p w14:paraId="2C588D8C"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C3B072E" w14:textId="39D28B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w:t>
            </w:r>
            <w:r w:rsidR="00307D60">
              <w:rPr>
                <w:rStyle w:val="Hyperlink"/>
                <w:noProof/>
              </w:rPr>
              <w:t>healthcare workforce challenges</w:t>
            </w:r>
            <w:r w:rsidR="00DB181C" w:rsidRPr="005D132F">
              <w:rPr>
                <w:rStyle w:val="Hyperlink"/>
                <w:noProof/>
              </w:rPr>
              <w:t>&gt;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5F8F48F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16EE78E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55A2167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464451B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46005AD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16AA814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262EC5C8"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6B665196"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4F54CFB8"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03B192C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4E59647D"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5670FB1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475D2F24" w14:textId="77777777" w:rsidR="00530E16" w:rsidRPr="00CF650B" w:rsidRDefault="004468F8">
          <w:r>
            <w:fldChar w:fldCharType="end"/>
          </w:r>
        </w:p>
      </w:sdtContent>
    </w:sdt>
    <w:p w14:paraId="5CE6621A" w14:textId="77777777" w:rsidR="00530E16" w:rsidRDefault="00530E16">
      <w:pPr>
        <w:rPr>
          <w:rFonts w:ascii="Arial" w:eastAsia="Arial" w:hAnsi="Arial" w:cs="Arial"/>
        </w:rPr>
      </w:pPr>
    </w:p>
    <w:p w14:paraId="0D4E5A1D" w14:textId="77777777" w:rsidR="00530E16" w:rsidRDefault="00530E16">
      <w:pPr>
        <w:rPr>
          <w:rFonts w:ascii="Arial" w:eastAsia="Arial" w:hAnsi="Arial" w:cs="Arial"/>
        </w:rPr>
      </w:pPr>
    </w:p>
    <w:p w14:paraId="11E3B5C6" w14:textId="77777777" w:rsidR="00530E16" w:rsidRDefault="00530E16">
      <w:pPr>
        <w:rPr>
          <w:rFonts w:ascii="Arial" w:eastAsia="Arial" w:hAnsi="Arial" w:cs="Arial"/>
        </w:rPr>
      </w:pPr>
    </w:p>
    <w:p w14:paraId="67C118FC" w14:textId="77777777" w:rsidR="00530E16" w:rsidRDefault="00530E16">
      <w:pPr>
        <w:rPr>
          <w:rFonts w:ascii="Arial" w:eastAsia="Arial" w:hAnsi="Arial" w:cs="Arial"/>
        </w:rPr>
      </w:pPr>
    </w:p>
    <w:p w14:paraId="75E87441" w14:textId="77777777" w:rsidR="00530E16" w:rsidRDefault="00530E16">
      <w:pPr>
        <w:rPr>
          <w:rFonts w:ascii="Arial" w:eastAsia="Arial" w:hAnsi="Arial" w:cs="Arial"/>
        </w:rPr>
      </w:pPr>
    </w:p>
    <w:p w14:paraId="71C0D35A" w14:textId="77777777" w:rsidR="00530E16" w:rsidRDefault="00530E16">
      <w:pPr>
        <w:rPr>
          <w:rFonts w:ascii="Arial" w:eastAsia="Arial" w:hAnsi="Arial" w:cs="Arial"/>
        </w:rPr>
      </w:pPr>
    </w:p>
    <w:p w14:paraId="0D7919B6" w14:textId="77777777" w:rsidR="00530E16" w:rsidRDefault="00530E16">
      <w:pPr>
        <w:rPr>
          <w:rFonts w:ascii="Arial" w:eastAsia="Arial" w:hAnsi="Arial" w:cs="Arial"/>
        </w:rPr>
      </w:pPr>
    </w:p>
    <w:p w14:paraId="79DC11E3" w14:textId="77777777" w:rsidR="00530E16" w:rsidRDefault="00530E16">
      <w:pPr>
        <w:rPr>
          <w:rFonts w:ascii="Arial" w:eastAsia="Arial" w:hAnsi="Arial" w:cs="Arial"/>
        </w:rPr>
      </w:pPr>
    </w:p>
    <w:p w14:paraId="0AA72934" w14:textId="77777777" w:rsidR="00530E16" w:rsidRDefault="00530E16">
      <w:pPr>
        <w:rPr>
          <w:rFonts w:ascii="Arial" w:eastAsia="Arial" w:hAnsi="Arial" w:cs="Arial"/>
        </w:rPr>
      </w:pPr>
    </w:p>
    <w:p w14:paraId="49E46D8E" w14:textId="77777777" w:rsidR="00530E16" w:rsidRDefault="00530E16">
      <w:pPr>
        <w:rPr>
          <w:rFonts w:ascii="Arial" w:eastAsia="Arial" w:hAnsi="Arial" w:cs="Arial"/>
        </w:rPr>
      </w:pPr>
    </w:p>
    <w:p w14:paraId="5B4BCD3B" w14:textId="77777777" w:rsidR="00530E16" w:rsidRDefault="00530E16">
      <w:pPr>
        <w:rPr>
          <w:rFonts w:ascii="Arial" w:eastAsia="Arial" w:hAnsi="Arial" w:cs="Arial"/>
        </w:rPr>
      </w:pPr>
    </w:p>
    <w:p w14:paraId="060D38D0" w14:textId="77777777" w:rsidR="00530E16" w:rsidRDefault="00530E16">
      <w:pPr>
        <w:rPr>
          <w:rFonts w:ascii="Arial" w:eastAsia="Arial" w:hAnsi="Arial" w:cs="Arial"/>
        </w:rPr>
      </w:pPr>
    </w:p>
    <w:p w14:paraId="44493803" w14:textId="77777777" w:rsidR="00530E16" w:rsidRDefault="00530E16">
      <w:pPr>
        <w:rPr>
          <w:rFonts w:ascii="Arial" w:eastAsia="Arial" w:hAnsi="Arial" w:cs="Arial"/>
        </w:rPr>
      </w:pPr>
    </w:p>
    <w:p w14:paraId="47F6AAA0" w14:textId="77777777" w:rsidR="00530E16" w:rsidRDefault="00530E16">
      <w:pPr>
        <w:rPr>
          <w:rFonts w:ascii="Arial" w:eastAsia="Arial" w:hAnsi="Arial" w:cs="Arial"/>
        </w:rPr>
      </w:pPr>
    </w:p>
    <w:p w14:paraId="5CFC864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5EB9316E" w14:textId="77777777" w:rsidR="00530E16" w:rsidRPr="00B41B41" w:rsidRDefault="00530E16">
      <w:pPr>
        <w:rPr>
          <w:rFonts w:asciiTheme="majorHAnsi" w:eastAsia="Arial" w:hAnsiTheme="majorHAnsi" w:cs="Arial"/>
          <w:sz w:val="22"/>
          <w:szCs w:val="22"/>
        </w:rPr>
      </w:pPr>
    </w:p>
    <w:p w14:paraId="01AA33AA" w14:textId="5E99F448" w:rsidR="00530E16" w:rsidRPr="00B41B41" w:rsidRDefault="004468F8">
      <w:pPr>
        <w:pStyle w:val="Heading1"/>
        <w:rPr>
          <w:color w:val="000000" w:themeColor="text1"/>
          <w:sz w:val="24"/>
          <w:szCs w:val="24"/>
          <w:u w:val="single"/>
        </w:rPr>
      </w:pPr>
      <w:bookmarkStart w:id="0" w:name="_Toc213674530"/>
      <w:r w:rsidRPr="00B41B41">
        <w:rPr>
          <w:color w:val="000000" w:themeColor="text1"/>
          <w:sz w:val="24"/>
          <w:szCs w:val="24"/>
          <w:u w:val="single"/>
        </w:rPr>
        <w:t xml:space="preserve">Research Topic: </w:t>
      </w:r>
      <w:bookmarkEnd w:id="0"/>
      <w:r w:rsidR="00CB6FA6" w:rsidRPr="00B41B41">
        <w:rPr>
          <w:color w:val="000000" w:themeColor="text1"/>
          <w:sz w:val="24"/>
          <w:szCs w:val="24"/>
          <w:u w:val="single"/>
        </w:rPr>
        <w:t>Health care Workforce challenges</w:t>
      </w:r>
    </w:p>
    <w:p w14:paraId="798CA70B" w14:textId="77777777" w:rsidR="00530E16" w:rsidRPr="00B41B41" w:rsidRDefault="00BA0043">
      <w:pPr>
        <w:pStyle w:val="Heading1"/>
        <w:rPr>
          <w:color w:val="000000" w:themeColor="text1"/>
          <w:sz w:val="24"/>
          <w:szCs w:val="24"/>
          <w:u w:val="single"/>
        </w:rPr>
      </w:pPr>
      <w:bookmarkStart w:id="1" w:name="_Toc213674531"/>
      <w:r w:rsidRPr="00B41B41">
        <w:rPr>
          <w:color w:val="000000" w:themeColor="text1"/>
          <w:sz w:val="24"/>
          <w:szCs w:val="24"/>
          <w:u w:val="single"/>
        </w:rPr>
        <w:t>Introduction</w:t>
      </w:r>
      <w:bookmarkEnd w:id="1"/>
    </w:p>
    <w:p w14:paraId="4078DEFC" w14:textId="78F1CE95" w:rsidR="00CB6FA6" w:rsidRPr="00CB6FA6" w:rsidRDefault="00CB6FA6" w:rsidP="00CB6FA6">
      <w:pPr>
        <w:pStyle w:val="Default"/>
        <w:rPr>
          <w:rFonts w:asciiTheme="majorHAnsi" w:hAnsiTheme="majorHAnsi" w:cs="Arial"/>
          <w:color w:val="000000" w:themeColor="text1"/>
        </w:rPr>
      </w:pPr>
      <w:r w:rsidRPr="00CB6FA6">
        <w:rPr>
          <w:rFonts w:asciiTheme="majorHAnsi" w:hAnsiTheme="majorHAnsi" w:cs="Arial"/>
          <w:color w:val="000000" w:themeColor="text1"/>
        </w:rPr>
        <w:t xml:space="preserve">The workforce of the NHS is fundamental to the delivery of health and social care across the UK. Over recent years, the NHS has increasingly felt pressure from multiple directions rising demand, an ageing population, and more complex care needs. </w:t>
      </w:r>
      <w:r w:rsidRPr="00B41B41">
        <w:rPr>
          <w:rFonts w:asciiTheme="majorHAnsi" w:hAnsiTheme="majorHAnsi" w:cs="Arial"/>
          <w:color w:val="000000" w:themeColor="text1"/>
        </w:rPr>
        <w:t>All</w:t>
      </w:r>
      <w:r w:rsidRPr="00CB6FA6">
        <w:rPr>
          <w:rFonts w:asciiTheme="majorHAnsi" w:hAnsiTheme="majorHAnsi" w:cs="Arial"/>
          <w:color w:val="000000" w:themeColor="text1"/>
        </w:rPr>
        <w:t xml:space="preserve"> </w:t>
      </w:r>
      <w:r w:rsidRPr="00B41B41">
        <w:rPr>
          <w:rFonts w:asciiTheme="majorHAnsi" w:hAnsiTheme="majorHAnsi" w:cs="Arial"/>
          <w:color w:val="000000" w:themeColor="text1"/>
        </w:rPr>
        <w:t>these places</w:t>
      </w:r>
      <w:r w:rsidRPr="00CB6FA6">
        <w:rPr>
          <w:rFonts w:asciiTheme="majorHAnsi" w:hAnsiTheme="majorHAnsi" w:cs="Arial"/>
          <w:color w:val="000000" w:themeColor="text1"/>
        </w:rPr>
        <w:t xml:space="preserve"> growing strain on staff. Against this backdrop, workforce challenges such as staff shortages, high turnover, burnout, skill</w:t>
      </w:r>
      <w:r w:rsidRPr="00CB6FA6">
        <w:rPr>
          <w:rFonts w:asciiTheme="majorHAnsi" w:hAnsiTheme="majorHAnsi" w:cs="Arial"/>
          <w:color w:val="000000" w:themeColor="text1"/>
        </w:rPr>
        <w:noBreakHyphen/>
        <w:t>gaps, and uneven regional distribution have become more visible and more concerning. The ability of the NHS to continue delivering safe, effective, and timely care depends heavily on having sufficient, well</w:t>
      </w:r>
      <w:r w:rsidRPr="00CB6FA6">
        <w:rPr>
          <w:rFonts w:asciiTheme="majorHAnsi" w:hAnsiTheme="majorHAnsi" w:cs="Arial"/>
          <w:color w:val="000000" w:themeColor="text1"/>
        </w:rPr>
        <w:noBreakHyphen/>
        <w:t>supported, and motivated personnel (Thompson, 2021).</w:t>
      </w:r>
    </w:p>
    <w:p w14:paraId="780F3898" w14:textId="77777777" w:rsidR="00CB6FA6" w:rsidRPr="00CB6FA6" w:rsidRDefault="00CB6FA6" w:rsidP="00CB6FA6">
      <w:pPr>
        <w:pStyle w:val="Default"/>
        <w:rPr>
          <w:rFonts w:asciiTheme="majorHAnsi" w:hAnsiTheme="majorHAnsi" w:cs="Arial"/>
          <w:color w:val="000000" w:themeColor="text1"/>
        </w:rPr>
      </w:pPr>
      <w:r w:rsidRPr="00CB6FA6">
        <w:rPr>
          <w:rFonts w:asciiTheme="majorHAnsi" w:hAnsiTheme="majorHAnsi" w:cs="Arial"/>
          <w:color w:val="000000" w:themeColor="text1"/>
        </w:rPr>
        <w:t>This research will examine the key issues affecting the NHS workforce, explore the impact on care quality and staff wellbeing, and investigate possible strategies to address these problems. By understanding both the scale and the human experience behind workforce difficulties, we can better shape solutions that are sustainable, realistic and centred on the needs of staff and patients alike.</w:t>
      </w:r>
    </w:p>
    <w:p w14:paraId="23F14A3C" w14:textId="533D4586" w:rsidR="00BA0043" w:rsidRPr="00B41B41" w:rsidRDefault="00BA0043" w:rsidP="00BA0043">
      <w:pPr>
        <w:pStyle w:val="Default"/>
        <w:rPr>
          <w:rFonts w:asciiTheme="majorHAnsi" w:hAnsiTheme="majorHAnsi" w:cs="Arial"/>
          <w:color w:val="000000" w:themeColor="text1"/>
        </w:rPr>
      </w:pPr>
    </w:p>
    <w:p w14:paraId="2B62DFFD" w14:textId="77777777" w:rsidR="004468F8" w:rsidRPr="00B41B41" w:rsidRDefault="004468F8" w:rsidP="004468F8">
      <w:pPr>
        <w:rPr>
          <w:rFonts w:asciiTheme="majorHAnsi" w:hAnsiTheme="majorHAnsi"/>
          <w:color w:val="000000" w:themeColor="text1"/>
        </w:rPr>
      </w:pPr>
    </w:p>
    <w:p w14:paraId="0B37A988" w14:textId="77777777" w:rsidR="004468F8" w:rsidRPr="00B41B41" w:rsidRDefault="004468F8" w:rsidP="004468F8">
      <w:pPr>
        <w:rPr>
          <w:rFonts w:asciiTheme="majorHAnsi" w:hAnsiTheme="majorHAnsi"/>
          <w:color w:val="000000" w:themeColor="text1"/>
        </w:rPr>
      </w:pPr>
    </w:p>
    <w:p w14:paraId="716F77DB" w14:textId="77777777" w:rsidR="00530E16" w:rsidRPr="00B41B41" w:rsidRDefault="004468F8">
      <w:pPr>
        <w:pStyle w:val="Heading2"/>
        <w:jc w:val="both"/>
        <w:rPr>
          <w:color w:val="000000" w:themeColor="text1"/>
          <w:sz w:val="24"/>
          <w:szCs w:val="24"/>
          <w:u w:val="single"/>
        </w:rPr>
      </w:pPr>
      <w:bookmarkStart w:id="2" w:name="_Toc213674532"/>
      <w:r w:rsidRPr="00B41B41">
        <w:rPr>
          <w:color w:val="000000" w:themeColor="text1"/>
          <w:sz w:val="24"/>
          <w:szCs w:val="24"/>
          <w:u w:val="single"/>
        </w:rPr>
        <w:t>Problem Statement</w:t>
      </w:r>
      <w:bookmarkEnd w:id="2"/>
    </w:p>
    <w:p w14:paraId="383C791A" w14:textId="77777777" w:rsidR="00CB6FA6" w:rsidRPr="00CB6FA6" w:rsidRDefault="00CB6FA6" w:rsidP="00CB6FA6">
      <w:pPr>
        <w:rPr>
          <w:rFonts w:asciiTheme="majorHAnsi" w:hAnsiTheme="majorHAnsi"/>
          <w:color w:val="000000" w:themeColor="text1"/>
        </w:rPr>
      </w:pPr>
      <w:r w:rsidRPr="00CB6FA6">
        <w:rPr>
          <w:rFonts w:asciiTheme="majorHAnsi" w:hAnsiTheme="majorHAnsi"/>
          <w:color w:val="000000" w:themeColor="text1"/>
        </w:rPr>
        <w:t>There are several interrelated problems facing the NHS workforce, which together threaten the stability and effectiveness of healthcare delivery. First, widespread staff shortages remain a chronic issue across hospitals, GP practices, community services, and social care sectors aligned with the NHS. Even when vacancies are filled, high rates of turnover and absenteeism undermine stability, especially in high</w:t>
      </w:r>
      <w:r w:rsidRPr="00CB6FA6">
        <w:rPr>
          <w:rFonts w:asciiTheme="majorHAnsi" w:hAnsiTheme="majorHAnsi"/>
          <w:color w:val="000000" w:themeColor="text1"/>
        </w:rPr>
        <w:noBreakHyphen/>
        <w:t>pressure areas such as accident and emergency departments, intensive care units, and community mental health services (Skills for Care, 2023).</w:t>
      </w:r>
    </w:p>
    <w:p w14:paraId="02FEA348" w14:textId="0600A49F" w:rsidR="00CB6FA6" w:rsidRPr="00CB6FA6" w:rsidRDefault="00CB6FA6" w:rsidP="00CB6FA6">
      <w:pPr>
        <w:rPr>
          <w:rFonts w:asciiTheme="majorHAnsi" w:hAnsiTheme="majorHAnsi"/>
          <w:color w:val="000000" w:themeColor="text1"/>
        </w:rPr>
      </w:pPr>
      <w:r w:rsidRPr="00CB6FA6">
        <w:rPr>
          <w:rFonts w:asciiTheme="majorHAnsi" w:hAnsiTheme="majorHAnsi"/>
          <w:color w:val="000000" w:themeColor="text1"/>
        </w:rPr>
        <w:t>Second, the workforce is often unevenly distributed. Some regions or specialities — urban centres, high</w:t>
      </w:r>
      <w:r w:rsidRPr="00CB6FA6">
        <w:rPr>
          <w:rFonts w:asciiTheme="majorHAnsi" w:hAnsiTheme="majorHAnsi"/>
          <w:color w:val="000000" w:themeColor="text1"/>
        </w:rPr>
        <w:noBreakHyphen/>
        <w:t xml:space="preserve">demand specialties, or deprived areas — are overburdened, while others may have fewer staff but also fewer resources or support. This creates unequal access to care depending on geography or </w:t>
      </w:r>
      <w:r w:rsidRPr="00B41B41">
        <w:rPr>
          <w:rFonts w:asciiTheme="majorHAnsi" w:hAnsiTheme="majorHAnsi"/>
          <w:color w:val="000000" w:themeColor="text1"/>
        </w:rPr>
        <w:t>specialty and</w:t>
      </w:r>
      <w:r w:rsidRPr="00CB6FA6">
        <w:rPr>
          <w:rFonts w:asciiTheme="majorHAnsi" w:hAnsiTheme="majorHAnsi"/>
          <w:color w:val="000000" w:themeColor="text1"/>
        </w:rPr>
        <w:t xml:space="preserve"> intensifies workload for those in under</w:t>
      </w:r>
      <w:r w:rsidRPr="00CB6FA6">
        <w:rPr>
          <w:rFonts w:asciiTheme="majorHAnsi" w:hAnsiTheme="majorHAnsi"/>
          <w:color w:val="000000" w:themeColor="text1"/>
        </w:rPr>
        <w:noBreakHyphen/>
        <w:t>resourced areas.</w:t>
      </w:r>
    </w:p>
    <w:p w14:paraId="7DCAA38B" w14:textId="77777777" w:rsidR="00CB6FA6" w:rsidRPr="00CB6FA6" w:rsidRDefault="00CB6FA6" w:rsidP="00CB6FA6">
      <w:pPr>
        <w:rPr>
          <w:rFonts w:asciiTheme="majorHAnsi" w:hAnsiTheme="majorHAnsi"/>
          <w:color w:val="000000" w:themeColor="text1"/>
        </w:rPr>
      </w:pPr>
      <w:r w:rsidRPr="00CB6FA6">
        <w:rPr>
          <w:rFonts w:asciiTheme="majorHAnsi" w:hAnsiTheme="majorHAnsi"/>
          <w:color w:val="000000" w:themeColor="text1"/>
        </w:rPr>
        <w:t xml:space="preserve">Third, many staff describe burnout, stress, and insufficient support as key factors driving job dissatisfaction. Limited opportunities for training and development, inadequate time for reflection or debriefing, and persistent high workloads leave many </w:t>
      </w:r>
      <w:proofErr w:type="gramStart"/>
      <w:r w:rsidRPr="00CB6FA6">
        <w:rPr>
          <w:rFonts w:asciiTheme="majorHAnsi" w:hAnsiTheme="majorHAnsi"/>
          <w:color w:val="000000" w:themeColor="text1"/>
        </w:rPr>
        <w:t>feeling</w:t>
      </w:r>
      <w:proofErr w:type="gramEnd"/>
      <w:r w:rsidRPr="00CB6FA6">
        <w:rPr>
          <w:rFonts w:asciiTheme="majorHAnsi" w:hAnsiTheme="majorHAnsi"/>
          <w:color w:val="000000" w:themeColor="text1"/>
        </w:rPr>
        <w:t xml:space="preserve"> overworked and undervalued. Over time, this leads to reduced morale, poor retention rates, and even compromised patient safety or quality of care.</w:t>
      </w:r>
    </w:p>
    <w:p w14:paraId="61F11A03" w14:textId="77777777" w:rsidR="00CB6FA6" w:rsidRPr="00CB6FA6" w:rsidRDefault="00CB6FA6" w:rsidP="00CB6FA6">
      <w:pPr>
        <w:rPr>
          <w:rFonts w:asciiTheme="majorHAnsi" w:hAnsiTheme="majorHAnsi"/>
          <w:color w:val="000000" w:themeColor="text1"/>
        </w:rPr>
      </w:pPr>
      <w:r w:rsidRPr="00CB6FA6">
        <w:rPr>
          <w:rFonts w:asciiTheme="majorHAnsi" w:hAnsiTheme="majorHAnsi"/>
          <w:color w:val="000000" w:themeColor="text1"/>
        </w:rPr>
        <w:lastRenderedPageBreak/>
        <w:t>Fourth, the complexity of modern healthcare — including longer-term chronic disease management, mental health needs, social care integration — raises the required skill mix and flexibility. But training and career development pathways have not always kept pace, resulting in skill gaps or mismatches between demand and available workforce skills (Department of Health and Social Care, 2022).</w:t>
      </w:r>
    </w:p>
    <w:p w14:paraId="5936C4B3" w14:textId="151F8CDB" w:rsidR="004468F8" w:rsidRPr="00B41B41" w:rsidRDefault="00CB6FA6" w:rsidP="004468F8">
      <w:pPr>
        <w:rPr>
          <w:rFonts w:asciiTheme="majorHAnsi" w:hAnsiTheme="majorHAnsi"/>
          <w:color w:val="000000" w:themeColor="text1"/>
        </w:rPr>
      </w:pPr>
      <w:r w:rsidRPr="00CB6FA6">
        <w:rPr>
          <w:rFonts w:asciiTheme="majorHAnsi" w:hAnsiTheme="majorHAnsi"/>
          <w:color w:val="000000" w:themeColor="text1"/>
        </w:rPr>
        <w:t>Together, these issues not only threaten workforce stability, but also risk undermining service quality, increasing waiting times, reducing continuity of care, and eroding public trust in the system.</w:t>
      </w:r>
    </w:p>
    <w:p w14:paraId="2524F64C" w14:textId="77777777" w:rsidR="00530E16" w:rsidRPr="00B41B41" w:rsidRDefault="004468F8">
      <w:pPr>
        <w:pStyle w:val="Heading2"/>
        <w:jc w:val="both"/>
        <w:rPr>
          <w:color w:val="000000" w:themeColor="text1"/>
          <w:sz w:val="24"/>
          <w:szCs w:val="24"/>
          <w:u w:val="single"/>
        </w:rPr>
      </w:pPr>
      <w:bookmarkStart w:id="3" w:name="_Toc213674533"/>
      <w:r w:rsidRPr="00B41B41">
        <w:rPr>
          <w:color w:val="000000" w:themeColor="text1"/>
          <w:sz w:val="24"/>
          <w:szCs w:val="24"/>
          <w:u w:val="single"/>
        </w:rPr>
        <w:t>Justification</w:t>
      </w:r>
      <w:bookmarkEnd w:id="3"/>
    </w:p>
    <w:p w14:paraId="76EE6F45" w14:textId="77777777" w:rsidR="009B109F" w:rsidRPr="00B41B41" w:rsidRDefault="009B109F" w:rsidP="009B109F">
      <w:pPr>
        <w:pStyle w:val="Default"/>
        <w:rPr>
          <w:rFonts w:asciiTheme="majorHAnsi" w:hAnsiTheme="majorHAnsi"/>
          <w:color w:val="000000" w:themeColor="text1"/>
        </w:rPr>
      </w:pPr>
      <w:r w:rsidRPr="00B41B41">
        <w:rPr>
          <w:rFonts w:asciiTheme="majorHAnsi" w:hAnsiTheme="majorHAnsi"/>
          <w:color w:val="000000" w:themeColor="text1"/>
        </w:rPr>
        <w:t>Addressing NHS workforce challenges is essential for more than just operational stability — it’s central to the future of healthcare in the UK. A robust, well-supported workforce translates directly into better patient care, safer services, improved staff wellbeing, and more sustainable service delivery.</w:t>
      </w:r>
    </w:p>
    <w:p w14:paraId="342FA639" w14:textId="77777777" w:rsidR="009B109F" w:rsidRPr="00B41B41" w:rsidRDefault="009B109F" w:rsidP="009B109F">
      <w:pPr>
        <w:pStyle w:val="Default"/>
        <w:rPr>
          <w:rFonts w:asciiTheme="majorHAnsi" w:hAnsiTheme="majorHAnsi"/>
          <w:color w:val="000000" w:themeColor="text1"/>
        </w:rPr>
      </w:pPr>
      <w:r w:rsidRPr="00B41B41">
        <w:rPr>
          <w:rFonts w:asciiTheme="majorHAnsi" w:hAnsiTheme="majorHAnsi"/>
          <w:color w:val="000000" w:themeColor="text1"/>
        </w:rPr>
        <w:t>By investigating root causes — through both quantitative data (e.g. staff numbers, vacancy rates, turnover, regional disparities) and qualitative insight (e.g. staff experiences, morale, job satisfaction) — this research can provide a holistic understanding of the workforce situation. That understanding is crucial for informing policies, workforce planning, training programmes, retention strategies and resource allocation.</w:t>
      </w:r>
    </w:p>
    <w:p w14:paraId="2308B1CD" w14:textId="77777777" w:rsidR="009B109F" w:rsidRPr="00B41B41" w:rsidRDefault="009B109F" w:rsidP="009B109F">
      <w:pPr>
        <w:pStyle w:val="Default"/>
        <w:rPr>
          <w:rFonts w:asciiTheme="majorHAnsi" w:hAnsiTheme="majorHAnsi"/>
          <w:color w:val="000000" w:themeColor="text1"/>
        </w:rPr>
      </w:pPr>
      <w:r w:rsidRPr="00B41B41">
        <w:rPr>
          <w:rFonts w:asciiTheme="majorHAnsi" w:hAnsiTheme="majorHAnsi"/>
          <w:color w:val="000000" w:themeColor="text1"/>
        </w:rPr>
        <w:t>Moreover, the outcomes of such research are timely: with increasing demand on NHS services, demographic shifts, pressures on social care, and financial constraints, policymakers and NHS leadership need evidence-based insights to design practical interventions. In short: without a stable workforce, even the best policies cannot deliver effective care.</w:t>
      </w:r>
    </w:p>
    <w:p w14:paraId="0C59D17A" w14:textId="77777777" w:rsidR="004468F8" w:rsidRPr="00B41B41" w:rsidRDefault="004468F8" w:rsidP="004468F8">
      <w:pPr>
        <w:rPr>
          <w:rFonts w:asciiTheme="majorHAnsi" w:hAnsiTheme="majorHAnsi"/>
          <w:color w:val="000000" w:themeColor="text1"/>
        </w:rPr>
      </w:pPr>
    </w:p>
    <w:p w14:paraId="6CC5E9C5" w14:textId="77777777" w:rsidR="00530E16" w:rsidRPr="00B41B41" w:rsidRDefault="004468F8">
      <w:pPr>
        <w:pStyle w:val="Heading2"/>
        <w:jc w:val="both"/>
        <w:rPr>
          <w:color w:val="000000" w:themeColor="text1"/>
          <w:sz w:val="24"/>
          <w:szCs w:val="24"/>
          <w:u w:val="single"/>
        </w:rPr>
      </w:pPr>
      <w:bookmarkStart w:id="4" w:name="_Toc213674534"/>
      <w:r w:rsidRPr="00B41B41">
        <w:rPr>
          <w:color w:val="000000" w:themeColor="text1"/>
          <w:sz w:val="24"/>
          <w:szCs w:val="24"/>
          <w:u w:val="single"/>
        </w:rPr>
        <w:t>Information Sources and Justification</w:t>
      </w:r>
      <w:bookmarkEnd w:id="4"/>
    </w:p>
    <w:p w14:paraId="75016133" w14:textId="77777777" w:rsidR="009B109F" w:rsidRPr="009B109F" w:rsidRDefault="009B109F" w:rsidP="009B109F">
      <w:pPr>
        <w:rPr>
          <w:rFonts w:asciiTheme="majorHAnsi" w:hAnsiTheme="majorHAnsi"/>
          <w:color w:val="000000" w:themeColor="text1"/>
        </w:rPr>
      </w:pPr>
      <w:r w:rsidRPr="009B109F">
        <w:rPr>
          <w:rFonts w:asciiTheme="majorHAnsi" w:hAnsiTheme="majorHAnsi"/>
          <w:color w:val="000000" w:themeColor="text1"/>
        </w:rPr>
        <w:t>To build a comprehensive picture of the NHS workforce problem, this study will rely on the following sources:</w:t>
      </w:r>
    </w:p>
    <w:p w14:paraId="50FAE0FB" w14:textId="77777777" w:rsidR="009B109F" w:rsidRPr="009B109F" w:rsidRDefault="009B109F" w:rsidP="009B109F">
      <w:pPr>
        <w:numPr>
          <w:ilvl w:val="0"/>
          <w:numId w:val="11"/>
        </w:numPr>
        <w:rPr>
          <w:rFonts w:asciiTheme="majorHAnsi" w:hAnsiTheme="majorHAnsi"/>
          <w:color w:val="000000" w:themeColor="text1"/>
        </w:rPr>
      </w:pPr>
      <w:r w:rsidRPr="009B109F">
        <w:rPr>
          <w:rFonts w:asciiTheme="majorHAnsi" w:hAnsiTheme="majorHAnsi"/>
          <w:color w:val="000000" w:themeColor="text1"/>
        </w:rPr>
        <w:t>Academic literature and textbooks, such as general social care and workforce</w:t>
      </w:r>
      <w:r w:rsidRPr="009B109F">
        <w:rPr>
          <w:rFonts w:asciiTheme="majorHAnsi" w:hAnsiTheme="majorHAnsi"/>
          <w:color w:val="000000" w:themeColor="text1"/>
        </w:rPr>
        <w:noBreakHyphen/>
        <w:t>theory texts, which offer frameworks for understanding workforce dynamics, staff wellbeing, organisational culture, and service delivery (Thompson, 2021).</w:t>
      </w:r>
    </w:p>
    <w:p w14:paraId="4395D5F9" w14:textId="77777777" w:rsidR="009B109F" w:rsidRPr="009B109F" w:rsidRDefault="009B109F" w:rsidP="009B109F">
      <w:pPr>
        <w:numPr>
          <w:ilvl w:val="0"/>
          <w:numId w:val="11"/>
        </w:numPr>
        <w:rPr>
          <w:rFonts w:asciiTheme="majorHAnsi" w:hAnsiTheme="majorHAnsi"/>
          <w:color w:val="000000" w:themeColor="text1"/>
        </w:rPr>
      </w:pPr>
      <w:r w:rsidRPr="009B109F">
        <w:rPr>
          <w:rFonts w:asciiTheme="majorHAnsi" w:hAnsiTheme="majorHAnsi"/>
          <w:color w:val="000000" w:themeColor="text1"/>
        </w:rPr>
        <w:t>Official NHS and government reports/statistics — documents from the Department of Health and Social Care and other regulatory or oversight bodies — that provide up-to-date data on staffing levels, vacancies, turnover, recruitment trends, regional workforce distribution and skill</w:t>
      </w:r>
      <w:r w:rsidRPr="009B109F">
        <w:rPr>
          <w:rFonts w:asciiTheme="majorHAnsi" w:hAnsiTheme="majorHAnsi"/>
          <w:color w:val="000000" w:themeColor="text1"/>
        </w:rPr>
        <w:noBreakHyphen/>
        <w:t>mix (Department of Health and Social Care, 2022).</w:t>
      </w:r>
    </w:p>
    <w:p w14:paraId="663E94A9" w14:textId="77777777" w:rsidR="009B109F" w:rsidRPr="009B109F" w:rsidRDefault="009B109F" w:rsidP="009B109F">
      <w:pPr>
        <w:numPr>
          <w:ilvl w:val="0"/>
          <w:numId w:val="11"/>
        </w:numPr>
        <w:rPr>
          <w:rFonts w:asciiTheme="majorHAnsi" w:hAnsiTheme="majorHAnsi"/>
          <w:color w:val="000000" w:themeColor="text1"/>
        </w:rPr>
      </w:pPr>
      <w:r w:rsidRPr="009B109F">
        <w:rPr>
          <w:rFonts w:asciiTheme="majorHAnsi" w:hAnsiTheme="majorHAnsi"/>
          <w:color w:val="000000" w:themeColor="text1"/>
        </w:rPr>
        <w:t>Professional workforce and social care sector analyses — such as those from Skills for Care — which compile data and insights from across health and social care sectors, including adult social care linked to NHS services. These reports help place NHS workforce challenges in the wider context of care demand, staff retention, and workforce sustainability (Skills for Care, 2023).</w:t>
      </w:r>
    </w:p>
    <w:p w14:paraId="09DA041E" w14:textId="77777777" w:rsidR="009B109F" w:rsidRPr="009B109F" w:rsidRDefault="009B109F" w:rsidP="009B109F">
      <w:pPr>
        <w:numPr>
          <w:ilvl w:val="0"/>
          <w:numId w:val="11"/>
        </w:numPr>
        <w:rPr>
          <w:rFonts w:asciiTheme="majorHAnsi" w:hAnsiTheme="majorHAnsi"/>
          <w:color w:val="000000" w:themeColor="text1"/>
        </w:rPr>
      </w:pPr>
      <w:r w:rsidRPr="009B109F">
        <w:rPr>
          <w:rFonts w:asciiTheme="majorHAnsi" w:hAnsiTheme="majorHAnsi"/>
          <w:color w:val="000000" w:themeColor="text1"/>
        </w:rPr>
        <w:lastRenderedPageBreak/>
        <w:t>Policy and guidance publications — documents like those from Care Quality Commission (CQC) or NHS guidance frameworks — which set out standards and expectations around workforce practice, safety, training, and quality assurance (Care Quality Commission, 2023).</w:t>
      </w:r>
    </w:p>
    <w:p w14:paraId="1FDE51B4" w14:textId="1EC73688" w:rsidR="00172AD1" w:rsidRPr="00B41B41" w:rsidRDefault="009B109F" w:rsidP="004468F8">
      <w:pPr>
        <w:rPr>
          <w:rFonts w:asciiTheme="majorHAnsi" w:hAnsiTheme="majorHAnsi"/>
          <w:color w:val="000000" w:themeColor="text1"/>
        </w:rPr>
      </w:pPr>
      <w:r w:rsidRPr="00B41B41">
        <w:rPr>
          <w:rFonts w:asciiTheme="majorHAnsi" w:hAnsiTheme="majorHAnsi"/>
          <w:color w:val="000000" w:themeColor="text1"/>
        </w:rPr>
        <w:t>Using a combination of these sources ensures both empirical, quantitative data and qualitative, policy</w:t>
      </w:r>
      <w:r w:rsidRPr="00B41B41">
        <w:rPr>
          <w:rFonts w:asciiTheme="majorHAnsi" w:hAnsiTheme="majorHAnsi"/>
          <w:color w:val="000000" w:themeColor="text1"/>
        </w:rPr>
        <w:noBreakHyphen/>
        <w:t>contextual understanding. That gives a strong foundation for analysis and recommendations.</w:t>
      </w:r>
    </w:p>
    <w:p w14:paraId="2EF11A2B" w14:textId="77777777" w:rsidR="004468F8" w:rsidRPr="00B41B41" w:rsidRDefault="004468F8" w:rsidP="004468F8">
      <w:pPr>
        <w:pStyle w:val="Heading1"/>
        <w:jc w:val="both"/>
        <w:rPr>
          <w:color w:val="000000" w:themeColor="text1"/>
          <w:sz w:val="24"/>
          <w:szCs w:val="24"/>
        </w:rPr>
      </w:pPr>
      <w:bookmarkStart w:id="5" w:name="_Toc213674535"/>
      <w:r w:rsidRPr="00B41B41">
        <w:rPr>
          <w:color w:val="000000" w:themeColor="text1"/>
          <w:sz w:val="24"/>
          <w:szCs w:val="24"/>
        </w:rPr>
        <w:t>Task 2</w:t>
      </w:r>
      <w:r w:rsidRPr="00B41B41">
        <w:rPr>
          <w:color w:val="000000" w:themeColor="text1"/>
          <w:sz w:val="24"/>
          <w:szCs w:val="24"/>
          <w:u w:val="single"/>
        </w:rPr>
        <w:t xml:space="preserve">: </w:t>
      </w:r>
      <w:r w:rsidR="00172AD1" w:rsidRPr="00B41B41">
        <w:rPr>
          <w:rFonts w:eastAsia="Aptos" w:cs="Arial"/>
          <w:color w:val="000000" w:themeColor="text1"/>
          <w:kern w:val="2"/>
          <w:sz w:val="24"/>
          <w:szCs w:val="24"/>
          <w:u w:val="single"/>
          <w:lang w:eastAsia="en-US"/>
          <w14:ligatures w14:val="standardContextual"/>
        </w:rPr>
        <w:t>Research M</w:t>
      </w:r>
      <w:r w:rsidRPr="00B41B41">
        <w:rPr>
          <w:rFonts w:eastAsia="Aptos" w:cs="Arial"/>
          <w:color w:val="000000" w:themeColor="text1"/>
          <w:kern w:val="2"/>
          <w:sz w:val="24"/>
          <w:szCs w:val="24"/>
          <w:u w:val="single"/>
          <w:lang w:eastAsia="en-US"/>
          <w14:ligatures w14:val="standardContextual"/>
        </w:rPr>
        <w:t>ethodologies</w:t>
      </w:r>
      <w:bookmarkEnd w:id="5"/>
    </w:p>
    <w:p w14:paraId="782080CF" w14:textId="77777777" w:rsidR="009B109F" w:rsidRPr="00B41B41" w:rsidRDefault="009B109F" w:rsidP="009B109F">
      <w:pPr>
        <w:rPr>
          <w:rFonts w:asciiTheme="majorHAnsi" w:hAnsiTheme="majorHAnsi"/>
          <w:color w:val="000000" w:themeColor="text1"/>
          <w:lang w:eastAsia="en-US"/>
        </w:rPr>
      </w:pPr>
      <w:r w:rsidRPr="00B41B41">
        <w:rPr>
          <w:rFonts w:asciiTheme="majorHAnsi" w:hAnsiTheme="majorHAnsi"/>
          <w:color w:val="000000" w:themeColor="text1"/>
          <w:lang w:eastAsia="en-US"/>
        </w:rPr>
        <w:t>Quantitative and Qualitative Research: A Short Overview</w:t>
      </w:r>
    </w:p>
    <w:p w14:paraId="11FA8D0D" w14:textId="77777777" w:rsidR="009B109F" w:rsidRPr="00B41B41" w:rsidRDefault="009B109F" w:rsidP="009B109F">
      <w:pPr>
        <w:rPr>
          <w:rFonts w:asciiTheme="majorHAnsi" w:hAnsiTheme="majorHAnsi"/>
          <w:color w:val="000000" w:themeColor="text1"/>
          <w:lang w:eastAsia="en-US"/>
        </w:rPr>
      </w:pPr>
    </w:p>
    <w:p w14:paraId="665DFEE3" w14:textId="073F7AC7" w:rsidR="009B109F" w:rsidRPr="00B41B41" w:rsidRDefault="009B109F" w:rsidP="009B109F">
      <w:pPr>
        <w:rPr>
          <w:rFonts w:asciiTheme="majorHAnsi" w:hAnsiTheme="majorHAnsi"/>
          <w:color w:val="000000" w:themeColor="text1"/>
          <w:lang w:eastAsia="en-US"/>
        </w:rPr>
      </w:pPr>
      <w:r w:rsidRPr="00B41B41">
        <w:rPr>
          <w:rFonts w:asciiTheme="majorHAnsi" w:hAnsiTheme="majorHAnsi"/>
          <w:color w:val="000000" w:themeColor="text1"/>
          <w:lang w:eastAsia="en-US"/>
        </w:rPr>
        <w:t>Research into workforce challenges can draw on two broad methodological traditions. Quantitative methods deal with numerical data — statistics on staffing levels, vacancy rates, turnover, absenteeism, sickness, demographics, and workforce distribution. They help to measure the scope of workforce issues, identify patterns, and reveal trends over time. Such data allow for comparisons — across regions, specialities, or periods — and can support evidence-based workforce planning.</w:t>
      </w:r>
    </w:p>
    <w:p w14:paraId="3A81A6AD" w14:textId="2955CE54" w:rsidR="009B109F" w:rsidRPr="00B41B41" w:rsidRDefault="009B109F" w:rsidP="009B109F">
      <w:pPr>
        <w:rPr>
          <w:rFonts w:asciiTheme="majorHAnsi" w:hAnsiTheme="majorHAnsi"/>
          <w:color w:val="000000" w:themeColor="text1"/>
          <w:lang w:eastAsia="en-US"/>
        </w:rPr>
      </w:pPr>
      <w:r w:rsidRPr="00B41B41">
        <w:rPr>
          <w:rFonts w:asciiTheme="majorHAnsi" w:hAnsiTheme="majorHAnsi"/>
          <w:color w:val="000000" w:themeColor="text1"/>
          <w:lang w:eastAsia="en-US"/>
        </w:rPr>
        <w:t>Qualitative methods, in contrast, explore experiences, perceptions and attitudes. Through interviews, focus groups, narrative accounts, and reflective data, qualitative research uncovers the human side of workforce issues: job satisfaction or dissatisfaction, morale, reasons for leaving or staying, perceptions of workload, training, support, management, and workplace culture. These insights often explain why numbers are the way they are.</w:t>
      </w:r>
    </w:p>
    <w:p w14:paraId="6453650B" w14:textId="548AB7AC" w:rsidR="004468F8" w:rsidRPr="00B41B41" w:rsidRDefault="009B109F" w:rsidP="004468F8">
      <w:pPr>
        <w:rPr>
          <w:rFonts w:asciiTheme="majorHAnsi" w:hAnsiTheme="majorHAnsi"/>
          <w:color w:val="000000" w:themeColor="text1"/>
          <w:lang w:eastAsia="en-US"/>
        </w:rPr>
      </w:pPr>
      <w:r w:rsidRPr="00B41B41">
        <w:rPr>
          <w:rFonts w:asciiTheme="majorHAnsi" w:hAnsiTheme="majorHAnsi"/>
          <w:color w:val="000000" w:themeColor="text1"/>
          <w:lang w:eastAsia="en-US"/>
        </w:rPr>
        <w:t>Both approaches offer strengths — one providing breadth and generalisability, the other providing depth and context.</w:t>
      </w:r>
    </w:p>
    <w:p w14:paraId="6E583FBE" w14:textId="77777777" w:rsidR="004468F8" w:rsidRPr="00B41B41" w:rsidRDefault="004468F8" w:rsidP="004468F8">
      <w:pPr>
        <w:rPr>
          <w:rFonts w:asciiTheme="majorHAnsi" w:hAnsiTheme="majorHAnsi"/>
          <w:color w:val="000000" w:themeColor="text1"/>
          <w:lang w:eastAsia="en-US"/>
        </w:rPr>
      </w:pPr>
    </w:p>
    <w:p w14:paraId="4A9259AE" w14:textId="77777777" w:rsidR="004468F8" w:rsidRPr="00B41B41" w:rsidRDefault="004468F8" w:rsidP="004468F8">
      <w:pPr>
        <w:pStyle w:val="Heading2"/>
        <w:rPr>
          <w:rFonts w:eastAsia="Aptos"/>
          <w:color w:val="000000" w:themeColor="text1"/>
          <w:sz w:val="24"/>
          <w:szCs w:val="24"/>
          <w:u w:val="single"/>
          <w:lang w:eastAsia="en-US"/>
        </w:rPr>
      </w:pPr>
      <w:bookmarkStart w:id="6" w:name="_Toc213674537"/>
      <w:r w:rsidRPr="00B41B41">
        <w:rPr>
          <w:rFonts w:eastAsia="Aptos"/>
          <w:color w:val="000000" w:themeColor="text1"/>
          <w:sz w:val="24"/>
          <w:szCs w:val="24"/>
          <w:u w:val="single"/>
          <w:lang w:eastAsia="en-US"/>
        </w:rPr>
        <w:t>What type of research methodology will you use for your research and why?</w:t>
      </w:r>
      <w:bookmarkEnd w:id="6"/>
    </w:p>
    <w:p w14:paraId="42A17418" w14:textId="5BD94288" w:rsidR="009B109F" w:rsidRPr="00B41B41" w:rsidRDefault="009B109F" w:rsidP="009B109F">
      <w:pPr>
        <w:rPr>
          <w:rFonts w:asciiTheme="majorHAnsi" w:hAnsiTheme="majorHAnsi"/>
          <w:color w:val="000000" w:themeColor="text1"/>
        </w:rPr>
      </w:pPr>
      <w:r w:rsidRPr="00B41B41">
        <w:rPr>
          <w:rFonts w:asciiTheme="majorHAnsi" w:hAnsiTheme="majorHAnsi"/>
          <w:color w:val="000000" w:themeColor="text1"/>
        </w:rPr>
        <w:t>The quantitative component will involve analysis of workforce statistics from national and organisational data sources: staff numbers, vacancies, turnover rates, sickness/absence data, vacancy durations, regional distribution across NHS trusts and specialties. This gives an objective picture of the scale, distribution, and changes over time.</w:t>
      </w:r>
    </w:p>
    <w:p w14:paraId="71A06FE9" w14:textId="38DA4954" w:rsidR="009B109F" w:rsidRPr="00B41B41" w:rsidRDefault="009B109F" w:rsidP="009B109F">
      <w:pPr>
        <w:rPr>
          <w:rFonts w:asciiTheme="majorHAnsi" w:hAnsiTheme="majorHAnsi"/>
          <w:color w:val="000000" w:themeColor="text1"/>
        </w:rPr>
      </w:pPr>
      <w:r w:rsidRPr="00B41B41">
        <w:rPr>
          <w:rFonts w:asciiTheme="majorHAnsi" w:hAnsiTheme="majorHAnsi"/>
          <w:color w:val="000000" w:themeColor="text1"/>
        </w:rPr>
        <w:t>The qualitative component will gather first</w:t>
      </w:r>
      <w:r w:rsidRPr="00B41B41">
        <w:rPr>
          <w:rFonts w:ascii="Cambria Math" w:hAnsi="Cambria Math" w:cs="Cambria Math"/>
          <w:color w:val="000000" w:themeColor="text1"/>
        </w:rPr>
        <w:t>‑</w:t>
      </w:r>
      <w:r w:rsidRPr="00B41B41">
        <w:rPr>
          <w:rFonts w:asciiTheme="majorHAnsi" w:hAnsiTheme="majorHAnsi"/>
          <w:color w:val="000000" w:themeColor="text1"/>
        </w:rPr>
        <w:t>hand insight through interviews or focus groups with a sample of NHS staff — including clinical staff, social care linked workers, managers, and support staff. These narratives will explore experiences, perceived causes of stress or job dissatisfaction, factors influencing retention or leaving, opinions on training and support, and suggestions for improvement.</w:t>
      </w:r>
    </w:p>
    <w:p w14:paraId="70D3E790" w14:textId="293BE0E7" w:rsidR="004468F8" w:rsidRPr="00B41B41" w:rsidRDefault="009B109F" w:rsidP="00814F3B">
      <w:pPr>
        <w:rPr>
          <w:rFonts w:asciiTheme="majorHAnsi" w:hAnsiTheme="majorHAnsi"/>
          <w:color w:val="000000" w:themeColor="text1"/>
        </w:rPr>
      </w:pPr>
      <w:r w:rsidRPr="00B41B41">
        <w:rPr>
          <w:rFonts w:asciiTheme="majorHAnsi" w:hAnsiTheme="majorHAnsi"/>
          <w:color w:val="000000" w:themeColor="text1"/>
        </w:rPr>
        <w:lastRenderedPageBreak/>
        <w:t>This mixed-methods approach allows triangulation: statistical patterns can be explained (or challenged) by real-world experiences. For example, a region with high turnover could be understood not just by the numbers, but by hearing why staff leave — burnout, workload, lack of support, lack of career progression. This produces richer, more actionable insight than either method alone.</w:t>
      </w:r>
    </w:p>
    <w:p w14:paraId="0C676CF0" w14:textId="77777777" w:rsidR="00530E16" w:rsidRPr="00B41B41" w:rsidRDefault="004468F8">
      <w:pPr>
        <w:pStyle w:val="Heading1"/>
        <w:jc w:val="both"/>
        <w:rPr>
          <w:color w:val="000000" w:themeColor="text1"/>
          <w:sz w:val="24"/>
          <w:szCs w:val="24"/>
          <w:u w:val="single"/>
        </w:rPr>
      </w:pPr>
      <w:bookmarkStart w:id="7" w:name="_Toc213674538"/>
      <w:r w:rsidRPr="00B41B41">
        <w:rPr>
          <w:color w:val="000000" w:themeColor="text1"/>
          <w:sz w:val="24"/>
          <w:szCs w:val="24"/>
          <w:u w:val="single"/>
        </w:rPr>
        <w:t>Task 3: Data Collection</w:t>
      </w:r>
      <w:bookmarkEnd w:id="7"/>
      <w:r w:rsidRPr="00B41B41">
        <w:rPr>
          <w:color w:val="000000" w:themeColor="text1"/>
          <w:sz w:val="24"/>
          <w:szCs w:val="24"/>
          <w:u w:val="single"/>
        </w:rPr>
        <w:t xml:space="preserve"> </w:t>
      </w:r>
    </w:p>
    <w:p w14:paraId="60E24F4A" w14:textId="792FB909" w:rsidR="009B109F" w:rsidRPr="00B41B41" w:rsidRDefault="009B109F" w:rsidP="009B109F">
      <w:pPr>
        <w:rPr>
          <w:rFonts w:asciiTheme="majorHAnsi" w:hAnsiTheme="majorHAnsi"/>
          <w:color w:val="000000" w:themeColor="text1"/>
          <w:lang w:eastAsia="en-US"/>
        </w:rPr>
      </w:pPr>
      <w:r w:rsidRPr="00B41B41">
        <w:rPr>
          <w:rFonts w:asciiTheme="majorHAnsi" w:hAnsiTheme="majorHAnsi"/>
          <w:color w:val="000000" w:themeColor="text1"/>
          <w:lang w:eastAsia="en-US"/>
        </w:rPr>
        <w:t>Primary vs Secondary Data</w:t>
      </w:r>
    </w:p>
    <w:p w14:paraId="1A664063" w14:textId="36DA742C" w:rsidR="009B109F" w:rsidRPr="00B41B41" w:rsidRDefault="009B109F" w:rsidP="009B109F">
      <w:pPr>
        <w:rPr>
          <w:rFonts w:asciiTheme="majorHAnsi" w:hAnsiTheme="majorHAnsi"/>
          <w:color w:val="000000" w:themeColor="text1"/>
          <w:lang w:eastAsia="en-US"/>
        </w:rPr>
      </w:pPr>
      <w:r w:rsidRPr="00B41B41">
        <w:rPr>
          <w:rFonts w:asciiTheme="majorHAnsi" w:hAnsiTheme="majorHAnsi"/>
          <w:color w:val="000000" w:themeColor="text1"/>
          <w:lang w:eastAsia="en-US"/>
        </w:rPr>
        <w:t>To address the research questions, the study will draw on both primary and secondary data.</w:t>
      </w:r>
    </w:p>
    <w:p w14:paraId="02F11ABC" w14:textId="75A79705" w:rsidR="009B109F" w:rsidRPr="00B41B41" w:rsidRDefault="009B109F" w:rsidP="009B109F">
      <w:pPr>
        <w:rPr>
          <w:rFonts w:asciiTheme="majorHAnsi" w:hAnsiTheme="majorHAnsi"/>
          <w:color w:val="000000" w:themeColor="text1"/>
          <w:lang w:eastAsia="en-US"/>
        </w:rPr>
      </w:pPr>
      <w:r w:rsidRPr="00B41B41">
        <w:rPr>
          <w:rFonts w:asciiTheme="majorHAnsi" w:hAnsiTheme="majorHAnsi"/>
          <w:color w:val="000000" w:themeColor="text1"/>
          <w:lang w:eastAsia="en-US"/>
        </w:rPr>
        <w:t>Secondary data comes from existing records, reports and datasets — for example, NHS workforce statistics, government reports, national surveys, CQC reports, Skills for Care publications, regional workforce breakdowns. This data provides context, scope, and baseline trends.</w:t>
      </w:r>
    </w:p>
    <w:p w14:paraId="3ECB140C" w14:textId="39598F41" w:rsidR="009B109F" w:rsidRPr="00B41B41" w:rsidRDefault="009B109F" w:rsidP="009B109F">
      <w:pPr>
        <w:rPr>
          <w:rFonts w:asciiTheme="majorHAnsi" w:hAnsiTheme="majorHAnsi"/>
          <w:color w:val="000000" w:themeColor="text1"/>
          <w:lang w:eastAsia="en-US"/>
        </w:rPr>
      </w:pPr>
      <w:r w:rsidRPr="00B41B41">
        <w:rPr>
          <w:rFonts w:asciiTheme="majorHAnsi" w:hAnsiTheme="majorHAnsi"/>
          <w:color w:val="000000" w:themeColor="text1"/>
          <w:lang w:eastAsia="en-US"/>
        </w:rPr>
        <w:t>Primary data will be collected specifically for this study through interviews or focus groups with a selection of NHS staff. These might include frontline clinical staff, social</w:t>
      </w:r>
      <w:r w:rsidRPr="00B41B41">
        <w:rPr>
          <w:rFonts w:ascii="Cambria Math" w:hAnsi="Cambria Math" w:cs="Cambria Math"/>
          <w:color w:val="000000" w:themeColor="text1"/>
          <w:lang w:eastAsia="en-US"/>
        </w:rPr>
        <w:t>‑</w:t>
      </w:r>
      <w:r w:rsidRPr="00B41B41">
        <w:rPr>
          <w:rFonts w:asciiTheme="majorHAnsi" w:hAnsiTheme="majorHAnsi"/>
          <w:color w:val="000000" w:themeColor="text1"/>
          <w:lang w:eastAsia="en-US"/>
        </w:rPr>
        <w:t>care</w:t>
      </w:r>
      <w:r w:rsidRPr="00B41B41">
        <w:rPr>
          <w:rFonts w:ascii="Cambria Math" w:hAnsi="Cambria Math" w:cs="Cambria Math"/>
          <w:color w:val="000000" w:themeColor="text1"/>
          <w:lang w:eastAsia="en-US"/>
        </w:rPr>
        <w:t>‑</w:t>
      </w:r>
      <w:r w:rsidRPr="00B41B41">
        <w:rPr>
          <w:rFonts w:asciiTheme="majorHAnsi" w:hAnsiTheme="majorHAnsi"/>
          <w:color w:val="000000" w:themeColor="text1"/>
          <w:lang w:eastAsia="en-US"/>
        </w:rPr>
        <w:t>linked staff, managers, and support workers across different regions, specialties and service settings.</w:t>
      </w:r>
    </w:p>
    <w:p w14:paraId="75F690EE" w14:textId="0FCCD453" w:rsidR="004468F8" w:rsidRPr="00B41B41" w:rsidRDefault="009B109F" w:rsidP="009B109F">
      <w:pPr>
        <w:rPr>
          <w:rFonts w:asciiTheme="majorHAnsi" w:hAnsiTheme="majorHAnsi"/>
          <w:color w:val="000000" w:themeColor="text1"/>
          <w:lang w:eastAsia="en-US"/>
        </w:rPr>
      </w:pPr>
      <w:r w:rsidRPr="00B41B41">
        <w:rPr>
          <w:rFonts w:asciiTheme="majorHAnsi" w:hAnsiTheme="majorHAnsi"/>
          <w:color w:val="000000" w:themeColor="text1"/>
          <w:lang w:eastAsia="en-US"/>
        </w:rPr>
        <w:t>Combining both ensures a full picture: secondary data shows what’s happening; primary data helps explain why, and offers insight into attitudes, beliefs and potential solutions.</w:t>
      </w:r>
    </w:p>
    <w:p w14:paraId="0F22F1E6" w14:textId="77777777" w:rsidR="004468F8" w:rsidRPr="00B41B41" w:rsidRDefault="004468F8" w:rsidP="004468F8">
      <w:pPr>
        <w:rPr>
          <w:rFonts w:asciiTheme="majorHAnsi" w:hAnsiTheme="majorHAnsi"/>
          <w:color w:val="000000" w:themeColor="text1"/>
          <w:lang w:eastAsia="en-US"/>
        </w:rPr>
      </w:pPr>
    </w:p>
    <w:p w14:paraId="4AA6CCB6" w14:textId="77777777" w:rsidR="004468F8" w:rsidRPr="00B41B41" w:rsidRDefault="004468F8" w:rsidP="004468F8">
      <w:pPr>
        <w:rPr>
          <w:rFonts w:asciiTheme="majorHAnsi" w:hAnsiTheme="majorHAnsi"/>
          <w:color w:val="000000" w:themeColor="text1"/>
          <w:lang w:eastAsia="en-US"/>
        </w:rPr>
      </w:pPr>
    </w:p>
    <w:p w14:paraId="7C0838E1" w14:textId="77777777" w:rsidR="004468F8" w:rsidRPr="00B41B41" w:rsidRDefault="004468F8" w:rsidP="004468F8">
      <w:pPr>
        <w:pStyle w:val="Heading2"/>
        <w:rPr>
          <w:rFonts w:eastAsia="Aptos"/>
          <w:color w:val="000000" w:themeColor="text1"/>
          <w:sz w:val="24"/>
          <w:szCs w:val="24"/>
          <w:lang w:eastAsia="en-US"/>
        </w:rPr>
      </w:pPr>
      <w:bookmarkStart w:id="8" w:name="_Toc213674540"/>
      <w:r w:rsidRPr="00B41B41">
        <w:rPr>
          <w:rFonts w:eastAsia="Aptos"/>
          <w:color w:val="000000" w:themeColor="text1"/>
          <w:sz w:val="24"/>
          <w:szCs w:val="24"/>
          <w:lang w:eastAsia="en-US"/>
        </w:rPr>
        <w:t>What form of data will be used to address your research problem, and why?</w:t>
      </w:r>
      <w:bookmarkEnd w:id="8"/>
    </w:p>
    <w:p w14:paraId="0BC98C9D" w14:textId="3BD994F1" w:rsidR="009B109F" w:rsidRPr="00B41B41" w:rsidRDefault="009B109F" w:rsidP="009B109F">
      <w:pPr>
        <w:rPr>
          <w:rFonts w:asciiTheme="majorHAnsi" w:hAnsiTheme="majorHAnsi"/>
          <w:color w:val="000000" w:themeColor="text1"/>
        </w:rPr>
      </w:pPr>
      <w:r w:rsidRPr="00B41B41">
        <w:rPr>
          <w:rFonts w:asciiTheme="majorHAnsi" w:hAnsiTheme="majorHAnsi"/>
          <w:color w:val="000000" w:themeColor="text1"/>
        </w:rPr>
        <w:t>Given the research aims — to understand both the magnitude of workforce challenges and the lived experience of staff — this study will use secondary quantitative data and primary qualitative data.</w:t>
      </w:r>
    </w:p>
    <w:p w14:paraId="5C82CE9A" w14:textId="2533C3B5" w:rsidR="009B109F" w:rsidRPr="00B41B41" w:rsidRDefault="009B109F" w:rsidP="009B109F">
      <w:pPr>
        <w:rPr>
          <w:rFonts w:asciiTheme="majorHAnsi" w:hAnsiTheme="majorHAnsi"/>
          <w:color w:val="000000" w:themeColor="text1"/>
        </w:rPr>
      </w:pPr>
      <w:r w:rsidRPr="00B41B41">
        <w:rPr>
          <w:rFonts w:asciiTheme="majorHAnsi" w:hAnsiTheme="majorHAnsi"/>
          <w:color w:val="000000" w:themeColor="text1"/>
        </w:rPr>
        <w:t>Secondary quantitative data will give concrete evidence on issues such as staffing shortages, vacancy rates, turnover, absences, regional imbalances and skill</w:t>
      </w:r>
      <w:r w:rsidRPr="00B41B41">
        <w:rPr>
          <w:rFonts w:ascii="Cambria Math" w:hAnsi="Cambria Math" w:cs="Cambria Math"/>
          <w:color w:val="000000" w:themeColor="text1"/>
        </w:rPr>
        <w:t>‑</w:t>
      </w:r>
      <w:r w:rsidRPr="00B41B41">
        <w:rPr>
          <w:rFonts w:asciiTheme="majorHAnsi" w:hAnsiTheme="majorHAnsi"/>
          <w:color w:val="000000" w:themeColor="text1"/>
        </w:rPr>
        <w:t>mix disparities (Department of Health and Social Care, 2022; Skills for Care, 2023). This data will help identify which problems are most pressing, which areas are worst affected, and possible trends over time.</w:t>
      </w:r>
    </w:p>
    <w:p w14:paraId="3454FA80" w14:textId="4DE7CEA5" w:rsidR="009B109F" w:rsidRPr="00B41B41" w:rsidRDefault="009B109F" w:rsidP="009B109F">
      <w:pPr>
        <w:rPr>
          <w:rFonts w:asciiTheme="majorHAnsi" w:hAnsiTheme="majorHAnsi"/>
          <w:color w:val="000000" w:themeColor="text1"/>
        </w:rPr>
      </w:pPr>
      <w:r w:rsidRPr="00B41B41">
        <w:rPr>
          <w:rFonts w:asciiTheme="majorHAnsi" w:hAnsiTheme="majorHAnsi"/>
          <w:color w:val="000000" w:themeColor="text1"/>
        </w:rPr>
        <w:t>Primary qualitative data — via interviews or focus groups — will capture the human dimension: how staff perceive working conditions, what drives them to stay or leave, what they see as main pressures, support needs, and ideas for improvement. These insights are crucial for designing interventions that work in real-life settings.</w:t>
      </w:r>
    </w:p>
    <w:p w14:paraId="03ACB30A" w14:textId="5B6B0B1E" w:rsidR="004F6E5A" w:rsidRPr="00B41B41" w:rsidRDefault="009B109F" w:rsidP="004F6E5A">
      <w:pPr>
        <w:rPr>
          <w:rFonts w:asciiTheme="majorHAnsi" w:hAnsiTheme="majorHAnsi"/>
          <w:color w:val="000000" w:themeColor="text1"/>
        </w:rPr>
      </w:pPr>
      <w:r w:rsidRPr="00B41B41">
        <w:rPr>
          <w:rFonts w:asciiTheme="majorHAnsi" w:hAnsiTheme="majorHAnsi"/>
          <w:color w:val="000000" w:themeColor="text1"/>
        </w:rPr>
        <w:t>This combination makes the research more relevant and grounded — especially when it comes to policy recommendations and workforce planning based on real staff needs and experiences.</w:t>
      </w:r>
      <w:r w:rsidR="004F6E5A" w:rsidRPr="00B41B41">
        <w:rPr>
          <w:rFonts w:asciiTheme="majorHAnsi" w:hAnsiTheme="majorHAnsi"/>
          <w:color w:val="000000" w:themeColor="text1"/>
        </w:rPr>
        <w:t xml:space="preserve"> </w:t>
      </w:r>
      <w:r w:rsidR="004F6E5A" w:rsidRPr="00B41B41">
        <w:rPr>
          <w:rFonts w:asciiTheme="majorHAnsi" w:hAnsiTheme="majorHAnsi"/>
          <w:color w:val="000000" w:themeColor="text1"/>
        </w:rPr>
        <w:t>Ethical Considerations</w:t>
      </w:r>
    </w:p>
    <w:p w14:paraId="0622A237" w14:textId="50EF6C41"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lastRenderedPageBreak/>
        <w:t>Because this research involves human participants — NHS staff — ethical standards are vital. Key considerations include:</w:t>
      </w:r>
    </w:p>
    <w:p w14:paraId="4E1D1B3F" w14:textId="0C18CB10"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Informed consent: All participants will receive clear information about the purpose of the research, how data will be used, confidentiality, anonymity, and their right to withdraw at any time without penalty.</w:t>
      </w:r>
    </w:p>
    <w:p w14:paraId="365D5962" w14:textId="2E32E94C"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Confidentiality and anonymity: Personal identities will be protected; data will be anonymised and stored securely. Sensitive responses will be handled carefully, especially when discussing stress, burnout, or negative experiences.</w:t>
      </w:r>
    </w:p>
    <w:p w14:paraId="0ACDAE3A" w14:textId="722CE332"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Minimising harm: The study will avoid causing emotional distress; interview questions will be framed sensitively, and support offered if participants find discussing issues difficult.</w:t>
      </w:r>
    </w:p>
    <w:p w14:paraId="46F4B00C" w14:textId="3F14E628"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Data protection: Data will be stored in secure, access-controlled environments, and only used for research purposes. Findings will be reported in aggregate without identifying individuals or organisations (Care Quality Commission, 2023).</w:t>
      </w:r>
    </w:p>
    <w:p w14:paraId="4F71B98F" w14:textId="58E89537" w:rsidR="00814F3B" w:rsidRPr="00B41B41" w:rsidRDefault="004F6E5A" w:rsidP="00814F3B">
      <w:pPr>
        <w:rPr>
          <w:rFonts w:asciiTheme="majorHAnsi" w:hAnsiTheme="majorHAnsi"/>
          <w:color w:val="000000" w:themeColor="text1"/>
        </w:rPr>
      </w:pPr>
      <w:r w:rsidRPr="00B41B41">
        <w:rPr>
          <w:rFonts w:asciiTheme="majorHAnsi" w:hAnsiTheme="majorHAnsi"/>
          <w:color w:val="000000" w:themeColor="text1"/>
        </w:rPr>
        <w:t>Adhering to these principles ensures that participants are respected and protected, and that the research is trustworthy and ethically sound.</w:t>
      </w:r>
    </w:p>
    <w:p w14:paraId="42E081D5" w14:textId="77777777" w:rsidR="00814F3B" w:rsidRPr="00B41B41" w:rsidRDefault="00814F3B" w:rsidP="00814F3B">
      <w:pPr>
        <w:rPr>
          <w:rFonts w:asciiTheme="majorHAnsi" w:hAnsiTheme="majorHAnsi"/>
          <w:color w:val="000000" w:themeColor="text1"/>
        </w:rPr>
      </w:pPr>
    </w:p>
    <w:p w14:paraId="1C66B534" w14:textId="77777777" w:rsidR="00814F3B" w:rsidRPr="00B41B41" w:rsidRDefault="00814F3B" w:rsidP="004F6E5A">
      <w:pPr>
        <w:rPr>
          <w:rFonts w:asciiTheme="majorHAnsi" w:hAnsiTheme="majorHAnsi"/>
          <w:color w:val="000000" w:themeColor="text1"/>
          <w:u w:val="single"/>
        </w:rPr>
      </w:pPr>
      <w:r w:rsidRPr="00B41B41">
        <w:rPr>
          <w:rFonts w:asciiTheme="majorHAnsi" w:hAnsiTheme="majorHAnsi"/>
          <w:color w:val="000000" w:themeColor="text1"/>
          <w:u w:val="single"/>
        </w:rPr>
        <w:t>Data analysis</w:t>
      </w:r>
    </w:p>
    <w:p w14:paraId="09BEB648" w14:textId="1B70D313" w:rsidR="004F6E5A" w:rsidRPr="00B41B41" w:rsidRDefault="004F6E5A" w:rsidP="00814F3B">
      <w:pPr>
        <w:rPr>
          <w:rFonts w:asciiTheme="majorHAnsi" w:hAnsiTheme="majorHAnsi"/>
          <w:color w:val="000000" w:themeColor="text1"/>
        </w:rPr>
      </w:pPr>
      <w:r w:rsidRPr="00B41B41">
        <w:rPr>
          <w:rFonts w:asciiTheme="majorHAnsi" w:hAnsiTheme="majorHAnsi"/>
          <w:color w:val="000000" w:themeColor="text1"/>
        </w:rPr>
        <w:t>Once data is collected, two parallel analysis paths will be followed:</w:t>
      </w:r>
    </w:p>
    <w:p w14:paraId="2CF76048" w14:textId="6EDD00F3"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Quantitative analysis: Using workforce data to produce descriptive statistics (e.g. vacancy rates, turnover, regional distribution), and, where possible, trend analyses over time. This will help identify hotspots — specialties or regions with severe workforce shortages, high turnover,</w:t>
      </w:r>
      <w:r w:rsidR="00814F3B" w:rsidRPr="00B41B41">
        <w:rPr>
          <w:rFonts w:asciiTheme="majorHAnsi" w:hAnsiTheme="majorHAnsi"/>
          <w:color w:val="000000" w:themeColor="text1"/>
        </w:rPr>
        <w:t xml:space="preserve"> </w:t>
      </w:r>
      <w:r w:rsidRPr="00B41B41">
        <w:rPr>
          <w:rFonts w:asciiTheme="majorHAnsi" w:hAnsiTheme="majorHAnsi"/>
          <w:color w:val="000000" w:themeColor="text1"/>
        </w:rPr>
        <w:t>or persistent vacancies — as well as patterns (e.g. higher turnover among younger staff or in certain disciplines).</w:t>
      </w:r>
    </w:p>
    <w:p w14:paraId="04F320DD" w14:textId="2F7A6769"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Qualitative analysis: Transcripts from interviews/focus groups will be coded thematically. Common themes (e.g. burnout, workload, lack of support, training deficits, regional pressures, morale, career progression) will be identified. These themes will give insight into staff perceptions, motivations, barriers, and suggestions.</w:t>
      </w:r>
    </w:p>
    <w:p w14:paraId="0AF14527" w14:textId="05DDE7D0"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By triangulating both datasets, the research can link numbers to experiences. For example, if a region shows high vacancy and turnover rates, the qualitative data may explain that this is due to poor working conditions, insufficient staffing leading to overload, lack of opportunity, or low morale — offering possible intervention points rather than just identifying a problem.</w:t>
      </w:r>
    </w:p>
    <w:p w14:paraId="625D4933" w14:textId="2D12C0AC"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Potential Strategies and Recommendations</w:t>
      </w:r>
    </w:p>
    <w:p w14:paraId="10D39740" w14:textId="43766378"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Based on likely findings, the research will explore a range of strategies to address workforce challenges. Some areas to consider:</w:t>
      </w:r>
    </w:p>
    <w:p w14:paraId="57869A7B" w14:textId="2FD2DC65"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lastRenderedPageBreak/>
        <w:t>Improved recruitment and retention policies — through better work</w:t>
      </w:r>
      <w:r w:rsidRPr="00B41B41">
        <w:rPr>
          <w:rFonts w:ascii="Cambria Math" w:hAnsi="Cambria Math" w:cs="Cambria Math"/>
          <w:color w:val="000000" w:themeColor="text1"/>
        </w:rPr>
        <w:t>‑</w:t>
      </w:r>
      <w:r w:rsidRPr="00B41B41">
        <w:rPr>
          <w:rFonts w:asciiTheme="majorHAnsi" w:hAnsiTheme="majorHAnsi"/>
          <w:color w:val="000000" w:themeColor="text1"/>
        </w:rPr>
        <w:t>life balance, flexible working arrangements, mental</w:t>
      </w:r>
      <w:r w:rsidRPr="00B41B41">
        <w:rPr>
          <w:rFonts w:ascii="Cambria Math" w:hAnsi="Cambria Math" w:cs="Cambria Math"/>
          <w:color w:val="000000" w:themeColor="text1"/>
        </w:rPr>
        <w:t>‑</w:t>
      </w:r>
      <w:r w:rsidRPr="00B41B41">
        <w:rPr>
          <w:rFonts w:asciiTheme="majorHAnsi" w:hAnsiTheme="majorHAnsi"/>
          <w:color w:val="000000" w:themeColor="text1"/>
        </w:rPr>
        <w:t>health support, career progression pathways, incentives for working in underserved regions or specialities.</w:t>
      </w:r>
    </w:p>
    <w:p w14:paraId="1BAE1467" w14:textId="475DD473"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Enhanced training and professional development — ensuring staff have opportunities to upskill, retrain, or specialise; support for continuous education; recognition of varied skill</w:t>
      </w:r>
      <w:r w:rsidRPr="00B41B41">
        <w:rPr>
          <w:rFonts w:ascii="Cambria Math" w:hAnsi="Cambria Math" w:cs="Cambria Math"/>
          <w:color w:val="000000" w:themeColor="text1"/>
        </w:rPr>
        <w:t>‑</w:t>
      </w:r>
      <w:r w:rsidRPr="00B41B41">
        <w:rPr>
          <w:rFonts w:asciiTheme="majorHAnsi" w:hAnsiTheme="majorHAnsi"/>
          <w:color w:val="000000" w:themeColor="text1"/>
        </w:rPr>
        <w:t>mix needs across specialties (Department of Health and Social Care, 2022).</w:t>
      </w:r>
    </w:p>
    <w:p w14:paraId="4E9D2896" w14:textId="75AC1DBC"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Supportive workplace culture and wellbeing — structured debriefings, supportive supervision, mental health resources, team cohesion, workload management, clarity in roles and expectations (Care Quality Commission, 2023).</w:t>
      </w:r>
    </w:p>
    <w:p w14:paraId="4DFA4170" w14:textId="66FDACF5"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Workforce planning and resource allocation — better national and regional workforce planning based on data, ensuring staffing levels match demand, targeting recruitment to shortage areas, using data-driven forecasts for future needs (Skills for Care, 2023).</w:t>
      </w:r>
    </w:p>
    <w:p w14:paraId="534E8807" w14:textId="2CE10FFE"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Integrated care and cross</w:t>
      </w:r>
      <w:r w:rsidRPr="00B41B41">
        <w:rPr>
          <w:rFonts w:ascii="Cambria Math" w:hAnsi="Cambria Math" w:cs="Cambria Math"/>
          <w:color w:val="000000" w:themeColor="text1"/>
        </w:rPr>
        <w:t>‑</w:t>
      </w:r>
      <w:r w:rsidRPr="00B41B41">
        <w:rPr>
          <w:rFonts w:asciiTheme="majorHAnsi" w:hAnsiTheme="majorHAnsi"/>
          <w:color w:val="000000" w:themeColor="text1"/>
        </w:rPr>
        <w:t>sector collaboration — particularly between NHS and social care sectors, to ensure smoother transitions, shared responsibility, resource pooling, and support networks. This may ease pressures on hospital</w:t>
      </w:r>
      <w:r w:rsidRPr="00B41B41">
        <w:rPr>
          <w:rFonts w:ascii="Cambria Math" w:hAnsi="Cambria Math" w:cs="Cambria Math"/>
          <w:color w:val="000000" w:themeColor="text1"/>
        </w:rPr>
        <w:t>‑</w:t>
      </w:r>
      <w:r w:rsidRPr="00B41B41">
        <w:rPr>
          <w:rFonts w:asciiTheme="majorHAnsi" w:hAnsiTheme="majorHAnsi"/>
          <w:color w:val="000000" w:themeColor="text1"/>
        </w:rPr>
        <w:t>based staff and help manage community care more effectively.</w:t>
      </w:r>
    </w:p>
    <w:p w14:paraId="02D0C07C" w14:textId="512F46B5" w:rsidR="004468F8" w:rsidRPr="00B41B41" w:rsidRDefault="004F6E5A" w:rsidP="004468F8">
      <w:pPr>
        <w:rPr>
          <w:rFonts w:asciiTheme="majorHAnsi" w:hAnsiTheme="majorHAnsi"/>
          <w:color w:val="000000" w:themeColor="text1"/>
        </w:rPr>
      </w:pPr>
      <w:r w:rsidRPr="00B41B41">
        <w:rPr>
          <w:rFonts w:asciiTheme="majorHAnsi" w:hAnsiTheme="majorHAnsi"/>
          <w:color w:val="000000" w:themeColor="text1"/>
        </w:rPr>
        <w:t>These strategies are not mutually exclusive; in fact, a combination — informed by data and staff experiences — is likely required for meaningful change.</w:t>
      </w:r>
    </w:p>
    <w:p w14:paraId="1D74FBDD" w14:textId="77777777" w:rsidR="00530E16" w:rsidRPr="00B41B41" w:rsidRDefault="004468F8">
      <w:pPr>
        <w:pStyle w:val="Heading1"/>
        <w:jc w:val="both"/>
        <w:rPr>
          <w:color w:val="000000" w:themeColor="text1"/>
          <w:sz w:val="24"/>
          <w:szCs w:val="24"/>
          <w:u w:val="single"/>
        </w:rPr>
      </w:pPr>
      <w:bookmarkStart w:id="9" w:name="_Toc213674541"/>
      <w:r w:rsidRPr="00B41B41">
        <w:rPr>
          <w:color w:val="000000" w:themeColor="text1"/>
          <w:sz w:val="24"/>
          <w:szCs w:val="24"/>
          <w:u w:val="single"/>
        </w:rPr>
        <w:t>Conclusion</w:t>
      </w:r>
      <w:bookmarkEnd w:id="9"/>
    </w:p>
    <w:p w14:paraId="1EC4EB67" w14:textId="4FEF41E5"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 xml:space="preserve">The UK’s NHS workforce is facing significant and complex challenges. Staff shortages, uneven distribution, burnout, limited support, and skill gaps all contribute to instability and risk undermining the ability of the NHS to provide consistent, high-quality care. Given expected increases in demand and demographic pressures, solving </w:t>
      </w:r>
      <w:r w:rsidR="00814F3B" w:rsidRPr="00B41B41">
        <w:rPr>
          <w:rFonts w:asciiTheme="majorHAnsi" w:hAnsiTheme="majorHAnsi"/>
          <w:color w:val="000000" w:themeColor="text1"/>
        </w:rPr>
        <w:t>these workforces’</w:t>
      </w:r>
      <w:r w:rsidRPr="00B41B41">
        <w:rPr>
          <w:rFonts w:asciiTheme="majorHAnsi" w:hAnsiTheme="majorHAnsi"/>
          <w:color w:val="000000" w:themeColor="text1"/>
        </w:rPr>
        <w:t xml:space="preserve"> issues must be a priority.</w:t>
      </w:r>
    </w:p>
    <w:p w14:paraId="03879527" w14:textId="77777777" w:rsidR="004F6E5A" w:rsidRPr="00B41B41" w:rsidRDefault="004F6E5A" w:rsidP="004F6E5A">
      <w:pPr>
        <w:rPr>
          <w:rFonts w:asciiTheme="majorHAnsi" w:hAnsiTheme="majorHAnsi"/>
          <w:color w:val="000000" w:themeColor="text1"/>
        </w:rPr>
      </w:pPr>
    </w:p>
    <w:p w14:paraId="0371BEA1" w14:textId="77777777" w:rsidR="004F6E5A"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A mixed-methods research approach — combining secondary quantitative data with primary qualitative insight — provides the most rounded, realistic way to explore these problems. Quantitative data shows where and how big the problems are. Qualitative data shows how they impact individuals and the quality of care, and why staff may feel unable to stay.</w:t>
      </w:r>
    </w:p>
    <w:p w14:paraId="3DAAE893" w14:textId="77777777" w:rsidR="004F6E5A" w:rsidRPr="00B41B41" w:rsidRDefault="004F6E5A" w:rsidP="004F6E5A">
      <w:pPr>
        <w:rPr>
          <w:rFonts w:asciiTheme="majorHAnsi" w:hAnsiTheme="majorHAnsi"/>
          <w:color w:val="000000" w:themeColor="text1"/>
        </w:rPr>
      </w:pPr>
    </w:p>
    <w:p w14:paraId="0B815B92" w14:textId="60A9312F" w:rsidR="004468F8" w:rsidRPr="00B41B41" w:rsidRDefault="004F6E5A" w:rsidP="004F6E5A">
      <w:pPr>
        <w:rPr>
          <w:rFonts w:asciiTheme="majorHAnsi" w:hAnsiTheme="majorHAnsi"/>
          <w:color w:val="000000" w:themeColor="text1"/>
        </w:rPr>
      </w:pPr>
      <w:r w:rsidRPr="00B41B41">
        <w:rPr>
          <w:rFonts w:asciiTheme="majorHAnsi" w:hAnsiTheme="majorHAnsi"/>
          <w:color w:val="000000" w:themeColor="text1"/>
        </w:rPr>
        <w:t>By triangulating evidence and human experience, this study can inform policy recommendations, workforce planning, training programmes, workforce support strategies and long-term change. If implemented, such changes could help build a more resilient, supported, well-distributed and motivated workforce — which in turn supports safer, more reliable care for patients across the UK.</w:t>
      </w:r>
    </w:p>
    <w:p w14:paraId="7CA29C3E" w14:textId="77777777" w:rsidR="00530E16" w:rsidRPr="00814F3B" w:rsidRDefault="004468F8">
      <w:pPr>
        <w:pStyle w:val="Heading1"/>
        <w:rPr>
          <w:color w:val="000000" w:themeColor="text1"/>
        </w:rPr>
      </w:pPr>
      <w:bookmarkStart w:id="10" w:name="_Toc213674542"/>
      <w:r w:rsidRPr="00814F3B">
        <w:rPr>
          <w:color w:val="000000" w:themeColor="text1"/>
        </w:rPr>
        <w:lastRenderedPageBreak/>
        <w:t>References</w:t>
      </w:r>
      <w:bookmarkEnd w:id="10"/>
    </w:p>
    <w:p w14:paraId="55B2F513" w14:textId="77777777" w:rsidR="004F6E5A" w:rsidRPr="00814F3B" w:rsidRDefault="004F6E5A" w:rsidP="004F6E5A">
      <w:pPr>
        <w:rPr>
          <w:rFonts w:asciiTheme="majorHAnsi" w:eastAsia="Arial" w:hAnsiTheme="majorHAnsi" w:cs="Arial"/>
          <w:i/>
          <w:iCs/>
          <w:color w:val="000000" w:themeColor="text1"/>
          <w:sz w:val="22"/>
          <w:szCs w:val="22"/>
        </w:rPr>
      </w:pPr>
      <w:r w:rsidRPr="00814F3B">
        <w:rPr>
          <w:rFonts w:asciiTheme="majorHAnsi" w:eastAsia="Arial" w:hAnsiTheme="majorHAnsi" w:cs="Arial"/>
          <w:i/>
          <w:iCs/>
          <w:color w:val="000000" w:themeColor="text1"/>
          <w:sz w:val="22"/>
          <w:szCs w:val="22"/>
        </w:rPr>
        <w:t>Care Quality Commission (2023) Guidance on effective social care practice. London: CQC.</w:t>
      </w:r>
    </w:p>
    <w:p w14:paraId="4D70BC95" w14:textId="77777777" w:rsidR="004F6E5A" w:rsidRPr="00814F3B" w:rsidRDefault="004F6E5A" w:rsidP="004F6E5A">
      <w:pPr>
        <w:rPr>
          <w:rFonts w:asciiTheme="majorHAnsi" w:eastAsia="Arial" w:hAnsiTheme="majorHAnsi" w:cs="Arial"/>
          <w:i/>
          <w:iCs/>
          <w:color w:val="000000" w:themeColor="text1"/>
          <w:sz w:val="22"/>
          <w:szCs w:val="22"/>
        </w:rPr>
      </w:pPr>
      <w:r w:rsidRPr="00814F3B">
        <w:rPr>
          <w:rFonts w:asciiTheme="majorHAnsi" w:eastAsia="Arial" w:hAnsiTheme="majorHAnsi" w:cs="Arial"/>
          <w:i/>
          <w:iCs/>
          <w:color w:val="000000" w:themeColor="text1"/>
          <w:sz w:val="22"/>
          <w:szCs w:val="22"/>
        </w:rPr>
        <w:t>Department of Health and Social Care (2022) Working in Social Care and Standards. UK Government.</w:t>
      </w:r>
    </w:p>
    <w:p w14:paraId="78FF826F" w14:textId="77777777" w:rsidR="004F6E5A" w:rsidRPr="00814F3B" w:rsidRDefault="004F6E5A" w:rsidP="004F6E5A">
      <w:pPr>
        <w:rPr>
          <w:rFonts w:asciiTheme="majorHAnsi" w:eastAsia="Arial" w:hAnsiTheme="majorHAnsi" w:cs="Arial"/>
          <w:i/>
          <w:iCs/>
          <w:color w:val="000000" w:themeColor="text1"/>
          <w:sz w:val="22"/>
          <w:szCs w:val="22"/>
        </w:rPr>
      </w:pPr>
      <w:r w:rsidRPr="00814F3B">
        <w:rPr>
          <w:rFonts w:asciiTheme="majorHAnsi" w:eastAsia="Arial" w:hAnsiTheme="majorHAnsi" w:cs="Arial"/>
          <w:i/>
          <w:iCs/>
          <w:color w:val="000000" w:themeColor="text1"/>
          <w:sz w:val="22"/>
          <w:szCs w:val="22"/>
        </w:rPr>
        <w:t>Skills for Care (2023) Core Skills Framework for Adult Social Care Workers. Leeds: Skills for Care.</w:t>
      </w:r>
    </w:p>
    <w:p w14:paraId="7D3BC226" w14:textId="77777777" w:rsidR="004F6E5A" w:rsidRPr="00814F3B" w:rsidRDefault="004F6E5A" w:rsidP="004F6E5A">
      <w:pPr>
        <w:rPr>
          <w:rFonts w:asciiTheme="majorHAnsi" w:eastAsia="Arial" w:hAnsiTheme="majorHAnsi" w:cs="Arial"/>
          <w:i/>
          <w:iCs/>
          <w:color w:val="000000" w:themeColor="text1"/>
          <w:sz w:val="22"/>
          <w:szCs w:val="22"/>
        </w:rPr>
      </w:pPr>
      <w:r w:rsidRPr="00814F3B">
        <w:rPr>
          <w:rFonts w:asciiTheme="majorHAnsi" w:eastAsia="Arial" w:hAnsiTheme="majorHAnsi" w:cs="Arial"/>
          <w:i/>
          <w:iCs/>
          <w:color w:val="000000" w:themeColor="text1"/>
          <w:sz w:val="22"/>
          <w:szCs w:val="22"/>
        </w:rPr>
        <w:t xml:space="preserve">Thompson, N. (2021) People and Society: An Introduction to Social Care Practice. 4th </w:t>
      </w:r>
      <w:proofErr w:type="spellStart"/>
      <w:r w:rsidRPr="00814F3B">
        <w:rPr>
          <w:rFonts w:asciiTheme="majorHAnsi" w:eastAsia="Arial" w:hAnsiTheme="majorHAnsi" w:cs="Arial"/>
          <w:i/>
          <w:iCs/>
          <w:color w:val="000000" w:themeColor="text1"/>
          <w:sz w:val="22"/>
          <w:szCs w:val="22"/>
        </w:rPr>
        <w:t>edn</w:t>
      </w:r>
      <w:proofErr w:type="spellEnd"/>
      <w:r w:rsidRPr="00814F3B">
        <w:rPr>
          <w:rFonts w:asciiTheme="majorHAnsi" w:eastAsia="Arial" w:hAnsiTheme="majorHAnsi" w:cs="Arial"/>
          <w:i/>
          <w:iCs/>
          <w:color w:val="000000" w:themeColor="text1"/>
          <w:sz w:val="22"/>
          <w:szCs w:val="22"/>
        </w:rPr>
        <w:t>. London: Red Globe Press.</w:t>
      </w:r>
    </w:p>
    <w:p w14:paraId="0550FD2C" w14:textId="7894264F" w:rsidR="00530E16" w:rsidRPr="00814F3B" w:rsidRDefault="004F6E5A" w:rsidP="004F6E5A">
      <w:pPr>
        <w:rPr>
          <w:rFonts w:asciiTheme="majorHAnsi" w:eastAsia="Arial" w:hAnsiTheme="majorHAnsi" w:cs="Arial"/>
          <w:i/>
          <w:iCs/>
          <w:color w:val="000000" w:themeColor="text1"/>
          <w:sz w:val="22"/>
          <w:szCs w:val="22"/>
        </w:rPr>
      </w:pPr>
      <w:r w:rsidRPr="00814F3B">
        <w:rPr>
          <w:rFonts w:asciiTheme="majorHAnsi" w:eastAsia="Arial" w:hAnsiTheme="majorHAnsi" w:cs="Arial"/>
          <w:i/>
          <w:iCs/>
          <w:color w:val="000000" w:themeColor="text1"/>
          <w:sz w:val="22"/>
          <w:szCs w:val="22"/>
        </w:rPr>
        <w:t>NHS England (2022) Person-centred approaches: A core skills Education and Training Framework. London: NHS England.</w:t>
      </w:r>
    </w:p>
    <w:sectPr w:rsidR="00530E16" w:rsidRPr="00814F3B"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7A89B" w14:textId="77777777" w:rsidR="00E82403" w:rsidRDefault="00E82403" w:rsidP="002A1842">
      <w:pPr>
        <w:spacing w:after="0" w:line="240" w:lineRule="auto"/>
      </w:pPr>
      <w:r>
        <w:separator/>
      </w:r>
    </w:p>
  </w:endnote>
  <w:endnote w:type="continuationSeparator" w:id="0">
    <w:p w14:paraId="4F56B5AF" w14:textId="77777777" w:rsidR="00E82403" w:rsidRDefault="00E8240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BECE16B"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5990A08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21BDD91"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620FFC6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F6FDA" w14:textId="77777777" w:rsidR="00E82403" w:rsidRDefault="00E82403" w:rsidP="002A1842">
      <w:pPr>
        <w:spacing w:after="0" w:line="240" w:lineRule="auto"/>
      </w:pPr>
      <w:r>
        <w:separator/>
      </w:r>
    </w:p>
  </w:footnote>
  <w:footnote w:type="continuationSeparator" w:id="0">
    <w:p w14:paraId="083B84E3" w14:textId="77777777" w:rsidR="00E82403" w:rsidRDefault="00E8240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5B4797"/>
    <w:multiLevelType w:val="multilevel"/>
    <w:tmpl w:val="7300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44073FE"/>
    <w:multiLevelType w:val="multilevel"/>
    <w:tmpl w:val="7396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0A5554E"/>
    <w:multiLevelType w:val="multilevel"/>
    <w:tmpl w:val="D80A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18304082">
    <w:abstractNumId w:val="8"/>
  </w:num>
  <w:num w:numId="2" w16cid:durableId="1062823799">
    <w:abstractNumId w:val="5"/>
  </w:num>
  <w:num w:numId="3" w16cid:durableId="1354303466">
    <w:abstractNumId w:val="3"/>
  </w:num>
  <w:num w:numId="4" w16cid:durableId="1398941138">
    <w:abstractNumId w:val="2"/>
  </w:num>
  <w:num w:numId="5" w16cid:durableId="1712341058">
    <w:abstractNumId w:val="6"/>
  </w:num>
  <w:num w:numId="6" w16cid:durableId="1417283345">
    <w:abstractNumId w:val="0"/>
  </w:num>
  <w:num w:numId="7" w16cid:durableId="557519576">
    <w:abstractNumId w:val="10"/>
  </w:num>
  <w:num w:numId="8" w16cid:durableId="1637029221">
    <w:abstractNumId w:val="9"/>
  </w:num>
  <w:num w:numId="9" w16cid:durableId="40520065">
    <w:abstractNumId w:val="4"/>
  </w:num>
  <w:num w:numId="10" w16cid:durableId="259337287">
    <w:abstractNumId w:val="1"/>
  </w:num>
  <w:num w:numId="11" w16cid:durableId="15981783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481E"/>
    <w:rsid w:val="000445CB"/>
    <w:rsid w:val="00172AD1"/>
    <w:rsid w:val="001813E7"/>
    <w:rsid w:val="002A1842"/>
    <w:rsid w:val="00307D60"/>
    <w:rsid w:val="004468F8"/>
    <w:rsid w:val="004F6E5A"/>
    <w:rsid w:val="00530E16"/>
    <w:rsid w:val="00722EFE"/>
    <w:rsid w:val="007637E9"/>
    <w:rsid w:val="00814F3B"/>
    <w:rsid w:val="008E7834"/>
    <w:rsid w:val="009B109F"/>
    <w:rsid w:val="009F60D1"/>
    <w:rsid w:val="00A75B15"/>
    <w:rsid w:val="00AE06EA"/>
    <w:rsid w:val="00B41B41"/>
    <w:rsid w:val="00B65ED6"/>
    <w:rsid w:val="00BA0043"/>
    <w:rsid w:val="00CB6FA6"/>
    <w:rsid w:val="00CF650B"/>
    <w:rsid w:val="00D62A9C"/>
    <w:rsid w:val="00DB181C"/>
    <w:rsid w:val="00E82403"/>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425E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2543</Words>
  <Characters>14500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Ivana Balogova (1916775)</cp:lastModifiedBy>
  <cp:revision>6</cp:revision>
  <dcterms:created xsi:type="dcterms:W3CDTF">2025-11-10T13:20:00Z</dcterms:created>
  <dcterms:modified xsi:type="dcterms:W3CDTF">2025-12-07T17:10:00Z</dcterms:modified>
</cp:coreProperties>
</file>