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8BEE3" w14:textId="4E7EB5EF" w:rsidR="0019694C" w:rsidRPr="004F13D1" w:rsidRDefault="70B472EF" w:rsidP="007B7B63">
      <w:pPr>
        <w:pStyle w:val="Image"/>
        <w:rPr>
          <w:rFonts w:ascii="Arial" w:hAnsi="Arial" w:cs="Arial"/>
          <w:color w:val="000000" w:themeColor="text1"/>
        </w:rPr>
      </w:pPr>
      <w:r w:rsidRPr="004F13D1">
        <w:rPr>
          <w:rFonts w:ascii="Arial" w:hAnsi="Arial" w:cs="Arial"/>
          <w:noProof/>
          <w:color w:val="000000" w:themeColor="text1"/>
        </w:rPr>
        <w:drawing>
          <wp:inline distT="0" distB="0" distL="0" distR="0" wp14:anchorId="3936B46A" wp14:editId="626224DA">
            <wp:extent cx="4572000" cy="3505200"/>
            <wp:effectExtent l="0" t="0" r="0" b="0"/>
            <wp:docPr id="803463336" name="Picture 803463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3505200"/>
                    </a:xfrm>
                    <a:prstGeom prst="rect">
                      <a:avLst/>
                    </a:prstGeom>
                  </pic:spPr>
                </pic:pic>
              </a:graphicData>
            </a:graphic>
          </wp:inline>
        </w:drawing>
      </w:r>
    </w:p>
    <w:p w14:paraId="0CC1A897" w14:textId="77777777" w:rsidR="00357E0F" w:rsidRDefault="00357E0F" w:rsidP="00357E0F">
      <w:pPr>
        <w:pStyle w:val="Title"/>
        <w:jc w:val="center"/>
      </w:pPr>
    </w:p>
    <w:p w14:paraId="3D1FDA90" w14:textId="4BEE3705" w:rsidR="0019694C" w:rsidRDefault="7F4D83F3" w:rsidP="00357E0F">
      <w:pPr>
        <w:pStyle w:val="Title"/>
        <w:jc w:val="center"/>
      </w:pPr>
      <w:r w:rsidRPr="00357E0F">
        <w:t>EMPLOYEE ENGAGEMENT</w:t>
      </w:r>
    </w:p>
    <w:p w14:paraId="20FD9BE1" w14:textId="3C51D5B7" w:rsidR="00357E0F" w:rsidRDefault="00357E0F" w:rsidP="00357E0F">
      <w:pPr>
        <w:pStyle w:val="Title"/>
        <w:jc w:val="center"/>
      </w:pPr>
    </w:p>
    <w:p w14:paraId="2A809231" w14:textId="21752AEF" w:rsidR="00357E0F" w:rsidRDefault="00357E0F" w:rsidP="00357E0F">
      <w:pPr>
        <w:pStyle w:val="Title"/>
        <w:jc w:val="center"/>
      </w:pPr>
    </w:p>
    <w:p w14:paraId="26FCD117" w14:textId="77777777" w:rsidR="00357E0F" w:rsidRPr="00357E0F" w:rsidRDefault="00357E0F" w:rsidP="00357E0F">
      <w:pPr>
        <w:pStyle w:val="Title"/>
        <w:jc w:val="center"/>
      </w:pPr>
    </w:p>
    <w:p w14:paraId="0A10A6D3" w14:textId="490F2FE8" w:rsidR="0019694C" w:rsidRPr="004F13D1" w:rsidRDefault="00E814EC" w:rsidP="00357E0F">
      <w:pPr>
        <w:pStyle w:val="Subtitle"/>
        <w:jc w:val="center"/>
        <w:rPr>
          <w:rFonts w:ascii="Arial" w:hAnsi="Arial" w:cs="Arial"/>
          <w:color w:val="000000" w:themeColor="text1"/>
          <w:lang w:val="en-GB"/>
        </w:rPr>
      </w:pPr>
      <w:r w:rsidRPr="004F13D1">
        <w:rPr>
          <w:rFonts w:ascii="Arial" w:hAnsi="Arial" w:cs="Arial"/>
          <w:color w:val="000000" w:themeColor="text1"/>
          <w:lang w:val="en-GB" w:bidi="en-US"/>
        </w:rPr>
        <w:t>Student Name</w:t>
      </w:r>
      <w:r w:rsidR="796B1FB1" w:rsidRPr="004F13D1">
        <w:rPr>
          <w:rFonts w:ascii="Arial" w:hAnsi="Arial" w:cs="Arial"/>
          <w:color w:val="000000" w:themeColor="text1"/>
          <w:lang w:val="en-GB" w:bidi="en-US"/>
        </w:rPr>
        <w:t>: Andreea Elisabeta Magos</w:t>
      </w:r>
    </w:p>
    <w:p w14:paraId="3BDC9E55" w14:textId="6CD51123" w:rsidR="0019694C" w:rsidRPr="004F13D1" w:rsidRDefault="00E814EC" w:rsidP="00357E0F">
      <w:pPr>
        <w:pStyle w:val="Subtitle"/>
        <w:jc w:val="center"/>
        <w:rPr>
          <w:rFonts w:ascii="Arial" w:hAnsi="Arial" w:cs="Arial"/>
          <w:color w:val="000000" w:themeColor="text1"/>
          <w:lang w:val="en-GB"/>
        </w:rPr>
      </w:pPr>
      <w:r w:rsidRPr="004F13D1">
        <w:rPr>
          <w:rFonts w:ascii="Arial" w:hAnsi="Arial" w:cs="Arial"/>
          <w:color w:val="000000" w:themeColor="text1"/>
          <w:lang w:val="en-GB" w:bidi="en-US"/>
        </w:rPr>
        <w:t>Course Name</w:t>
      </w:r>
      <w:r w:rsidR="256073D9" w:rsidRPr="004F13D1">
        <w:rPr>
          <w:rFonts w:ascii="Arial" w:hAnsi="Arial" w:cs="Arial"/>
          <w:color w:val="000000" w:themeColor="text1"/>
          <w:lang w:val="en-GB" w:bidi="en-US"/>
        </w:rPr>
        <w:t>: Managing People (LCBB5004)</w:t>
      </w:r>
    </w:p>
    <w:p w14:paraId="214BC494" w14:textId="77777777" w:rsidR="0019694C" w:rsidRDefault="00E814EC" w:rsidP="00357E0F">
      <w:pPr>
        <w:pStyle w:val="Subtitle"/>
        <w:jc w:val="center"/>
        <w:rPr>
          <w:rFonts w:ascii="Arial" w:hAnsi="Arial" w:cs="Arial"/>
          <w:color w:val="000000" w:themeColor="text1"/>
          <w:lang w:val="en-GB" w:bidi="en-US"/>
        </w:rPr>
      </w:pPr>
      <w:r w:rsidRPr="004F13D1">
        <w:rPr>
          <w:rFonts w:ascii="Arial" w:hAnsi="Arial" w:cs="Arial"/>
          <w:color w:val="000000" w:themeColor="text1"/>
          <w:lang w:val="en-GB" w:bidi="en-US"/>
        </w:rPr>
        <w:t>Instructor Name</w:t>
      </w:r>
      <w:r w:rsidR="4CBB098A" w:rsidRPr="004F13D1">
        <w:rPr>
          <w:rFonts w:ascii="Arial" w:hAnsi="Arial" w:cs="Arial"/>
          <w:color w:val="000000" w:themeColor="text1"/>
          <w:lang w:val="en-GB" w:bidi="en-US"/>
        </w:rPr>
        <w:t>: Efua Adams</w:t>
      </w:r>
    </w:p>
    <w:p w14:paraId="778BF856" w14:textId="77777777" w:rsidR="004A2528" w:rsidRDefault="004A2528" w:rsidP="00357E0F">
      <w:pPr>
        <w:pStyle w:val="Subtitle"/>
        <w:jc w:val="center"/>
        <w:rPr>
          <w:rFonts w:ascii="Arial" w:hAnsi="Arial" w:cs="Arial"/>
          <w:color w:val="000000" w:themeColor="text1"/>
          <w:lang w:val="en-GB" w:bidi="en-US"/>
        </w:rPr>
      </w:pPr>
    </w:p>
    <w:p w14:paraId="029D3F8D" w14:textId="77777777" w:rsidR="004A2528" w:rsidRDefault="004A2528" w:rsidP="00357E0F">
      <w:pPr>
        <w:pStyle w:val="Subtitle"/>
        <w:jc w:val="center"/>
        <w:rPr>
          <w:rFonts w:ascii="Arial" w:hAnsi="Arial" w:cs="Arial"/>
          <w:color w:val="000000" w:themeColor="text1"/>
          <w:lang w:val="en-GB" w:bidi="en-US"/>
        </w:rPr>
      </w:pPr>
    </w:p>
    <w:p w14:paraId="1F455DD6" w14:textId="77777777" w:rsidR="004A2528" w:rsidRDefault="004A2528" w:rsidP="00357E0F">
      <w:pPr>
        <w:pStyle w:val="Subtitle"/>
        <w:jc w:val="center"/>
        <w:rPr>
          <w:rFonts w:ascii="Arial" w:hAnsi="Arial" w:cs="Arial"/>
          <w:color w:val="000000" w:themeColor="text1"/>
          <w:lang w:val="en-GB" w:bidi="en-US"/>
        </w:rPr>
      </w:pPr>
    </w:p>
    <w:p w14:paraId="49422326" w14:textId="0FF1CF09" w:rsidR="004A2528" w:rsidRDefault="00F05F6D" w:rsidP="00357E0F">
      <w:pPr>
        <w:pStyle w:val="Subtitle"/>
        <w:jc w:val="center"/>
        <w:rPr>
          <w:rFonts w:ascii="Arial" w:hAnsi="Arial" w:cs="Arial"/>
          <w:color w:val="000000" w:themeColor="text1"/>
          <w:lang w:val="en-GB" w:bidi="en-US"/>
        </w:rPr>
      </w:pPr>
      <w:r>
        <w:rPr>
          <w:rFonts w:ascii="Arial" w:hAnsi="Arial" w:cs="Arial"/>
          <w:noProof/>
          <w:color w:val="000000" w:themeColor="text1"/>
          <w:lang w:val="en-GB" w:bidi="en-US"/>
        </w:rPr>
        <w:lastRenderedPageBreak/>
        <w:drawing>
          <wp:inline distT="0" distB="0" distL="0" distR="0" wp14:anchorId="4AA057DF" wp14:editId="1C7D1773">
            <wp:extent cx="5731510" cy="2994660"/>
            <wp:effectExtent l="0" t="0" r="2540" b="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9"/>
                    <a:stretch>
                      <a:fillRect/>
                    </a:stretch>
                  </pic:blipFill>
                  <pic:spPr>
                    <a:xfrm>
                      <a:off x="0" y="0"/>
                      <a:ext cx="5731510" cy="2994660"/>
                    </a:xfrm>
                    <a:prstGeom prst="rect">
                      <a:avLst/>
                    </a:prstGeom>
                  </pic:spPr>
                </pic:pic>
              </a:graphicData>
            </a:graphic>
          </wp:inline>
        </w:drawing>
      </w:r>
    </w:p>
    <w:sdt>
      <w:sdtPr>
        <w:id w:val="1620577695"/>
        <w:docPartObj>
          <w:docPartGallery w:val="Table of Contents"/>
          <w:docPartUnique/>
        </w:docPartObj>
      </w:sdtPr>
      <w:sdtEndPr>
        <w:rPr>
          <w:rFonts w:asciiTheme="minorHAnsi" w:eastAsiaTheme="minorHAnsi" w:hAnsiTheme="minorHAnsi" w:cstheme="minorBidi"/>
          <w:bCs/>
          <w:noProof/>
          <w:color w:val="673573" w:themeColor="accent6" w:themeShade="BF"/>
          <w:sz w:val="22"/>
          <w:szCs w:val="22"/>
        </w:rPr>
      </w:sdtEndPr>
      <w:sdtContent>
        <w:p w14:paraId="6EE83B0E" w14:textId="77777777" w:rsidR="00F05F6D" w:rsidRDefault="00F05F6D" w:rsidP="005B25AD">
          <w:pPr>
            <w:pStyle w:val="TOCHeading"/>
            <w:jc w:val="center"/>
          </w:pPr>
        </w:p>
        <w:p w14:paraId="379FEE1E" w14:textId="77777777" w:rsidR="00F05F6D" w:rsidRDefault="00F05F6D" w:rsidP="005B25AD">
          <w:pPr>
            <w:pStyle w:val="TOCHeading"/>
            <w:jc w:val="center"/>
          </w:pPr>
        </w:p>
        <w:p w14:paraId="52DCB0B4" w14:textId="77777777" w:rsidR="00F05F6D" w:rsidRDefault="00F05F6D" w:rsidP="005B25AD">
          <w:pPr>
            <w:pStyle w:val="TOCHeading"/>
            <w:jc w:val="center"/>
          </w:pPr>
        </w:p>
        <w:p w14:paraId="325FBA37" w14:textId="77777777" w:rsidR="00F05F6D" w:rsidRDefault="00F05F6D" w:rsidP="005B25AD">
          <w:pPr>
            <w:pStyle w:val="TOCHeading"/>
            <w:jc w:val="center"/>
          </w:pPr>
        </w:p>
        <w:p w14:paraId="23CE4D5E" w14:textId="7773D92E" w:rsidR="005B25AD" w:rsidRDefault="005B25AD" w:rsidP="005B25AD">
          <w:pPr>
            <w:pStyle w:val="TOCHeading"/>
            <w:jc w:val="center"/>
          </w:pPr>
          <w:r>
            <w:t>Table of Contents</w:t>
          </w:r>
        </w:p>
        <w:p w14:paraId="146554E7" w14:textId="3C33871D" w:rsidR="005B25AD" w:rsidRDefault="005B25AD" w:rsidP="005B25AD"/>
        <w:p w14:paraId="1FD346AB" w14:textId="2C57479F" w:rsidR="005B25AD" w:rsidRDefault="005B25AD" w:rsidP="005B25AD"/>
        <w:p w14:paraId="2B635BD4" w14:textId="1DC6AF48" w:rsidR="005B25AD" w:rsidRDefault="005B25AD" w:rsidP="005B25AD"/>
        <w:p w14:paraId="6A3F19C5" w14:textId="11CC98C0" w:rsidR="005B25AD" w:rsidRDefault="005B25AD" w:rsidP="005B25AD"/>
        <w:p w14:paraId="710CACBA" w14:textId="77777777" w:rsidR="005B25AD" w:rsidRPr="005B25AD" w:rsidRDefault="005B25AD" w:rsidP="005B25AD"/>
        <w:p w14:paraId="3F348867" w14:textId="420A2B9E" w:rsidR="005B25AD" w:rsidRPr="00F05F6D" w:rsidRDefault="005B25AD">
          <w:pPr>
            <w:pStyle w:val="TOC1"/>
            <w:tabs>
              <w:tab w:val="right" w:leader="dot" w:pos="9016"/>
            </w:tabs>
            <w:rPr>
              <w:rFonts w:eastAsiaTheme="minorEastAsia"/>
              <w:noProof/>
              <w:color w:val="auto"/>
              <w:lang w:val="en-GB" w:eastAsia="en-GB"/>
            </w:rPr>
          </w:pPr>
          <w:r w:rsidRPr="00F05F6D">
            <w:rPr>
              <w:b/>
              <w:bCs/>
              <w:color w:val="673573" w:themeColor="accent6" w:themeShade="BF"/>
            </w:rPr>
            <w:fldChar w:fldCharType="begin"/>
          </w:r>
          <w:r w:rsidRPr="00F05F6D">
            <w:rPr>
              <w:b/>
              <w:bCs/>
              <w:color w:val="673573" w:themeColor="accent6" w:themeShade="BF"/>
            </w:rPr>
            <w:instrText xml:space="preserve"> TOC \o "1-3" \h \z \u </w:instrText>
          </w:r>
          <w:r w:rsidRPr="00F05F6D">
            <w:rPr>
              <w:b/>
              <w:bCs/>
              <w:color w:val="673573" w:themeColor="accent6" w:themeShade="BF"/>
            </w:rPr>
            <w:fldChar w:fldCharType="separate"/>
          </w:r>
          <w:hyperlink w:anchor="_Toc88776518" w:history="1">
            <w:r w:rsidRPr="00F05F6D">
              <w:rPr>
                <w:rStyle w:val="Hyperlink"/>
                <w:rFonts w:ascii="Arial" w:hAnsi="Arial" w:cs="Arial"/>
                <w:noProof/>
                <w:color w:val="auto"/>
              </w:rPr>
              <w:t>Abstract</w:t>
            </w:r>
            <w:r w:rsidRPr="00F05F6D">
              <w:rPr>
                <w:noProof/>
                <w:webHidden/>
                <w:color w:val="auto"/>
              </w:rPr>
              <w:tab/>
            </w:r>
            <w:r w:rsidRPr="00F05F6D">
              <w:rPr>
                <w:noProof/>
                <w:webHidden/>
                <w:color w:val="auto"/>
              </w:rPr>
              <w:fldChar w:fldCharType="begin"/>
            </w:r>
            <w:r w:rsidRPr="00F05F6D">
              <w:rPr>
                <w:noProof/>
                <w:webHidden/>
                <w:color w:val="auto"/>
              </w:rPr>
              <w:instrText xml:space="preserve"> PAGEREF _Toc88776518 \h </w:instrText>
            </w:r>
            <w:r w:rsidRPr="00F05F6D">
              <w:rPr>
                <w:noProof/>
                <w:webHidden/>
                <w:color w:val="auto"/>
              </w:rPr>
            </w:r>
            <w:r w:rsidRPr="00F05F6D">
              <w:rPr>
                <w:noProof/>
                <w:webHidden/>
                <w:color w:val="auto"/>
              </w:rPr>
              <w:fldChar w:fldCharType="separate"/>
            </w:r>
            <w:r w:rsidRPr="00F05F6D">
              <w:rPr>
                <w:noProof/>
                <w:webHidden/>
                <w:color w:val="auto"/>
              </w:rPr>
              <w:t>1</w:t>
            </w:r>
            <w:r w:rsidRPr="00F05F6D">
              <w:rPr>
                <w:noProof/>
                <w:webHidden/>
                <w:color w:val="auto"/>
              </w:rPr>
              <w:fldChar w:fldCharType="end"/>
            </w:r>
          </w:hyperlink>
        </w:p>
        <w:p w14:paraId="5D61A125" w14:textId="20F15F05" w:rsidR="005B25AD" w:rsidRPr="00F05F6D" w:rsidRDefault="005B25AD">
          <w:pPr>
            <w:pStyle w:val="TOC1"/>
            <w:tabs>
              <w:tab w:val="right" w:leader="dot" w:pos="9016"/>
            </w:tabs>
            <w:rPr>
              <w:rFonts w:eastAsiaTheme="minorEastAsia"/>
              <w:noProof/>
              <w:color w:val="auto"/>
              <w:lang w:val="en-GB" w:eastAsia="en-GB"/>
            </w:rPr>
          </w:pPr>
          <w:hyperlink w:anchor="_Toc88776519" w:history="1">
            <w:r w:rsidRPr="00F05F6D">
              <w:rPr>
                <w:rStyle w:val="Hyperlink"/>
                <w:rFonts w:ascii="Arial" w:hAnsi="Arial" w:cs="Arial"/>
                <w:noProof/>
                <w:color w:val="auto"/>
              </w:rPr>
              <w:t>Introduction</w:t>
            </w:r>
            <w:r w:rsidRPr="00F05F6D">
              <w:rPr>
                <w:noProof/>
                <w:webHidden/>
                <w:color w:val="auto"/>
              </w:rPr>
              <w:tab/>
            </w:r>
            <w:r w:rsidRPr="00F05F6D">
              <w:rPr>
                <w:noProof/>
                <w:webHidden/>
                <w:color w:val="auto"/>
              </w:rPr>
              <w:fldChar w:fldCharType="begin"/>
            </w:r>
            <w:r w:rsidRPr="00F05F6D">
              <w:rPr>
                <w:noProof/>
                <w:webHidden/>
                <w:color w:val="auto"/>
              </w:rPr>
              <w:instrText xml:space="preserve"> PAGEREF _Toc88776519 \h </w:instrText>
            </w:r>
            <w:r w:rsidRPr="00F05F6D">
              <w:rPr>
                <w:noProof/>
                <w:webHidden/>
                <w:color w:val="auto"/>
              </w:rPr>
            </w:r>
            <w:r w:rsidRPr="00F05F6D">
              <w:rPr>
                <w:noProof/>
                <w:webHidden/>
                <w:color w:val="auto"/>
              </w:rPr>
              <w:fldChar w:fldCharType="separate"/>
            </w:r>
            <w:r w:rsidRPr="00F05F6D">
              <w:rPr>
                <w:noProof/>
                <w:webHidden/>
                <w:color w:val="auto"/>
              </w:rPr>
              <w:t>1</w:t>
            </w:r>
            <w:r w:rsidRPr="00F05F6D">
              <w:rPr>
                <w:noProof/>
                <w:webHidden/>
                <w:color w:val="auto"/>
              </w:rPr>
              <w:fldChar w:fldCharType="end"/>
            </w:r>
          </w:hyperlink>
        </w:p>
        <w:p w14:paraId="056FFE75" w14:textId="6B4C1E7E" w:rsidR="005B25AD" w:rsidRPr="00F05F6D" w:rsidRDefault="005B25AD">
          <w:pPr>
            <w:pStyle w:val="TOC1"/>
            <w:tabs>
              <w:tab w:val="right" w:leader="dot" w:pos="9016"/>
            </w:tabs>
            <w:rPr>
              <w:rFonts w:eastAsiaTheme="minorEastAsia"/>
              <w:noProof/>
              <w:color w:val="auto"/>
              <w:lang w:val="en-GB" w:eastAsia="en-GB"/>
            </w:rPr>
          </w:pPr>
          <w:hyperlink w:anchor="_Toc88776520" w:history="1">
            <w:r w:rsidRPr="00F05F6D">
              <w:rPr>
                <w:rStyle w:val="Hyperlink"/>
                <w:rFonts w:ascii="Arial" w:hAnsi="Arial" w:cs="Arial"/>
                <w:noProof/>
                <w:color w:val="auto"/>
              </w:rPr>
              <w:t>Employee engagement concept</w:t>
            </w:r>
            <w:r w:rsidRPr="00F05F6D">
              <w:rPr>
                <w:noProof/>
                <w:webHidden/>
                <w:color w:val="auto"/>
              </w:rPr>
              <w:tab/>
            </w:r>
            <w:r w:rsidRPr="00F05F6D">
              <w:rPr>
                <w:noProof/>
                <w:webHidden/>
                <w:color w:val="auto"/>
              </w:rPr>
              <w:fldChar w:fldCharType="begin"/>
            </w:r>
            <w:r w:rsidRPr="00F05F6D">
              <w:rPr>
                <w:noProof/>
                <w:webHidden/>
                <w:color w:val="auto"/>
              </w:rPr>
              <w:instrText xml:space="preserve"> PAGEREF _Toc88776520 \h </w:instrText>
            </w:r>
            <w:r w:rsidRPr="00F05F6D">
              <w:rPr>
                <w:noProof/>
                <w:webHidden/>
                <w:color w:val="auto"/>
              </w:rPr>
            </w:r>
            <w:r w:rsidRPr="00F05F6D">
              <w:rPr>
                <w:noProof/>
                <w:webHidden/>
                <w:color w:val="auto"/>
              </w:rPr>
              <w:fldChar w:fldCharType="separate"/>
            </w:r>
            <w:r w:rsidRPr="00F05F6D">
              <w:rPr>
                <w:noProof/>
                <w:webHidden/>
                <w:color w:val="auto"/>
              </w:rPr>
              <w:t>1</w:t>
            </w:r>
            <w:r w:rsidRPr="00F05F6D">
              <w:rPr>
                <w:noProof/>
                <w:webHidden/>
                <w:color w:val="auto"/>
              </w:rPr>
              <w:fldChar w:fldCharType="end"/>
            </w:r>
          </w:hyperlink>
        </w:p>
        <w:p w14:paraId="34818534" w14:textId="16957208" w:rsidR="005B25AD" w:rsidRPr="00F05F6D" w:rsidRDefault="005B25AD">
          <w:pPr>
            <w:pStyle w:val="TOC1"/>
            <w:tabs>
              <w:tab w:val="right" w:leader="dot" w:pos="9016"/>
            </w:tabs>
            <w:rPr>
              <w:rFonts w:eastAsiaTheme="minorEastAsia"/>
              <w:noProof/>
              <w:color w:val="auto"/>
              <w:lang w:val="en-GB" w:eastAsia="en-GB"/>
            </w:rPr>
          </w:pPr>
          <w:hyperlink w:anchor="_Toc88776521" w:history="1">
            <w:r w:rsidRPr="00F05F6D">
              <w:rPr>
                <w:rStyle w:val="Hyperlink"/>
                <w:rFonts w:ascii="Arial" w:hAnsi="Arial" w:cs="Arial"/>
                <w:noProof/>
                <w:color w:val="auto"/>
              </w:rPr>
              <w:t>Employee relations-commitment and engagement driver</w:t>
            </w:r>
            <w:r w:rsidRPr="00F05F6D">
              <w:rPr>
                <w:noProof/>
                <w:webHidden/>
                <w:color w:val="auto"/>
              </w:rPr>
              <w:tab/>
            </w:r>
            <w:r w:rsidRPr="00F05F6D">
              <w:rPr>
                <w:noProof/>
                <w:webHidden/>
                <w:color w:val="auto"/>
              </w:rPr>
              <w:fldChar w:fldCharType="begin"/>
            </w:r>
            <w:r w:rsidRPr="00F05F6D">
              <w:rPr>
                <w:noProof/>
                <w:webHidden/>
                <w:color w:val="auto"/>
              </w:rPr>
              <w:instrText xml:space="preserve"> PAGEREF _Toc88776521 \h </w:instrText>
            </w:r>
            <w:r w:rsidRPr="00F05F6D">
              <w:rPr>
                <w:noProof/>
                <w:webHidden/>
                <w:color w:val="auto"/>
              </w:rPr>
            </w:r>
            <w:r w:rsidRPr="00F05F6D">
              <w:rPr>
                <w:noProof/>
                <w:webHidden/>
                <w:color w:val="auto"/>
              </w:rPr>
              <w:fldChar w:fldCharType="separate"/>
            </w:r>
            <w:r w:rsidRPr="00F05F6D">
              <w:rPr>
                <w:noProof/>
                <w:webHidden/>
                <w:color w:val="auto"/>
              </w:rPr>
              <w:t>3</w:t>
            </w:r>
            <w:r w:rsidRPr="00F05F6D">
              <w:rPr>
                <w:noProof/>
                <w:webHidden/>
                <w:color w:val="auto"/>
              </w:rPr>
              <w:fldChar w:fldCharType="end"/>
            </w:r>
          </w:hyperlink>
        </w:p>
        <w:p w14:paraId="67DFE64B" w14:textId="47427E8C" w:rsidR="005B25AD" w:rsidRPr="00F05F6D" w:rsidRDefault="005B25AD">
          <w:pPr>
            <w:pStyle w:val="TOC1"/>
            <w:tabs>
              <w:tab w:val="right" w:leader="dot" w:pos="9016"/>
            </w:tabs>
            <w:rPr>
              <w:rFonts w:eastAsiaTheme="minorEastAsia"/>
              <w:noProof/>
              <w:color w:val="auto"/>
              <w:lang w:val="en-GB" w:eastAsia="en-GB"/>
            </w:rPr>
          </w:pPr>
          <w:hyperlink w:anchor="_Toc88776522" w:history="1">
            <w:r w:rsidRPr="00F05F6D">
              <w:rPr>
                <w:rStyle w:val="Hyperlink"/>
                <w:rFonts w:ascii="Arial" w:hAnsi="Arial" w:cs="Arial"/>
                <w:noProof/>
                <w:color w:val="auto"/>
              </w:rPr>
              <w:t>Tools of engagement people and employee value proposition</w:t>
            </w:r>
            <w:r w:rsidRPr="00F05F6D">
              <w:rPr>
                <w:noProof/>
                <w:webHidden/>
                <w:color w:val="auto"/>
              </w:rPr>
              <w:tab/>
            </w:r>
            <w:r w:rsidRPr="00F05F6D">
              <w:rPr>
                <w:noProof/>
                <w:webHidden/>
                <w:color w:val="auto"/>
              </w:rPr>
              <w:fldChar w:fldCharType="begin"/>
            </w:r>
            <w:r w:rsidRPr="00F05F6D">
              <w:rPr>
                <w:noProof/>
                <w:webHidden/>
                <w:color w:val="auto"/>
              </w:rPr>
              <w:instrText xml:space="preserve"> PAGEREF _Toc88776522 \h </w:instrText>
            </w:r>
            <w:r w:rsidRPr="00F05F6D">
              <w:rPr>
                <w:noProof/>
                <w:webHidden/>
                <w:color w:val="auto"/>
              </w:rPr>
            </w:r>
            <w:r w:rsidRPr="00F05F6D">
              <w:rPr>
                <w:noProof/>
                <w:webHidden/>
                <w:color w:val="auto"/>
              </w:rPr>
              <w:fldChar w:fldCharType="separate"/>
            </w:r>
            <w:r w:rsidRPr="00F05F6D">
              <w:rPr>
                <w:noProof/>
                <w:webHidden/>
                <w:color w:val="auto"/>
              </w:rPr>
              <w:t>4</w:t>
            </w:r>
            <w:r w:rsidRPr="00F05F6D">
              <w:rPr>
                <w:noProof/>
                <w:webHidden/>
                <w:color w:val="auto"/>
              </w:rPr>
              <w:fldChar w:fldCharType="end"/>
            </w:r>
          </w:hyperlink>
        </w:p>
        <w:p w14:paraId="1392B340" w14:textId="54854A17" w:rsidR="005B25AD" w:rsidRPr="00F05F6D" w:rsidRDefault="005B25AD">
          <w:pPr>
            <w:pStyle w:val="TOC1"/>
            <w:tabs>
              <w:tab w:val="right" w:leader="dot" w:pos="9016"/>
            </w:tabs>
            <w:rPr>
              <w:rFonts w:eastAsiaTheme="minorEastAsia"/>
              <w:noProof/>
              <w:color w:val="auto"/>
              <w:lang w:val="en-GB" w:eastAsia="en-GB"/>
            </w:rPr>
          </w:pPr>
          <w:hyperlink w:anchor="_Toc88776523" w:history="1">
            <w:r w:rsidRPr="00F05F6D">
              <w:rPr>
                <w:rStyle w:val="Hyperlink"/>
                <w:rFonts w:ascii="Arial" w:hAnsi="Arial" w:cs="Arial"/>
                <w:noProof/>
                <w:color w:val="auto"/>
                <w:lang w:val="en-GB" w:eastAsia="en-GB"/>
              </w:rPr>
              <w:t>Conclusion</w:t>
            </w:r>
            <w:r w:rsidRPr="00F05F6D">
              <w:rPr>
                <w:noProof/>
                <w:webHidden/>
                <w:color w:val="auto"/>
              </w:rPr>
              <w:tab/>
            </w:r>
            <w:r w:rsidRPr="00F05F6D">
              <w:rPr>
                <w:noProof/>
                <w:webHidden/>
                <w:color w:val="auto"/>
              </w:rPr>
              <w:fldChar w:fldCharType="begin"/>
            </w:r>
            <w:r w:rsidRPr="00F05F6D">
              <w:rPr>
                <w:noProof/>
                <w:webHidden/>
                <w:color w:val="auto"/>
              </w:rPr>
              <w:instrText xml:space="preserve"> PAGEREF _Toc88776523 \h </w:instrText>
            </w:r>
            <w:r w:rsidRPr="00F05F6D">
              <w:rPr>
                <w:noProof/>
                <w:webHidden/>
                <w:color w:val="auto"/>
              </w:rPr>
            </w:r>
            <w:r w:rsidRPr="00F05F6D">
              <w:rPr>
                <w:noProof/>
                <w:webHidden/>
                <w:color w:val="auto"/>
              </w:rPr>
              <w:fldChar w:fldCharType="separate"/>
            </w:r>
            <w:r w:rsidRPr="00F05F6D">
              <w:rPr>
                <w:noProof/>
                <w:webHidden/>
                <w:color w:val="auto"/>
              </w:rPr>
              <w:t>6</w:t>
            </w:r>
            <w:r w:rsidRPr="00F05F6D">
              <w:rPr>
                <w:noProof/>
                <w:webHidden/>
                <w:color w:val="auto"/>
              </w:rPr>
              <w:fldChar w:fldCharType="end"/>
            </w:r>
          </w:hyperlink>
        </w:p>
        <w:p w14:paraId="7DF35638" w14:textId="7B97484E" w:rsidR="005B25AD" w:rsidRPr="00F05F6D" w:rsidRDefault="005B25AD">
          <w:pPr>
            <w:pStyle w:val="TOC1"/>
            <w:tabs>
              <w:tab w:val="right" w:leader="dot" w:pos="9016"/>
            </w:tabs>
            <w:rPr>
              <w:rFonts w:eastAsiaTheme="minorEastAsia"/>
              <w:noProof/>
              <w:color w:val="auto"/>
              <w:lang w:val="en-GB" w:eastAsia="en-GB"/>
            </w:rPr>
          </w:pPr>
          <w:hyperlink w:anchor="_Toc88776524" w:history="1">
            <w:r w:rsidRPr="00F05F6D">
              <w:rPr>
                <w:rStyle w:val="Hyperlink"/>
                <w:rFonts w:ascii="Arial" w:hAnsi="Arial" w:cs="Arial"/>
                <w:noProof/>
                <w:color w:val="auto"/>
              </w:rPr>
              <w:t>References</w:t>
            </w:r>
            <w:r w:rsidRPr="00F05F6D">
              <w:rPr>
                <w:noProof/>
                <w:webHidden/>
                <w:color w:val="auto"/>
              </w:rPr>
              <w:tab/>
            </w:r>
            <w:r w:rsidRPr="00F05F6D">
              <w:rPr>
                <w:noProof/>
                <w:webHidden/>
                <w:color w:val="auto"/>
              </w:rPr>
              <w:fldChar w:fldCharType="begin"/>
            </w:r>
            <w:r w:rsidRPr="00F05F6D">
              <w:rPr>
                <w:noProof/>
                <w:webHidden/>
                <w:color w:val="auto"/>
              </w:rPr>
              <w:instrText xml:space="preserve"> PAGEREF _Toc88776524 \h </w:instrText>
            </w:r>
            <w:r w:rsidRPr="00F05F6D">
              <w:rPr>
                <w:noProof/>
                <w:webHidden/>
                <w:color w:val="auto"/>
              </w:rPr>
            </w:r>
            <w:r w:rsidRPr="00F05F6D">
              <w:rPr>
                <w:noProof/>
                <w:webHidden/>
                <w:color w:val="auto"/>
              </w:rPr>
              <w:fldChar w:fldCharType="separate"/>
            </w:r>
            <w:r w:rsidRPr="00F05F6D">
              <w:rPr>
                <w:noProof/>
                <w:webHidden/>
                <w:color w:val="auto"/>
              </w:rPr>
              <w:t>7</w:t>
            </w:r>
            <w:r w:rsidRPr="00F05F6D">
              <w:rPr>
                <w:noProof/>
                <w:webHidden/>
                <w:color w:val="auto"/>
              </w:rPr>
              <w:fldChar w:fldCharType="end"/>
            </w:r>
          </w:hyperlink>
        </w:p>
        <w:p w14:paraId="3C7AC240" w14:textId="7B3F967B" w:rsidR="005B25AD" w:rsidRDefault="005B25AD" w:rsidP="005B25AD">
          <w:pPr>
            <w:jc w:val="center"/>
          </w:pPr>
          <w:r w:rsidRPr="00F05F6D">
            <w:rPr>
              <w:b/>
              <w:bCs/>
              <w:noProof/>
              <w:color w:val="673573" w:themeColor="accent6" w:themeShade="BF"/>
            </w:rPr>
            <w:fldChar w:fldCharType="end"/>
          </w:r>
        </w:p>
      </w:sdtContent>
    </w:sdt>
    <w:p w14:paraId="16A19F62" w14:textId="432DA5E5" w:rsidR="004A2528" w:rsidRPr="004F13D1" w:rsidRDefault="004A2528" w:rsidP="00357E0F">
      <w:pPr>
        <w:pStyle w:val="Subtitle"/>
        <w:jc w:val="center"/>
        <w:rPr>
          <w:rFonts w:ascii="Arial" w:hAnsi="Arial" w:cs="Arial"/>
          <w:color w:val="000000" w:themeColor="text1"/>
          <w:lang w:val="en-GB"/>
        </w:rPr>
        <w:sectPr w:rsidR="004A2528" w:rsidRPr="004F13D1" w:rsidSect="00DD0074">
          <w:headerReference w:type="default" r:id="rId10"/>
          <w:footerReference w:type="default" r:id="rId11"/>
          <w:pgSz w:w="11906" w:h="16838" w:code="9"/>
          <w:pgMar w:top="1440" w:right="1440" w:bottom="1800" w:left="1440" w:header="720" w:footer="720" w:gutter="0"/>
          <w:pgNumType w:start="1"/>
          <w:cols w:space="720"/>
          <w:docGrid w:linePitch="360"/>
        </w:sectPr>
      </w:pPr>
    </w:p>
    <w:p w14:paraId="7CF84EC0" w14:textId="76EF8216" w:rsidR="7B5DF51F" w:rsidRPr="008314C7" w:rsidRDefault="36D6D8B6" w:rsidP="003249C4">
      <w:pPr>
        <w:pStyle w:val="Heading1"/>
        <w:rPr>
          <w:rFonts w:ascii="Arial" w:hAnsi="Arial" w:cs="Arial"/>
          <w:sz w:val="22"/>
          <w:szCs w:val="22"/>
        </w:rPr>
      </w:pPr>
      <w:bookmarkStart w:id="0" w:name="_Toc88776518"/>
      <w:r w:rsidRPr="008314C7">
        <w:rPr>
          <w:rFonts w:ascii="Arial" w:hAnsi="Arial" w:cs="Arial"/>
          <w:sz w:val="22"/>
          <w:szCs w:val="22"/>
        </w:rPr>
        <w:lastRenderedPageBreak/>
        <w:t>Abstract</w:t>
      </w:r>
      <w:bookmarkEnd w:id="0"/>
    </w:p>
    <w:p w14:paraId="029CC21F" w14:textId="380A4286" w:rsidR="0051082C" w:rsidRPr="0051082C" w:rsidRDefault="36D6D8B6" w:rsidP="0051082C">
      <w:pPr>
        <w:rPr>
          <w:rFonts w:ascii="Arial" w:hAnsi="Arial" w:cs="Arial"/>
          <w:color w:val="000000" w:themeColor="text1"/>
        </w:rPr>
      </w:pPr>
      <w:r w:rsidRPr="004F13D1">
        <w:rPr>
          <w:rFonts w:ascii="Arial" w:hAnsi="Arial" w:cs="Arial"/>
          <w:color w:val="000000" w:themeColor="text1"/>
        </w:rPr>
        <w:t xml:space="preserve"> </w:t>
      </w:r>
      <w:r w:rsidR="0051082C" w:rsidRPr="0051082C">
        <w:rPr>
          <w:rFonts w:ascii="Arial" w:hAnsi="Arial" w:cs="Arial"/>
          <w:color w:val="000000" w:themeColor="text1"/>
        </w:rPr>
        <w:t xml:space="preserve">The Coronavirus has amazingly shaken all associations, establishing a complicated and testing climate for supervisors and human asset the board (HRM) professionals, who need to track down clever answers for guarantee the congruity of their organizations and to assist their workers to adapt to this unprecedented emergency. Studies tending to the effect of this emergency on HRM are meager. This paper targets expanding the extent of the board research, by investigating the effect of the Coronavirus on HRM and representative commitment. It distinguishes the </w:t>
      </w:r>
      <w:r w:rsidR="0051082C" w:rsidRPr="0051082C">
        <w:rPr>
          <w:rFonts w:ascii="Arial" w:hAnsi="Arial" w:cs="Arial"/>
          <w:color w:val="000000" w:themeColor="text1"/>
        </w:rPr>
        <w:t>principal</w:t>
      </w:r>
      <w:r w:rsidR="0051082C" w:rsidRPr="0051082C">
        <w:rPr>
          <w:rFonts w:ascii="Arial" w:hAnsi="Arial" w:cs="Arial"/>
          <w:color w:val="000000" w:themeColor="text1"/>
        </w:rPr>
        <w:t xml:space="preserve"> difficulties and openings that have emerged from this new pandemic, and it offers experiences for administrators and HRM experts. </w:t>
      </w:r>
    </w:p>
    <w:p w14:paraId="52CFCC71" w14:textId="77777777" w:rsidR="0051082C" w:rsidRPr="0051082C" w:rsidRDefault="0051082C" w:rsidP="0051082C">
      <w:pPr>
        <w:rPr>
          <w:rFonts w:ascii="Arial" w:hAnsi="Arial" w:cs="Arial"/>
          <w:color w:val="000000" w:themeColor="text1"/>
        </w:rPr>
      </w:pPr>
    </w:p>
    <w:p w14:paraId="067EE476" w14:textId="48E2E5FA" w:rsidR="0051082C" w:rsidRDefault="0051082C" w:rsidP="0051082C">
      <w:pPr>
        <w:pStyle w:val="Heading1"/>
        <w:rPr>
          <w:rFonts w:ascii="Arial" w:hAnsi="Arial" w:cs="Arial"/>
          <w:sz w:val="22"/>
          <w:szCs w:val="22"/>
        </w:rPr>
      </w:pPr>
      <w:r>
        <w:rPr>
          <w:rFonts w:ascii="Arial" w:hAnsi="Arial" w:cs="Arial"/>
          <w:sz w:val="22"/>
          <w:szCs w:val="22"/>
        </w:rPr>
        <w:t>Introduction</w:t>
      </w:r>
    </w:p>
    <w:p w14:paraId="439D7C31" w14:textId="77777777" w:rsidR="0051082C" w:rsidRPr="0051082C" w:rsidRDefault="0051082C" w:rsidP="0051082C">
      <w:pPr>
        <w:pStyle w:val="Heading1"/>
        <w:rPr>
          <w:rFonts w:ascii="Arial" w:hAnsi="Arial" w:cs="Arial"/>
          <w:sz w:val="22"/>
          <w:szCs w:val="22"/>
        </w:rPr>
      </w:pPr>
    </w:p>
    <w:p w14:paraId="4D0F288E" w14:textId="77777777" w:rsidR="0051082C" w:rsidRPr="0051082C" w:rsidRDefault="0051082C" w:rsidP="0051082C">
      <w:pPr>
        <w:rPr>
          <w:rFonts w:ascii="Arial" w:hAnsi="Arial" w:cs="Arial"/>
          <w:i/>
          <w:iCs/>
          <w:color w:val="673573" w:themeColor="accent6" w:themeShade="BF"/>
        </w:rPr>
      </w:pPr>
      <w:r w:rsidRPr="0051082C">
        <w:rPr>
          <w:rFonts w:ascii="Arial" w:hAnsi="Arial" w:cs="Arial"/>
          <w:i/>
          <w:iCs/>
          <w:color w:val="673573" w:themeColor="accent6" w:themeShade="BF"/>
        </w:rPr>
        <w:t xml:space="preserve">HRM significance and capacity </w:t>
      </w:r>
    </w:p>
    <w:p w14:paraId="5993B76F" w14:textId="77777777" w:rsidR="0051082C" w:rsidRPr="0051082C" w:rsidRDefault="0051082C" w:rsidP="0051082C">
      <w:pPr>
        <w:rPr>
          <w:rFonts w:ascii="Arial" w:hAnsi="Arial" w:cs="Arial"/>
          <w:color w:val="000000" w:themeColor="text1"/>
        </w:rPr>
      </w:pPr>
    </w:p>
    <w:p w14:paraId="1896D4AD" w14:textId="389329CF" w:rsidR="003249C4" w:rsidRPr="0051082C" w:rsidRDefault="0051082C" w:rsidP="0051082C">
      <w:pPr>
        <w:rPr>
          <w:rFonts w:ascii="Arial" w:hAnsi="Arial" w:cs="Arial"/>
          <w:color w:val="000000" w:themeColor="text1"/>
        </w:rPr>
      </w:pPr>
      <w:r w:rsidRPr="0051082C">
        <w:rPr>
          <w:rFonts w:ascii="Arial" w:hAnsi="Arial" w:cs="Arial"/>
          <w:color w:val="000000" w:themeColor="text1"/>
        </w:rPr>
        <w:t xml:space="preserve">The strategy engaged with describing HRM drives us to two </w:t>
      </w:r>
      <w:r w:rsidRPr="0051082C">
        <w:rPr>
          <w:rFonts w:ascii="Arial" w:hAnsi="Arial" w:cs="Arial"/>
          <w:color w:val="000000" w:themeColor="text1"/>
        </w:rPr>
        <w:t>definitions</w:t>
      </w:r>
      <w:r w:rsidRPr="0051082C">
        <w:rPr>
          <w:rFonts w:ascii="Arial" w:hAnsi="Arial" w:cs="Arial"/>
          <w:color w:val="000000" w:themeColor="text1"/>
        </w:rPr>
        <w:t xml:space="preserve">. The </w:t>
      </w:r>
      <w:r w:rsidRPr="0051082C">
        <w:rPr>
          <w:rFonts w:ascii="Arial" w:hAnsi="Arial" w:cs="Arial"/>
          <w:color w:val="000000" w:themeColor="text1"/>
        </w:rPr>
        <w:t>principal</w:t>
      </w:r>
      <w:r w:rsidRPr="0051082C">
        <w:rPr>
          <w:rFonts w:ascii="Arial" w:hAnsi="Arial" w:cs="Arial"/>
          <w:color w:val="000000" w:themeColor="text1"/>
        </w:rPr>
        <w:t xml:space="preserve"> significance of HRM is that it is the technique engaged with administering people in relationship in a coordinated and serious way. This covers the fields of staffing (selecting people), support of people, pay and benefits setting and the board, execution the chiefs, change the board and managing exits from the association to change the activities. The second importance of HRM remembers the organization of people for relationship as indicated by an enormous scope perspective for instance managing people as a total association among the board and laborers. This approach revolves around the objectives and consequences of the HRM work. This implies the HR work in contemporary affiliations is stressed over the musings of people engaging, people's headway and an accentuation on making the "business relationship" fulfilling for both the organization and delegates. The future movement of HRM is provoking essential human resource the leaders on account of HRM responsive nature and its separated technique. In view of globalization nowadays HRM is moving into a more assorted environment as every country has its own particular manner of life, feelings, and characteristics. </w:t>
      </w:r>
      <w:r w:rsidRPr="00C430A7">
        <w:rPr>
          <w:rFonts w:ascii="Arial" w:hAnsi="Arial" w:cs="Arial"/>
          <w:i/>
          <w:iCs/>
          <w:color w:val="000000" w:themeColor="text1"/>
        </w:rPr>
        <w:t>(Itika,2011)</w:t>
      </w:r>
    </w:p>
    <w:p w14:paraId="5CCA8745" w14:textId="5CF0AFD8" w:rsidR="7B5DF51F" w:rsidRPr="00871414" w:rsidRDefault="36D6D8B6" w:rsidP="00871414">
      <w:pPr>
        <w:pStyle w:val="Heading1"/>
        <w:rPr>
          <w:rFonts w:ascii="Arial" w:hAnsi="Arial" w:cs="Arial"/>
          <w:sz w:val="22"/>
          <w:szCs w:val="22"/>
        </w:rPr>
      </w:pPr>
      <w:bookmarkStart w:id="1" w:name="_Toc88776520"/>
      <w:r w:rsidRPr="00871414">
        <w:rPr>
          <w:rFonts w:ascii="Arial" w:hAnsi="Arial" w:cs="Arial"/>
          <w:sz w:val="22"/>
          <w:szCs w:val="22"/>
        </w:rPr>
        <w:t>Employee engagement concept</w:t>
      </w:r>
      <w:bookmarkEnd w:id="1"/>
    </w:p>
    <w:p w14:paraId="0249BBA7" w14:textId="20E878F0"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 </w:t>
      </w:r>
    </w:p>
    <w:p w14:paraId="1DE03474" w14:textId="079DA6DB" w:rsidR="7B5DF51F" w:rsidRPr="00870C90" w:rsidRDefault="36D6D8B6" w:rsidP="7B5DF51F">
      <w:pPr>
        <w:rPr>
          <w:rFonts w:ascii="Arial" w:hAnsi="Arial" w:cs="Arial"/>
          <w:color w:val="000000" w:themeColor="text1"/>
        </w:rPr>
      </w:pPr>
      <w:r w:rsidRPr="00870C90">
        <w:rPr>
          <w:rFonts w:ascii="Arial" w:hAnsi="Arial" w:cs="Arial"/>
          <w:color w:val="000000" w:themeColor="text1"/>
        </w:rPr>
        <w:t xml:space="preserve">Worker commitment has various definitions. Meaning of worker commitment according to CIPD is that representative commitment is a blend of devotion displayed to the association and the qualities and want in helping the workers. This definition believes commitment to be intricate than inspiration rather than being only more than work fulfilment. Inside the setting of the administrations the issues of occupation fulfilment just as wearing down are vital. Given the way that there is an increment in the interest for adaptable staff, consolidating with issues identifying with wearing down, firms are zeroing in on adequately dealing with their HR. To discover the factors associated with the reduction in whittling down and expansion in work fulfilment it becomes fundamental for concentrate on the work fulfilment in the assistance area. Along these lines, it becomes pivotal to </w:t>
      </w:r>
      <w:r w:rsidR="00870C90" w:rsidRPr="00870C90">
        <w:rPr>
          <w:rFonts w:ascii="Arial" w:hAnsi="Arial" w:cs="Arial"/>
          <w:color w:val="000000" w:themeColor="text1"/>
        </w:rPr>
        <w:t>analyze</w:t>
      </w:r>
      <w:r w:rsidRPr="00870C90">
        <w:rPr>
          <w:rFonts w:ascii="Arial" w:hAnsi="Arial" w:cs="Arial"/>
          <w:color w:val="000000" w:themeColor="text1"/>
        </w:rPr>
        <w:t xml:space="preserve"> and study inside and out the job of worker's and its association with work fulfilment.</w:t>
      </w:r>
    </w:p>
    <w:p w14:paraId="0B57529F" w14:textId="1A2D4D51" w:rsidR="7B5DF51F" w:rsidRPr="004F13D1" w:rsidRDefault="36D6D8B6" w:rsidP="7B5DF51F">
      <w:pPr>
        <w:rPr>
          <w:rFonts w:ascii="Arial" w:hAnsi="Arial" w:cs="Arial"/>
          <w:color w:val="000000" w:themeColor="text1"/>
        </w:rPr>
      </w:pPr>
      <w:r w:rsidRPr="004F13D1">
        <w:rPr>
          <w:rFonts w:ascii="Arial" w:hAnsi="Arial" w:cs="Arial"/>
          <w:color w:val="000000" w:themeColor="text1"/>
        </w:rPr>
        <w:lastRenderedPageBreak/>
        <w:t xml:space="preserve"> </w:t>
      </w:r>
    </w:p>
    <w:p w14:paraId="7B7A70F3" w14:textId="2925BCE7" w:rsidR="7B5DF51F" w:rsidRPr="003249C4" w:rsidRDefault="36D6D8B6" w:rsidP="003249C4">
      <w:pPr>
        <w:pStyle w:val="Subtitle"/>
        <w:rPr>
          <w:rFonts w:ascii="Arial" w:hAnsi="Arial" w:cs="Arial"/>
          <w:i/>
          <w:iCs/>
          <w:color w:val="8A479B" w:themeColor="accent6"/>
          <w:sz w:val="22"/>
        </w:rPr>
      </w:pPr>
      <w:r w:rsidRPr="003249C4">
        <w:rPr>
          <w:rFonts w:ascii="Arial" w:hAnsi="Arial" w:cs="Arial"/>
          <w:i/>
          <w:iCs/>
          <w:color w:val="8A479B" w:themeColor="accent6"/>
          <w:sz w:val="22"/>
        </w:rPr>
        <w:t>Employee engagement in the Covid-19 pandemic</w:t>
      </w:r>
    </w:p>
    <w:p w14:paraId="548E9289" w14:textId="44FAEF98" w:rsidR="7B5DF51F" w:rsidRPr="004F13D1" w:rsidRDefault="36D6D8B6" w:rsidP="7B5DF51F">
      <w:pPr>
        <w:rPr>
          <w:rFonts w:ascii="Arial" w:hAnsi="Arial" w:cs="Arial"/>
          <w:color w:val="000000" w:themeColor="text1"/>
        </w:rPr>
      </w:pPr>
      <w:r w:rsidRPr="004F13D1">
        <w:rPr>
          <w:rFonts w:ascii="Arial" w:hAnsi="Arial" w:cs="Arial"/>
          <w:color w:val="000000" w:themeColor="text1"/>
        </w:rPr>
        <w:t>In the Coronavirus pandemic it is significant that pioneers and administrators appropriately deal with their workers to improve execution, distinguish openings for development and advancement, shield representative's wellbeing and prosperity, and guarantee business progression.</w:t>
      </w:r>
    </w:p>
    <w:p w14:paraId="56C64B2D" w14:textId="57F43EEB" w:rsidR="7B5DF51F" w:rsidRPr="004F13D1" w:rsidRDefault="36D6D8B6" w:rsidP="7B5DF51F">
      <w:pPr>
        <w:rPr>
          <w:rFonts w:ascii="Arial" w:hAnsi="Arial" w:cs="Arial"/>
          <w:color w:val="000000" w:themeColor="text1"/>
        </w:rPr>
      </w:pPr>
      <w:r w:rsidRPr="004F13D1">
        <w:rPr>
          <w:rFonts w:ascii="Arial" w:hAnsi="Arial" w:cs="Arial"/>
          <w:color w:val="000000" w:themeColor="text1"/>
        </w:rPr>
        <w:t>When working with connected representatives, comprehend that they are spurred and submitted. It may not be important to help them to remember the additional work and penance expected of them during an emergency like the Coronavirus pandemic. They step up to the plate and guarantee the association's wellbeing, even to the detriment of their own wellbeing and security.</w:t>
      </w:r>
    </w:p>
    <w:p w14:paraId="7B3F0ADB" w14:textId="1BB56BD5" w:rsidR="7B5DF51F" w:rsidRPr="004F13D1" w:rsidRDefault="36D6D8B6" w:rsidP="7B5DF51F">
      <w:pPr>
        <w:rPr>
          <w:rFonts w:ascii="Arial" w:hAnsi="Arial" w:cs="Arial"/>
          <w:color w:val="000000" w:themeColor="text1"/>
        </w:rPr>
      </w:pPr>
      <w:r w:rsidRPr="004F13D1">
        <w:rPr>
          <w:rFonts w:ascii="Arial" w:hAnsi="Arial" w:cs="Arial"/>
          <w:color w:val="000000" w:themeColor="text1"/>
        </w:rPr>
        <w:t>A delayed emergency like a pandemic requires a mid to long haul approach when overseeing drew in representatives. Guaranteeing that representatives stay solid during the emergency is a higher priority than the momentary finish of errands and exercises. Adjusting the responsibility among representatives and de-focusing on superfluous ventures and exercises assist with guaranteeing that drew in workers are not exhausted.</w:t>
      </w:r>
    </w:p>
    <w:p w14:paraId="1AF30F27" w14:textId="7A934918" w:rsidR="7B5DF51F" w:rsidRPr="004F13D1" w:rsidRDefault="36D6D8B6" w:rsidP="7B5DF51F">
      <w:pPr>
        <w:rPr>
          <w:rFonts w:ascii="Arial" w:hAnsi="Arial" w:cs="Arial"/>
          <w:color w:val="000000" w:themeColor="text1"/>
        </w:rPr>
      </w:pPr>
      <w:r w:rsidRPr="004F13D1">
        <w:rPr>
          <w:rFonts w:ascii="Arial" w:hAnsi="Arial" w:cs="Arial"/>
          <w:color w:val="000000" w:themeColor="text1"/>
        </w:rPr>
        <w:t>Maybe certain cut-off times can be loose, and projects with tight cut-off times can be acclimated to decrease the pressure and tension on connected workers. Recollect it is a more pressing issue to lose drew in representatives to Coronavirus or psychological wellness concerns (e.g., burnout or misery) than handle a deferral or delay of a task or movement.</w:t>
      </w:r>
    </w:p>
    <w:p w14:paraId="395A80AE" w14:textId="40B91D9F"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The second arrangement of workers is separated representatives. Withdrawn workers are useful. Notwithstanding, they need drive and cooperation in organization tasks and exercises seen in connected representatives. They </w:t>
      </w:r>
      <w:r w:rsidR="00870C90" w:rsidRPr="004F13D1">
        <w:rPr>
          <w:rFonts w:ascii="Arial" w:hAnsi="Arial" w:cs="Arial"/>
          <w:color w:val="000000" w:themeColor="text1"/>
        </w:rPr>
        <w:t>center</w:t>
      </w:r>
      <w:r w:rsidRPr="004F13D1">
        <w:rPr>
          <w:rFonts w:ascii="Arial" w:hAnsi="Arial" w:cs="Arial"/>
          <w:color w:val="000000" w:themeColor="text1"/>
        </w:rPr>
        <w:t xml:space="preserve"> their time and energy around consenting to required exercises. While they are steady of organization drives and new projects, the absence of drive implies that they are not liable to chip in or go above and beyond assuming they are not inquired.</w:t>
      </w:r>
    </w:p>
    <w:p w14:paraId="1AE52763" w14:textId="5A5889F0"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The third arrangement of workers is effectively separated representatives. As a rule, effectively separated workers are straightforwardly disappointed with the organization, their work, or their chief. They are additionally exceptionally incredulous of the executives' activity and inaction. Conveying the association's </w:t>
      </w:r>
      <w:proofErr w:type="spellStart"/>
      <w:r w:rsidR="00AE095E" w:rsidRPr="004F13D1">
        <w:rPr>
          <w:rFonts w:ascii="Arial" w:hAnsi="Arial" w:cs="Arial"/>
          <w:color w:val="000000" w:themeColor="text1"/>
        </w:rPr>
        <w:t>endeavo</w:t>
      </w:r>
      <w:r w:rsidR="00AE095E">
        <w:rPr>
          <w:rFonts w:ascii="Arial" w:hAnsi="Arial" w:cs="Arial"/>
          <w:color w:val="000000" w:themeColor="text1"/>
        </w:rPr>
        <w:t>u</w:t>
      </w:r>
      <w:r w:rsidR="00AE095E" w:rsidRPr="004F13D1">
        <w:rPr>
          <w:rFonts w:ascii="Arial" w:hAnsi="Arial" w:cs="Arial"/>
          <w:color w:val="000000" w:themeColor="text1"/>
        </w:rPr>
        <w:t>rs</w:t>
      </w:r>
      <w:proofErr w:type="spellEnd"/>
      <w:r w:rsidRPr="004F13D1">
        <w:rPr>
          <w:rFonts w:ascii="Arial" w:hAnsi="Arial" w:cs="Arial"/>
          <w:color w:val="000000" w:themeColor="text1"/>
        </w:rPr>
        <w:t xml:space="preserve"> to deal with best the pandemic assumes a significant part in showing the executives' anxiety towards the wellbeing and security, all things considered. Paying attention to their interests is additionally vital.</w:t>
      </w:r>
      <w:r w:rsidR="00217C20">
        <w:rPr>
          <w:rFonts w:ascii="Arial" w:hAnsi="Arial" w:cs="Arial"/>
          <w:color w:val="000000" w:themeColor="text1"/>
        </w:rPr>
        <w:t xml:space="preserve"> </w:t>
      </w:r>
      <w:r w:rsidRPr="004F13D1">
        <w:rPr>
          <w:rFonts w:ascii="Arial" w:hAnsi="Arial" w:cs="Arial"/>
          <w:color w:val="000000" w:themeColor="text1"/>
        </w:rPr>
        <w:t>While they might communicate it in a forceful or antagonistic tone, it might astonish you that a portion of their interests and focuses make great contributions for upgrades. The key for pioneers and supervisors is to look past the forceful or antagonistic correspondence style, practice persistence and assess the worries raised dispassionately. (P.D. Cenon,2021)</w:t>
      </w:r>
    </w:p>
    <w:p w14:paraId="20316984" w14:textId="48B7E25C" w:rsidR="7B5DF51F" w:rsidRPr="004F13D1" w:rsidRDefault="36D6D8B6" w:rsidP="7B5DF51F">
      <w:pPr>
        <w:rPr>
          <w:rFonts w:ascii="Arial" w:hAnsi="Arial" w:cs="Arial"/>
          <w:color w:val="000000" w:themeColor="text1"/>
        </w:rPr>
      </w:pPr>
      <w:r w:rsidRPr="004F13D1">
        <w:rPr>
          <w:rFonts w:ascii="Arial" w:hAnsi="Arial" w:cs="Arial"/>
          <w:color w:val="000000" w:themeColor="text1"/>
        </w:rPr>
        <w:t xml:space="preserve"> </w:t>
      </w:r>
    </w:p>
    <w:p w14:paraId="019668CC" w14:textId="79544660" w:rsidR="7B5DF51F" w:rsidRPr="002F3DA3" w:rsidRDefault="36D6D8B6" w:rsidP="002F3DA3">
      <w:pPr>
        <w:pStyle w:val="Heading1"/>
        <w:rPr>
          <w:rFonts w:ascii="Arial" w:hAnsi="Arial" w:cs="Arial"/>
          <w:sz w:val="22"/>
          <w:szCs w:val="22"/>
        </w:rPr>
      </w:pPr>
      <w:bookmarkStart w:id="2" w:name="_Toc88776521"/>
      <w:r w:rsidRPr="002F3DA3">
        <w:rPr>
          <w:rFonts w:ascii="Arial" w:hAnsi="Arial" w:cs="Arial"/>
          <w:sz w:val="22"/>
          <w:szCs w:val="22"/>
        </w:rPr>
        <w:lastRenderedPageBreak/>
        <w:t>Employee relations-commitment and engagement driver</w:t>
      </w:r>
      <w:bookmarkEnd w:id="2"/>
    </w:p>
    <w:p w14:paraId="700F58DD" w14:textId="030A5B25" w:rsidR="7B5DF51F" w:rsidRPr="004F13D1" w:rsidRDefault="008A6172" w:rsidP="7B5DF51F">
      <w:pPr>
        <w:rPr>
          <w:rFonts w:ascii="Arial" w:hAnsi="Arial" w:cs="Arial"/>
          <w:color w:val="000000" w:themeColor="text1"/>
        </w:rPr>
      </w:pPr>
      <w:r w:rsidRPr="008A6172">
        <w:rPr>
          <w:rFonts w:ascii="Arial" w:hAnsi="Arial" w:cs="Arial"/>
          <w:color w:val="000000" w:themeColor="text1"/>
        </w:rPr>
        <w:t xml:space="preserve">CIPD states that worker relations are the term used to portray the connection among businesses and representatives. The present translation of representative relations alludes to individual just as aggregate work environment connections. It mirrors the expanding individualization of the business relationship following the ascent of individual working environment freedoms and the verifiable decrease in worker's organization reach and impact. In accordance with this concentration, there's an expanding accentuation on assisting line supervisors to set up entrust based associations with representatives. Worker relations is a space of expert information in CIPD Calling Guide. It accentuates the significance of ensuring the connection between an association and its kin is overseen through straightforward practices and applicable law. As managers' consideration has moved progressively from group to individual connections, worker commitment has turned into a critical piece of the business relationship. A positive representative relations environment and undeniable degrees of worker commitment can possibly bring better business results just as better wellbeing and prosperity for representatives. Worker's guild impact is </w:t>
      </w:r>
      <w:proofErr w:type="gramStart"/>
      <w:r w:rsidRPr="008A6172">
        <w:rPr>
          <w:rFonts w:ascii="Arial" w:hAnsi="Arial" w:cs="Arial"/>
          <w:color w:val="000000" w:themeColor="text1"/>
        </w:rPr>
        <w:t>as yet</w:t>
      </w:r>
      <w:proofErr w:type="gramEnd"/>
      <w:r w:rsidRPr="008A6172">
        <w:rPr>
          <w:rFonts w:ascii="Arial" w:hAnsi="Arial" w:cs="Arial"/>
          <w:color w:val="000000" w:themeColor="text1"/>
        </w:rPr>
        <w:t xml:space="preserve"> an ordinary reality for certain associations, especially in the public area, </w:t>
      </w:r>
      <w:r w:rsidRPr="008A6172">
        <w:rPr>
          <w:rFonts w:ascii="Arial" w:hAnsi="Arial" w:cs="Arial"/>
          <w:color w:val="000000" w:themeColor="text1"/>
        </w:rPr>
        <w:t>however,</w:t>
      </w:r>
      <w:r w:rsidRPr="008A6172">
        <w:rPr>
          <w:rFonts w:ascii="Arial" w:hAnsi="Arial" w:cs="Arial"/>
          <w:color w:val="000000" w:themeColor="text1"/>
        </w:rPr>
        <w:t xml:space="preserve"> has declined in ongoing a long time across the more extensive economy. Nonetheless, official insights distributed in May 2021 show that extent of UK workers who were worker's guild individuals has been rising somewhat over the most recent couple of years.</w:t>
      </w:r>
      <w:r w:rsidR="009157B1">
        <w:rPr>
          <w:rFonts w:ascii="Arial" w:hAnsi="Arial" w:cs="Arial"/>
          <w:color w:val="000000" w:themeColor="text1"/>
        </w:rPr>
        <w:t xml:space="preserve"> (</w:t>
      </w:r>
      <w:r w:rsidR="002B7932" w:rsidRPr="009157B1">
        <w:rPr>
          <w:rFonts w:ascii="Arial" w:hAnsi="Arial" w:cs="Arial"/>
          <w:i/>
          <w:iCs/>
          <w:color w:val="000000" w:themeColor="text1"/>
        </w:rPr>
        <w:t>CIPD</w:t>
      </w:r>
      <w:r w:rsidR="009157B1" w:rsidRPr="009157B1">
        <w:rPr>
          <w:rFonts w:ascii="Arial" w:hAnsi="Arial" w:cs="Arial"/>
          <w:i/>
          <w:iCs/>
          <w:color w:val="000000" w:themeColor="text1"/>
        </w:rPr>
        <w:t>,2021)</w:t>
      </w:r>
    </w:p>
    <w:p w14:paraId="142B3C3C" w14:textId="2B8DB83A" w:rsidR="7B5DF51F" w:rsidRPr="004F13D1" w:rsidRDefault="36D6D8B6" w:rsidP="7B5DF51F">
      <w:pPr>
        <w:rPr>
          <w:rFonts w:ascii="Arial" w:hAnsi="Arial" w:cs="Arial"/>
          <w:color w:val="000000" w:themeColor="text1"/>
        </w:rPr>
      </w:pPr>
      <w:r w:rsidRPr="004F13D1">
        <w:rPr>
          <w:rFonts w:ascii="Arial" w:hAnsi="Arial" w:cs="Arial"/>
          <w:color w:val="000000" w:themeColor="text1"/>
        </w:rPr>
        <w:t>The Coronavirus pandemic has expanded the potential for struggle in associations impressively and presents a huge representative relations challenge. Numerous associations are probably going to be feeling the squeeze given the severe new wellbeing and security necessities, and many will likewise be confronting functional requests. The actual infection is inconsistent affecting diverse worker gatherings and people, for instance as indicated by age, sex, nationality, and wellbeing. Some will have been on leave of absence while others might have had expanded work requests. Working with a re-visitation of a safe actual working environment will likewise offer impressive tension as a powerful influence for administrators and representatives. A few associations should revamp and even make redundancies, especially with the finish of the Covid Occupation Maintenance Plan.</w:t>
      </w:r>
    </w:p>
    <w:p w14:paraId="34ADC20F" w14:textId="3D7142BD" w:rsidR="7B5DF51F" w:rsidRPr="00AB174C" w:rsidRDefault="36D6D8B6" w:rsidP="7B5DF51F">
      <w:pPr>
        <w:rPr>
          <w:rFonts w:ascii="Arial" w:hAnsi="Arial" w:cs="Arial"/>
          <w:color w:val="000000" w:themeColor="text1"/>
        </w:rPr>
      </w:pPr>
      <w:r w:rsidRPr="004F13D1">
        <w:rPr>
          <w:rFonts w:ascii="Arial" w:hAnsi="Arial" w:cs="Arial"/>
          <w:color w:val="000000" w:themeColor="text1"/>
        </w:rPr>
        <w:t xml:space="preserve">This multitude of variables imply that businesses need to counsel and speak with the labour force consistently and accept individuals' perspectives, incorporating working with perceived worker's guilds and representative delegates just as with individuals on a singular premise. </w:t>
      </w:r>
      <w:r w:rsidRPr="00AB174C">
        <w:rPr>
          <w:rFonts w:ascii="Arial" w:hAnsi="Arial" w:cs="Arial"/>
          <w:color w:val="000000" w:themeColor="text1"/>
        </w:rPr>
        <w:t xml:space="preserve">Employers need to perceive the potential for struggle among workers in the current environment, and guarantee chiefs are prepared to have touchy and strong discussions with individuals. They ought to advance reasonableness and consistency while additionally being adaptable in the help they give to meet individuals' singular conditions. </w:t>
      </w:r>
      <w:r w:rsidRPr="009157B1">
        <w:rPr>
          <w:rFonts w:ascii="Arial" w:hAnsi="Arial" w:cs="Arial"/>
          <w:i/>
          <w:iCs/>
          <w:color w:val="000000" w:themeColor="text1"/>
        </w:rPr>
        <w:t>(CIPD,2021)</w:t>
      </w:r>
    </w:p>
    <w:p w14:paraId="4291A024" w14:textId="0C710DA9" w:rsidR="7B5DF51F" w:rsidRPr="00136675" w:rsidRDefault="36D6D8B6" w:rsidP="7B5DF51F">
      <w:pPr>
        <w:rPr>
          <w:rFonts w:ascii="Arial" w:hAnsi="Arial" w:cs="Arial"/>
          <w:color w:val="000000" w:themeColor="text1"/>
        </w:rPr>
      </w:pPr>
      <w:r w:rsidRPr="00136675">
        <w:rPr>
          <w:rFonts w:ascii="Arial" w:hAnsi="Arial" w:cs="Arial"/>
          <w:color w:val="000000" w:themeColor="text1"/>
        </w:rPr>
        <w:t>Recruitment-equality and diversity</w:t>
      </w:r>
    </w:p>
    <w:p w14:paraId="68742B7A" w14:textId="5257CBA0" w:rsidR="7B5DF51F" w:rsidRPr="00136675" w:rsidRDefault="36D6D8B6" w:rsidP="7B5DF51F">
      <w:pPr>
        <w:rPr>
          <w:rFonts w:ascii="Arial" w:hAnsi="Arial" w:cs="Arial"/>
          <w:color w:val="000000" w:themeColor="text1"/>
        </w:rPr>
      </w:pPr>
      <w:r w:rsidRPr="00136675">
        <w:rPr>
          <w:rFonts w:ascii="Arial" w:hAnsi="Arial" w:cs="Arial"/>
          <w:color w:val="000000" w:themeColor="text1"/>
        </w:rPr>
        <w:t>According to Robert Walters, several steps are to be made in conducting a fair recruitment process:</w:t>
      </w:r>
    </w:p>
    <w:p w14:paraId="05BF8B74" w14:textId="2F0D8F70"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Perceiving the worth of variety</w:t>
      </w:r>
    </w:p>
    <w:p w14:paraId="2649F12B" w14:textId="15F8FF99"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Work together to fabricate a variety technique</w:t>
      </w:r>
    </w:p>
    <w:p w14:paraId="1F9E2E39" w14:textId="69F70138"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Be ready to open new enrolment channels</w:t>
      </w:r>
    </w:p>
    <w:p w14:paraId="55E7C4BD" w14:textId="5C7A0DDD"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Consider which apparatuses can assist you with associating with assorted ability</w:t>
      </w:r>
    </w:p>
    <w:p w14:paraId="436AABC0" w14:textId="46BF89E1"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lastRenderedPageBreak/>
        <w:t>Find ways to counter oblivious inclination</w:t>
      </w:r>
    </w:p>
    <w:p w14:paraId="4EB522B0" w14:textId="23015521"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Foster systems to accomplish variety across all levels</w:t>
      </w:r>
    </w:p>
    <w:p w14:paraId="12412620" w14:textId="0690CD8F" w:rsidR="7B5DF51F" w:rsidRPr="00C24DC9" w:rsidRDefault="36D6D8B6" w:rsidP="00C24DC9">
      <w:pPr>
        <w:pStyle w:val="ListParagraph"/>
        <w:numPr>
          <w:ilvl w:val="0"/>
          <w:numId w:val="16"/>
        </w:numPr>
        <w:rPr>
          <w:rFonts w:ascii="Arial" w:hAnsi="Arial" w:cs="Arial"/>
          <w:color w:val="000000" w:themeColor="text1"/>
        </w:rPr>
      </w:pPr>
      <w:r w:rsidRPr="00C24DC9">
        <w:rPr>
          <w:rFonts w:ascii="Arial" w:hAnsi="Arial" w:cs="Arial"/>
          <w:color w:val="000000" w:themeColor="text1"/>
        </w:rPr>
        <w:t>Empower participation and coordinated effort</w:t>
      </w:r>
    </w:p>
    <w:p w14:paraId="6FF2E267" w14:textId="6D1DD275" w:rsidR="7B5DF51F" w:rsidRDefault="36D6D8B6" w:rsidP="7B5DF51F">
      <w:pPr>
        <w:rPr>
          <w:rFonts w:ascii="Arial" w:hAnsi="Arial" w:cs="Arial"/>
          <w:color w:val="000000" w:themeColor="text1"/>
        </w:rPr>
      </w:pPr>
      <w:r w:rsidRPr="004F13D1">
        <w:rPr>
          <w:rFonts w:ascii="Arial" w:hAnsi="Arial" w:cs="Arial"/>
          <w:color w:val="000000" w:themeColor="text1"/>
        </w:rPr>
        <w:t>To receive the rewards of an assorted labour force, businesses should guarantee that they can accomplish joint effort inside their group. This implies giving freedoms to experts from different foundations to cooperate just as guaranteeing that all staff feel that their voices and feelings are thought about by ranking directors.</w:t>
      </w:r>
    </w:p>
    <w:p w14:paraId="186B8A90" w14:textId="77777777" w:rsidR="004261C6" w:rsidRPr="004F13D1" w:rsidRDefault="004261C6" w:rsidP="7B5DF51F">
      <w:pPr>
        <w:rPr>
          <w:rFonts w:ascii="Arial" w:hAnsi="Arial" w:cs="Arial"/>
          <w:color w:val="000000" w:themeColor="text1"/>
        </w:rPr>
      </w:pPr>
    </w:p>
    <w:p w14:paraId="6CD71E6E" w14:textId="2EEE962E" w:rsidR="7B5DF51F" w:rsidRPr="002F3DA3" w:rsidRDefault="36D6D8B6" w:rsidP="002F3DA3">
      <w:pPr>
        <w:pStyle w:val="Heading1"/>
        <w:rPr>
          <w:rFonts w:ascii="Arial" w:hAnsi="Arial" w:cs="Arial"/>
          <w:sz w:val="22"/>
          <w:szCs w:val="22"/>
        </w:rPr>
      </w:pPr>
      <w:bookmarkStart w:id="3" w:name="_Toc88776522"/>
      <w:r w:rsidRPr="002F3DA3">
        <w:rPr>
          <w:rFonts w:ascii="Arial" w:hAnsi="Arial" w:cs="Arial"/>
          <w:sz w:val="22"/>
          <w:szCs w:val="22"/>
        </w:rPr>
        <w:t>Tools of engagement people and employee value proposition</w:t>
      </w:r>
      <w:bookmarkEnd w:id="3"/>
    </w:p>
    <w:p w14:paraId="232AA0EC" w14:textId="77777777" w:rsidR="00FE35C9" w:rsidRPr="00FE35C9" w:rsidRDefault="00FE35C9" w:rsidP="00FE35C9">
      <w:p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FE35C9">
        <w:rPr>
          <w:rFonts w:ascii="Arial" w:eastAsia="Times New Roman" w:hAnsi="Arial" w:cs="Arial"/>
          <w:color w:val="000000" w:themeColor="text1"/>
          <w:lang w:val="en-GB" w:eastAsia="en-GB"/>
        </w:rPr>
        <w:t xml:space="preserve">To make a worker offer model in your organization, first get what an EVP is. </w:t>
      </w:r>
    </w:p>
    <w:p w14:paraId="36590BDE" w14:textId="6F13A225" w:rsidR="00FE35C9" w:rsidRPr="00FE35C9" w:rsidRDefault="00FE35C9" w:rsidP="00FE35C9">
      <w:p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FE35C9">
        <w:rPr>
          <w:rFonts w:ascii="Arial" w:eastAsia="Times New Roman" w:hAnsi="Arial" w:cs="Arial"/>
          <w:color w:val="000000" w:themeColor="text1"/>
          <w:lang w:val="en-GB" w:eastAsia="en-GB"/>
        </w:rPr>
        <w:t xml:space="preserve">Here is a worker offer definition: The worker offer is the arrangement of qualities that the work market and representatives see as the worth they gain through work with the association. </w:t>
      </w:r>
    </w:p>
    <w:p w14:paraId="7190D3C0" w14:textId="28A5F0A4" w:rsidR="00FE35C9" w:rsidRPr="00FE35C9" w:rsidRDefault="00FE35C9" w:rsidP="00FE35C9">
      <w:p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FE35C9">
        <w:rPr>
          <w:rFonts w:ascii="Arial" w:eastAsia="Times New Roman" w:hAnsi="Arial" w:cs="Arial"/>
          <w:color w:val="000000" w:themeColor="text1"/>
          <w:lang w:val="en-GB" w:eastAsia="en-GB"/>
        </w:rPr>
        <w:t>An EVP is in some cases mistook for "</w:t>
      </w:r>
      <w:r>
        <w:rPr>
          <w:rFonts w:ascii="Arial" w:eastAsia="Times New Roman" w:hAnsi="Arial" w:cs="Arial"/>
          <w:color w:val="000000" w:themeColor="text1"/>
          <w:lang w:val="en-GB" w:eastAsia="en-GB"/>
        </w:rPr>
        <w:t>employer</w:t>
      </w:r>
      <w:r w:rsidRPr="00FE35C9">
        <w:rPr>
          <w:rFonts w:ascii="Arial" w:eastAsia="Times New Roman" w:hAnsi="Arial" w:cs="Arial"/>
          <w:color w:val="000000" w:themeColor="text1"/>
          <w:lang w:val="en-GB" w:eastAsia="en-GB"/>
        </w:rPr>
        <w:t xml:space="preserve"> brand". The thing that matters is that the worker offer is </w:t>
      </w:r>
      <w:r w:rsidRPr="00FE35C9">
        <w:rPr>
          <w:rFonts w:ascii="Arial" w:eastAsia="Times New Roman" w:hAnsi="Arial" w:cs="Arial"/>
          <w:color w:val="000000" w:themeColor="text1"/>
          <w:lang w:val="en-GB" w:eastAsia="en-GB"/>
        </w:rPr>
        <w:t>cantered</w:t>
      </w:r>
      <w:r w:rsidRPr="00FE35C9">
        <w:rPr>
          <w:rFonts w:ascii="Arial" w:eastAsia="Times New Roman" w:hAnsi="Arial" w:cs="Arial"/>
          <w:color w:val="000000" w:themeColor="text1"/>
          <w:lang w:val="en-GB" w:eastAsia="en-GB"/>
        </w:rPr>
        <w:t xml:space="preserve"> inside (what inspires and draws in representatives, holds top entertainers, draws in capable up-and-comers); versus the business brand which is </w:t>
      </w:r>
      <w:r w:rsidRPr="00FE35C9">
        <w:rPr>
          <w:rFonts w:ascii="Arial" w:eastAsia="Times New Roman" w:hAnsi="Arial" w:cs="Arial"/>
          <w:color w:val="000000" w:themeColor="text1"/>
          <w:lang w:val="en-GB" w:eastAsia="en-GB"/>
        </w:rPr>
        <w:t>even more</w:t>
      </w:r>
      <w:r w:rsidRPr="00FE35C9">
        <w:rPr>
          <w:rFonts w:ascii="Arial" w:eastAsia="Times New Roman" w:hAnsi="Arial" w:cs="Arial"/>
          <w:color w:val="000000" w:themeColor="text1"/>
          <w:lang w:val="en-GB" w:eastAsia="en-GB"/>
        </w:rPr>
        <w:t xml:space="preserve"> remotely engaged (e.g., the organization's standing as a business, its social picture, what separates it). </w:t>
      </w:r>
    </w:p>
    <w:p w14:paraId="5C186F0D" w14:textId="77777777" w:rsidR="00FE35C9" w:rsidRPr="00FE35C9" w:rsidRDefault="00FE35C9" w:rsidP="00FE35C9">
      <w:pPr>
        <w:shd w:val="clear" w:color="auto" w:fill="FCFCFC"/>
        <w:spacing w:before="100" w:beforeAutospacing="1" w:after="100" w:afterAutospacing="1" w:line="240" w:lineRule="auto"/>
        <w:ind w:left="720"/>
        <w:rPr>
          <w:rFonts w:ascii="Arial" w:eastAsia="Times New Roman" w:hAnsi="Arial" w:cs="Arial"/>
          <w:color w:val="000000" w:themeColor="text1"/>
          <w:lang w:val="en-GB" w:eastAsia="en-GB"/>
        </w:rPr>
      </w:pPr>
    </w:p>
    <w:p w14:paraId="30691AC4" w14:textId="77777777" w:rsidR="00FE35C9" w:rsidRPr="00892820" w:rsidRDefault="00FE35C9" w:rsidP="00892820">
      <w:p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892820">
        <w:rPr>
          <w:rFonts w:ascii="Arial" w:eastAsia="Times New Roman" w:hAnsi="Arial" w:cs="Arial"/>
          <w:color w:val="000000" w:themeColor="text1"/>
          <w:lang w:val="en-GB" w:eastAsia="en-GB"/>
        </w:rPr>
        <w:t xml:space="preserve">Instances of EVP: </w:t>
      </w:r>
    </w:p>
    <w:p w14:paraId="4B34B143" w14:textId="77777777" w:rsidR="00FE35C9" w:rsidRPr="00FE35C9" w:rsidRDefault="00FE35C9" w:rsidP="00FE35C9">
      <w:pPr>
        <w:shd w:val="clear" w:color="auto" w:fill="FCFCFC"/>
        <w:spacing w:before="100" w:beforeAutospacing="1" w:after="100" w:afterAutospacing="1" w:line="240" w:lineRule="auto"/>
        <w:ind w:left="720"/>
        <w:rPr>
          <w:rFonts w:ascii="Arial" w:eastAsia="Times New Roman" w:hAnsi="Arial" w:cs="Arial"/>
          <w:color w:val="000000" w:themeColor="text1"/>
          <w:lang w:val="en-GB" w:eastAsia="en-GB"/>
        </w:rPr>
      </w:pPr>
    </w:p>
    <w:p w14:paraId="0A9064A6" w14:textId="77777777" w:rsidR="00892820" w:rsidRPr="00892820" w:rsidRDefault="00FE35C9" w:rsidP="00892820">
      <w:pPr>
        <w:pStyle w:val="ListParagraph"/>
        <w:numPr>
          <w:ilvl w:val="1"/>
          <w:numId w:val="25"/>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892820">
        <w:rPr>
          <w:rFonts w:ascii="Arial" w:eastAsia="Times New Roman" w:hAnsi="Arial" w:cs="Arial"/>
          <w:color w:val="000000" w:themeColor="text1"/>
          <w:lang w:val="en-GB" w:eastAsia="en-GB"/>
        </w:rPr>
        <w:t xml:space="preserve">supporting families — benefits (parental leave, retirement investment funds, and more) and on location conveniences (for youngsters and canines!) </w:t>
      </w:r>
    </w:p>
    <w:p w14:paraId="03A42BA6" w14:textId="10DD0834" w:rsidR="00FE35C9" w:rsidRPr="00892820" w:rsidRDefault="00FE35C9" w:rsidP="00892820">
      <w:pPr>
        <w:pStyle w:val="ListParagraph"/>
        <w:numPr>
          <w:ilvl w:val="1"/>
          <w:numId w:val="25"/>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892820">
        <w:rPr>
          <w:rFonts w:ascii="Arial" w:eastAsia="Times New Roman" w:hAnsi="Arial" w:cs="Arial"/>
          <w:color w:val="000000" w:themeColor="text1"/>
          <w:lang w:val="en-GB" w:eastAsia="en-GB"/>
        </w:rPr>
        <w:t xml:space="preserve">access to a solid way of life — on location specialists and wellness focuses </w:t>
      </w:r>
    </w:p>
    <w:p w14:paraId="305C136D" w14:textId="709665C0" w:rsidR="00FE35C9" w:rsidRPr="00892820" w:rsidRDefault="00FE35C9" w:rsidP="00892820">
      <w:pPr>
        <w:pStyle w:val="ListParagraph"/>
        <w:numPr>
          <w:ilvl w:val="1"/>
          <w:numId w:val="25"/>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892820">
        <w:rPr>
          <w:rFonts w:ascii="Arial" w:eastAsia="Times New Roman" w:hAnsi="Arial" w:cs="Arial"/>
          <w:color w:val="000000" w:themeColor="text1"/>
          <w:lang w:val="en-GB" w:eastAsia="en-GB"/>
        </w:rPr>
        <w:t xml:space="preserve">giving back — coordinating with altruistic gifts and volunteer hours for workers </w:t>
      </w:r>
    </w:p>
    <w:p w14:paraId="649FAAED" w14:textId="4D08FBBF" w:rsidR="00FE35C9" w:rsidRPr="00892820" w:rsidRDefault="00FE35C9" w:rsidP="00892820">
      <w:pPr>
        <w:pStyle w:val="ListParagraph"/>
        <w:numPr>
          <w:ilvl w:val="1"/>
          <w:numId w:val="25"/>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892820">
        <w:rPr>
          <w:rFonts w:ascii="Arial" w:eastAsia="Times New Roman" w:hAnsi="Arial" w:cs="Arial"/>
          <w:color w:val="000000" w:themeColor="text1"/>
          <w:lang w:val="en-GB" w:eastAsia="en-GB"/>
        </w:rPr>
        <w:t xml:space="preserve">access to quality downtime — flex workdays and time off </w:t>
      </w:r>
    </w:p>
    <w:p w14:paraId="5C6D1F90" w14:textId="77777777" w:rsidR="00FE35C9" w:rsidRPr="00FE35C9" w:rsidRDefault="00FE35C9" w:rsidP="00FE35C9">
      <w:pPr>
        <w:shd w:val="clear" w:color="auto" w:fill="FCFCFC"/>
        <w:spacing w:before="100" w:beforeAutospacing="1" w:after="100" w:afterAutospacing="1" w:line="240" w:lineRule="auto"/>
        <w:ind w:left="720"/>
        <w:rPr>
          <w:rFonts w:ascii="Arial" w:eastAsia="Times New Roman" w:hAnsi="Arial" w:cs="Arial"/>
          <w:color w:val="000000" w:themeColor="text1"/>
          <w:lang w:val="en-GB" w:eastAsia="en-GB"/>
        </w:rPr>
      </w:pPr>
    </w:p>
    <w:p w14:paraId="44AF15AD" w14:textId="77777777" w:rsidR="00F71946" w:rsidRPr="00892820" w:rsidRDefault="00FE35C9" w:rsidP="00892820">
      <w:pPr>
        <w:pStyle w:val="ListParagraph"/>
        <w:numPr>
          <w:ilvl w:val="1"/>
          <w:numId w:val="25"/>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892820">
        <w:rPr>
          <w:rFonts w:ascii="Arial" w:eastAsia="Times New Roman" w:hAnsi="Arial" w:cs="Arial"/>
          <w:color w:val="000000" w:themeColor="text1"/>
          <w:lang w:val="en-GB" w:eastAsia="en-GB"/>
        </w:rPr>
        <w:t xml:space="preserve">financial support — retirement reserve funds coordinating and monetary arranging assets </w:t>
      </w:r>
    </w:p>
    <w:p w14:paraId="28977DC4" w14:textId="2C333CC5" w:rsidR="00743424" w:rsidRPr="00892820" w:rsidRDefault="00F71946" w:rsidP="00892820">
      <w:pPr>
        <w:pStyle w:val="ListParagraph"/>
        <w:numPr>
          <w:ilvl w:val="1"/>
          <w:numId w:val="25"/>
        </w:numPr>
        <w:shd w:val="clear" w:color="auto" w:fill="FCFCFC"/>
        <w:spacing w:before="100" w:beforeAutospacing="1" w:after="100" w:afterAutospacing="1" w:line="240" w:lineRule="auto"/>
        <w:rPr>
          <w:rFonts w:ascii="Arial" w:eastAsia="Times New Roman" w:hAnsi="Arial" w:cs="Arial"/>
          <w:color w:val="000000" w:themeColor="text1"/>
          <w:lang w:val="en-GB" w:eastAsia="en-GB"/>
        </w:rPr>
      </w:pPr>
      <w:r w:rsidRPr="00892820">
        <w:rPr>
          <w:rFonts w:ascii="Arial" w:eastAsia="Times New Roman" w:hAnsi="Arial" w:cs="Arial"/>
          <w:color w:val="000000" w:themeColor="text1"/>
          <w:lang w:val="en-GB" w:eastAsia="en-GB"/>
        </w:rPr>
        <w:t>I</w:t>
      </w:r>
      <w:r w:rsidR="00FE35C9" w:rsidRPr="00892820">
        <w:rPr>
          <w:rFonts w:ascii="Arial" w:eastAsia="Times New Roman" w:hAnsi="Arial" w:cs="Arial"/>
          <w:color w:val="000000" w:themeColor="text1"/>
          <w:lang w:val="en-GB" w:eastAsia="en-GB"/>
        </w:rPr>
        <w:t>nvesting in representative development — individual and expert improvement choices (degree programs, cooking classes, guitar lessons, and the sky is the limit from there)</w:t>
      </w:r>
    </w:p>
    <w:p w14:paraId="4AB5D31F" w14:textId="77777777" w:rsidR="0041689A" w:rsidRPr="00743424" w:rsidRDefault="0041689A" w:rsidP="00743424">
      <w:pPr>
        <w:shd w:val="clear" w:color="auto" w:fill="FCFCFC"/>
        <w:spacing w:before="100" w:beforeAutospacing="1" w:after="100" w:afterAutospacing="1" w:line="240" w:lineRule="auto"/>
        <w:ind w:left="720"/>
        <w:rPr>
          <w:rFonts w:ascii="Arial" w:eastAsia="Times New Roman" w:hAnsi="Arial" w:cs="Arial"/>
          <w:color w:val="000000" w:themeColor="text1"/>
          <w:lang w:val="en-GB" w:eastAsia="en-GB"/>
        </w:rPr>
      </w:pPr>
    </w:p>
    <w:p w14:paraId="2E7321D5" w14:textId="00C20571" w:rsidR="00743424" w:rsidRPr="003D03C2" w:rsidRDefault="0041689A" w:rsidP="00892820">
      <w:pPr>
        <w:pStyle w:val="Heading1"/>
        <w:rPr>
          <w:rFonts w:ascii="Arial" w:hAnsi="Arial" w:cs="Arial"/>
          <w:sz w:val="22"/>
          <w:szCs w:val="22"/>
        </w:rPr>
      </w:pPr>
      <w:r w:rsidRPr="003D03C2">
        <w:rPr>
          <w:rFonts w:ascii="Arial" w:hAnsi="Arial" w:cs="Arial"/>
          <w:sz w:val="22"/>
          <w:szCs w:val="22"/>
        </w:rPr>
        <w:t>Employee engagement tools</w:t>
      </w:r>
    </w:p>
    <w:p w14:paraId="71EFBA20" w14:textId="0CF9D53E" w:rsidR="0041689A" w:rsidRPr="0041689A" w:rsidRDefault="0041689A" w:rsidP="00975495">
      <w:pPr>
        <w:rPr>
          <w:rFonts w:ascii="Arial" w:hAnsi="Arial" w:cs="Arial"/>
          <w:color w:val="000000" w:themeColor="text1"/>
        </w:rPr>
      </w:pPr>
      <w:r w:rsidRPr="0041689A">
        <w:rPr>
          <w:rFonts w:ascii="Arial" w:hAnsi="Arial" w:cs="Arial"/>
          <w:color w:val="000000" w:themeColor="text1"/>
        </w:rPr>
        <w:t xml:space="preserve">Worker commitment apparatus further develops ability maintenance and occupation fulfillment. The goal is to use the force of innovation to help usefulness and effectiveness in a quantifiable manner. From texting to regular appreciation and acknowledgment—there are various instruments to make a culture of commitment. </w:t>
      </w:r>
    </w:p>
    <w:p w14:paraId="5E6736F1" w14:textId="77777777" w:rsidR="00586E39" w:rsidRDefault="0041689A" w:rsidP="00975495">
      <w:pPr>
        <w:rPr>
          <w:rFonts w:ascii="Arial" w:hAnsi="Arial" w:cs="Arial"/>
          <w:color w:val="000000" w:themeColor="text1"/>
        </w:rPr>
      </w:pPr>
      <w:r w:rsidRPr="0041689A">
        <w:rPr>
          <w:rFonts w:ascii="Arial" w:hAnsi="Arial" w:cs="Arial"/>
          <w:color w:val="000000" w:themeColor="text1"/>
        </w:rPr>
        <w:t>Advantages of Employee Engagement Tools</w:t>
      </w:r>
      <w:r w:rsidR="00586E39">
        <w:rPr>
          <w:rFonts w:ascii="Arial" w:hAnsi="Arial" w:cs="Arial"/>
          <w:color w:val="000000" w:themeColor="text1"/>
        </w:rPr>
        <w:t>:</w:t>
      </w:r>
      <w:r w:rsidRPr="0041689A">
        <w:rPr>
          <w:rFonts w:ascii="Arial" w:hAnsi="Arial" w:cs="Arial"/>
          <w:color w:val="000000" w:themeColor="text1"/>
        </w:rPr>
        <w:t xml:space="preserve"> </w:t>
      </w:r>
    </w:p>
    <w:p w14:paraId="028048F0" w14:textId="693CC7C3"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lastRenderedPageBreak/>
        <w:t xml:space="preserve">Boost representative work fulfillment </w:t>
      </w:r>
    </w:p>
    <w:p w14:paraId="18CB371E" w14:textId="250BA361"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Higher maintenance </w:t>
      </w:r>
    </w:p>
    <w:p w14:paraId="05D88E96" w14:textId="064B04F0"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Improve client experience </w:t>
      </w:r>
    </w:p>
    <w:p w14:paraId="3B8519F6" w14:textId="25EC2D37" w:rsidR="00DF25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Increase efficiency </w:t>
      </w:r>
    </w:p>
    <w:p w14:paraId="6DD8349D" w14:textId="69F7D10F" w:rsidR="00DF25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Lower turnover </w:t>
      </w:r>
    </w:p>
    <w:p w14:paraId="45A2DEA4" w14:textId="208A7580"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Increase benefits </w:t>
      </w:r>
    </w:p>
    <w:p w14:paraId="11483174" w14:textId="3A67622F"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Effective correspondence </w:t>
      </w:r>
    </w:p>
    <w:p w14:paraId="5A33ABC0" w14:textId="61B528FE"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Easy to get worker input </w:t>
      </w:r>
    </w:p>
    <w:p w14:paraId="333C5D92" w14:textId="7CD72571"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Less non-attendance </w:t>
      </w:r>
    </w:p>
    <w:p w14:paraId="4D7BB4A4" w14:textId="54EFEAC5"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Increase worker devotion </w:t>
      </w:r>
    </w:p>
    <w:p w14:paraId="7D211971" w14:textId="33D49087" w:rsidR="0041689A" w:rsidRPr="008314C7" w:rsidRDefault="0041689A" w:rsidP="008314C7">
      <w:pPr>
        <w:pStyle w:val="ListParagraph"/>
        <w:numPr>
          <w:ilvl w:val="0"/>
          <w:numId w:val="22"/>
        </w:numPr>
        <w:rPr>
          <w:rFonts w:ascii="Arial" w:hAnsi="Arial" w:cs="Arial"/>
          <w:color w:val="000000" w:themeColor="text1"/>
        </w:rPr>
      </w:pPr>
      <w:r w:rsidRPr="008314C7">
        <w:rPr>
          <w:rFonts w:ascii="Arial" w:hAnsi="Arial" w:cs="Arial"/>
          <w:color w:val="000000" w:themeColor="text1"/>
        </w:rPr>
        <w:t xml:space="preserve">Innovative work approach </w:t>
      </w:r>
    </w:p>
    <w:p w14:paraId="79DA0EF7" w14:textId="77777777" w:rsidR="0041689A" w:rsidRPr="0041689A" w:rsidRDefault="0041689A" w:rsidP="00975495">
      <w:pPr>
        <w:rPr>
          <w:rFonts w:ascii="Arial" w:hAnsi="Arial" w:cs="Arial"/>
          <w:color w:val="000000" w:themeColor="text1"/>
        </w:rPr>
      </w:pPr>
    </w:p>
    <w:p w14:paraId="774B0CD6" w14:textId="77777777" w:rsidR="00586E39" w:rsidRDefault="00586E39" w:rsidP="00975495">
      <w:pPr>
        <w:rPr>
          <w:rFonts w:ascii="Arial" w:hAnsi="Arial" w:cs="Arial"/>
          <w:color w:val="000000" w:themeColor="text1"/>
        </w:rPr>
      </w:pPr>
    </w:p>
    <w:p w14:paraId="3D7D10F1" w14:textId="5D2F3682" w:rsidR="0041689A" w:rsidRPr="0041689A" w:rsidRDefault="0041689A" w:rsidP="00975495">
      <w:pPr>
        <w:rPr>
          <w:rFonts w:ascii="Arial" w:hAnsi="Arial" w:cs="Arial"/>
          <w:color w:val="000000" w:themeColor="text1"/>
        </w:rPr>
      </w:pPr>
      <w:r w:rsidRPr="0041689A">
        <w:rPr>
          <w:rFonts w:ascii="Arial" w:hAnsi="Arial" w:cs="Arial"/>
          <w:color w:val="000000" w:themeColor="text1"/>
        </w:rPr>
        <w:t xml:space="preserve">Best Employee Engagement </w:t>
      </w:r>
      <w:r w:rsidR="00432EDC" w:rsidRPr="0041689A">
        <w:rPr>
          <w:rFonts w:ascii="Arial" w:hAnsi="Arial" w:cs="Arial"/>
          <w:color w:val="000000" w:themeColor="text1"/>
        </w:rPr>
        <w:t>Tools:</w:t>
      </w:r>
    </w:p>
    <w:p w14:paraId="01FFC718" w14:textId="77777777" w:rsidR="0041689A" w:rsidRPr="0041689A" w:rsidRDefault="0041689A" w:rsidP="00975495">
      <w:pPr>
        <w:rPr>
          <w:rFonts w:ascii="Arial" w:hAnsi="Arial" w:cs="Arial"/>
          <w:color w:val="000000" w:themeColor="text1"/>
        </w:rPr>
      </w:pPr>
    </w:p>
    <w:p w14:paraId="4C859984" w14:textId="77777777" w:rsidR="0041689A"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Slack: Unlike email, discussions in Slack are not difficult to follow, and they're more than discussions. </w:t>
      </w:r>
    </w:p>
    <w:p w14:paraId="2E2D16BF" w14:textId="77777777" w:rsidR="0041689A"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MS Teams: MS Teams gives a novel advanced stage to group correspondence and the executives in the consistently packed market of informing applications. </w:t>
      </w:r>
    </w:p>
    <w:p w14:paraId="64D85D73" w14:textId="77777777" w:rsidR="00586E39"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Google Chat: Google Chat is a wise and secure specialized apparatus worked for groups. From direct messages to bunch talks. </w:t>
      </w:r>
    </w:p>
    <w:p w14:paraId="6F16F732" w14:textId="3E808E1A" w:rsidR="0041689A" w:rsidRPr="008314C7" w:rsidRDefault="0041689A" w:rsidP="008314C7">
      <w:pPr>
        <w:pStyle w:val="ListParagraph"/>
        <w:numPr>
          <w:ilvl w:val="0"/>
          <w:numId w:val="21"/>
        </w:numPr>
        <w:rPr>
          <w:rFonts w:ascii="Arial" w:hAnsi="Arial" w:cs="Arial"/>
          <w:color w:val="000000" w:themeColor="text1"/>
        </w:rPr>
      </w:pPr>
      <w:r w:rsidRPr="008314C7">
        <w:rPr>
          <w:rFonts w:ascii="Arial" w:hAnsi="Arial" w:cs="Arial"/>
          <w:color w:val="000000" w:themeColor="text1"/>
        </w:rPr>
        <w:t xml:space="preserve">SurveyMonkey: SurveyMonkey assists you with realizing what's working and what's not straightforwardly from your representatives. </w:t>
      </w:r>
    </w:p>
    <w:p w14:paraId="71282DF7" w14:textId="627588D7" w:rsidR="0041689A" w:rsidRPr="006810BA" w:rsidRDefault="0041689A" w:rsidP="008314C7">
      <w:pPr>
        <w:pStyle w:val="ListParagraph"/>
        <w:numPr>
          <w:ilvl w:val="0"/>
          <w:numId w:val="21"/>
        </w:numPr>
        <w:rPr>
          <w:rFonts w:ascii="Arial" w:hAnsi="Arial" w:cs="Arial"/>
          <w:i/>
          <w:iCs/>
          <w:color w:val="000000" w:themeColor="text1"/>
        </w:rPr>
      </w:pPr>
      <w:r w:rsidRPr="008314C7">
        <w:rPr>
          <w:rFonts w:ascii="Arial" w:hAnsi="Arial" w:cs="Arial"/>
          <w:color w:val="000000" w:themeColor="text1"/>
        </w:rPr>
        <w:t>Type Form</w:t>
      </w:r>
      <w:r w:rsidRPr="008314C7">
        <w:rPr>
          <w:rFonts w:ascii="Arial" w:hAnsi="Arial" w:cs="Arial"/>
          <w:color w:val="000000" w:themeColor="text1"/>
        </w:rPr>
        <w:t xml:space="preserve">: Use </w:t>
      </w:r>
      <w:r w:rsidRPr="008314C7">
        <w:rPr>
          <w:rFonts w:ascii="Arial" w:hAnsi="Arial" w:cs="Arial"/>
          <w:color w:val="000000" w:themeColor="text1"/>
        </w:rPr>
        <w:t>Type form’s</w:t>
      </w:r>
      <w:r w:rsidRPr="008314C7">
        <w:rPr>
          <w:rFonts w:ascii="Arial" w:hAnsi="Arial" w:cs="Arial"/>
          <w:color w:val="000000" w:themeColor="text1"/>
        </w:rPr>
        <w:t xml:space="preserve"> free layouts and study inquiries to find what your group truly needs. </w:t>
      </w:r>
      <w:r w:rsidR="006810BA">
        <w:rPr>
          <w:rFonts w:ascii="Open Sans" w:hAnsi="Open Sans" w:cs="Open Sans"/>
          <w:color w:val="000000"/>
          <w:sz w:val="20"/>
          <w:szCs w:val="20"/>
          <w:shd w:val="clear" w:color="auto" w:fill="FFFFFF"/>
        </w:rPr>
        <w:t>(</w:t>
      </w:r>
      <w:r w:rsidR="006810BA" w:rsidRPr="006810BA">
        <w:rPr>
          <w:rFonts w:ascii="Arial" w:hAnsi="Arial" w:cs="Arial"/>
          <w:i/>
          <w:iCs/>
          <w:color w:val="000000"/>
          <w:shd w:val="clear" w:color="auto" w:fill="FFFFFF"/>
        </w:rPr>
        <w:t>10 Best employee engagement tools, 2021)</w:t>
      </w:r>
    </w:p>
    <w:p w14:paraId="2D7843FC" w14:textId="77777777" w:rsidR="0041689A" w:rsidRPr="0041689A" w:rsidRDefault="0041689A" w:rsidP="00975495">
      <w:pPr>
        <w:rPr>
          <w:rFonts w:ascii="Arial" w:hAnsi="Arial" w:cs="Arial"/>
          <w:color w:val="000000" w:themeColor="text1"/>
        </w:rPr>
      </w:pPr>
    </w:p>
    <w:p w14:paraId="1B2CF0A8" w14:textId="32BAA623" w:rsidR="00203E45" w:rsidRPr="00203E45" w:rsidRDefault="006372FC" w:rsidP="00975495">
      <w:pPr>
        <w:rPr>
          <w:rFonts w:ascii="Arial" w:hAnsi="Arial" w:cs="Arial"/>
          <w:color w:val="000000" w:themeColor="text1"/>
        </w:rPr>
      </w:pPr>
      <w:r>
        <w:rPr>
          <w:rFonts w:ascii="Arial" w:hAnsi="Arial" w:cs="Arial"/>
          <w:color w:val="000000" w:themeColor="text1"/>
        </w:rPr>
        <w:t xml:space="preserve">As a proposition of a tool that can effectively measures </w:t>
      </w:r>
      <w:r w:rsidR="00A93DA6">
        <w:rPr>
          <w:rFonts w:ascii="Arial" w:hAnsi="Arial" w:cs="Arial"/>
          <w:color w:val="000000" w:themeColor="text1"/>
        </w:rPr>
        <w:t xml:space="preserve">the performance of each employee, </w:t>
      </w:r>
      <w:r w:rsidR="003A2B88">
        <w:rPr>
          <w:rFonts w:ascii="Arial" w:hAnsi="Arial" w:cs="Arial"/>
          <w:color w:val="000000" w:themeColor="text1"/>
        </w:rPr>
        <w:t xml:space="preserve">and </w:t>
      </w:r>
      <w:r w:rsidR="002B15F2">
        <w:rPr>
          <w:rFonts w:ascii="Arial" w:hAnsi="Arial" w:cs="Arial"/>
          <w:color w:val="000000" w:themeColor="text1"/>
        </w:rPr>
        <w:t xml:space="preserve">helps the company in deciding the </w:t>
      </w:r>
      <w:r w:rsidR="00975495">
        <w:rPr>
          <w:rFonts w:ascii="Arial" w:hAnsi="Arial" w:cs="Arial"/>
          <w:color w:val="000000" w:themeColor="text1"/>
        </w:rPr>
        <w:t>rewards, bonuses that</w:t>
      </w:r>
      <w:r w:rsidR="00E94128">
        <w:rPr>
          <w:rFonts w:ascii="Arial" w:hAnsi="Arial" w:cs="Arial"/>
          <w:color w:val="000000" w:themeColor="text1"/>
        </w:rPr>
        <w:t xml:space="preserve"> </w:t>
      </w:r>
      <w:r w:rsidR="008314C7">
        <w:rPr>
          <w:rFonts w:ascii="Arial" w:hAnsi="Arial" w:cs="Arial"/>
          <w:color w:val="000000" w:themeColor="text1"/>
        </w:rPr>
        <w:t>everyone</w:t>
      </w:r>
      <w:r w:rsidR="00E94128">
        <w:rPr>
          <w:rFonts w:ascii="Arial" w:hAnsi="Arial" w:cs="Arial"/>
          <w:color w:val="000000" w:themeColor="text1"/>
        </w:rPr>
        <w:t xml:space="preserve"> </w:t>
      </w:r>
      <w:r w:rsidR="00975495">
        <w:rPr>
          <w:rFonts w:ascii="Arial" w:hAnsi="Arial" w:cs="Arial"/>
          <w:color w:val="000000" w:themeColor="text1"/>
        </w:rPr>
        <w:t>deserves, even</w:t>
      </w:r>
      <w:r w:rsidR="00A93DA6">
        <w:rPr>
          <w:rFonts w:ascii="Arial" w:hAnsi="Arial" w:cs="Arial"/>
          <w:color w:val="000000" w:themeColor="text1"/>
        </w:rPr>
        <w:t xml:space="preserve"> if </w:t>
      </w:r>
      <w:r w:rsidR="005F2C11">
        <w:rPr>
          <w:rFonts w:ascii="Arial" w:hAnsi="Arial" w:cs="Arial"/>
          <w:color w:val="000000" w:themeColor="text1"/>
        </w:rPr>
        <w:t>the employee</w:t>
      </w:r>
      <w:r w:rsidR="00707A63">
        <w:rPr>
          <w:rFonts w:ascii="Arial" w:hAnsi="Arial" w:cs="Arial"/>
          <w:color w:val="000000" w:themeColor="text1"/>
        </w:rPr>
        <w:t xml:space="preserve">s </w:t>
      </w:r>
      <w:r w:rsidR="001B44EF">
        <w:rPr>
          <w:rFonts w:ascii="Arial" w:hAnsi="Arial" w:cs="Arial"/>
          <w:color w:val="000000" w:themeColor="text1"/>
        </w:rPr>
        <w:t xml:space="preserve">are </w:t>
      </w:r>
      <w:r w:rsidR="005F2C11">
        <w:rPr>
          <w:rFonts w:ascii="Arial" w:hAnsi="Arial" w:cs="Arial"/>
          <w:color w:val="000000" w:themeColor="text1"/>
        </w:rPr>
        <w:t>working remotely SAP can come in hand.</w:t>
      </w:r>
      <w:r w:rsidR="00203E45" w:rsidRPr="00203E45">
        <w:t xml:space="preserve"> </w:t>
      </w:r>
      <w:r w:rsidR="00203E45" w:rsidRPr="00203E45">
        <w:rPr>
          <w:rFonts w:ascii="Arial" w:hAnsi="Arial" w:cs="Arial"/>
          <w:color w:val="000000" w:themeColor="text1"/>
        </w:rPr>
        <w:t xml:space="preserve">The SAP APO key execution pointers (KPIs) express theoretical inventory network destinations in monetary or actual units for near purposes. Information relating to the different preparation and execution cycles, for example, request </w:t>
      </w:r>
      <w:r w:rsidR="00203E45" w:rsidRPr="00203E45">
        <w:rPr>
          <w:rFonts w:ascii="Arial" w:hAnsi="Arial" w:cs="Arial"/>
          <w:color w:val="000000" w:themeColor="text1"/>
        </w:rPr>
        <w:t>arranging,</w:t>
      </w:r>
      <w:r w:rsidR="00203E45" w:rsidRPr="00203E45">
        <w:rPr>
          <w:rFonts w:ascii="Arial" w:hAnsi="Arial" w:cs="Arial"/>
          <w:color w:val="000000" w:themeColor="text1"/>
        </w:rPr>
        <w:t xml:space="preserve"> or creation planning is gathered, estimated, and changed into physical or monetary data that can be utilized to think about outcomes and in this way measure execution. The information is put away in the SAP Business Information Warehouse. SAP APO KPIs incorporate some SCOR measurements and some that have been created by SAP. </w:t>
      </w:r>
    </w:p>
    <w:p w14:paraId="2D781BEC" w14:textId="77777777" w:rsidR="00203E45" w:rsidRPr="00203E45" w:rsidRDefault="00203E45" w:rsidP="00975495">
      <w:pPr>
        <w:rPr>
          <w:rFonts w:ascii="Arial" w:hAnsi="Arial" w:cs="Arial"/>
          <w:color w:val="000000" w:themeColor="text1"/>
        </w:rPr>
      </w:pPr>
      <w:r w:rsidRPr="00203E45">
        <w:rPr>
          <w:rFonts w:ascii="Arial" w:hAnsi="Arial" w:cs="Arial"/>
          <w:color w:val="000000" w:themeColor="text1"/>
        </w:rPr>
        <w:t xml:space="preserve">SAP APO KPIs are broadly useful estimations that can be utilized as a structure for measuring execution successfully. They give the vital design and set the bearing for development. You can get to the accompanying kinds of KPIs: </w:t>
      </w:r>
    </w:p>
    <w:p w14:paraId="25BA01D9" w14:textId="77777777"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lastRenderedPageBreak/>
        <w:t xml:space="preserve">Quality/administration </w:t>
      </w:r>
    </w:p>
    <w:p w14:paraId="62EB3A5E" w14:textId="77777777"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Creation control </w:t>
      </w:r>
    </w:p>
    <w:p w14:paraId="1105F569" w14:textId="77777777"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Production network adaptability </w:t>
      </w:r>
    </w:p>
    <w:p w14:paraId="3A33E470" w14:textId="77777777"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Stock control </w:t>
      </w:r>
    </w:p>
    <w:p w14:paraId="778B0F1E" w14:textId="77777777" w:rsidR="0074782C"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Provider execution </w:t>
      </w:r>
    </w:p>
    <w:p w14:paraId="1108AB23" w14:textId="35F79E92" w:rsidR="00203E45" w:rsidRPr="0005597F" w:rsidRDefault="00203E45" w:rsidP="0005597F">
      <w:pPr>
        <w:pStyle w:val="ListParagraph"/>
        <w:numPr>
          <w:ilvl w:val="0"/>
          <w:numId w:val="23"/>
        </w:numPr>
        <w:rPr>
          <w:rFonts w:ascii="Arial" w:hAnsi="Arial" w:cs="Arial"/>
          <w:color w:val="000000" w:themeColor="text1"/>
        </w:rPr>
      </w:pPr>
      <w:r w:rsidRPr="0005597F">
        <w:rPr>
          <w:rFonts w:ascii="Arial" w:hAnsi="Arial" w:cs="Arial"/>
          <w:color w:val="000000" w:themeColor="text1"/>
        </w:rPr>
        <w:t xml:space="preserve">HR </w:t>
      </w:r>
    </w:p>
    <w:p w14:paraId="73DA8A42" w14:textId="1F889F99" w:rsidR="00203E45" w:rsidRPr="00707A63" w:rsidRDefault="00203E45" w:rsidP="00975495">
      <w:pPr>
        <w:rPr>
          <w:rFonts w:ascii="Arial" w:hAnsi="Arial" w:cs="Arial"/>
          <w:color w:val="000000" w:themeColor="text1"/>
        </w:rPr>
      </w:pPr>
      <w:r w:rsidRPr="00707A63">
        <w:rPr>
          <w:rFonts w:ascii="Arial" w:hAnsi="Arial" w:cs="Arial"/>
          <w:color w:val="000000" w:themeColor="text1"/>
        </w:rPr>
        <w:t xml:space="preserve">The exhibition estimation process is a continuous one wherein execution </w:t>
      </w:r>
      <w:r w:rsidRPr="00707A63">
        <w:rPr>
          <w:rFonts w:ascii="Arial" w:hAnsi="Arial" w:cs="Arial"/>
          <w:color w:val="000000" w:themeColor="text1"/>
        </w:rPr>
        <w:t>result</w:t>
      </w:r>
      <w:r w:rsidRPr="00707A63">
        <w:rPr>
          <w:rFonts w:ascii="Arial" w:hAnsi="Arial" w:cs="Arial"/>
          <w:color w:val="000000" w:themeColor="text1"/>
        </w:rPr>
        <w:t xml:space="preserve"> </w:t>
      </w:r>
      <w:r w:rsidR="00F82263" w:rsidRPr="00707A63">
        <w:rPr>
          <w:rFonts w:ascii="Arial" w:hAnsi="Arial" w:cs="Arial"/>
          <w:color w:val="000000" w:themeColor="text1"/>
        </w:rPr>
        <w:t>is</w:t>
      </w:r>
      <w:r w:rsidRPr="00707A63">
        <w:rPr>
          <w:rFonts w:ascii="Arial" w:hAnsi="Arial" w:cs="Arial"/>
          <w:color w:val="000000" w:themeColor="text1"/>
        </w:rPr>
        <w:t xml:space="preserve"> consistently contrasted and dissected all together with decide if your business is on or off focus in gathering its objectives. General execution estimation comprises of the accompanying systems for every exhibition cycle. Cycles incorporate acquirement, assembling, and circulation. </w:t>
      </w:r>
    </w:p>
    <w:p w14:paraId="1964EA89" w14:textId="77777777" w:rsidR="00203E45" w:rsidRPr="00707A63" w:rsidRDefault="00203E45" w:rsidP="00707A63">
      <w:pPr>
        <w:pStyle w:val="ListParagraph"/>
        <w:numPr>
          <w:ilvl w:val="0"/>
          <w:numId w:val="24"/>
        </w:numPr>
        <w:rPr>
          <w:rFonts w:ascii="Arial" w:hAnsi="Arial" w:cs="Arial"/>
          <w:color w:val="000000" w:themeColor="text1"/>
        </w:rPr>
      </w:pPr>
      <w:r w:rsidRPr="00707A63">
        <w:rPr>
          <w:rFonts w:ascii="Arial" w:hAnsi="Arial" w:cs="Arial"/>
          <w:color w:val="000000" w:themeColor="text1"/>
        </w:rPr>
        <w:t xml:space="preserve">Characterize an essential production network vision </w:t>
      </w:r>
    </w:p>
    <w:p w14:paraId="6FCDDEAE" w14:textId="34F3CA1C" w:rsidR="00203E45" w:rsidRPr="00707A63" w:rsidRDefault="00203E45" w:rsidP="00707A63">
      <w:pPr>
        <w:pStyle w:val="ListParagraph"/>
        <w:numPr>
          <w:ilvl w:val="0"/>
          <w:numId w:val="24"/>
        </w:numPr>
        <w:rPr>
          <w:rFonts w:ascii="Arial" w:hAnsi="Arial" w:cs="Arial"/>
          <w:color w:val="000000" w:themeColor="text1"/>
        </w:rPr>
      </w:pPr>
      <w:r w:rsidRPr="00707A63">
        <w:rPr>
          <w:rFonts w:ascii="Arial" w:hAnsi="Arial" w:cs="Arial"/>
          <w:color w:val="000000" w:themeColor="text1"/>
        </w:rPr>
        <w:t xml:space="preserve">Characterize chief level measures for every evenhanded </w:t>
      </w:r>
    </w:p>
    <w:p w14:paraId="2B035C31" w14:textId="77777777" w:rsidR="00203E45" w:rsidRPr="00707A63" w:rsidRDefault="00203E45" w:rsidP="00707A63">
      <w:pPr>
        <w:pStyle w:val="ListParagraph"/>
        <w:numPr>
          <w:ilvl w:val="0"/>
          <w:numId w:val="24"/>
        </w:numPr>
        <w:rPr>
          <w:rFonts w:ascii="Arial" w:hAnsi="Arial" w:cs="Arial"/>
          <w:color w:val="000000" w:themeColor="text1"/>
        </w:rPr>
      </w:pPr>
      <w:r w:rsidRPr="00707A63">
        <w:rPr>
          <w:rFonts w:ascii="Arial" w:hAnsi="Arial" w:cs="Arial"/>
          <w:color w:val="000000" w:themeColor="text1"/>
        </w:rPr>
        <w:t xml:space="preserve">Set up administrative level destinations that line up with leader ones </w:t>
      </w:r>
    </w:p>
    <w:p w14:paraId="37702F27" w14:textId="1F89B0B0" w:rsidR="7B5DF51F" w:rsidRPr="00F6638B" w:rsidRDefault="00203E45" w:rsidP="00707A63">
      <w:pPr>
        <w:pStyle w:val="ListParagraph"/>
        <w:numPr>
          <w:ilvl w:val="0"/>
          <w:numId w:val="24"/>
        </w:numPr>
        <w:rPr>
          <w:rFonts w:ascii="Arial" w:hAnsi="Arial" w:cs="Arial"/>
          <w:i/>
          <w:iCs/>
          <w:color w:val="000000" w:themeColor="text1"/>
        </w:rPr>
      </w:pPr>
      <w:r w:rsidRPr="00707A63">
        <w:rPr>
          <w:rFonts w:ascii="Arial" w:hAnsi="Arial" w:cs="Arial"/>
          <w:color w:val="000000" w:themeColor="text1"/>
        </w:rPr>
        <w:t xml:space="preserve">Set up focuses for characterized measurements through </w:t>
      </w:r>
      <w:r w:rsidRPr="00F6638B">
        <w:rPr>
          <w:rFonts w:ascii="Arial" w:hAnsi="Arial" w:cs="Arial"/>
          <w:color w:val="000000" w:themeColor="text1"/>
        </w:rPr>
        <w:t>benchmarking</w:t>
      </w:r>
      <w:r w:rsidR="00F6638B" w:rsidRPr="00F6638B">
        <w:rPr>
          <w:rFonts w:ascii="Arial" w:hAnsi="Arial" w:cs="Arial"/>
          <w:i/>
          <w:iCs/>
          <w:color w:val="000000"/>
          <w:shd w:val="clear" w:color="auto" w:fill="FFFFFF"/>
        </w:rPr>
        <w:t xml:space="preserve"> </w:t>
      </w:r>
      <w:r w:rsidR="00F6638B" w:rsidRPr="00F6638B">
        <w:rPr>
          <w:rFonts w:ascii="Arial" w:hAnsi="Arial" w:cs="Arial"/>
          <w:i/>
          <w:iCs/>
          <w:color w:val="000000"/>
          <w:shd w:val="clear" w:color="auto" w:fill="FFFFFF"/>
        </w:rPr>
        <w:t>(SAP Help Portal, 2021)</w:t>
      </w:r>
    </w:p>
    <w:p w14:paraId="49A2534E" w14:textId="7E56545A" w:rsidR="00F54434" w:rsidRDefault="00F54434" w:rsidP="00F54434">
      <w:pPr>
        <w:pStyle w:val="Heading1"/>
        <w:rPr>
          <w:rFonts w:ascii="Arial" w:hAnsi="Arial" w:cs="Arial"/>
          <w:sz w:val="22"/>
          <w:szCs w:val="22"/>
          <w:lang w:val="en-GB" w:eastAsia="en-GB"/>
        </w:rPr>
      </w:pPr>
      <w:bookmarkStart w:id="4" w:name="_Toc88776523"/>
      <w:r w:rsidRPr="00F54434">
        <w:rPr>
          <w:rFonts w:ascii="Arial" w:hAnsi="Arial" w:cs="Arial"/>
          <w:sz w:val="22"/>
          <w:szCs w:val="22"/>
          <w:lang w:val="en-GB" w:eastAsia="en-GB"/>
        </w:rPr>
        <w:t>Conclusion</w:t>
      </w:r>
      <w:bookmarkEnd w:id="4"/>
    </w:p>
    <w:p w14:paraId="50EEEA32" w14:textId="77777777" w:rsidR="00F54434" w:rsidRPr="00F54434" w:rsidRDefault="00F54434" w:rsidP="00F54434">
      <w:pPr>
        <w:pStyle w:val="Heading1"/>
        <w:rPr>
          <w:rFonts w:ascii="Arial" w:hAnsi="Arial" w:cs="Arial"/>
          <w:sz w:val="22"/>
          <w:szCs w:val="22"/>
          <w:lang w:val="en-GB" w:eastAsia="en-GB"/>
        </w:rPr>
      </w:pPr>
    </w:p>
    <w:p w14:paraId="01870947" w14:textId="6226962F" w:rsidR="7B5DF51F" w:rsidRPr="00F54434" w:rsidRDefault="7B5DF51F" w:rsidP="00975495">
      <w:pPr>
        <w:rPr>
          <w:rFonts w:ascii="Arial" w:hAnsi="Arial" w:cs="Arial"/>
          <w:color w:val="000000" w:themeColor="text1"/>
        </w:rPr>
      </w:pPr>
    </w:p>
    <w:p w14:paraId="5C9C1B3B" w14:textId="20522DBC" w:rsidR="00F8554B" w:rsidRPr="00F8554B" w:rsidRDefault="00F8554B" w:rsidP="00F8554B">
      <w:pPr>
        <w:shd w:val="clear" w:color="auto" w:fill="FFFFFF"/>
        <w:spacing w:after="0" w:line="240" w:lineRule="auto"/>
        <w:textAlignment w:val="baseline"/>
        <w:rPr>
          <w:rFonts w:ascii="Arial" w:eastAsia="Times New Roman" w:hAnsi="Arial" w:cs="Arial"/>
          <w:color w:val="201F1E"/>
          <w:lang w:val="en-GB" w:eastAsia="en-GB"/>
        </w:rPr>
      </w:pPr>
      <w:r w:rsidRPr="00F8554B">
        <w:rPr>
          <w:rFonts w:ascii="Arial" w:eastAsia="Times New Roman" w:hAnsi="Arial" w:cs="Arial"/>
          <w:color w:val="201F1E"/>
          <w:lang w:val="en-GB" w:eastAsia="en-GB"/>
        </w:rPr>
        <w:t xml:space="preserve">Human asset gives the premise to an association to accomplish feasible upper hand. Drawing in and holding equipped </w:t>
      </w:r>
      <w:r w:rsidRPr="00F8554B">
        <w:rPr>
          <w:rFonts w:ascii="Arial" w:eastAsia="Times New Roman" w:hAnsi="Arial" w:cs="Arial"/>
          <w:color w:val="201F1E"/>
          <w:lang w:val="en-GB" w:eastAsia="en-GB"/>
        </w:rPr>
        <w:t>labour</w:t>
      </w:r>
      <w:r w:rsidRPr="00F8554B">
        <w:rPr>
          <w:rFonts w:ascii="Arial" w:eastAsia="Times New Roman" w:hAnsi="Arial" w:cs="Arial"/>
          <w:color w:val="201F1E"/>
          <w:lang w:val="en-GB" w:eastAsia="en-GB"/>
        </w:rPr>
        <w:t xml:space="preserve"> force is a difficult undertaking for each association. It is celebrated that representative presentation can be further developed when workers are roused to accomplish their objectives. The first objective of this exploration is to distinguish the connection among remuneration and worker execution and in view of</w:t>
      </w:r>
    </w:p>
    <w:p w14:paraId="6BCD9AB8" w14:textId="77777777" w:rsidR="00F8554B" w:rsidRPr="00F8554B" w:rsidRDefault="00F8554B" w:rsidP="00F8554B">
      <w:pPr>
        <w:shd w:val="clear" w:color="auto" w:fill="FFFFFF"/>
        <w:spacing w:after="0" w:line="240" w:lineRule="auto"/>
        <w:textAlignment w:val="baseline"/>
        <w:rPr>
          <w:rFonts w:ascii="Arial" w:eastAsia="Times New Roman" w:hAnsi="Arial" w:cs="Arial"/>
          <w:color w:val="201F1E"/>
          <w:lang w:val="en-GB" w:eastAsia="en-GB"/>
        </w:rPr>
      </w:pPr>
    </w:p>
    <w:p w14:paraId="33E74E67" w14:textId="66499C77" w:rsidR="7B5DF51F" w:rsidRDefault="00F8554B" w:rsidP="00F8554B">
      <w:pPr>
        <w:rPr>
          <w:rFonts w:ascii="Arial" w:eastAsia="Times New Roman" w:hAnsi="Arial" w:cs="Arial"/>
          <w:color w:val="201F1E"/>
          <w:shd w:val="clear" w:color="auto" w:fill="FFFFFF"/>
          <w:lang w:val="en-GB" w:eastAsia="en-GB"/>
        </w:rPr>
      </w:pPr>
      <w:r w:rsidRPr="00F8554B">
        <w:rPr>
          <w:rFonts w:ascii="Arial" w:eastAsia="Times New Roman" w:hAnsi="Arial" w:cs="Arial"/>
          <w:color w:val="201F1E"/>
          <w:shd w:val="clear" w:color="auto" w:fill="FFFFFF"/>
          <w:lang w:val="en-GB" w:eastAsia="en-GB"/>
        </w:rPr>
        <w:t>The discoveries in this report uncovered that there is a positive relationship</w:t>
      </w:r>
      <w:r w:rsidR="003A78D4">
        <w:rPr>
          <w:rFonts w:ascii="Arial" w:eastAsia="Times New Roman" w:hAnsi="Arial" w:cs="Arial"/>
          <w:color w:val="201F1E"/>
          <w:shd w:val="clear" w:color="auto" w:fill="FFFFFF"/>
          <w:lang w:val="en-GB" w:eastAsia="en-GB"/>
        </w:rPr>
        <w:t xml:space="preserve"> extrinsic rewards, intrinsic rewards an employee performance</w:t>
      </w:r>
      <w:r w:rsidRPr="00F8554B">
        <w:rPr>
          <w:rFonts w:ascii="Arial" w:eastAsia="Times New Roman" w:hAnsi="Arial" w:cs="Arial"/>
          <w:color w:val="201F1E"/>
          <w:shd w:val="clear" w:color="auto" w:fill="FFFFFF"/>
          <w:lang w:val="en-GB" w:eastAsia="en-GB"/>
        </w:rPr>
        <w:t xml:space="preserve">. It infers rewards proposed to representatives are expanded, and afterward there would be an identical upgrade in work inspiration and worker execution. To draw in and hold their </w:t>
      </w:r>
      <w:r w:rsidRPr="00F8554B">
        <w:rPr>
          <w:rFonts w:ascii="Arial" w:eastAsia="Times New Roman" w:hAnsi="Arial" w:cs="Arial"/>
          <w:color w:val="201F1E"/>
          <w:shd w:val="clear" w:color="auto" w:fill="FFFFFF"/>
          <w:lang w:val="en-GB" w:eastAsia="en-GB"/>
        </w:rPr>
        <w:t>labour</w:t>
      </w:r>
      <w:r w:rsidRPr="00F8554B">
        <w:rPr>
          <w:rFonts w:ascii="Arial" w:eastAsia="Times New Roman" w:hAnsi="Arial" w:cs="Arial"/>
          <w:color w:val="201F1E"/>
          <w:shd w:val="clear" w:color="auto" w:fill="FFFFFF"/>
          <w:lang w:val="en-GB" w:eastAsia="en-GB"/>
        </w:rPr>
        <w:t xml:space="preserve"> force, organizations </w:t>
      </w:r>
      <w:r w:rsidRPr="00F8554B">
        <w:rPr>
          <w:rFonts w:ascii="Arial" w:eastAsia="Times New Roman" w:hAnsi="Arial" w:cs="Arial"/>
          <w:color w:val="201F1E"/>
          <w:shd w:val="clear" w:color="auto" w:fill="FFFFFF"/>
          <w:lang w:val="en-GB" w:eastAsia="en-GB"/>
        </w:rPr>
        <w:t>need</w:t>
      </w:r>
      <w:r w:rsidRPr="00F8554B">
        <w:rPr>
          <w:rFonts w:ascii="Arial" w:eastAsia="Times New Roman" w:hAnsi="Arial" w:cs="Arial"/>
          <w:color w:val="201F1E"/>
          <w:shd w:val="clear" w:color="auto" w:fill="FFFFFF"/>
          <w:lang w:val="en-GB" w:eastAsia="en-GB"/>
        </w:rPr>
        <w:t xml:space="preserve"> to make upgrades in their current award framework by incorporating reward procedure with human asset methodology. Additionally, the business needs to think about remuneration as a presentation inspiration and a piece of association's business technique. The review presumes that award assumes a crucial part in representative presentation.</w:t>
      </w:r>
    </w:p>
    <w:p w14:paraId="5957C481" w14:textId="7257CABD" w:rsidR="7B5DF51F" w:rsidRDefault="7B5DF51F" w:rsidP="00892820">
      <w:pPr>
        <w:pStyle w:val="Heading1"/>
        <w:rPr>
          <w:rFonts w:ascii="Arial" w:hAnsi="Arial" w:cs="Arial"/>
          <w:sz w:val="22"/>
          <w:szCs w:val="22"/>
        </w:rPr>
      </w:pPr>
    </w:p>
    <w:p w14:paraId="2D09B5C3" w14:textId="688ED27A" w:rsidR="00892820" w:rsidRDefault="00892820" w:rsidP="00892820">
      <w:pPr>
        <w:pStyle w:val="Heading1"/>
        <w:rPr>
          <w:rFonts w:ascii="Arial" w:hAnsi="Arial" w:cs="Arial"/>
          <w:sz w:val="22"/>
          <w:szCs w:val="22"/>
        </w:rPr>
      </w:pPr>
    </w:p>
    <w:p w14:paraId="61FC4AC1" w14:textId="5DDD11C4" w:rsidR="00892820" w:rsidRDefault="00892820" w:rsidP="00892820">
      <w:pPr>
        <w:pStyle w:val="Heading1"/>
        <w:rPr>
          <w:rFonts w:ascii="Arial" w:hAnsi="Arial" w:cs="Arial"/>
          <w:sz w:val="22"/>
          <w:szCs w:val="22"/>
        </w:rPr>
      </w:pPr>
    </w:p>
    <w:p w14:paraId="04FF6DEA" w14:textId="578CBBE1" w:rsidR="00892820" w:rsidRDefault="00892820" w:rsidP="00892820">
      <w:pPr>
        <w:pStyle w:val="Heading1"/>
        <w:rPr>
          <w:rFonts w:ascii="Arial" w:hAnsi="Arial" w:cs="Arial"/>
          <w:sz w:val="22"/>
          <w:szCs w:val="22"/>
        </w:rPr>
      </w:pPr>
      <w:r>
        <w:rPr>
          <w:rFonts w:ascii="Arial" w:hAnsi="Arial" w:cs="Arial"/>
          <w:sz w:val="22"/>
          <w:szCs w:val="22"/>
        </w:rPr>
        <w:t>References:</w:t>
      </w:r>
    </w:p>
    <w:p w14:paraId="4D10999A" w14:textId="77777777" w:rsidR="00892820" w:rsidRPr="00892820" w:rsidRDefault="00892820" w:rsidP="00892820">
      <w:pPr>
        <w:pStyle w:val="Heading1"/>
        <w:rPr>
          <w:rFonts w:ascii="Arial" w:hAnsi="Arial" w:cs="Arial"/>
          <w:sz w:val="22"/>
          <w:szCs w:val="22"/>
        </w:rPr>
      </w:pPr>
    </w:p>
    <w:p w14:paraId="6D080937" w14:textId="04A4E991" w:rsidR="7B5DF51F" w:rsidRPr="00F54434" w:rsidRDefault="7B5DF51F" w:rsidP="7B5DF51F">
      <w:pPr>
        <w:rPr>
          <w:rFonts w:ascii="Arial" w:hAnsi="Arial" w:cs="Arial"/>
          <w:color w:val="000000" w:themeColor="text1"/>
        </w:rPr>
      </w:pPr>
    </w:p>
    <w:p w14:paraId="5E44654C" w14:textId="0E884C84" w:rsidR="7B5DF51F" w:rsidRDefault="002730F1" w:rsidP="7B5DF51F">
      <w:pPr>
        <w:rPr>
          <w:rFonts w:ascii="Arial" w:hAnsi="Arial" w:cs="Arial"/>
          <w:color w:val="000000"/>
          <w:shd w:val="clear" w:color="auto" w:fill="FFFFFF"/>
        </w:rPr>
      </w:pPr>
      <w:r w:rsidRPr="002730F1">
        <w:rPr>
          <w:rFonts w:ascii="Arial" w:hAnsi="Arial" w:cs="Arial"/>
          <w:color w:val="000000"/>
          <w:shd w:val="clear" w:color="auto" w:fill="FFFFFF"/>
        </w:rPr>
        <w:lastRenderedPageBreak/>
        <w:t>Customer think. 2021. </w:t>
      </w:r>
      <w:r w:rsidRPr="002730F1">
        <w:rPr>
          <w:rFonts w:ascii="Arial" w:hAnsi="Arial" w:cs="Arial"/>
          <w:i/>
          <w:iCs/>
          <w:color w:val="000000"/>
          <w:shd w:val="clear" w:color="auto" w:fill="FFFFFF"/>
        </w:rPr>
        <w:t>10 Best employee engagement tools</w:t>
      </w:r>
      <w:r w:rsidRPr="002730F1">
        <w:rPr>
          <w:rFonts w:ascii="Arial" w:hAnsi="Arial" w:cs="Arial"/>
          <w:color w:val="000000"/>
          <w:shd w:val="clear" w:color="auto" w:fill="FFFFFF"/>
        </w:rPr>
        <w:t>. [online] Available at: &lt;https://customerthink.com/10-best-employee-engagement-tools-in-2021/&gt; [Accessed 26 November 2021].</w:t>
      </w:r>
    </w:p>
    <w:p w14:paraId="1DEC0BF8" w14:textId="1E3237B3" w:rsidR="002730F1" w:rsidRDefault="00461FD5" w:rsidP="7B5DF51F">
      <w:pPr>
        <w:rPr>
          <w:rFonts w:ascii="Arial" w:hAnsi="Arial" w:cs="Arial"/>
          <w:color w:val="000000"/>
          <w:shd w:val="clear" w:color="auto" w:fill="FFFFFF"/>
        </w:rPr>
      </w:pPr>
      <w:r w:rsidRPr="00461FD5">
        <w:rPr>
          <w:rFonts w:ascii="Arial" w:hAnsi="Arial" w:cs="Arial"/>
          <w:color w:val="000000"/>
          <w:shd w:val="clear" w:color="auto" w:fill="FFFFFF"/>
        </w:rPr>
        <w:t>Help.sap.com. 2021. </w:t>
      </w:r>
      <w:r w:rsidRPr="00461FD5">
        <w:rPr>
          <w:rFonts w:ascii="Arial" w:hAnsi="Arial" w:cs="Arial"/>
          <w:i/>
          <w:iCs/>
          <w:color w:val="000000"/>
          <w:shd w:val="clear" w:color="auto" w:fill="FFFFFF"/>
        </w:rPr>
        <w:t>SAP Help Portal</w:t>
      </w:r>
      <w:r w:rsidRPr="00461FD5">
        <w:rPr>
          <w:rFonts w:ascii="Arial" w:hAnsi="Arial" w:cs="Arial"/>
          <w:color w:val="000000"/>
          <w:shd w:val="clear" w:color="auto" w:fill="FFFFFF"/>
        </w:rPr>
        <w:t>. [online] Available at: &lt;https://help.sap.com/viewer/c95f1f0dcd9549628efa8d7d653da63e/7.0.4/en-US/de40c95360267614e10000000a174cb4.html&gt; [Accessed 26 November 2021].</w:t>
      </w:r>
    </w:p>
    <w:p w14:paraId="078F81CE" w14:textId="59837553" w:rsidR="00461FD5" w:rsidRPr="00154A1A" w:rsidRDefault="00154A1A" w:rsidP="7B5DF51F">
      <w:pPr>
        <w:rPr>
          <w:rFonts w:ascii="Arial" w:hAnsi="Arial" w:cs="Arial"/>
          <w:color w:val="000000" w:themeColor="text1"/>
        </w:rPr>
      </w:pPr>
      <w:r w:rsidRPr="00154A1A">
        <w:rPr>
          <w:rFonts w:ascii="Arial" w:hAnsi="Arial" w:cs="Arial"/>
          <w:color w:val="000000"/>
          <w:shd w:val="clear" w:color="auto" w:fill="FFFFFF"/>
        </w:rPr>
        <w:t>Cenon, P., 2021. Employee Engagement in the new normal. </w:t>
      </w:r>
      <w:r w:rsidRPr="00154A1A">
        <w:rPr>
          <w:rFonts w:ascii="Arial" w:hAnsi="Arial" w:cs="Arial"/>
          <w:i/>
          <w:iCs/>
          <w:color w:val="000000"/>
          <w:shd w:val="clear" w:color="auto" w:fill="FFFFFF"/>
        </w:rPr>
        <w:t xml:space="preserve">De La Salle </w:t>
      </w:r>
      <w:r w:rsidRPr="00154A1A">
        <w:rPr>
          <w:rFonts w:ascii="Arial" w:hAnsi="Arial" w:cs="Arial"/>
          <w:i/>
          <w:iCs/>
          <w:color w:val="000000"/>
          <w:shd w:val="clear" w:color="auto" w:fill="FFFFFF"/>
        </w:rPr>
        <w:t>University</w:t>
      </w:r>
      <w:r w:rsidRPr="00154A1A">
        <w:rPr>
          <w:rFonts w:ascii="Arial" w:hAnsi="Arial" w:cs="Arial"/>
          <w:color w:val="000000"/>
          <w:shd w:val="clear" w:color="auto" w:fill="FFFFFF"/>
        </w:rPr>
        <w:t>,</w:t>
      </w:r>
    </w:p>
    <w:p w14:paraId="52A48286" w14:textId="754E4DF5" w:rsidR="7B5DF51F" w:rsidRPr="00154A1A" w:rsidRDefault="7B5DF51F" w:rsidP="7B5DF51F">
      <w:pPr>
        <w:rPr>
          <w:rFonts w:ascii="Arial" w:hAnsi="Arial" w:cs="Arial"/>
          <w:color w:val="000000" w:themeColor="text1"/>
        </w:rPr>
      </w:pPr>
    </w:p>
    <w:p w14:paraId="47735213" w14:textId="57D8A2B3" w:rsidR="7B5DF51F" w:rsidRDefault="007E1E9B" w:rsidP="7B5DF51F">
      <w:pPr>
        <w:rPr>
          <w:rStyle w:val="selectable"/>
          <w:rFonts w:ascii="Arial" w:hAnsi="Arial" w:cs="Arial"/>
          <w:color w:val="000000"/>
          <w:shd w:val="clear" w:color="auto" w:fill="FFFFFF"/>
        </w:rPr>
      </w:pPr>
      <w:r w:rsidRPr="007E1E9B">
        <w:rPr>
          <w:rStyle w:val="selectable"/>
          <w:rFonts w:ascii="Arial" w:hAnsi="Arial" w:cs="Arial"/>
          <w:color w:val="000000"/>
          <w:shd w:val="clear" w:color="auto" w:fill="FFFFFF"/>
        </w:rPr>
        <w:t>CIPD. 2021. </w:t>
      </w:r>
      <w:r w:rsidRPr="007E1E9B">
        <w:rPr>
          <w:rStyle w:val="selectable"/>
          <w:rFonts w:ascii="Arial" w:hAnsi="Arial" w:cs="Arial"/>
          <w:i/>
          <w:iCs/>
          <w:color w:val="000000"/>
          <w:shd w:val="clear" w:color="auto" w:fill="FFFFFF"/>
        </w:rPr>
        <w:t>Search</w:t>
      </w:r>
      <w:r w:rsidRPr="007E1E9B">
        <w:rPr>
          <w:rStyle w:val="selectable"/>
          <w:rFonts w:ascii="Arial" w:hAnsi="Arial" w:cs="Arial"/>
          <w:color w:val="000000"/>
          <w:shd w:val="clear" w:color="auto" w:fill="FFFFFF"/>
        </w:rPr>
        <w:t>. [online] Available at: &lt;https://www.cipd.co.uk/search?q=employee+engagement&gt; [Accessed 26 November 2021].</w:t>
      </w:r>
    </w:p>
    <w:p w14:paraId="2CE68C43" w14:textId="26E3A261" w:rsidR="0041515E" w:rsidRDefault="0041515E" w:rsidP="7B5DF51F">
      <w:pPr>
        <w:rPr>
          <w:rFonts w:ascii="Arial" w:hAnsi="Arial" w:cs="Arial"/>
          <w:color w:val="222222"/>
          <w:shd w:val="clear" w:color="auto" w:fill="FFFFFF"/>
        </w:rPr>
      </w:pPr>
      <w:r w:rsidRPr="0041515E">
        <w:rPr>
          <w:rFonts w:ascii="Arial" w:hAnsi="Arial" w:cs="Arial"/>
          <w:color w:val="222222"/>
          <w:shd w:val="clear" w:color="auto" w:fill="FFFFFF"/>
        </w:rPr>
        <w:t xml:space="preserve">Saks, A.M. and </w:t>
      </w:r>
      <w:proofErr w:type="spellStart"/>
      <w:r w:rsidRPr="0041515E">
        <w:rPr>
          <w:rFonts w:ascii="Arial" w:hAnsi="Arial" w:cs="Arial"/>
          <w:color w:val="222222"/>
          <w:shd w:val="clear" w:color="auto" w:fill="FFFFFF"/>
        </w:rPr>
        <w:t>Gruman</w:t>
      </w:r>
      <w:proofErr w:type="spellEnd"/>
      <w:r w:rsidRPr="0041515E">
        <w:rPr>
          <w:rFonts w:ascii="Arial" w:hAnsi="Arial" w:cs="Arial"/>
          <w:color w:val="222222"/>
          <w:shd w:val="clear" w:color="auto" w:fill="FFFFFF"/>
        </w:rPr>
        <w:t xml:space="preserve">, J.A., 2014. What do we really know about employee </w:t>
      </w:r>
      <w:r w:rsidR="00631F3B" w:rsidRPr="0041515E">
        <w:rPr>
          <w:rFonts w:ascii="Arial" w:hAnsi="Arial" w:cs="Arial"/>
          <w:color w:val="222222"/>
          <w:shd w:val="clear" w:color="auto" w:fill="FFFFFF"/>
        </w:rPr>
        <w:t>engagement?</w:t>
      </w:r>
      <w:r w:rsidRPr="0041515E">
        <w:rPr>
          <w:rFonts w:ascii="Arial" w:hAnsi="Arial" w:cs="Arial"/>
          <w:color w:val="222222"/>
          <w:shd w:val="clear" w:color="auto" w:fill="FFFFFF"/>
        </w:rPr>
        <w:t> </w:t>
      </w:r>
      <w:r w:rsidRPr="0041515E">
        <w:rPr>
          <w:rFonts w:ascii="Arial" w:hAnsi="Arial" w:cs="Arial"/>
          <w:i/>
          <w:iCs/>
          <w:color w:val="222222"/>
          <w:shd w:val="clear" w:color="auto" w:fill="FFFFFF"/>
        </w:rPr>
        <w:t>Human resource development quarterly</w:t>
      </w:r>
      <w:r w:rsidRPr="0041515E">
        <w:rPr>
          <w:rFonts w:ascii="Arial" w:hAnsi="Arial" w:cs="Arial"/>
          <w:color w:val="222222"/>
          <w:shd w:val="clear" w:color="auto" w:fill="FFFFFF"/>
        </w:rPr>
        <w:t>, </w:t>
      </w:r>
      <w:r w:rsidRPr="0041515E">
        <w:rPr>
          <w:rFonts w:ascii="Arial" w:hAnsi="Arial" w:cs="Arial"/>
          <w:i/>
          <w:iCs/>
          <w:color w:val="222222"/>
          <w:shd w:val="clear" w:color="auto" w:fill="FFFFFF"/>
        </w:rPr>
        <w:t>25</w:t>
      </w:r>
      <w:r w:rsidRPr="0041515E">
        <w:rPr>
          <w:rFonts w:ascii="Arial" w:hAnsi="Arial" w:cs="Arial"/>
          <w:color w:val="222222"/>
          <w:shd w:val="clear" w:color="auto" w:fill="FFFFFF"/>
        </w:rPr>
        <w:t>(2), pp.155-182.</w:t>
      </w:r>
    </w:p>
    <w:p w14:paraId="05D92CE6" w14:textId="4E024C06" w:rsidR="00631F3B" w:rsidRPr="00631F3B" w:rsidRDefault="00631F3B" w:rsidP="7B5DF51F">
      <w:pPr>
        <w:rPr>
          <w:rFonts w:ascii="Arial" w:hAnsi="Arial" w:cs="Arial"/>
          <w:color w:val="000000" w:themeColor="text1"/>
        </w:rPr>
      </w:pPr>
      <w:proofErr w:type="spellStart"/>
      <w:r w:rsidRPr="00631F3B">
        <w:rPr>
          <w:rFonts w:ascii="Arial" w:hAnsi="Arial" w:cs="Arial"/>
          <w:color w:val="222222"/>
          <w:shd w:val="clear" w:color="auto" w:fill="FFFFFF"/>
        </w:rPr>
        <w:t>Albrech</w:t>
      </w:r>
      <w:proofErr w:type="spellEnd"/>
      <w:r w:rsidRPr="00631F3B">
        <w:rPr>
          <w:rFonts w:ascii="Arial" w:hAnsi="Arial" w:cs="Arial"/>
          <w:color w:val="222222"/>
          <w:shd w:val="clear" w:color="auto" w:fill="FFFFFF"/>
        </w:rPr>
        <w:t xml:space="preserve">, S.L., 2011. Handbook of employee engagement: Perspectives, issues, </w:t>
      </w:r>
      <w:proofErr w:type="gramStart"/>
      <w:r w:rsidRPr="00631F3B">
        <w:rPr>
          <w:rFonts w:ascii="Arial" w:hAnsi="Arial" w:cs="Arial"/>
          <w:color w:val="222222"/>
          <w:shd w:val="clear" w:color="auto" w:fill="FFFFFF"/>
        </w:rPr>
        <w:t>research</w:t>
      </w:r>
      <w:proofErr w:type="gramEnd"/>
      <w:r w:rsidRPr="00631F3B">
        <w:rPr>
          <w:rFonts w:ascii="Arial" w:hAnsi="Arial" w:cs="Arial"/>
          <w:color w:val="222222"/>
          <w:shd w:val="clear" w:color="auto" w:fill="FFFFFF"/>
        </w:rPr>
        <w:t xml:space="preserve"> and practice. </w:t>
      </w:r>
      <w:r w:rsidRPr="00631F3B">
        <w:rPr>
          <w:rFonts w:ascii="Arial" w:hAnsi="Arial" w:cs="Arial"/>
          <w:i/>
          <w:iCs/>
          <w:color w:val="222222"/>
          <w:shd w:val="clear" w:color="auto" w:fill="FFFFFF"/>
        </w:rPr>
        <w:t>Human Resource Management International Digest</w:t>
      </w:r>
      <w:r w:rsidRPr="00631F3B">
        <w:rPr>
          <w:rFonts w:ascii="Arial" w:hAnsi="Arial" w:cs="Arial"/>
          <w:color w:val="222222"/>
          <w:shd w:val="clear" w:color="auto" w:fill="FFFFFF"/>
        </w:rPr>
        <w:t>.</w:t>
      </w:r>
    </w:p>
    <w:p w14:paraId="3BCDF0EA" w14:textId="00970AB2" w:rsidR="7B5DF51F" w:rsidRPr="00F54434" w:rsidRDefault="7B5DF51F" w:rsidP="7B5DF51F">
      <w:pPr>
        <w:rPr>
          <w:rFonts w:ascii="Arial" w:hAnsi="Arial" w:cs="Arial"/>
          <w:color w:val="000000" w:themeColor="text1"/>
        </w:rPr>
      </w:pPr>
    </w:p>
    <w:p w14:paraId="44132D51" w14:textId="2CDC71FD" w:rsidR="7B5DF51F" w:rsidRPr="00F54434" w:rsidRDefault="7B5DF51F" w:rsidP="7B5DF51F">
      <w:pPr>
        <w:rPr>
          <w:rFonts w:ascii="Arial" w:hAnsi="Arial" w:cs="Arial"/>
          <w:color w:val="000000" w:themeColor="text1"/>
        </w:rPr>
      </w:pPr>
    </w:p>
    <w:p w14:paraId="285F0872" w14:textId="467E4BF5" w:rsidR="7B5DF51F" w:rsidRPr="00F54434" w:rsidRDefault="7B5DF51F" w:rsidP="7B5DF51F">
      <w:pPr>
        <w:rPr>
          <w:rFonts w:ascii="Arial" w:hAnsi="Arial" w:cs="Arial"/>
          <w:color w:val="000000" w:themeColor="text1"/>
        </w:rPr>
      </w:pPr>
    </w:p>
    <w:p w14:paraId="32C18116" w14:textId="29D259B6" w:rsidR="7B5DF51F" w:rsidRPr="00F54434" w:rsidRDefault="7B5DF51F" w:rsidP="7B5DF51F">
      <w:pPr>
        <w:rPr>
          <w:rFonts w:ascii="Arial" w:hAnsi="Arial" w:cs="Arial"/>
          <w:color w:val="000000" w:themeColor="text1"/>
        </w:rPr>
      </w:pPr>
    </w:p>
    <w:p w14:paraId="4E8FACFA" w14:textId="3FBDF776" w:rsidR="7B5DF51F" w:rsidRPr="00F54434" w:rsidRDefault="7B5DF51F" w:rsidP="7B5DF51F">
      <w:pPr>
        <w:rPr>
          <w:rFonts w:ascii="Arial" w:hAnsi="Arial" w:cs="Arial"/>
          <w:color w:val="000000" w:themeColor="text1"/>
        </w:rPr>
      </w:pPr>
    </w:p>
    <w:p w14:paraId="3282747B" w14:textId="57DAB853" w:rsidR="7B5DF51F" w:rsidRPr="00F54434" w:rsidRDefault="7B5DF51F" w:rsidP="7B5DF51F">
      <w:pPr>
        <w:rPr>
          <w:rFonts w:ascii="Arial" w:hAnsi="Arial" w:cs="Arial"/>
          <w:color w:val="000000" w:themeColor="text1"/>
        </w:rPr>
      </w:pPr>
    </w:p>
    <w:p w14:paraId="61B82407" w14:textId="65BF3390" w:rsidR="7B5DF51F" w:rsidRPr="004F13D1" w:rsidRDefault="7B5DF51F" w:rsidP="7B5DF51F">
      <w:pPr>
        <w:rPr>
          <w:rFonts w:ascii="Arial" w:hAnsi="Arial" w:cs="Arial"/>
          <w:color w:val="000000" w:themeColor="text1"/>
        </w:rPr>
      </w:pPr>
    </w:p>
    <w:p w14:paraId="1ACF2C92" w14:textId="146A19E1" w:rsidR="7B5DF51F" w:rsidRPr="004F13D1" w:rsidRDefault="7B5DF51F" w:rsidP="7B5DF51F">
      <w:pPr>
        <w:rPr>
          <w:rFonts w:ascii="Arial" w:hAnsi="Arial" w:cs="Arial"/>
          <w:color w:val="000000" w:themeColor="text1"/>
        </w:rPr>
      </w:pPr>
    </w:p>
    <w:p w14:paraId="4379E64A" w14:textId="35560248" w:rsidR="7B5DF51F" w:rsidRPr="004F13D1" w:rsidRDefault="7B5DF51F" w:rsidP="7B5DF51F">
      <w:pPr>
        <w:rPr>
          <w:rFonts w:ascii="Arial" w:hAnsi="Arial" w:cs="Arial"/>
          <w:color w:val="000000" w:themeColor="text1"/>
        </w:rPr>
      </w:pPr>
    </w:p>
    <w:p w14:paraId="4C603019" w14:textId="77E3CF19" w:rsidR="7B5DF51F" w:rsidRPr="004F13D1" w:rsidRDefault="7B5DF51F" w:rsidP="7B5DF51F">
      <w:pPr>
        <w:rPr>
          <w:rFonts w:ascii="Arial" w:hAnsi="Arial" w:cs="Arial"/>
          <w:color w:val="000000" w:themeColor="text1"/>
        </w:rPr>
      </w:pPr>
    </w:p>
    <w:p w14:paraId="62EFC8ED" w14:textId="58F8D068" w:rsidR="7B5DF51F" w:rsidRPr="004F13D1" w:rsidRDefault="7B5DF51F" w:rsidP="7B5DF51F">
      <w:pPr>
        <w:rPr>
          <w:rFonts w:ascii="Arial" w:hAnsi="Arial" w:cs="Arial"/>
          <w:color w:val="000000" w:themeColor="text1"/>
        </w:rPr>
      </w:pPr>
    </w:p>
    <w:p w14:paraId="135D5C03" w14:textId="35210FEE" w:rsidR="7B5DF51F" w:rsidRPr="004F13D1" w:rsidRDefault="7B5DF51F" w:rsidP="7B5DF51F">
      <w:pPr>
        <w:rPr>
          <w:rFonts w:ascii="Arial" w:hAnsi="Arial" w:cs="Arial"/>
          <w:color w:val="000000" w:themeColor="text1"/>
        </w:rPr>
      </w:pPr>
    </w:p>
    <w:p w14:paraId="66D6EBC0" w14:textId="66484210" w:rsidR="7B5DF51F" w:rsidRPr="004F13D1" w:rsidRDefault="7B5DF51F" w:rsidP="7B5DF51F">
      <w:pPr>
        <w:rPr>
          <w:rFonts w:ascii="Arial" w:hAnsi="Arial" w:cs="Arial"/>
          <w:color w:val="000000" w:themeColor="text1"/>
        </w:rPr>
      </w:pPr>
    </w:p>
    <w:sectPr w:rsidR="7B5DF51F" w:rsidRPr="004F13D1" w:rsidSect="009D1144">
      <w:headerReference w:type="default" r:id="rId12"/>
      <w:footerReference w:type="default" r:id="rId13"/>
      <w:pgSz w:w="11906" w:h="16838" w:code="9"/>
      <w:pgMar w:top="1440" w:right="1440" w:bottom="1800" w:left="1440" w:header="720" w:footer="10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7B7BA" w14:textId="77777777" w:rsidR="00397C7F" w:rsidRDefault="00397C7F">
      <w:pPr>
        <w:spacing w:after="0" w:line="240" w:lineRule="auto"/>
      </w:pPr>
      <w:r>
        <w:separator/>
      </w:r>
    </w:p>
  </w:endnote>
  <w:endnote w:type="continuationSeparator" w:id="0">
    <w:p w14:paraId="67910A2F" w14:textId="77777777" w:rsidR="00397C7F" w:rsidRDefault="00397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865362"/>
      <w:docPartObj>
        <w:docPartGallery w:val="Page Numbers (Bottom of Page)"/>
        <w:docPartUnique/>
      </w:docPartObj>
    </w:sdtPr>
    <w:sdtEndPr>
      <w:rPr>
        <w:noProof/>
      </w:rPr>
    </w:sdtEndPr>
    <w:sdtContent>
      <w:p w14:paraId="72EFAED2" w14:textId="17AE8A3F" w:rsidR="004A2528" w:rsidRDefault="004A25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DFC8AD" w14:textId="606EB8AD" w:rsidR="7B5DF51F" w:rsidRDefault="7B5DF51F" w:rsidP="7B5DF51F">
    <w:pPr>
      <w:pStyle w:val="Footer"/>
      <w:rPr>
        <w:bC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B5DF51F" w14:paraId="0F47AF8C" w14:textId="77777777" w:rsidTr="7B5DF51F">
      <w:tc>
        <w:tcPr>
          <w:tcW w:w="3005" w:type="dxa"/>
        </w:tcPr>
        <w:p w14:paraId="3859D396" w14:textId="6BDB7AB9" w:rsidR="7B5DF51F" w:rsidRDefault="7B5DF51F" w:rsidP="7B5DF51F">
          <w:pPr>
            <w:pStyle w:val="Header"/>
            <w:ind w:left="-115"/>
          </w:pPr>
        </w:p>
      </w:tc>
      <w:tc>
        <w:tcPr>
          <w:tcW w:w="3005" w:type="dxa"/>
        </w:tcPr>
        <w:p w14:paraId="5470A78E" w14:textId="5BC438EE" w:rsidR="7B5DF51F" w:rsidRDefault="7B5DF51F" w:rsidP="7B5DF51F">
          <w:pPr>
            <w:pStyle w:val="Header"/>
            <w:jc w:val="center"/>
          </w:pPr>
        </w:p>
      </w:tc>
      <w:tc>
        <w:tcPr>
          <w:tcW w:w="3005" w:type="dxa"/>
        </w:tcPr>
        <w:p w14:paraId="0EE173AE" w14:textId="52A3A0BF" w:rsidR="7B5DF51F" w:rsidRDefault="7B5DF51F" w:rsidP="7B5DF51F">
          <w:pPr>
            <w:pStyle w:val="Header"/>
            <w:ind w:right="-115"/>
            <w:jc w:val="right"/>
          </w:pPr>
        </w:p>
      </w:tc>
    </w:tr>
  </w:tbl>
  <w:p w14:paraId="128D3F0F" w14:textId="58111A1C" w:rsidR="7B5DF51F" w:rsidRDefault="7B5DF51F" w:rsidP="7B5DF51F">
    <w:pPr>
      <w:pStyle w:val="Footer"/>
      <w:rPr>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8F518" w14:textId="77777777" w:rsidR="00397C7F" w:rsidRDefault="00397C7F">
      <w:pPr>
        <w:spacing w:after="0" w:line="240" w:lineRule="auto"/>
      </w:pPr>
      <w:r>
        <w:separator/>
      </w:r>
    </w:p>
  </w:footnote>
  <w:footnote w:type="continuationSeparator" w:id="0">
    <w:p w14:paraId="146C79E1" w14:textId="77777777" w:rsidR="00397C7F" w:rsidRDefault="00397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B5DF51F" w14:paraId="124F9C78" w14:textId="77777777" w:rsidTr="7B5DF51F">
      <w:tc>
        <w:tcPr>
          <w:tcW w:w="3005" w:type="dxa"/>
        </w:tcPr>
        <w:p w14:paraId="3E597890" w14:textId="5F4AAEE6" w:rsidR="7B5DF51F" w:rsidRDefault="7B5DF51F" w:rsidP="7B5DF51F">
          <w:pPr>
            <w:pStyle w:val="Header"/>
            <w:ind w:left="-115"/>
          </w:pPr>
        </w:p>
      </w:tc>
      <w:tc>
        <w:tcPr>
          <w:tcW w:w="3005" w:type="dxa"/>
        </w:tcPr>
        <w:p w14:paraId="5EBC7407" w14:textId="4880E129" w:rsidR="7B5DF51F" w:rsidRDefault="7B5DF51F" w:rsidP="7B5DF51F">
          <w:pPr>
            <w:pStyle w:val="Header"/>
            <w:jc w:val="center"/>
          </w:pPr>
        </w:p>
      </w:tc>
      <w:tc>
        <w:tcPr>
          <w:tcW w:w="3005" w:type="dxa"/>
        </w:tcPr>
        <w:p w14:paraId="1F50C55A" w14:textId="734EC22E" w:rsidR="7B5DF51F" w:rsidRDefault="7B5DF51F" w:rsidP="7B5DF51F">
          <w:pPr>
            <w:pStyle w:val="Header"/>
            <w:ind w:right="-115"/>
            <w:jc w:val="right"/>
          </w:pPr>
        </w:p>
      </w:tc>
    </w:tr>
  </w:tbl>
  <w:p w14:paraId="4AA7042A" w14:textId="11E1F5B8" w:rsidR="7B5DF51F" w:rsidRDefault="7B5DF51F" w:rsidP="7B5DF5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B5DF51F" w14:paraId="10BD379E" w14:textId="77777777" w:rsidTr="7B5DF51F">
      <w:tc>
        <w:tcPr>
          <w:tcW w:w="3005" w:type="dxa"/>
        </w:tcPr>
        <w:p w14:paraId="57D5B8F1" w14:textId="6AD6305B" w:rsidR="7B5DF51F" w:rsidRDefault="7B5DF51F" w:rsidP="7B5DF51F">
          <w:pPr>
            <w:pStyle w:val="Header"/>
            <w:ind w:left="-115"/>
          </w:pPr>
        </w:p>
      </w:tc>
      <w:tc>
        <w:tcPr>
          <w:tcW w:w="3005" w:type="dxa"/>
        </w:tcPr>
        <w:p w14:paraId="7425742E" w14:textId="703C3618" w:rsidR="7B5DF51F" w:rsidRDefault="7B5DF51F" w:rsidP="7B5DF51F">
          <w:pPr>
            <w:pStyle w:val="Header"/>
            <w:jc w:val="center"/>
          </w:pPr>
        </w:p>
      </w:tc>
      <w:tc>
        <w:tcPr>
          <w:tcW w:w="3005" w:type="dxa"/>
        </w:tcPr>
        <w:p w14:paraId="7C80708C" w14:textId="04B17C66" w:rsidR="7B5DF51F" w:rsidRDefault="7B5DF51F" w:rsidP="7B5DF51F">
          <w:pPr>
            <w:pStyle w:val="Header"/>
            <w:ind w:right="-115"/>
            <w:jc w:val="right"/>
          </w:pPr>
        </w:p>
      </w:tc>
    </w:tr>
  </w:tbl>
  <w:p w14:paraId="7E48587C" w14:textId="349E8F1D" w:rsidR="7B5DF51F" w:rsidRDefault="7B5DF51F" w:rsidP="7B5DF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BDF153D"/>
    <w:multiLevelType w:val="hybridMultilevel"/>
    <w:tmpl w:val="461AB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A91063E0">
      <w:numFmt w:val="bullet"/>
      <w:lvlText w:val="•"/>
      <w:lvlJc w:val="left"/>
      <w:pPr>
        <w:ind w:left="2520" w:hanging="720"/>
      </w:pPr>
      <w:rPr>
        <w:rFonts w:ascii="Arial" w:eastAsia="Times New Roman"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C7472AA"/>
    <w:multiLevelType w:val="hybridMultilevel"/>
    <w:tmpl w:val="6004D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21D36168"/>
    <w:multiLevelType w:val="multilevel"/>
    <w:tmpl w:val="B97ED04A"/>
    <w:lvl w:ilvl="0">
      <w:start w:val="1"/>
      <w:numFmt w:val="bullet"/>
      <w:pStyle w:val="ListBullet"/>
      <w:lvlText w:val=""/>
      <w:lvlJc w:val="left"/>
      <w:pPr>
        <w:ind w:left="360" w:hanging="360"/>
      </w:pPr>
      <w:rPr>
        <w:rFonts w:ascii="Symbol" w:hAnsi="Symbol" w:hint="default"/>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14" w15:restartNumberingAfterBreak="0">
    <w:nsid w:val="22C87CDB"/>
    <w:multiLevelType w:val="hybridMultilevel"/>
    <w:tmpl w:val="81704BB2"/>
    <w:lvl w:ilvl="0" w:tplc="ECAE94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4A61BC3"/>
    <w:multiLevelType w:val="hybridMultilevel"/>
    <w:tmpl w:val="6CA0A4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E6B4174"/>
    <w:multiLevelType w:val="hybridMultilevel"/>
    <w:tmpl w:val="5BA2D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9826F6"/>
    <w:multiLevelType w:val="hybridMultilevel"/>
    <w:tmpl w:val="D3D2D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930E28"/>
    <w:multiLevelType w:val="hybridMultilevel"/>
    <w:tmpl w:val="75A4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2D2D92"/>
    <w:multiLevelType w:val="hybridMultilevel"/>
    <w:tmpl w:val="F7307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3364B1"/>
    <w:multiLevelType w:val="hybridMultilevel"/>
    <w:tmpl w:val="43686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FE32B4"/>
    <w:multiLevelType w:val="multilevel"/>
    <w:tmpl w:val="E03E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C73203"/>
    <w:multiLevelType w:val="hybridMultilevel"/>
    <w:tmpl w:val="2C201A6C"/>
    <w:lvl w:ilvl="0" w:tplc="ECAE94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080B9D"/>
    <w:multiLevelType w:val="hybridMultilevel"/>
    <w:tmpl w:val="71A8A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3E59E2"/>
    <w:multiLevelType w:val="hybridMultilevel"/>
    <w:tmpl w:val="01440D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141DB7"/>
    <w:multiLevelType w:val="hybridMultilevel"/>
    <w:tmpl w:val="5ECE99FE"/>
    <w:lvl w:ilvl="0" w:tplc="08090001">
      <w:start w:val="1"/>
      <w:numFmt w:val="bullet"/>
      <w:lvlText w:val=""/>
      <w:lvlJc w:val="left"/>
      <w:pPr>
        <w:ind w:left="1079" w:hanging="360"/>
      </w:pPr>
      <w:rPr>
        <w:rFonts w:ascii="Symbol" w:hAnsi="Symbol" w:hint="default"/>
      </w:rPr>
    </w:lvl>
    <w:lvl w:ilvl="1" w:tplc="FFFFFFFF" w:tentative="1">
      <w:start w:val="1"/>
      <w:numFmt w:val="lowerLetter"/>
      <w:lvlText w:val="%2."/>
      <w:lvlJc w:val="left"/>
      <w:pPr>
        <w:ind w:left="1799" w:hanging="360"/>
      </w:pPr>
    </w:lvl>
    <w:lvl w:ilvl="2" w:tplc="FFFFFFFF" w:tentative="1">
      <w:start w:val="1"/>
      <w:numFmt w:val="lowerRoman"/>
      <w:lvlText w:val="%3."/>
      <w:lvlJc w:val="right"/>
      <w:pPr>
        <w:ind w:left="2519" w:hanging="180"/>
      </w:pPr>
    </w:lvl>
    <w:lvl w:ilvl="3" w:tplc="FFFFFFFF" w:tentative="1">
      <w:start w:val="1"/>
      <w:numFmt w:val="decimal"/>
      <w:lvlText w:val="%4."/>
      <w:lvlJc w:val="left"/>
      <w:pPr>
        <w:ind w:left="3239" w:hanging="360"/>
      </w:pPr>
    </w:lvl>
    <w:lvl w:ilvl="4" w:tplc="FFFFFFFF" w:tentative="1">
      <w:start w:val="1"/>
      <w:numFmt w:val="lowerLetter"/>
      <w:lvlText w:val="%5."/>
      <w:lvlJc w:val="left"/>
      <w:pPr>
        <w:ind w:left="3959" w:hanging="360"/>
      </w:pPr>
    </w:lvl>
    <w:lvl w:ilvl="5" w:tplc="FFFFFFFF" w:tentative="1">
      <w:start w:val="1"/>
      <w:numFmt w:val="lowerRoman"/>
      <w:lvlText w:val="%6."/>
      <w:lvlJc w:val="right"/>
      <w:pPr>
        <w:ind w:left="4679" w:hanging="180"/>
      </w:pPr>
    </w:lvl>
    <w:lvl w:ilvl="6" w:tplc="FFFFFFFF" w:tentative="1">
      <w:start w:val="1"/>
      <w:numFmt w:val="decimal"/>
      <w:lvlText w:val="%7."/>
      <w:lvlJc w:val="left"/>
      <w:pPr>
        <w:ind w:left="5399" w:hanging="360"/>
      </w:pPr>
    </w:lvl>
    <w:lvl w:ilvl="7" w:tplc="FFFFFFFF" w:tentative="1">
      <w:start w:val="1"/>
      <w:numFmt w:val="lowerLetter"/>
      <w:lvlText w:val="%8."/>
      <w:lvlJc w:val="left"/>
      <w:pPr>
        <w:ind w:left="6119" w:hanging="360"/>
      </w:pPr>
    </w:lvl>
    <w:lvl w:ilvl="8" w:tplc="FFFFFFFF" w:tentative="1">
      <w:start w:val="1"/>
      <w:numFmt w:val="lowerRoman"/>
      <w:lvlText w:val="%9."/>
      <w:lvlJc w:val="right"/>
      <w:pPr>
        <w:ind w:left="6839" w:hanging="180"/>
      </w:pPr>
    </w:lvl>
  </w:abstractNum>
  <w:abstractNum w:abstractNumId="26" w15:restartNumberingAfterBreak="0">
    <w:nsid w:val="6A493DDC"/>
    <w:multiLevelType w:val="hybridMultilevel"/>
    <w:tmpl w:val="A6164898"/>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3"/>
  </w:num>
  <w:num w:numId="12">
    <w:abstractNumId w:val="12"/>
  </w:num>
  <w:num w:numId="13">
    <w:abstractNumId w:val="21"/>
  </w:num>
  <w:num w:numId="14">
    <w:abstractNumId w:val="17"/>
  </w:num>
  <w:num w:numId="15">
    <w:abstractNumId w:val="11"/>
  </w:num>
  <w:num w:numId="16">
    <w:abstractNumId w:val="23"/>
  </w:num>
  <w:num w:numId="17">
    <w:abstractNumId w:val="18"/>
  </w:num>
  <w:num w:numId="18">
    <w:abstractNumId w:val="22"/>
  </w:num>
  <w:num w:numId="19">
    <w:abstractNumId w:val="14"/>
  </w:num>
  <w:num w:numId="20">
    <w:abstractNumId w:val="26"/>
  </w:num>
  <w:num w:numId="21">
    <w:abstractNumId w:val="25"/>
  </w:num>
  <w:num w:numId="22">
    <w:abstractNumId w:val="15"/>
  </w:num>
  <w:num w:numId="23">
    <w:abstractNumId w:val="19"/>
  </w:num>
  <w:num w:numId="24">
    <w:abstractNumId w:val="20"/>
  </w:num>
  <w:num w:numId="25">
    <w:abstractNumId w:val="10"/>
  </w:num>
  <w:num w:numId="26">
    <w:abstractNumId w:val="16"/>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5597F"/>
    <w:rsid w:val="00075A1F"/>
    <w:rsid w:val="000962B2"/>
    <w:rsid w:val="000C4811"/>
    <w:rsid w:val="000F313B"/>
    <w:rsid w:val="00136675"/>
    <w:rsid w:val="00154A1A"/>
    <w:rsid w:val="001968FD"/>
    <w:rsid w:val="0019694C"/>
    <w:rsid w:val="001B44EF"/>
    <w:rsid w:val="001C30F8"/>
    <w:rsid w:val="001E6796"/>
    <w:rsid w:val="00203E45"/>
    <w:rsid w:val="0021446D"/>
    <w:rsid w:val="00217C20"/>
    <w:rsid w:val="002730F1"/>
    <w:rsid w:val="002B15F2"/>
    <w:rsid w:val="002B7932"/>
    <w:rsid w:val="002C4167"/>
    <w:rsid w:val="002F3DA3"/>
    <w:rsid w:val="003249C4"/>
    <w:rsid w:val="003263E5"/>
    <w:rsid w:val="00357E0F"/>
    <w:rsid w:val="00362B35"/>
    <w:rsid w:val="00397C7F"/>
    <w:rsid w:val="003A2B88"/>
    <w:rsid w:val="003A78D4"/>
    <w:rsid w:val="003D03C2"/>
    <w:rsid w:val="003F7F03"/>
    <w:rsid w:val="0041515E"/>
    <w:rsid w:val="0041689A"/>
    <w:rsid w:val="00424D64"/>
    <w:rsid w:val="004261C6"/>
    <w:rsid w:val="00432EDC"/>
    <w:rsid w:val="00461FD5"/>
    <w:rsid w:val="00494054"/>
    <w:rsid w:val="004A2528"/>
    <w:rsid w:val="004D23AA"/>
    <w:rsid w:val="004E5CE9"/>
    <w:rsid w:val="004F13D1"/>
    <w:rsid w:val="0051082C"/>
    <w:rsid w:val="00586E39"/>
    <w:rsid w:val="005B25AD"/>
    <w:rsid w:val="005E3B04"/>
    <w:rsid w:val="005F2C11"/>
    <w:rsid w:val="00631F3B"/>
    <w:rsid w:val="006372FC"/>
    <w:rsid w:val="00654D18"/>
    <w:rsid w:val="0066073E"/>
    <w:rsid w:val="00662A5F"/>
    <w:rsid w:val="0067147A"/>
    <w:rsid w:val="006810BA"/>
    <w:rsid w:val="006D090E"/>
    <w:rsid w:val="006E47A4"/>
    <w:rsid w:val="00707A63"/>
    <w:rsid w:val="00743424"/>
    <w:rsid w:val="0074782C"/>
    <w:rsid w:val="007A30FC"/>
    <w:rsid w:val="007B7B63"/>
    <w:rsid w:val="007D3218"/>
    <w:rsid w:val="007D54FD"/>
    <w:rsid w:val="007E1E9B"/>
    <w:rsid w:val="008314C7"/>
    <w:rsid w:val="00870C90"/>
    <w:rsid w:val="00871414"/>
    <w:rsid w:val="00892820"/>
    <w:rsid w:val="008A6172"/>
    <w:rsid w:val="009157B1"/>
    <w:rsid w:val="00952BEF"/>
    <w:rsid w:val="00975495"/>
    <w:rsid w:val="009D1144"/>
    <w:rsid w:val="00A1028A"/>
    <w:rsid w:val="00A50847"/>
    <w:rsid w:val="00A93DA6"/>
    <w:rsid w:val="00AB174C"/>
    <w:rsid w:val="00AD71E3"/>
    <w:rsid w:val="00AD7936"/>
    <w:rsid w:val="00AE095E"/>
    <w:rsid w:val="00BC6484"/>
    <w:rsid w:val="00BE2EE1"/>
    <w:rsid w:val="00C15169"/>
    <w:rsid w:val="00C24DC9"/>
    <w:rsid w:val="00C430A7"/>
    <w:rsid w:val="00C46386"/>
    <w:rsid w:val="00CB620C"/>
    <w:rsid w:val="00D9643B"/>
    <w:rsid w:val="00DD0074"/>
    <w:rsid w:val="00DF259A"/>
    <w:rsid w:val="00E814EC"/>
    <w:rsid w:val="00E94128"/>
    <w:rsid w:val="00EF0A14"/>
    <w:rsid w:val="00F05F6D"/>
    <w:rsid w:val="00F54434"/>
    <w:rsid w:val="00F6638B"/>
    <w:rsid w:val="00F71946"/>
    <w:rsid w:val="00F82263"/>
    <w:rsid w:val="00F8554B"/>
    <w:rsid w:val="00FD5689"/>
    <w:rsid w:val="00FE35C9"/>
    <w:rsid w:val="0312D53F"/>
    <w:rsid w:val="11D21F97"/>
    <w:rsid w:val="1280EB9B"/>
    <w:rsid w:val="14B6935C"/>
    <w:rsid w:val="256073D9"/>
    <w:rsid w:val="27C526D0"/>
    <w:rsid w:val="36D6D8B6"/>
    <w:rsid w:val="37195E17"/>
    <w:rsid w:val="3D16DF79"/>
    <w:rsid w:val="40921F5F"/>
    <w:rsid w:val="4BD4D206"/>
    <w:rsid w:val="4C84CCFA"/>
    <w:rsid w:val="4CBB098A"/>
    <w:rsid w:val="5F2A8418"/>
    <w:rsid w:val="6DCF7723"/>
    <w:rsid w:val="6E124303"/>
    <w:rsid w:val="70B472EF"/>
    <w:rsid w:val="778E62C9"/>
    <w:rsid w:val="796B1FB1"/>
    <w:rsid w:val="7B44CCC2"/>
    <w:rsid w:val="7B5DF51F"/>
    <w:rsid w:val="7DA9C074"/>
    <w:rsid w:val="7F4D83F3"/>
    <w:rsid w:val="7FCB5A1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778E62C9"/>
  <w15:chartTrackingRefBased/>
  <w15:docId w15:val="{10ABEB2E-AF8C-47E5-ABED-DCD307E18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eastAsiaTheme="majorEastAsia" w:hAnsiTheme="majorHAnsi"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eastAsiaTheme="majorEastAsia" w:hAnsiTheme="majorHAnsi"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eastAsiaTheme="majorEastAsia" w:hAnsiTheme="majorHAnsi"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eastAsiaTheme="majorEastAsia" w:hAnsiTheme="majorHAnsi"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eastAsiaTheme="majorEastAsia" w:hAnsiTheme="majorHAnsi"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eastAsiaTheme="majorEastAsia" w:hAnsiTheme="majorHAnsi"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eastAsiaTheme="majorEastAsia" w:hAnsiTheme="majorHAnsi"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eastAsiaTheme="majorEastAsia" w:hAnsiTheme="majorHAnsi" w:cstheme="majorBidi"/>
      <w:b/>
      <w:color w:val="785263" w:themeColor="accent1"/>
      <w:kern w:val="28"/>
      <w:sz w:val="52"/>
      <w:szCs w:val="56"/>
    </w:rPr>
  </w:style>
  <w:style w:type="character" w:customStyle="1" w:styleId="TitleChar">
    <w:name w:val="Title Char"/>
    <w:basedOn w:val="DefaultParagraphFont"/>
    <w:link w:val="Title"/>
    <w:uiPriority w:val="4"/>
    <w:rPr>
      <w:rFonts w:asciiTheme="majorHAnsi" w:eastAsiaTheme="majorEastAsia" w:hAnsiTheme="majorHAnsi"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customStyle="1" w:styleId="SubtitleChar">
    <w:name w:val="Subtitle Char"/>
    <w:basedOn w:val="DefaultParagraphFont"/>
    <w:link w:val="Subtitle"/>
    <w:uiPriority w:val="5"/>
    <w:rsid w:val="001968FD"/>
    <w:rPr>
      <w:rFonts w:eastAsiaTheme="minorEastAsia"/>
      <w:sz w:val="32"/>
    </w:rPr>
  </w:style>
  <w:style w:type="character" w:customStyle="1" w:styleId="Heading1Char">
    <w:name w:val="Heading 1 Char"/>
    <w:basedOn w:val="DefaultParagraphFont"/>
    <w:link w:val="Heading1"/>
    <w:uiPriority w:val="9"/>
    <w:rsid w:val="007D3218"/>
    <w:rPr>
      <w:rFonts w:asciiTheme="majorHAnsi" w:eastAsiaTheme="majorEastAsia" w:hAnsiTheme="majorHAnsi"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customStyle="1" w:styleId="QuoteChar">
    <w:name w:val="Quote Char"/>
    <w:basedOn w:val="DefaultParagraphFont"/>
    <w:link w:val="Quote"/>
    <w:uiPriority w:val="13"/>
    <w:rsid w:val="007B7B63"/>
    <w:rPr>
      <w:b/>
      <w:iCs/>
      <w:color w:val="785263" w:themeColor="accent1"/>
    </w:rPr>
  </w:style>
  <w:style w:type="character" w:customStyle="1" w:styleId="Heading2Char">
    <w:name w:val="Heading 2 Char"/>
    <w:basedOn w:val="DefaultParagraphFont"/>
    <w:link w:val="Heading2"/>
    <w:uiPriority w:val="9"/>
    <w:rsid w:val="007D3218"/>
    <w:rPr>
      <w:rFonts w:asciiTheme="majorHAnsi" w:eastAsiaTheme="majorEastAsia" w:hAnsiTheme="majorHAnsi"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customStyle="1" w:styleId="FooterChar">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1"/>
      </w:numPr>
      <w:spacing w:line="312" w:lineRule="auto"/>
    </w:pPr>
  </w:style>
  <w:style w:type="character" w:customStyle="1" w:styleId="Heading3Char">
    <w:name w:val="Heading 3 Char"/>
    <w:basedOn w:val="DefaultParagraphFont"/>
    <w:link w:val="Heading3"/>
    <w:uiPriority w:val="9"/>
    <w:rsid w:val="007D3218"/>
    <w:rPr>
      <w:rFonts w:asciiTheme="majorHAnsi" w:eastAsiaTheme="majorEastAsia" w:hAnsiTheme="majorHAnsi"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customStyle="1" w:styleId="HeaderChar">
    <w:name w:val="Header Char"/>
    <w:basedOn w:val="DefaultParagraphFont"/>
    <w:link w:val="Header"/>
    <w:uiPriority w:val="99"/>
    <w:rsid w:val="00FD5689"/>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785263" w:themeColor="accent1"/>
      <w:sz w:val="26"/>
    </w:rPr>
  </w:style>
  <w:style w:type="paragraph" w:styleId="ListNumber">
    <w:name w:val="List Number"/>
    <w:basedOn w:val="Normal"/>
    <w:uiPriority w:val="12"/>
    <w:qFormat/>
    <w:rsid w:val="007B7B63"/>
    <w:pPr>
      <w:numPr>
        <w:numId w:val="12"/>
      </w:numPr>
      <w:spacing w:line="312" w:lineRule="auto"/>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sz="2" w:space="10" w:color="785263" w:themeColor="accent1"/>
        <w:left w:val="single" w:sz="2" w:space="10" w:color="785263" w:themeColor="accent1"/>
        <w:bottom w:val="single" w:sz="2" w:space="10" w:color="785263" w:themeColor="accent1"/>
        <w:right w:val="single" w:sz="2" w:space="10" w:color="785263" w:themeColor="accent1"/>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customStyle="1" w:styleId="BodyTextChar">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customStyle="1" w:styleId="BodyText2Char">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customStyle="1" w:styleId="BodyText3Char">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customStyle="1" w:styleId="BodyTextFirstIndentChar">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customStyle="1" w:styleId="BodyTextIndentChar">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customStyle="1" w:styleId="BodyTextFirstIndent2Char">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customStyle="1" w:styleId="BodyTextIndent2Char">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customStyle="1" w:styleId="BodyTextIndent3Char">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customStyle="1" w:styleId="ClosingChar">
    <w:name w:val="Closing Char"/>
    <w:basedOn w:val="DefaultParagraphFont"/>
    <w:link w:val="Closing"/>
    <w:uiPriority w:val="99"/>
    <w:semiHidden/>
    <w:rsid w:val="00AD71E3"/>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C75100" w:themeFill="accent3" w:themeFillShade="CC"/>
      </w:tcPr>
    </w:tblStylePr>
    <w:tblStylePr w:type="lastRow">
      <w:rPr>
        <w:b/>
        <w:bCs/>
        <w:color w:val="C7510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785263" w:themeColor="accent1"/>
        <w:bottom w:val="single" w:sz="4" w:space="0" w:color="785263" w:themeColor="accent1"/>
        <w:right w:val="single" w:sz="4" w:space="0" w:color="785263" w:themeColor="accent1"/>
        <w:insideH w:val="single" w:sz="4" w:space="0" w:color="FFFFFF" w:themeColor="background1"/>
        <w:insideV w:val="single" w:sz="4" w:space="0" w:color="FFFFFF" w:themeColor="background1"/>
      </w:tblBorders>
    </w:tblPr>
    <w:tcPr>
      <w:shd w:val="clear" w:color="auto" w:fill="F2ECEF" w:themeFill="accen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sz="4" w:space="0" w:color="47313B" w:themeColor="accent1" w:themeShade="99"/>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C3C3C3" w:themeColor="accent2"/>
        <w:bottom w:val="single" w:sz="4" w:space="0" w:color="C3C3C3" w:themeColor="accent2"/>
        <w:right w:val="single" w:sz="4" w:space="0" w:color="C3C3C3" w:themeColor="accent2"/>
        <w:insideH w:val="single" w:sz="4" w:space="0" w:color="FFFFFF" w:themeColor="background1"/>
        <w:insideV w:val="single" w:sz="4" w:space="0" w:color="FFFFFF" w:themeColor="background1"/>
      </w:tblBorders>
    </w:tblPr>
    <w:tcPr>
      <w:shd w:val="clear" w:color="auto" w:fill="F9F9F9" w:themeFill="accent2"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sz="4" w:space="0" w:color="757575" w:themeColor="accent2" w:themeShade="99"/>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3AA9E3" w:themeColor="accent4"/>
        <w:left w:val="single" w:sz="4" w:space="0" w:color="F96600" w:themeColor="accent3"/>
        <w:bottom w:val="single" w:sz="4" w:space="0" w:color="F96600" w:themeColor="accent3"/>
        <w:right w:val="single" w:sz="4" w:space="0" w:color="F96600" w:themeColor="accent3"/>
        <w:insideH w:val="single" w:sz="4" w:space="0" w:color="FFFFFF" w:themeColor="background1"/>
        <w:insideV w:val="single" w:sz="4" w:space="0" w:color="FFFFFF" w:themeColor="background1"/>
      </w:tblBorders>
    </w:tblPr>
    <w:tcPr>
      <w:shd w:val="clear" w:color="auto" w:fill="FFEFE5"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sz="4" w:space="0" w:color="953C00" w:themeColor="accent3" w:themeShade="99"/>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F96600"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customStyle="1" w:styleId="CommentTextChar">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customStyle="1" w:styleId="CommentSubjectChar">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93D4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A4B0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customStyle="1" w:styleId="DateChar">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customStyle="1" w:styleId="E-mailSignatureChar">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customStyle="1" w:styleId="EndnoteTextChar">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customStyle="1" w:styleId="FootnoteTextChar">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sz="4" w:space="0" w:color="CDB5C0" w:themeColor="accent1" w:themeTint="66"/>
        <w:left w:val="single" w:sz="4" w:space="0" w:color="CDB5C0" w:themeColor="accent1" w:themeTint="66"/>
        <w:bottom w:val="single" w:sz="4" w:space="0" w:color="CDB5C0" w:themeColor="accent1" w:themeTint="66"/>
        <w:right w:val="single" w:sz="4" w:space="0" w:color="CDB5C0" w:themeColor="accent1" w:themeTint="66"/>
        <w:insideH w:val="single" w:sz="4" w:space="0" w:color="CDB5C0" w:themeColor="accent1" w:themeTint="66"/>
        <w:insideV w:val="single" w:sz="4" w:space="0" w:color="CDB5C0" w:themeColor="accent1" w:themeTint="66"/>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2" w:space="0" w:color="B491A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sz="4" w:space="0" w:color="E7E7E7" w:themeColor="accent2" w:themeTint="66"/>
        <w:left w:val="single" w:sz="4" w:space="0" w:color="E7E7E7" w:themeColor="accent2" w:themeTint="66"/>
        <w:bottom w:val="single" w:sz="4" w:space="0" w:color="E7E7E7" w:themeColor="accent2" w:themeTint="66"/>
        <w:right w:val="single" w:sz="4" w:space="0" w:color="E7E7E7" w:themeColor="accent2" w:themeTint="66"/>
        <w:insideH w:val="single" w:sz="4" w:space="0" w:color="E7E7E7" w:themeColor="accent2" w:themeTint="66"/>
        <w:insideV w:val="single" w:sz="4" w:space="0" w:color="E7E7E7" w:themeColor="accent2" w:themeTint="66"/>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2" w:space="0" w:color="DBDBD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sz="4" w:space="0" w:color="FFC196" w:themeColor="accent3" w:themeTint="66"/>
        <w:left w:val="single" w:sz="4" w:space="0" w:color="FFC196" w:themeColor="accent3" w:themeTint="66"/>
        <w:bottom w:val="single" w:sz="4" w:space="0" w:color="FFC196" w:themeColor="accent3" w:themeTint="66"/>
        <w:right w:val="single" w:sz="4" w:space="0" w:color="FFC196" w:themeColor="accent3" w:themeTint="66"/>
        <w:insideH w:val="single" w:sz="4" w:space="0" w:color="FFC196" w:themeColor="accent3" w:themeTint="66"/>
        <w:insideV w:val="single" w:sz="4" w:space="0" w:color="FFC196" w:themeColor="accent3" w:themeTint="66"/>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2" w:space="0" w:color="FFA262"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sz="2" w:space="0" w:color="B491A0" w:themeColor="accent1" w:themeTint="99"/>
        <w:bottom w:val="single" w:sz="2" w:space="0" w:color="B491A0" w:themeColor="accent1" w:themeTint="99"/>
        <w:insideH w:val="single" w:sz="2" w:space="0" w:color="B491A0" w:themeColor="accent1" w:themeTint="99"/>
        <w:insideV w:val="single" w:sz="2" w:space="0" w:color="B491A0" w:themeColor="accent1" w:themeTint="99"/>
      </w:tblBorders>
    </w:tblPr>
    <w:tblStylePr w:type="firstRow">
      <w:rPr>
        <w:b/>
        <w:bCs/>
      </w:rPr>
      <w:tblPr/>
      <w:tcPr>
        <w:tcBorders>
          <w:top w:val="nil"/>
          <w:bottom w:val="single" w:sz="12" w:space="0" w:color="B491A0" w:themeColor="accent1" w:themeTint="99"/>
          <w:insideH w:val="nil"/>
          <w:insideV w:val="nil"/>
        </w:tcBorders>
        <w:shd w:val="clear" w:color="auto" w:fill="FFFFFF" w:themeFill="background1"/>
      </w:tcPr>
    </w:tblStylePr>
    <w:tblStylePr w:type="lastRow">
      <w:rPr>
        <w:b/>
        <w:bCs/>
      </w:rPr>
      <w:tblPr/>
      <w:tcPr>
        <w:tcBorders>
          <w:top w:val="double" w:sz="2" w:space="0" w:color="B491A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sz="2" w:space="0" w:color="DBDBDB" w:themeColor="accent2" w:themeTint="99"/>
        <w:bottom w:val="single" w:sz="2" w:space="0" w:color="DBDBDB" w:themeColor="accent2" w:themeTint="99"/>
        <w:insideH w:val="single" w:sz="2" w:space="0" w:color="DBDBDB" w:themeColor="accent2" w:themeTint="99"/>
        <w:insideV w:val="single" w:sz="2" w:space="0" w:color="DBDBDB" w:themeColor="accent2" w:themeTint="99"/>
      </w:tblBorders>
    </w:tblPr>
    <w:tblStylePr w:type="firstRow">
      <w:rPr>
        <w:b/>
        <w:bCs/>
      </w:rPr>
      <w:tblPr/>
      <w:tcPr>
        <w:tcBorders>
          <w:top w:val="nil"/>
          <w:bottom w:val="single" w:sz="12" w:space="0" w:color="DBDBDB" w:themeColor="accent2" w:themeTint="99"/>
          <w:insideH w:val="nil"/>
          <w:insideV w:val="nil"/>
        </w:tcBorders>
        <w:shd w:val="clear" w:color="auto" w:fill="FFFFFF" w:themeFill="background1"/>
      </w:tcPr>
    </w:tblStylePr>
    <w:tblStylePr w:type="lastRow">
      <w:rPr>
        <w:b/>
        <w:bCs/>
      </w:rPr>
      <w:tblPr/>
      <w:tcPr>
        <w:tcBorders>
          <w:top w:val="double" w:sz="2" w:space="0" w:color="DBDBD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sz="2" w:space="0" w:color="FFA262" w:themeColor="accent3" w:themeTint="99"/>
        <w:bottom w:val="single" w:sz="2" w:space="0" w:color="FFA262" w:themeColor="accent3" w:themeTint="99"/>
        <w:insideH w:val="single" w:sz="2" w:space="0" w:color="FFA262" w:themeColor="accent3" w:themeTint="99"/>
        <w:insideV w:val="single" w:sz="2" w:space="0" w:color="FFA262" w:themeColor="accent3" w:themeTint="99"/>
      </w:tblBorders>
    </w:tblPr>
    <w:tblStylePr w:type="firstRow">
      <w:rPr>
        <w:b/>
        <w:bCs/>
      </w:rPr>
      <w:tblPr/>
      <w:tcPr>
        <w:tcBorders>
          <w:top w:val="nil"/>
          <w:bottom w:val="single" w:sz="12" w:space="0" w:color="FFA262" w:themeColor="accent3" w:themeTint="99"/>
          <w:insideH w:val="nil"/>
          <w:insideV w:val="nil"/>
        </w:tcBorders>
        <w:shd w:val="clear" w:color="auto" w:fill="FFFFFF" w:themeFill="background1"/>
      </w:tcPr>
    </w:tblStylePr>
    <w:tblStylePr w:type="lastRow">
      <w:rPr>
        <w:b/>
        <w:bCs/>
      </w:rPr>
      <w:tblPr/>
      <w:tcPr>
        <w:tcBorders>
          <w:top w:val="double" w:sz="2" w:space="0" w:color="FFA26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insideV w:val="nil"/>
        </w:tcBorders>
        <w:shd w:val="clear" w:color="auto" w:fill="785263" w:themeFill="accent1"/>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insideV w:val="nil"/>
        </w:tcBorders>
        <w:shd w:val="clear" w:color="auto" w:fill="C3C3C3" w:themeFill="accent2"/>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insideV w:val="nil"/>
        </w:tcBorders>
        <w:shd w:val="clear" w:color="auto" w:fill="F96600" w:themeFill="accent3"/>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A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8526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8526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8526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0C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966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966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966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eading5Char">
    <w:name w:val="Heading 5 Char"/>
    <w:basedOn w:val="DefaultParagraphFont"/>
    <w:link w:val="Heading5"/>
    <w:uiPriority w:val="9"/>
    <w:semiHidden/>
    <w:rsid w:val="00AD71E3"/>
    <w:rPr>
      <w:rFonts w:asciiTheme="majorHAnsi" w:eastAsiaTheme="majorEastAsia" w:hAnsiTheme="majorHAnsi" w:cstheme="majorBidi"/>
      <w:color w:val="593D4A" w:themeColor="accent1" w:themeShade="BF"/>
    </w:rPr>
  </w:style>
  <w:style w:type="character" w:customStyle="1" w:styleId="Heading6Char">
    <w:name w:val="Heading 6 Char"/>
    <w:basedOn w:val="DefaultParagraphFont"/>
    <w:link w:val="Heading6"/>
    <w:uiPriority w:val="9"/>
    <w:semiHidden/>
    <w:rsid w:val="00D9643B"/>
    <w:rPr>
      <w:rFonts w:asciiTheme="majorHAnsi" w:eastAsiaTheme="majorEastAsia" w:hAnsiTheme="majorHAnsi" w:cstheme="majorBidi"/>
      <w:b/>
      <w:color w:val="3B2831" w:themeColor="accent1" w:themeShade="7F"/>
    </w:rPr>
  </w:style>
  <w:style w:type="character" w:customStyle="1" w:styleId="Heading7Char">
    <w:name w:val="Heading 7 Char"/>
    <w:basedOn w:val="DefaultParagraphFont"/>
    <w:link w:val="Heading7"/>
    <w:uiPriority w:val="9"/>
    <w:semiHidden/>
    <w:rsid w:val="00D9643B"/>
    <w:rPr>
      <w:rFonts w:asciiTheme="majorHAnsi" w:eastAsiaTheme="majorEastAsia" w:hAnsiTheme="majorHAnsi" w:cstheme="majorBidi"/>
      <w:i/>
      <w:iCs/>
      <w:color w:val="593D4A" w:themeColor="accent1" w:themeShade="BF"/>
    </w:rPr>
  </w:style>
  <w:style w:type="character" w:customStyle="1" w:styleId="Heading8Char">
    <w:name w:val="Heading 8 Char"/>
    <w:basedOn w:val="DefaultParagraphFont"/>
    <w:link w:val="Heading8"/>
    <w:uiPriority w:val="9"/>
    <w:semiHidden/>
    <w:rsid w:val="00AD71E3"/>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AD71E3"/>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customStyle="1" w:styleId="HTMLAddressChar">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sz="4" w:space="10" w:color="785263" w:themeColor="accent1"/>
        <w:bottom w:val="single" w:sz="4" w:space="10" w:color="785263" w:themeColor="accent1"/>
      </w:pBdr>
      <w:spacing w:before="360" w:after="360"/>
      <w:ind w:left="720"/>
      <w:jc w:val="center"/>
    </w:pPr>
    <w:rPr>
      <w:i/>
      <w:iCs/>
      <w:color w:val="785263" w:themeColor="accent1"/>
    </w:rPr>
  </w:style>
  <w:style w:type="character" w:customStyle="1" w:styleId="IntenseQuoteChar">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18" w:space="0" w:color="785263" w:themeColor="accent1"/>
          <w:right w:val="single" w:sz="8" w:space="0" w:color="785263" w:themeColor="accent1"/>
          <w:insideH w:val="nil"/>
          <w:insideV w:val="single" w:sz="8" w:space="0" w:color="785263"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insideH w:val="nil"/>
          <w:insideV w:val="single" w:sz="8" w:space="0" w:color="785263"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shd w:val="clear" w:color="auto" w:fill="E0D1D8" w:themeFill="accent1" w:themeFillTint="3F"/>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shd w:val="clear" w:color="auto" w:fill="E0D1D8" w:themeFill="accent1" w:themeFillTint="3F"/>
      </w:tcPr>
    </w:tblStylePr>
    <w:tblStylePr w:type="band2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18" w:space="0" w:color="C3C3C3" w:themeColor="accent2"/>
          <w:right w:val="single" w:sz="8" w:space="0" w:color="C3C3C3" w:themeColor="accent2"/>
          <w:insideH w:val="nil"/>
          <w:insideV w:val="single" w:sz="8" w:space="0" w:color="C3C3C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insideH w:val="nil"/>
          <w:insideV w:val="single" w:sz="8" w:space="0" w:color="C3C3C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shd w:val="clear" w:color="auto" w:fill="F0F0F0" w:themeFill="accent2" w:themeFillTint="3F"/>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shd w:val="clear" w:color="auto" w:fill="F0F0F0" w:themeFill="accent2" w:themeFillTint="3F"/>
      </w:tcPr>
    </w:tblStylePr>
    <w:tblStylePr w:type="band2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18" w:space="0" w:color="F96600" w:themeColor="accent3"/>
          <w:right w:val="single" w:sz="8" w:space="0" w:color="F96600" w:themeColor="accent3"/>
          <w:insideH w:val="nil"/>
          <w:insideV w:val="single" w:sz="8" w:space="0" w:color="F9660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insideH w:val="nil"/>
          <w:insideV w:val="single" w:sz="8" w:space="0" w:color="F9660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shd w:val="clear" w:color="auto" w:fill="FFD8BE" w:themeFill="accent3" w:themeFillTint="3F"/>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shd w:val="clear" w:color="auto" w:fill="FFD8BE" w:themeFill="accent3" w:themeFillTint="3F"/>
      </w:tcPr>
    </w:tblStylePr>
    <w:tblStylePr w:type="band2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tcBorders>
      </w:tcPr>
    </w:tblStylePr>
    <w:tblStylePr w:type="firstCol">
      <w:rPr>
        <w:b/>
        <w:bCs/>
      </w:rPr>
    </w:tblStylePr>
    <w:tblStylePr w:type="lastCol">
      <w:rPr>
        <w:b/>
        <w:bCs/>
      </w:r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tcBorders>
      </w:tcPr>
    </w:tblStylePr>
    <w:tblStylePr w:type="firstCol">
      <w:rPr>
        <w:b/>
        <w:bCs/>
      </w:rPr>
    </w:tblStylePr>
    <w:tblStylePr w:type="lastCol">
      <w:rPr>
        <w:b/>
        <w:bCs/>
      </w:r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tcBorders>
      </w:tcPr>
    </w:tblStylePr>
    <w:tblStylePr w:type="firstCol">
      <w:rPr>
        <w:b/>
        <w:bCs/>
      </w:rPr>
    </w:tblStylePr>
    <w:tblStylePr w:type="lastCol">
      <w:rPr>
        <w:b/>
        <w:bCs/>
      </w:r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sz="8" w:space="0" w:color="785263" w:themeColor="accent1"/>
        <w:bottom w:val="single" w:sz="8" w:space="0" w:color="785263" w:themeColor="accent1"/>
      </w:tblBorders>
    </w:tblPr>
    <w:tblStylePr w:type="fir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la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sz="8" w:space="0" w:color="C3C3C3" w:themeColor="accent2"/>
        <w:bottom w:val="single" w:sz="8" w:space="0" w:color="C3C3C3" w:themeColor="accent2"/>
      </w:tblBorders>
    </w:tblPr>
    <w:tblStylePr w:type="fir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la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sz="8" w:space="0" w:color="F96600" w:themeColor="accent3"/>
        <w:bottom w:val="single" w:sz="8" w:space="0" w:color="F96600" w:themeColor="accent3"/>
      </w:tblBorders>
    </w:tblPr>
    <w:tblStylePr w:type="fir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la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3"/>
      </w:numPr>
      <w:contextualSpacing/>
    </w:pPr>
  </w:style>
  <w:style w:type="paragraph" w:styleId="ListBullet3">
    <w:name w:val="List Bullet 3"/>
    <w:basedOn w:val="Normal"/>
    <w:uiPriority w:val="99"/>
    <w:semiHidden/>
    <w:unhideWhenUsed/>
    <w:rsid w:val="00AD71E3"/>
    <w:pPr>
      <w:numPr>
        <w:numId w:val="4"/>
      </w:numPr>
      <w:contextualSpacing/>
    </w:pPr>
  </w:style>
  <w:style w:type="paragraph" w:styleId="ListBullet4">
    <w:name w:val="List Bullet 4"/>
    <w:basedOn w:val="Normal"/>
    <w:uiPriority w:val="99"/>
    <w:semiHidden/>
    <w:unhideWhenUsed/>
    <w:rsid w:val="00AD71E3"/>
    <w:pPr>
      <w:numPr>
        <w:numId w:val="5"/>
      </w:numPr>
      <w:contextualSpacing/>
    </w:pPr>
  </w:style>
  <w:style w:type="paragraph" w:styleId="ListBullet5">
    <w:name w:val="List Bullet 5"/>
    <w:basedOn w:val="Normal"/>
    <w:uiPriority w:val="99"/>
    <w:semiHidden/>
    <w:unhideWhenUsed/>
    <w:rsid w:val="00AD71E3"/>
    <w:pPr>
      <w:numPr>
        <w:numId w:val="6"/>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7"/>
      </w:numPr>
      <w:contextualSpacing/>
    </w:pPr>
  </w:style>
  <w:style w:type="paragraph" w:styleId="ListNumber3">
    <w:name w:val="List Number 3"/>
    <w:basedOn w:val="Normal"/>
    <w:uiPriority w:val="99"/>
    <w:semiHidden/>
    <w:unhideWhenUsed/>
    <w:rsid w:val="00AD71E3"/>
    <w:pPr>
      <w:numPr>
        <w:numId w:val="8"/>
      </w:numPr>
      <w:contextualSpacing/>
    </w:pPr>
  </w:style>
  <w:style w:type="paragraph" w:styleId="ListNumber4">
    <w:name w:val="List Number 4"/>
    <w:basedOn w:val="Normal"/>
    <w:uiPriority w:val="99"/>
    <w:semiHidden/>
    <w:unhideWhenUsed/>
    <w:rsid w:val="00AD71E3"/>
    <w:pPr>
      <w:numPr>
        <w:numId w:val="9"/>
      </w:numPr>
      <w:contextualSpacing/>
    </w:pPr>
  </w:style>
  <w:style w:type="paragraph" w:styleId="ListNumber5">
    <w:name w:val="List Number 5"/>
    <w:basedOn w:val="Normal"/>
    <w:uiPriority w:val="99"/>
    <w:semiHidden/>
    <w:unhideWhenUsed/>
    <w:rsid w:val="00AD71E3"/>
    <w:pPr>
      <w:numPr>
        <w:numId w:val="10"/>
      </w:numPr>
      <w:contextualSpacing/>
    </w:pPr>
  </w:style>
  <w:style w:type="paragraph" w:styleId="ListParagraph">
    <w:name w:val="List Paragraph"/>
    <w:basedOn w:val="Normal"/>
    <w:uiPriority w:val="34"/>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491A0" w:themeColor="accent1" w:themeTint="99"/>
        </w:tcBorders>
      </w:tcPr>
    </w:tblStylePr>
    <w:tblStylePr w:type="lastRow">
      <w:rPr>
        <w:b/>
        <w:bCs/>
      </w:rPr>
      <w:tblPr/>
      <w:tcPr>
        <w:tcBorders>
          <w:top w:val="sing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DBDBDB" w:themeColor="accent2" w:themeTint="99"/>
        </w:tcBorders>
      </w:tcPr>
    </w:tblStylePr>
    <w:tblStylePr w:type="lastRow">
      <w:rPr>
        <w:b/>
        <w:bCs/>
      </w:rPr>
      <w:tblPr/>
      <w:tcPr>
        <w:tcBorders>
          <w:top w:val="sing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FFA262" w:themeColor="accent3" w:themeTint="99"/>
        </w:tcBorders>
      </w:tcPr>
    </w:tblStylePr>
    <w:tblStylePr w:type="lastRow">
      <w:rPr>
        <w:b/>
        <w:bCs/>
      </w:rPr>
      <w:tblPr/>
      <w:tcPr>
        <w:tcBorders>
          <w:top w:val="sing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sz="4" w:space="0" w:color="B491A0" w:themeColor="accent1" w:themeTint="99"/>
        <w:bottom w:val="single" w:sz="4" w:space="0" w:color="B491A0" w:themeColor="accent1" w:themeTint="99"/>
        <w:insideH w:val="single" w:sz="4" w:space="0" w:color="B491A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sz="4" w:space="0" w:color="DBDBDB" w:themeColor="accent2" w:themeTint="99"/>
        <w:bottom w:val="single" w:sz="4" w:space="0" w:color="DBDBDB" w:themeColor="accent2" w:themeTint="99"/>
        <w:insideH w:val="single" w:sz="4" w:space="0" w:color="DBDBD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sz="4" w:space="0" w:color="FFA262" w:themeColor="accent3" w:themeTint="99"/>
        <w:bottom w:val="single" w:sz="4" w:space="0" w:color="FFA262" w:themeColor="accent3" w:themeTint="99"/>
        <w:insideH w:val="single" w:sz="4" w:space="0" w:color="FFA26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sz="4" w:space="0" w:color="785263" w:themeColor="accent1"/>
        <w:left w:val="single" w:sz="4" w:space="0" w:color="785263" w:themeColor="accent1"/>
        <w:bottom w:val="single" w:sz="4" w:space="0" w:color="785263" w:themeColor="accent1"/>
        <w:right w:val="single" w:sz="4" w:space="0" w:color="785263" w:themeColor="accent1"/>
      </w:tblBorders>
    </w:tblPr>
    <w:tblStylePr w:type="firstRow">
      <w:rPr>
        <w:b/>
        <w:bCs/>
        <w:color w:val="FFFFFF" w:themeColor="background1"/>
      </w:rPr>
      <w:tblPr/>
      <w:tcPr>
        <w:shd w:val="clear" w:color="auto" w:fill="785263" w:themeFill="accent1"/>
      </w:tcPr>
    </w:tblStylePr>
    <w:tblStylePr w:type="lastRow">
      <w:rPr>
        <w:b/>
        <w:bCs/>
      </w:rPr>
      <w:tblPr/>
      <w:tcPr>
        <w:tcBorders>
          <w:top w:val="double" w:sz="4" w:space="0" w:color="785263"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85263" w:themeColor="accent1"/>
          <w:right w:val="single" w:sz="4" w:space="0" w:color="785263" w:themeColor="accent1"/>
        </w:tcBorders>
      </w:tcPr>
    </w:tblStylePr>
    <w:tblStylePr w:type="band1Horz">
      <w:tblPr/>
      <w:tcPr>
        <w:tcBorders>
          <w:top w:val="single" w:sz="4" w:space="0" w:color="785263" w:themeColor="accent1"/>
          <w:bottom w:val="single" w:sz="4" w:space="0" w:color="785263"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85263" w:themeColor="accent1"/>
          <w:left w:val="nil"/>
        </w:tcBorders>
      </w:tcPr>
    </w:tblStylePr>
    <w:tblStylePr w:type="swCell">
      <w:tblPr/>
      <w:tcPr>
        <w:tcBorders>
          <w:top w:val="double" w:sz="4" w:space="0" w:color="785263" w:themeColor="accent1"/>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sz="4" w:space="0" w:color="C3C3C3" w:themeColor="accent2"/>
        <w:left w:val="single" w:sz="4" w:space="0" w:color="C3C3C3" w:themeColor="accent2"/>
        <w:bottom w:val="single" w:sz="4" w:space="0" w:color="C3C3C3" w:themeColor="accent2"/>
        <w:right w:val="single" w:sz="4" w:space="0" w:color="C3C3C3" w:themeColor="accent2"/>
      </w:tblBorders>
    </w:tblPr>
    <w:tblStylePr w:type="firstRow">
      <w:rPr>
        <w:b/>
        <w:bCs/>
        <w:color w:val="FFFFFF" w:themeColor="background1"/>
      </w:rPr>
      <w:tblPr/>
      <w:tcPr>
        <w:shd w:val="clear" w:color="auto" w:fill="C3C3C3" w:themeFill="accent2"/>
      </w:tcPr>
    </w:tblStylePr>
    <w:tblStylePr w:type="lastRow">
      <w:rPr>
        <w:b/>
        <w:bCs/>
      </w:rPr>
      <w:tblPr/>
      <w:tcPr>
        <w:tcBorders>
          <w:top w:val="double" w:sz="4" w:space="0" w:color="C3C3C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2"/>
          <w:right w:val="single" w:sz="4" w:space="0" w:color="C3C3C3" w:themeColor="accent2"/>
        </w:tcBorders>
      </w:tcPr>
    </w:tblStylePr>
    <w:tblStylePr w:type="band1Horz">
      <w:tblPr/>
      <w:tcPr>
        <w:tcBorders>
          <w:top w:val="single" w:sz="4" w:space="0" w:color="C3C3C3" w:themeColor="accent2"/>
          <w:bottom w:val="single" w:sz="4" w:space="0" w:color="C3C3C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2"/>
          <w:left w:val="nil"/>
        </w:tcBorders>
      </w:tcPr>
    </w:tblStylePr>
    <w:tblStylePr w:type="swCell">
      <w:tblPr/>
      <w:tcPr>
        <w:tcBorders>
          <w:top w:val="double" w:sz="4" w:space="0" w:color="C3C3C3" w:themeColor="accent2"/>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sz="4" w:space="0" w:color="F96600" w:themeColor="accent3"/>
        <w:left w:val="single" w:sz="4" w:space="0" w:color="F96600" w:themeColor="accent3"/>
        <w:bottom w:val="single" w:sz="4" w:space="0" w:color="F96600" w:themeColor="accent3"/>
        <w:right w:val="single" w:sz="4" w:space="0" w:color="F96600" w:themeColor="accent3"/>
      </w:tblBorders>
    </w:tblPr>
    <w:tblStylePr w:type="firstRow">
      <w:rPr>
        <w:b/>
        <w:bCs/>
        <w:color w:val="FFFFFF" w:themeColor="background1"/>
      </w:rPr>
      <w:tblPr/>
      <w:tcPr>
        <w:shd w:val="clear" w:color="auto" w:fill="F96600" w:themeFill="accent3"/>
      </w:tcPr>
    </w:tblStylePr>
    <w:tblStylePr w:type="lastRow">
      <w:rPr>
        <w:b/>
        <w:bCs/>
      </w:rPr>
      <w:tblPr/>
      <w:tcPr>
        <w:tcBorders>
          <w:top w:val="double" w:sz="4" w:space="0" w:color="F966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96600" w:themeColor="accent3"/>
          <w:right w:val="single" w:sz="4" w:space="0" w:color="F96600" w:themeColor="accent3"/>
        </w:tcBorders>
      </w:tcPr>
    </w:tblStylePr>
    <w:tblStylePr w:type="band1Horz">
      <w:tblPr/>
      <w:tcPr>
        <w:tcBorders>
          <w:top w:val="single" w:sz="4" w:space="0" w:color="F96600" w:themeColor="accent3"/>
          <w:bottom w:val="single" w:sz="4" w:space="0" w:color="F966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96600" w:themeColor="accent3"/>
          <w:left w:val="nil"/>
        </w:tcBorders>
      </w:tcPr>
    </w:tblStylePr>
    <w:tblStylePr w:type="swCell">
      <w:tblPr/>
      <w:tcPr>
        <w:tcBorders>
          <w:top w:val="double" w:sz="4" w:space="0" w:color="F96600" w:themeColor="accent3"/>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tcBorders>
        <w:shd w:val="clear" w:color="auto" w:fill="785263" w:themeFill="accent1"/>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tcBorders>
        <w:shd w:val="clear" w:color="auto" w:fill="C3C3C3" w:themeFill="accent2"/>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tcBorders>
        <w:shd w:val="clear" w:color="auto" w:fill="F96600" w:themeFill="accent3"/>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sz="24" w:space="0" w:color="785263" w:themeColor="accent1"/>
        <w:left w:val="single" w:sz="24" w:space="0" w:color="785263" w:themeColor="accent1"/>
        <w:bottom w:val="single" w:sz="24" w:space="0" w:color="785263" w:themeColor="accent1"/>
        <w:right w:val="single" w:sz="24" w:space="0" w:color="785263" w:themeColor="accent1"/>
      </w:tblBorders>
    </w:tblPr>
    <w:tcPr>
      <w:shd w:val="clear" w:color="auto" w:fill="785263"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sz="24" w:space="0" w:color="C3C3C3" w:themeColor="accent2"/>
        <w:left w:val="single" w:sz="24" w:space="0" w:color="C3C3C3" w:themeColor="accent2"/>
        <w:bottom w:val="single" w:sz="24" w:space="0" w:color="C3C3C3" w:themeColor="accent2"/>
        <w:right w:val="single" w:sz="24" w:space="0" w:color="C3C3C3" w:themeColor="accent2"/>
      </w:tblBorders>
    </w:tblPr>
    <w:tcPr>
      <w:shd w:val="clear" w:color="auto" w:fill="C3C3C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sz="24" w:space="0" w:color="F96600" w:themeColor="accent3"/>
        <w:left w:val="single" w:sz="24" w:space="0" w:color="F96600" w:themeColor="accent3"/>
        <w:bottom w:val="single" w:sz="24" w:space="0" w:color="F96600" w:themeColor="accent3"/>
        <w:right w:val="single" w:sz="24" w:space="0" w:color="F96600" w:themeColor="accent3"/>
      </w:tblBorders>
    </w:tblPr>
    <w:tcPr>
      <w:shd w:val="clear" w:color="auto" w:fill="F96600"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785263" w:themeColor="accent1"/>
        <w:bottom w:val="single" w:sz="4" w:space="0" w:color="785263" w:themeColor="accent1"/>
      </w:tblBorders>
    </w:tblPr>
    <w:tblStylePr w:type="firstRow">
      <w:rPr>
        <w:b/>
        <w:bCs/>
      </w:rPr>
      <w:tblPr/>
      <w:tcPr>
        <w:tcBorders>
          <w:bottom w:val="single" w:sz="4" w:space="0" w:color="785263" w:themeColor="accent1"/>
        </w:tcBorders>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C3C3C3" w:themeColor="accent2"/>
        <w:bottom w:val="single" w:sz="4" w:space="0" w:color="C3C3C3" w:themeColor="accent2"/>
      </w:tblBorders>
    </w:tblPr>
    <w:tblStylePr w:type="firstRow">
      <w:rPr>
        <w:b/>
        <w:bCs/>
      </w:rPr>
      <w:tblPr/>
      <w:tcPr>
        <w:tcBorders>
          <w:bottom w:val="single" w:sz="4" w:space="0" w:color="C3C3C3" w:themeColor="accent2"/>
        </w:tcBorders>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96600" w:themeColor="accent3"/>
        <w:bottom w:val="single" w:sz="4" w:space="0" w:color="F96600" w:themeColor="accent3"/>
      </w:tblBorders>
    </w:tblPr>
    <w:tblStylePr w:type="firstRow">
      <w:rPr>
        <w:b/>
        <w:bCs/>
      </w:rPr>
      <w:tblPr/>
      <w:tcPr>
        <w:tcBorders>
          <w:bottom w:val="single" w:sz="4" w:space="0" w:color="F96600" w:themeColor="accent3"/>
        </w:tcBorders>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85263"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85263"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85263"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85263" w:themeColor="accent1"/>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2"/>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96600"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96600"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96600"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96600" w:themeColor="accent3"/>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insideV w:val="single" w:sz="8" w:space="0" w:color="A17589" w:themeColor="accent1" w:themeTint="BF"/>
      </w:tblBorders>
    </w:tblPr>
    <w:tcPr>
      <w:shd w:val="clear" w:color="auto" w:fill="E0D1D8" w:themeFill="accent1" w:themeFillTint="3F"/>
    </w:tcPr>
    <w:tblStylePr w:type="firstRow">
      <w:rPr>
        <w:b/>
        <w:bCs/>
      </w:rPr>
    </w:tblStylePr>
    <w:tblStylePr w:type="lastRow">
      <w:rPr>
        <w:b/>
        <w:bCs/>
      </w:rPr>
      <w:tblPr/>
      <w:tcPr>
        <w:tcBorders>
          <w:top w:val="single" w:sz="18" w:space="0" w:color="A17589" w:themeColor="accent1" w:themeTint="BF"/>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insideV w:val="single" w:sz="8" w:space="0" w:color="D2D2D2" w:themeColor="accent2" w:themeTint="BF"/>
      </w:tblBorders>
    </w:tblPr>
    <w:tcPr>
      <w:shd w:val="clear" w:color="auto" w:fill="F0F0F0" w:themeFill="accent2" w:themeFillTint="3F"/>
    </w:tcPr>
    <w:tblStylePr w:type="firstRow">
      <w:rPr>
        <w:b/>
        <w:bCs/>
      </w:rPr>
    </w:tblStylePr>
    <w:tblStylePr w:type="lastRow">
      <w:rPr>
        <w:b/>
        <w:bCs/>
      </w:rPr>
      <w:tblPr/>
      <w:tcPr>
        <w:tcBorders>
          <w:top w:val="single" w:sz="18" w:space="0" w:color="D2D2D2" w:themeColor="accent2" w:themeTint="BF"/>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insideV w:val="single" w:sz="8" w:space="0" w:color="FF8B3B" w:themeColor="accent3" w:themeTint="BF"/>
      </w:tblBorders>
    </w:tblPr>
    <w:tcPr>
      <w:shd w:val="clear" w:color="auto" w:fill="FFD8BE" w:themeFill="accent3" w:themeFillTint="3F"/>
    </w:tcPr>
    <w:tblStylePr w:type="firstRow">
      <w:rPr>
        <w:b/>
        <w:bCs/>
      </w:rPr>
    </w:tblStylePr>
    <w:tblStylePr w:type="lastRow">
      <w:rPr>
        <w:b/>
        <w:bCs/>
      </w:rPr>
      <w:tblPr/>
      <w:tcPr>
        <w:tcBorders>
          <w:top w:val="single" w:sz="18" w:space="0" w:color="FF8B3B" w:themeColor="accent3" w:themeTint="BF"/>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sz="6" w:space="0" w:color="785263" w:themeColor="accent1"/>
          <w:insideV w:val="single" w:sz="6" w:space="0" w:color="785263" w:themeColor="accent1"/>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sz="6" w:space="0" w:color="C3C3C3" w:themeColor="accent2"/>
          <w:insideV w:val="single" w:sz="6" w:space="0" w:color="C3C3C3" w:themeColor="accent2"/>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sz="6" w:space="0" w:color="F96600" w:themeColor="accent3"/>
          <w:insideV w:val="single" w:sz="6" w:space="0" w:color="F96600" w:themeColor="accent3"/>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1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85263"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85263"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A3B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8B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9660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9660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27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785263" w:themeColor="accent1"/>
        <w:bottom w:val="single" w:sz="8" w:space="0" w:color="785263" w:themeColor="accent1"/>
      </w:tblBorders>
    </w:tblPr>
    <w:tblStylePr w:type="firstRow">
      <w:rPr>
        <w:rFonts w:asciiTheme="majorHAnsi" w:eastAsiaTheme="majorEastAsia" w:hAnsiTheme="majorHAnsi" w:cstheme="majorBidi"/>
      </w:rPr>
      <w:tblPr/>
      <w:tcPr>
        <w:tcBorders>
          <w:top w:val="nil"/>
          <w:bottom w:val="single" w:sz="8" w:space="0" w:color="785263" w:themeColor="accent1"/>
        </w:tcBorders>
      </w:tcPr>
    </w:tblStylePr>
    <w:tblStylePr w:type="lastRow">
      <w:rPr>
        <w:b/>
        <w:bCs/>
        <w:color w:val="242424" w:themeColor="text2"/>
      </w:rPr>
      <w:tblPr/>
      <w:tcPr>
        <w:tcBorders>
          <w:top w:val="single" w:sz="8" w:space="0" w:color="785263" w:themeColor="accent1"/>
          <w:bottom w:val="single" w:sz="8" w:space="0" w:color="785263" w:themeColor="accent1"/>
        </w:tcBorders>
      </w:tcPr>
    </w:tblStylePr>
    <w:tblStylePr w:type="firstCol">
      <w:rPr>
        <w:b/>
        <w:bCs/>
      </w:rPr>
    </w:tblStylePr>
    <w:tblStylePr w:type="lastCol">
      <w:rPr>
        <w:b/>
        <w:bCs/>
      </w:rPr>
      <w:tblPr/>
      <w:tcPr>
        <w:tcBorders>
          <w:top w:val="single" w:sz="8" w:space="0" w:color="785263" w:themeColor="accent1"/>
          <w:bottom w:val="single" w:sz="8" w:space="0" w:color="785263" w:themeColor="accent1"/>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C3C3C3" w:themeColor="accent2"/>
        <w:bottom w:val="single" w:sz="8" w:space="0" w:color="C3C3C3" w:themeColor="accent2"/>
      </w:tblBorders>
    </w:tblPr>
    <w:tblStylePr w:type="firstRow">
      <w:rPr>
        <w:rFonts w:asciiTheme="majorHAnsi" w:eastAsiaTheme="majorEastAsia" w:hAnsiTheme="majorHAnsi" w:cstheme="majorBidi"/>
      </w:rPr>
      <w:tblPr/>
      <w:tcPr>
        <w:tcBorders>
          <w:top w:val="nil"/>
          <w:bottom w:val="single" w:sz="8" w:space="0" w:color="C3C3C3" w:themeColor="accent2"/>
        </w:tcBorders>
      </w:tcPr>
    </w:tblStylePr>
    <w:tblStylePr w:type="lastRow">
      <w:rPr>
        <w:b/>
        <w:bCs/>
        <w:color w:val="242424" w:themeColor="text2"/>
      </w:rPr>
      <w:tblPr/>
      <w:tcPr>
        <w:tcBorders>
          <w:top w:val="single" w:sz="8" w:space="0" w:color="C3C3C3" w:themeColor="accent2"/>
          <w:bottom w:val="single" w:sz="8" w:space="0" w:color="C3C3C3" w:themeColor="accent2"/>
        </w:tcBorders>
      </w:tcPr>
    </w:tblStylePr>
    <w:tblStylePr w:type="firstCol">
      <w:rPr>
        <w:b/>
        <w:bCs/>
      </w:rPr>
    </w:tblStylePr>
    <w:tblStylePr w:type="lastCol">
      <w:rPr>
        <w:b/>
        <w:bCs/>
      </w:rPr>
      <w:tblPr/>
      <w:tcPr>
        <w:tcBorders>
          <w:top w:val="single" w:sz="8" w:space="0" w:color="C3C3C3" w:themeColor="accent2"/>
          <w:bottom w:val="single" w:sz="8" w:space="0" w:color="C3C3C3" w:themeColor="accent2"/>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F96600" w:themeColor="accent3"/>
        <w:bottom w:val="single" w:sz="8" w:space="0" w:color="F96600" w:themeColor="accent3"/>
      </w:tblBorders>
    </w:tblPr>
    <w:tblStylePr w:type="firstRow">
      <w:rPr>
        <w:rFonts w:asciiTheme="majorHAnsi" w:eastAsiaTheme="majorEastAsia" w:hAnsiTheme="majorHAnsi" w:cstheme="majorBidi"/>
      </w:rPr>
      <w:tblPr/>
      <w:tcPr>
        <w:tcBorders>
          <w:top w:val="nil"/>
          <w:bottom w:val="single" w:sz="8" w:space="0" w:color="F96600" w:themeColor="accent3"/>
        </w:tcBorders>
      </w:tcPr>
    </w:tblStylePr>
    <w:tblStylePr w:type="lastRow">
      <w:rPr>
        <w:b/>
        <w:bCs/>
        <w:color w:val="242424" w:themeColor="text2"/>
      </w:rPr>
      <w:tblPr/>
      <w:tcPr>
        <w:tcBorders>
          <w:top w:val="single" w:sz="8" w:space="0" w:color="F96600" w:themeColor="accent3"/>
          <w:bottom w:val="single" w:sz="8" w:space="0" w:color="F96600" w:themeColor="accent3"/>
        </w:tcBorders>
      </w:tcPr>
    </w:tblStylePr>
    <w:tblStylePr w:type="firstCol">
      <w:rPr>
        <w:b/>
        <w:bCs/>
      </w:rPr>
    </w:tblStylePr>
    <w:tblStylePr w:type="lastCol">
      <w:rPr>
        <w:b/>
        <w:bCs/>
      </w:rPr>
      <w:tblPr/>
      <w:tcPr>
        <w:tcBorders>
          <w:top w:val="single" w:sz="8" w:space="0" w:color="F96600" w:themeColor="accent3"/>
          <w:bottom w:val="single" w:sz="8" w:space="0" w:color="F96600" w:themeColor="accent3"/>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rPr>
        <w:sz w:val="24"/>
        <w:szCs w:val="24"/>
      </w:rPr>
      <w:tblPr/>
      <w:tcPr>
        <w:tcBorders>
          <w:top w:val="nil"/>
          <w:left w:val="nil"/>
          <w:bottom w:val="single" w:sz="24" w:space="0" w:color="785263"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85263" w:themeColor="accent1"/>
          <w:insideH w:val="nil"/>
          <w:insideV w:val="nil"/>
        </w:tcBorders>
        <w:shd w:val="clear" w:color="auto" w:fill="FFFFFF" w:themeFill="background1"/>
      </w:tcPr>
    </w:tblStylePr>
    <w:tblStylePr w:type="lastCol">
      <w:tblPr/>
      <w:tcPr>
        <w:tcBorders>
          <w:top w:val="nil"/>
          <w:left w:val="single" w:sz="8" w:space="0" w:color="785263"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rPr>
        <w:sz w:val="24"/>
        <w:szCs w:val="24"/>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2"/>
          <w:insideH w:val="nil"/>
          <w:insideV w:val="nil"/>
        </w:tcBorders>
        <w:shd w:val="clear" w:color="auto" w:fill="FFFFFF" w:themeFill="background1"/>
      </w:tcPr>
    </w:tblStylePr>
    <w:tblStylePr w:type="lastCol">
      <w:tblPr/>
      <w:tcPr>
        <w:tcBorders>
          <w:top w:val="nil"/>
          <w:left w:val="single" w:sz="8" w:space="0" w:color="C3C3C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rPr>
        <w:sz w:val="24"/>
        <w:szCs w:val="24"/>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96600" w:themeColor="accent3"/>
          <w:insideH w:val="nil"/>
          <w:insideV w:val="nil"/>
        </w:tcBorders>
        <w:shd w:val="clear" w:color="auto" w:fill="FFFFFF" w:themeFill="background1"/>
      </w:tcPr>
    </w:tblStylePr>
    <w:tblStylePr w:type="lastCol">
      <w:tblPr/>
      <w:tcPr>
        <w:tcBorders>
          <w:top w:val="nil"/>
          <w:left w:val="single" w:sz="8" w:space="0" w:color="F9660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tblBorders>
    </w:tblPr>
    <w:tblStylePr w:type="firstRow">
      <w:pPr>
        <w:spacing w:before="0" w:after="0" w:line="240" w:lineRule="auto"/>
      </w:pPr>
      <w:rPr>
        <w:b/>
        <w:bCs/>
        <w:color w:val="FFFFFF" w:themeColor="background1"/>
      </w:rPr>
      <w:tblPr/>
      <w:tcPr>
        <w:tc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shd w:val="clear" w:color="auto" w:fill="785263" w:themeFill="accent1"/>
      </w:tcPr>
    </w:tblStylePr>
    <w:tblStylePr w:type="lastRow">
      <w:pPr>
        <w:spacing w:before="0" w:after="0" w:line="240" w:lineRule="auto"/>
      </w:pPr>
      <w:rPr>
        <w:b/>
        <w:bCs/>
      </w:rPr>
      <w:tblPr/>
      <w:tcPr>
        <w:tcBorders>
          <w:top w:val="double" w:sz="6"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tblBorders>
    </w:tblPr>
    <w:tblStylePr w:type="firstRow">
      <w:pPr>
        <w:spacing w:before="0" w:after="0" w:line="240" w:lineRule="auto"/>
      </w:pPr>
      <w:rPr>
        <w:b/>
        <w:bCs/>
        <w:color w:val="FFFFFF" w:themeColor="background1"/>
      </w:rPr>
      <w:tblPr/>
      <w:tcPr>
        <w:tc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shd w:val="clear" w:color="auto" w:fill="C3C3C3" w:themeFill="accent2"/>
      </w:tcPr>
    </w:tblStylePr>
    <w:tblStylePr w:type="lastRow">
      <w:pPr>
        <w:spacing w:before="0" w:after="0" w:line="240" w:lineRule="auto"/>
      </w:pPr>
      <w:rPr>
        <w:b/>
        <w:bCs/>
      </w:rPr>
      <w:tblPr/>
      <w:tcPr>
        <w:tcBorders>
          <w:top w:val="double" w:sz="6"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tblBorders>
    </w:tblPr>
    <w:tblStylePr w:type="firstRow">
      <w:pPr>
        <w:spacing w:before="0" w:after="0" w:line="240" w:lineRule="auto"/>
      </w:pPr>
      <w:rPr>
        <w:b/>
        <w:bCs/>
        <w:color w:val="FFFFFF" w:themeColor="background1"/>
      </w:rPr>
      <w:tblPr/>
      <w:tcPr>
        <w:tc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shd w:val="clear" w:color="auto" w:fill="F96600" w:themeFill="accent3"/>
      </w:tcPr>
    </w:tblStylePr>
    <w:tblStylePr w:type="lastRow">
      <w:pPr>
        <w:spacing w:before="0" w:after="0" w:line="240" w:lineRule="auto"/>
      </w:pPr>
      <w:rPr>
        <w:b/>
        <w:bCs/>
      </w:rPr>
      <w:tblPr/>
      <w:tcPr>
        <w:tcBorders>
          <w:top w:val="double" w:sz="6"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AD71E3"/>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customStyle="1" w:styleId="NoteHeadingChar">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customStyle="1" w:styleId="SalutationChar">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customStyle="1" w:styleId="SignatureChar">
    <w:name w:val="Signature Char"/>
    <w:basedOn w:val="DefaultParagraphFont"/>
    <w:link w:val="Signature"/>
    <w:uiPriority w:val="99"/>
    <w:semiHidden/>
    <w:rsid w:val="00AD71E3"/>
  </w:style>
  <w:style w:type="character" w:styleId="Strong">
    <w:name w:val="Strong"/>
    <w:basedOn w:val="DefaultParagraphFont"/>
    <w:uiPriority w:val="22"/>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71E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71E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D71E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D71E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D71E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71E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71E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71E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71E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71E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D71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71E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71E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71E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71E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71E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7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71E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71E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71E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AD71E3"/>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unhideWhenUsed/>
    <w:qFormat/>
    <w:rsid w:val="00362B35"/>
    <w:pPr>
      <w:outlineLvl w:val="9"/>
    </w:pPr>
  </w:style>
  <w:style w:type="paragraph" w:customStyle="1" w:styleId="Image">
    <w:name w:val="Image"/>
    <w:basedOn w:val="Normal"/>
    <w:uiPriority w:val="1"/>
    <w:qFormat/>
    <w:rsid w:val="007B7B63"/>
    <w:pPr>
      <w:spacing w:after="0" w:line="240" w:lineRule="auto"/>
      <w:jc w:val="center"/>
    </w:pPr>
  </w:style>
  <w:style w:type="character" w:customStyle="1" w:styleId="selectable">
    <w:name w:val="selectable"/>
    <w:basedOn w:val="DefaultParagraphFont"/>
    <w:rsid w:val="007E1E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89326">
      <w:bodyDiv w:val="1"/>
      <w:marLeft w:val="0"/>
      <w:marRight w:val="0"/>
      <w:marTop w:val="0"/>
      <w:marBottom w:val="0"/>
      <w:divBdr>
        <w:top w:val="none" w:sz="0" w:space="0" w:color="auto"/>
        <w:left w:val="none" w:sz="0" w:space="0" w:color="auto"/>
        <w:bottom w:val="none" w:sz="0" w:space="0" w:color="auto"/>
        <w:right w:val="none" w:sz="0" w:space="0" w:color="auto"/>
      </w:divBdr>
      <w:divsChild>
        <w:div w:id="1732651342">
          <w:marLeft w:val="0"/>
          <w:marRight w:val="0"/>
          <w:marTop w:val="0"/>
          <w:marBottom w:val="0"/>
          <w:divBdr>
            <w:top w:val="none" w:sz="0" w:space="0" w:color="auto"/>
            <w:left w:val="none" w:sz="0" w:space="0" w:color="auto"/>
            <w:bottom w:val="none" w:sz="0" w:space="0" w:color="auto"/>
            <w:right w:val="none" w:sz="0" w:space="0" w:color="auto"/>
          </w:divBdr>
          <w:divsChild>
            <w:div w:id="113174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5778805">
      <w:bodyDiv w:val="1"/>
      <w:marLeft w:val="0"/>
      <w:marRight w:val="0"/>
      <w:marTop w:val="0"/>
      <w:marBottom w:val="0"/>
      <w:divBdr>
        <w:top w:val="none" w:sz="0" w:space="0" w:color="auto"/>
        <w:left w:val="none" w:sz="0" w:space="0" w:color="auto"/>
        <w:bottom w:val="none" w:sz="0" w:space="0" w:color="auto"/>
        <w:right w:val="none" w:sz="0" w:space="0" w:color="auto"/>
      </w:divBdr>
    </w:div>
    <w:div w:id="706369078">
      <w:bodyDiv w:val="1"/>
      <w:marLeft w:val="0"/>
      <w:marRight w:val="0"/>
      <w:marTop w:val="0"/>
      <w:marBottom w:val="0"/>
      <w:divBdr>
        <w:top w:val="none" w:sz="0" w:space="0" w:color="auto"/>
        <w:left w:val="none" w:sz="0" w:space="0" w:color="auto"/>
        <w:bottom w:val="none" w:sz="0" w:space="0" w:color="auto"/>
        <w:right w:val="none" w:sz="0" w:space="0" w:color="auto"/>
      </w:divBdr>
    </w:div>
    <w:div w:id="951933873">
      <w:bodyDiv w:val="1"/>
      <w:marLeft w:val="0"/>
      <w:marRight w:val="0"/>
      <w:marTop w:val="0"/>
      <w:marBottom w:val="0"/>
      <w:divBdr>
        <w:top w:val="none" w:sz="0" w:space="0" w:color="auto"/>
        <w:left w:val="none" w:sz="0" w:space="0" w:color="auto"/>
        <w:bottom w:val="none" w:sz="0" w:space="0" w:color="auto"/>
        <w:right w:val="none" w:sz="0" w:space="0" w:color="auto"/>
      </w:divBdr>
      <w:divsChild>
        <w:div w:id="743839093">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634481438">
      <w:bodyDiv w:val="1"/>
      <w:marLeft w:val="0"/>
      <w:marRight w:val="0"/>
      <w:marTop w:val="0"/>
      <w:marBottom w:val="0"/>
      <w:divBdr>
        <w:top w:val="none" w:sz="0" w:space="0" w:color="auto"/>
        <w:left w:val="none" w:sz="0" w:space="0" w:color="auto"/>
        <w:bottom w:val="none" w:sz="0" w:space="0" w:color="auto"/>
        <w:right w:val="none" w:sz="0" w:space="0" w:color="auto"/>
      </w:divBdr>
      <w:divsChild>
        <w:div w:id="59184158">
          <w:marLeft w:val="0"/>
          <w:marRight w:val="0"/>
          <w:marTop w:val="0"/>
          <w:marBottom w:val="0"/>
          <w:divBdr>
            <w:top w:val="none" w:sz="0" w:space="0" w:color="auto"/>
            <w:left w:val="none" w:sz="0" w:space="0" w:color="auto"/>
            <w:bottom w:val="none" w:sz="0" w:space="0" w:color="auto"/>
            <w:right w:val="none" w:sz="0" w:space="0" w:color="auto"/>
          </w:divBdr>
        </w:div>
        <w:div w:id="1486318085">
          <w:marLeft w:val="0"/>
          <w:marRight w:val="0"/>
          <w:marTop w:val="0"/>
          <w:marBottom w:val="0"/>
          <w:divBdr>
            <w:top w:val="none" w:sz="0" w:space="0" w:color="auto"/>
            <w:left w:val="none" w:sz="0" w:space="0" w:color="auto"/>
            <w:bottom w:val="none" w:sz="0" w:space="0" w:color="auto"/>
            <w:right w:val="none" w:sz="0" w:space="0" w:color="auto"/>
          </w:divBdr>
        </w:div>
      </w:divsChild>
    </w:div>
    <w:div w:id="2108429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AFEA8B-C267-4A80-A5FE-FD0F123EB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2569</Words>
  <Characters>14646</Characters>
  <Application>Microsoft Office Word</Application>
  <DocSecurity>0</DocSecurity>
  <Lines>122</Lines>
  <Paragraphs>34</Paragraphs>
  <ScaleCrop>false</ScaleCrop>
  <Company/>
  <LinksUpToDate>false</LinksUpToDate>
  <CharactersWithSpaces>17181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Elisabeta Magos (1918861)</dc:creator>
  <cp:keywords/>
  <dc:description/>
  <cp:lastModifiedBy>Andreea Elisabeta</cp:lastModifiedBy>
  <cp:revision>2</cp:revision>
  <dcterms:created xsi:type="dcterms:W3CDTF">2021-11-26T14:58:00Z</dcterms:created>
  <dcterms:modified xsi:type="dcterms:W3CDTF">2021-11-26T14:58:00Z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