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6FB612A" w14:textId="200D4342" w:rsidR="00040194" w:rsidRDefault="00454E5C" w:rsidP="00010D84">
      <w:pPr>
        <w:jc w:val="center"/>
        <w:rPr>
          <w:b/>
          <w:sz w:val="28"/>
          <w:u w:val="single"/>
        </w:rPr>
      </w:pPr>
      <w:r w:rsidRPr="00454E5C">
        <w:rPr>
          <w:b/>
          <w:sz w:val="28"/>
          <w:u w:val="single"/>
        </w:rPr>
        <w:t>Assess the extent that objects can be inalienable?</w:t>
      </w:r>
    </w:p>
    <w:p w14:paraId="54CB804B" w14:textId="2F34D4DD" w:rsidR="00454E5C" w:rsidRDefault="00614063" w:rsidP="00010D84">
      <w:r>
        <w:rPr>
          <w:sz w:val="24"/>
        </w:rPr>
        <w:t>Within the following</w:t>
      </w:r>
      <w:r w:rsidR="00720019" w:rsidRPr="00720019">
        <w:rPr>
          <w:sz w:val="24"/>
        </w:rPr>
        <w:t xml:space="preserve"> </w:t>
      </w:r>
      <w:r w:rsidR="00720019">
        <w:rPr>
          <w:sz w:val="24"/>
        </w:rPr>
        <w:t>essay we shall be looking at</w:t>
      </w:r>
      <w:r w:rsidR="00837E0B">
        <w:rPr>
          <w:sz w:val="24"/>
        </w:rPr>
        <w:t xml:space="preserve"> the extent to which objects can</w:t>
      </w:r>
      <w:r w:rsidR="00687188">
        <w:rPr>
          <w:sz w:val="24"/>
        </w:rPr>
        <w:t xml:space="preserve"> be</w:t>
      </w:r>
      <w:r w:rsidR="00720019">
        <w:rPr>
          <w:sz w:val="24"/>
        </w:rPr>
        <w:t xml:space="preserve"> inalienable. </w:t>
      </w:r>
      <w:r w:rsidR="00553B13">
        <w:t xml:space="preserve">When we </w:t>
      </w:r>
      <w:r w:rsidR="00720019">
        <w:t>say looking at the extent we mean</w:t>
      </w:r>
      <w:r w:rsidR="00553B13">
        <w:t xml:space="preserve"> </w:t>
      </w:r>
      <w:r w:rsidR="00720019">
        <w:t xml:space="preserve">the level </w:t>
      </w:r>
      <w:r w:rsidR="00462CA6">
        <w:t xml:space="preserve">at </w:t>
      </w:r>
      <w:r>
        <w:t xml:space="preserve">which </w:t>
      </w:r>
      <w:r w:rsidR="00720019">
        <w:t xml:space="preserve">something is believed to </w:t>
      </w:r>
      <w:r>
        <w:t>be the case, with the question given</w:t>
      </w:r>
      <w:r w:rsidR="00720019">
        <w:t xml:space="preserve"> we </w:t>
      </w:r>
      <w:r>
        <w:t>will be referring</w:t>
      </w:r>
      <w:r w:rsidR="00720019">
        <w:t xml:space="preserve"> to how inalienable an object </w:t>
      </w:r>
      <w:proofErr w:type="gramStart"/>
      <w:r w:rsidR="00720019">
        <w:t>actually is</w:t>
      </w:r>
      <w:proofErr w:type="gramEnd"/>
      <w:r w:rsidR="00720019">
        <w:t xml:space="preserve">. </w:t>
      </w:r>
      <w:r w:rsidR="005002F0">
        <w:t>T</w:t>
      </w:r>
      <w:r w:rsidR="00BA6D34">
        <w:t>o give us a foundation to relate back too</w:t>
      </w:r>
      <w:r w:rsidR="005002F0">
        <w:t xml:space="preserve"> we shall begin by defining what is meant by the word inalienability</w:t>
      </w:r>
      <w:r w:rsidR="00BA6D34">
        <w:t xml:space="preserve">. </w:t>
      </w:r>
      <w:r w:rsidR="00EC39D9">
        <w:t xml:space="preserve">Inalienable wealth is a principle that things such as objects </w:t>
      </w:r>
      <w:r w:rsidR="005B0922">
        <w:t>‘</w:t>
      </w:r>
      <w:r w:rsidR="00EC39D9">
        <w:t>cannot be transferred to another or others</w:t>
      </w:r>
      <w:r w:rsidR="005B0922">
        <w:rPr>
          <w:rStyle w:val="FootnoteReference"/>
        </w:rPr>
        <w:footnoteReference w:id="1"/>
      </w:r>
      <w:r w:rsidR="006769F9">
        <w:t xml:space="preserve">’ </w:t>
      </w:r>
      <w:r w:rsidR="00D0626D">
        <w:t xml:space="preserve">therefore it stands for items remaining with their original owners and helps ensure </w:t>
      </w:r>
      <w:r w:rsidR="006769F9">
        <w:t xml:space="preserve">the </w:t>
      </w:r>
      <w:r w:rsidR="00D0626D">
        <w:t xml:space="preserve">prevention </w:t>
      </w:r>
      <w:r w:rsidR="006769F9">
        <w:t>of items being sold and bought.</w:t>
      </w:r>
      <w:r w:rsidR="000B75B3">
        <w:t xml:space="preserve"> Inalienability relates to objects </w:t>
      </w:r>
      <w:r w:rsidR="00D0626D">
        <w:t>as it shows a form of ownership with</w:t>
      </w:r>
      <w:r w:rsidR="000B75B3">
        <w:t xml:space="preserve"> a sense of belo</w:t>
      </w:r>
      <w:r w:rsidR="006769F9">
        <w:t>nging to someone thus showing</w:t>
      </w:r>
      <w:r w:rsidR="000B75B3">
        <w:t xml:space="preserve"> the development of a relationship</w:t>
      </w:r>
      <w:r w:rsidR="006769F9">
        <w:t xml:space="preserve"> between the object in question and the person or owner</w:t>
      </w:r>
      <w:r w:rsidR="000B75B3">
        <w:t>. Within this essay we shall be focusing on how objects can be</w:t>
      </w:r>
      <w:r w:rsidR="000969B8">
        <w:t xml:space="preserve"> to an extent inalienable</w:t>
      </w:r>
      <w:r w:rsidR="00D0626D">
        <w:t>, although they are</w:t>
      </w:r>
      <w:r w:rsidR="000969B8">
        <w:t xml:space="preserve"> not fully inalienable due to the creati</w:t>
      </w:r>
      <w:r w:rsidR="00D0626D">
        <w:t>on of money and the marketplace.</w:t>
      </w:r>
      <w:r w:rsidR="000969B8">
        <w:t xml:space="preserve"> </w:t>
      </w:r>
      <w:r w:rsidR="006769F9">
        <w:t xml:space="preserve">Two </w:t>
      </w:r>
      <w:r w:rsidR="00D0626D">
        <w:t xml:space="preserve">reinforce our arguments for inalienability throughout we shall refer to some </w:t>
      </w:r>
      <w:r w:rsidR="000B75B3">
        <w:t xml:space="preserve">ethnographic examples. </w:t>
      </w:r>
    </w:p>
    <w:p w14:paraId="431E597F" w14:textId="7CB2CABD" w:rsidR="00404BF0" w:rsidRDefault="000969B8" w:rsidP="00010D84">
      <w:r>
        <w:t>To start with we shall look at how the limited numbers of</w:t>
      </w:r>
      <w:r w:rsidR="00404BF0">
        <w:t xml:space="preserve"> these alleged inalienable</w:t>
      </w:r>
      <w:r>
        <w:t xml:space="preserve"> objects means that they are subsequently</w:t>
      </w:r>
      <w:r w:rsidR="00E95CAD">
        <w:t xml:space="preserve"> seen as</w:t>
      </w:r>
      <w:r>
        <w:t xml:space="preserve"> inalienable. </w:t>
      </w:r>
      <w:r w:rsidR="00404BF0">
        <w:t xml:space="preserve">To start with we shall look at the </w:t>
      </w:r>
      <w:r w:rsidR="0000774B">
        <w:t>argument</w:t>
      </w:r>
      <w:r>
        <w:t xml:space="preserve"> that if objects where in fact able to be transferred or exchanged then there would be a larger number of them readily available</w:t>
      </w:r>
      <w:r w:rsidR="0000774B">
        <w:t xml:space="preserve">. With the </w:t>
      </w:r>
      <w:r>
        <w:t>curren</w:t>
      </w:r>
      <w:r w:rsidR="001B5D9D">
        <w:t xml:space="preserve">t situation objects themselves </w:t>
      </w:r>
      <w:proofErr w:type="gramStart"/>
      <w:r w:rsidR="001B5D9D">
        <w:t>are considered to be</w:t>
      </w:r>
      <w:proofErr w:type="gramEnd"/>
      <w:r w:rsidR="001B5D9D">
        <w:t xml:space="preserve"> ‘singularities’ as said by anthropologist Weiner. </w:t>
      </w:r>
      <w:r w:rsidR="00404BF0">
        <w:t>Referencing Weiner,</w:t>
      </w:r>
      <w:r w:rsidR="00EF0BE9">
        <w:t xml:space="preserve"> objects being </w:t>
      </w:r>
      <w:r w:rsidR="00404BF0">
        <w:t xml:space="preserve">singularities means </w:t>
      </w:r>
      <w:r w:rsidR="00EF0BE9">
        <w:t>they</w:t>
      </w:r>
      <w:r w:rsidR="00404BF0">
        <w:t xml:space="preserve"> therefore</w:t>
      </w:r>
      <w:r w:rsidR="00EF0BE9">
        <w:t xml:space="preserve"> can have a stronger relationship with their owners, a formed relationship is something which makes an object inalienable. An example of this comes from Codrington (1881) who describes his encounter with large canoes which had proper names</w:t>
      </w:r>
      <w:r w:rsidR="00EF0BE9">
        <w:rPr>
          <w:rStyle w:val="FootnoteReference"/>
        </w:rPr>
        <w:footnoteReference w:id="2"/>
      </w:r>
      <w:r w:rsidR="00EF0BE9">
        <w:t xml:space="preserve"> making them more human</w:t>
      </w:r>
      <w:r w:rsidR="00060AB0">
        <w:t xml:space="preserve"> and ‘the canoe i</w:t>
      </w:r>
      <w:r w:rsidR="0000774B">
        <w:t>tself becomes identified’ consequently showing</w:t>
      </w:r>
      <w:r w:rsidR="00060AB0">
        <w:t xml:space="preserve"> a degree of inalienability. </w:t>
      </w:r>
      <w:r w:rsidR="00404BF0">
        <w:t>Despite this</w:t>
      </w:r>
      <w:r w:rsidR="005F2335">
        <w:t xml:space="preserve">, it is wrong to assume all singular objects are inalienable </w:t>
      </w:r>
      <w:r w:rsidR="00D95629">
        <w:t>objects</w:t>
      </w:r>
      <w:r w:rsidR="0050433F">
        <w:t xml:space="preserve"> </w:t>
      </w:r>
      <w:r w:rsidR="0000774B">
        <w:t>primarily</w:t>
      </w:r>
      <w:r w:rsidR="0050433F">
        <w:t xml:space="preserve"> because singular does not necessarily refer to tribal pieces but can also refer to modern objects</w:t>
      </w:r>
      <w:r w:rsidR="00D95629">
        <w:t xml:space="preserve"> such as classical </w:t>
      </w:r>
      <w:r w:rsidR="005F2335">
        <w:t>paintings</w:t>
      </w:r>
      <w:r w:rsidR="00D95629">
        <w:t xml:space="preserve"> (such as those by Picasso) </w:t>
      </w:r>
      <w:r w:rsidR="0000774B">
        <w:t xml:space="preserve">which </w:t>
      </w:r>
      <w:r w:rsidR="00D95629">
        <w:t xml:space="preserve">are not inalienable as they have a mass market appeal and often sell for millions yet are still </w:t>
      </w:r>
      <w:r w:rsidR="0050433F">
        <w:t xml:space="preserve">considered </w:t>
      </w:r>
      <w:r w:rsidR="0094570B">
        <w:t>singular objects. O</w:t>
      </w:r>
      <w:r w:rsidR="00D95629">
        <w:t xml:space="preserve">ne of a kind </w:t>
      </w:r>
      <w:r w:rsidR="0094570B">
        <w:t xml:space="preserve">is </w:t>
      </w:r>
      <w:r w:rsidR="00D95629">
        <w:t>ther</w:t>
      </w:r>
      <w:r w:rsidR="0094570B">
        <w:t>efore it is a false statement as it</w:t>
      </w:r>
      <w:r w:rsidR="00D95629">
        <w:t xml:space="preserve"> assume</w:t>
      </w:r>
      <w:r w:rsidR="0094570B">
        <w:t>s</w:t>
      </w:r>
      <w:r w:rsidR="00D95629">
        <w:t xml:space="preserve"> that all singular objects are inalienable</w:t>
      </w:r>
      <w:r w:rsidR="00066E55">
        <w:t>.</w:t>
      </w:r>
      <w:r w:rsidR="00404BF0">
        <w:t xml:space="preserve"> All things considered it is</w:t>
      </w:r>
      <w:r w:rsidR="00066E55">
        <w:t xml:space="preserve"> likewise wrong to assume that all inalienable objects are singular as many inalienable objects are also mass produced, for example those used in </w:t>
      </w:r>
      <w:r w:rsidR="00BE5B7B">
        <w:t>rituals like ceremonial clothing</w:t>
      </w:r>
      <w:r w:rsidR="0094570B">
        <w:t>. T</w:t>
      </w:r>
      <w:r w:rsidR="00BE5B7B">
        <w:t xml:space="preserve">he </w:t>
      </w:r>
      <w:proofErr w:type="spellStart"/>
      <w:r w:rsidR="00BE5B7B">
        <w:t>Buba</w:t>
      </w:r>
      <w:proofErr w:type="spellEnd"/>
      <w:r w:rsidR="00BE5B7B">
        <w:t xml:space="preserve"> </w:t>
      </w:r>
      <w:r w:rsidR="00BE5B7B">
        <w:rPr>
          <w:rStyle w:val="FootnoteReference"/>
        </w:rPr>
        <w:footnoteReference w:id="3"/>
      </w:r>
      <w:r w:rsidR="00BE5B7B">
        <w:t>a traditional Nigerian shirt is worn b</w:t>
      </w:r>
      <w:r w:rsidR="0094570B">
        <w:t xml:space="preserve">y all males in ceremonies </w:t>
      </w:r>
      <w:r w:rsidR="00154459">
        <w:t>this therefore shows that the shirt is not a singularity</w:t>
      </w:r>
      <w:r w:rsidR="0094570B">
        <w:t xml:space="preserve"> subsequently showing</w:t>
      </w:r>
      <w:r w:rsidR="00154459">
        <w:t xml:space="preserve"> that objects are inalienable regardless of whether they are singular or mass-produced</w:t>
      </w:r>
      <w:r w:rsidR="0050433F">
        <w:t>.</w:t>
      </w:r>
      <w:r w:rsidR="00404BF0">
        <w:t xml:space="preserve"> in my opinion I believe </w:t>
      </w:r>
      <w:r w:rsidR="0050433F">
        <w:t xml:space="preserve">objects are </w:t>
      </w:r>
      <w:r w:rsidR="00404BF0">
        <w:t xml:space="preserve">inalienability </w:t>
      </w:r>
      <w:r w:rsidR="0050433F">
        <w:t xml:space="preserve">if there is a </w:t>
      </w:r>
      <w:r w:rsidR="00154459">
        <w:t>connection to their owners</w:t>
      </w:r>
      <w:r w:rsidR="00B00803">
        <w:t xml:space="preserve"> whether it is to </w:t>
      </w:r>
      <w:r w:rsidR="0050433F">
        <w:t>do with inheritance or ancestral relations as this gives a valid reason for inalienability</w:t>
      </w:r>
      <w:r w:rsidR="00404BF0">
        <w:t xml:space="preserve">, as they form relationships which prevent them being bought, sold or transferred. </w:t>
      </w:r>
    </w:p>
    <w:p w14:paraId="5544D5DC" w14:textId="3AA31BD2" w:rsidR="00484BB8" w:rsidRDefault="00404BF0" w:rsidP="00010D84">
      <w:r>
        <w:t xml:space="preserve">On top of the previous argument it is worth noting that objects are </w:t>
      </w:r>
      <w:r w:rsidR="00326EAB">
        <w:t xml:space="preserve">considered </w:t>
      </w:r>
      <w:r>
        <w:t xml:space="preserve">inalienable due to their </w:t>
      </w:r>
      <w:r w:rsidR="009F03EA">
        <w:t xml:space="preserve">ritual heritage. Building upon this claim we can see that objects have a higher level of significance when they are part of a group, especially if it </w:t>
      </w:r>
      <w:r w:rsidR="00741CF9">
        <w:t xml:space="preserve">is </w:t>
      </w:r>
      <w:r w:rsidR="009F03EA">
        <w:t xml:space="preserve">there originally group which they have been inherited through. An example of how objects have a higher significance in a group </w:t>
      </w:r>
      <w:r w:rsidR="00741CF9">
        <w:t xml:space="preserve">is that of the Rain Priesthood, </w:t>
      </w:r>
      <w:r w:rsidR="00CD421D">
        <w:t xml:space="preserve">as described by Ruth </w:t>
      </w:r>
      <w:proofErr w:type="spellStart"/>
      <w:r w:rsidR="00CD421D">
        <w:t>Bunzel</w:t>
      </w:r>
      <w:proofErr w:type="spellEnd"/>
      <w:r w:rsidR="00CD421D">
        <w:rPr>
          <w:rStyle w:val="FootnoteReference"/>
        </w:rPr>
        <w:footnoteReference w:id="4"/>
      </w:r>
      <w:r w:rsidR="00854CCA">
        <w:t xml:space="preserve">. Within the Rain Priesthood </w:t>
      </w:r>
      <w:proofErr w:type="gramStart"/>
      <w:r w:rsidR="00326EAB">
        <w:t>particular focus</w:t>
      </w:r>
      <w:proofErr w:type="gramEnd"/>
      <w:r w:rsidR="00326EAB">
        <w:t xml:space="preserve"> is paid</w:t>
      </w:r>
      <w:r w:rsidR="00CD421D">
        <w:t xml:space="preserve"> to certain Kachina Masks which are kept in very sacred storage rooms and each object has particular </w:t>
      </w:r>
      <w:r w:rsidR="00854CCA">
        <w:lastRenderedPageBreak/>
        <w:t>song</w:t>
      </w:r>
      <w:r w:rsidR="00CD421D">
        <w:t xml:space="preserve"> and rituals associated with it making each mask particularly prestigious. All together as a family of masks they have a strong family connection and large impact wi</w:t>
      </w:r>
      <w:r w:rsidR="00741CF9">
        <w:t>thin the society they come from, thus reaffirming their inalienability.</w:t>
      </w:r>
      <w:r w:rsidR="00CD421D">
        <w:t xml:space="preserve"> </w:t>
      </w:r>
      <w:r w:rsidR="00741CF9">
        <w:t>On the other hand</w:t>
      </w:r>
      <w:r w:rsidR="00857567">
        <w:t xml:space="preserve">, sharing objects individually means that </w:t>
      </w:r>
      <w:r w:rsidR="00B30B53">
        <w:t>people</w:t>
      </w:r>
      <w:r w:rsidR="00857567">
        <w:t xml:space="preserve"> have the chance to gain information about other groups within </w:t>
      </w:r>
      <w:r w:rsidR="00B30B53">
        <w:t xml:space="preserve">their overall </w:t>
      </w:r>
      <w:r w:rsidR="00857567">
        <w:t>soci</w:t>
      </w:r>
      <w:r w:rsidR="00741CF9">
        <w:t>ety by learning about and own</w:t>
      </w:r>
      <w:r w:rsidR="00B30B53">
        <w:t>ing</w:t>
      </w:r>
      <w:r w:rsidR="00857567">
        <w:t xml:space="preserve"> items from their cultural ancestors. </w:t>
      </w:r>
      <w:r w:rsidR="002B4DA7">
        <w:t>Objects being shared through</w:t>
      </w:r>
      <w:r w:rsidR="00B30B53">
        <w:t xml:space="preserve"> societies means that people of other </w:t>
      </w:r>
      <w:r w:rsidR="000F7C91">
        <w:t>cultures as well as</w:t>
      </w:r>
      <w:r w:rsidR="002B4DA7">
        <w:t xml:space="preserve"> people of other social classes </w:t>
      </w:r>
      <w:r w:rsidR="000F7C91">
        <w:t xml:space="preserve">can </w:t>
      </w:r>
      <w:r w:rsidR="00B30B53">
        <w:t xml:space="preserve">explore the depths of their heritage. Individually exploiting items </w:t>
      </w:r>
      <w:r w:rsidR="002B4DA7">
        <w:t xml:space="preserve">means that places like museums can gain information on the evolution of cultures and this can be shared with the general populace. </w:t>
      </w:r>
      <w:r w:rsidR="00484BB8">
        <w:t>Objects therefore help bring the past to the present day through there transfer t</w:t>
      </w:r>
      <w:r w:rsidR="000F7C91">
        <w:t>o others this could be done by:</w:t>
      </w:r>
    </w:p>
    <w:p w14:paraId="4CCD3FB9" w14:textId="542B8FAA" w:rsidR="00484BB8" w:rsidRPr="00B33474" w:rsidRDefault="000F7C91" w:rsidP="00156BF0">
      <w:pPr>
        <w:jc w:val="center"/>
        <w:rPr>
          <w:i/>
        </w:rPr>
      </w:pPr>
      <w:r>
        <w:rPr>
          <w:i/>
        </w:rPr>
        <w:t>‘</w:t>
      </w:r>
      <w:r w:rsidR="00484BB8" w:rsidRPr="00B33474">
        <w:rPr>
          <w:i/>
        </w:rPr>
        <w:t>keeping inalienable possessions guarded but still using them to create exchange relationships across clans, institutionalise a leadership position that is ranked over others, and substantively differentiate one leader and clan from others</w:t>
      </w:r>
      <w:r w:rsidR="00484BB8" w:rsidRPr="00B33474">
        <w:rPr>
          <w:rStyle w:val="FootnoteReference"/>
          <w:i/>
        </w:rPr>
        <w:footnoteReference w:id="5"/>
      </w:r>
      <w:r w:rsidR="00484BB8" w:rsidRPr="00B33474">
        <w:rPr>
          <w:i/>
        </w:rPr>
        <w:t>’</w:t>
      </w:r>
    </w:p>
    <w:p w14:paraId="4D57867D" w14:textId="353BCC07" w:rsidR="006F0793" w:rsidRDefault="00484BB8" w:rsidP="00010D84">
      <w:r>
        <w:t>This quote therefore reinforces the fact that not all cultures are the same and history can be learn</w:t>
      </w:r>
      <w:r w:rsidR="006607B5">
        <w:t>t</w:t>
      </w:r>
      <w:r>
        <w:t xml:space="preserve"> through exchanging items and the exchange of items could bring about a level of order to society. </w:t>
      </w:r>
      <w:r w:rsidR="00B30B53">
        <w:t>The</w:t>
      </w:r>
      <w:r w:rsidR="00C443F5">
        <w:t xml:space="preserve"> changing social meaning of objects</w:t>
      </w:r>
      <w:r w:rsidR="00B30B53">
        <w:t xml:space="preserve"> plays a massive part</w:t>
      </w:r>
      <w:r w:rsidR="000F7C91">
        <w:t xml:space="preserve"> in the inalienable factor of the</w:t>
      </w:r>
      <w:r w:rsidR="00B30B53">
        <w:t xml:space="preserve"> object, the changing social meaning focuses </w:t>
      </w:r>
      <w:r w:rsidR="00C443F5">
        <w:t>social settings</w:t>
      </w:r>
      <w:r w:rsidR="000F7C91">
        <w:t>. F</w:t>
      </w:r>
      <w:r w:rsidR="00C443F5">
        <w:t xml:space="preserve">or </w:t>
      </w:r>
      <w:r w:rsidR="000F7C91">
        <w:t>example,</w:t>
      </w:r>
      <w:r w:rsidR="00C443F5">
        <w:t xml:space="preserve"> an object can be deemed to make someone ‘</w:t>
      </w:r>
      <w:r w:rsidR="000F7C91">
        <w:t>rich, powerful and influential</w:t>
      </w:r>
      <w:r w:rsidR="00C443F5">
        <w:rPr>
          <w:rStyle w:val="FootnoteReference"/>
        </w:rPr>
        <w:footnoteReference w:id="6"/>
      </w:r>
      <w:r w:rsidR="000F7C91">
        <w:t xml:space="preserve">’ </w:t>
      </w:r>
      <w:r w:rsidR="00C443F5">
        <w:t>by merely bein</w:t>
      </w:r>
      <w:r w:rsidR="000D0B39">
        <w:t>g alienable</w:t>
      </w:r>
      <w:r w:rsidR="00C443F5">
        <w:t xml:space="preserve"> and subsequently sold and exchanged.</w:t>
      </w:r>
      <w:r w:rsidR="00B33474">
        <w:t xml:space="preserve"> </w:t>
      </w:r>
      <w:r w:rsidR="000D0B39">
        <w:t>To reinforce this claim that inalienability does not hold an authoritative position objects merely ‘create a limited hierarchy, but only with the clan</w:t>
      </w:r>
      <w:r w:rsidR="000D0B39">
        <w:rPr>
          <w:rStyle w:val="FootnoteReference"/>
        </w:rPr>
        <w:footnoteReference w:id="7"/>
      </w:r>
      <w:r w:rsidR="00C443F5">
        <w:t xml:space="preserve"> </w:t>
      </w:r>
      <w:r w:rsidR="00B33474">
        <w:t xml:space="preserve">‘thus showing that if objects are not inalienable they could potentially encourage a system of order amongst a wider audience. </w:t>
      </w:r>
      <w:r w:rsidR="00376F6A">
        <w:t xml:space="preserve"> </w:t>
      </w:r>
      <w:proofErr w:type="gramStart"/>
      <w:r w:rsidR="00376F6A">
        <w:t>Despite the fact that</w:t>
      </w:r>
      <w:proofErr w:type="gramEnd"/>
      <w:r w:rsidR="00376F6A">
        <w:t xml:space="preserve"> individual items can have a wider audience and share their history with more people the significance of inalienable objects is particularly prominent in some hierarchical societies. </w:t>
      </w:r>
      <w:r w:rsidR="00C633F0">
        <w:t>Objects have a clear function in hierarchical societies as the</w:t>
      </w:r>
      <w:r w:rsidR="006607B5">
        <w:t>y</w:t>
      </w:r>
      <w:r w:rsidR="00C633F0">
        <w:t xml:space="preserve"> relate back to rituals and traditions which are embedded within that </w:t>
      </w:r>
      <w:r w:rsidR="00646DA3">
        <w:t>culture</w:t>
      </w:r>
      <w:r w:rsidR="00C633F0">
        <w:t xml:space="preserve">. </w:t>
      </w:r>
      <w:r w:rsidR="00646DA3">
        <w:t>An example of objects holding a level of hierarchal power comes from the Bow Priesthood who advocate that men who own ritual objects have a</w:t>
      </w:r>
      <w:r w:rsidR="00FA7298">
        <w:t xml:space="preserve"> higher level of ritual office</w:t>
      </w:r>
      <w:r w:rsidR="00FA7298">
        <w:rPr>
          <w:rStyle w:val="FootnoteReference"/>
        </w:rPr>
        <w:footnoteReference w:id="8"/>
      </w:r>
      <w:r w:rsidR="00FA7298">
        <w:t xml:space="preserve">. </w:t>
      </w:r>
      <w:r w:rsidR="00B8531A">
        <w:t xml:space="preserve">A similar example can be seen from the Rain Priesthood as it is the eldest female member of the house who </w:t>
      </w:r>
      <w:proofErr w:type="gramStart"/>
      <w:r w:rsidR="00B8531A">
        <w:t>is in charge of</w:t>
      </w:r>
      <w:proofErr w:type="gramEnd"/>
      <w:r w:rsidR="00B8531A">
        <w:t xml:space="preserve"> feeding the mask on a daily basis this </w:t>
      </w:r>
      <w:r w:rsidR="000F7C91">
        <w:t>subsequently</w:t>
      </w:r>
      <w:r w:rsidR="00B8531A">
        <w:t xml:space="preserve"> shows an authoritative position</w:t>
      </w:r>
      <w:r w:rsidR="00FA7298">
        <w:t xml:space="preserve"> amongst the tribe and it all stems from the care of an inalienable object</w:t>
      </w:r>
      <w:r w:rsidR="00B8531A">
        <w:t>. Overall from the evidence seen above we can see that objects are inalienable because they hold an important ritual posi</w:t>
      </w:r>
      <w:r w:rsidR="00973C00">
        <w:t>tion within their own cultures. A</w:t>
      </w:r>
      <w:r w:rsidR="00B8531A">
        <w:t>lthough they can be used in an important way to share history they are more important as a member of their original owners culture as they have a formed relationship with the elders and will form a relationship with those in the future</w:t>
      </w:r>
      <w:r w:rsidR="00286FC7">
        <w:t xml:space="preserve"> ‘indigenous people should be recognize as the primary guardians and interpreters of their cultures, arts and sciences whether created in the past of development in the future</w:t>
      </w:r>
      <w:r w:rsidR="00286FC7">
        <w:rPr>
          <w:rStyle w:val="FootnoteReference"/>
        </w:rPr>
        <w:footnoteReference w:id="9"/>
      </w:r>
      <w:r w:rsidR="00973C00">
        <w:t>; A</w:t>
      </w:r>
      <w:r w:rsidR="006F0793">
        <w:t>n example here would be the attachment Maori Clocks</w:t>
      </w:r>
      <w:r w:rsidR="006F0793">
        <w:rPr>
          <w:rStyle w:val="FootnoteReference"/>
        </w:rPr>
        <w:footnoteReference w:id="10"/>
      </w:r>
      <w:r w:rsidR="006F0793">
        <w:t xml:space="preserve"> have to their original owners</w:t>
      </w:r>
      <w:r w:rsidR="00B8531A">
        <w:t xml:space="preserve">. I believe this to make </w:t>
      </w:r>
      <w:r w:rsidR="00131778">
        <w:t>objects i</w:t>
      </w:r>
      <w:r w:rsidR="00B8531A">
        <w:t xml:space="preserve">nalienable </w:t>
      </w:r>
      <w:r w:rsidR="00B8531A">
        <w:lastRenderedPageBreak/>
        <w:t>because it shows that they have no reason to be sold or bought other than for enquiries into other cultures whi</w:t>
      </w:r>
      <w:r w:rsidR="006F0793">
        <w:t>ch could be done in other ways.</w:t>
      </w:r>
      <w:r w:rsidR="00131778">
        <w:t xml:space="preserve"> Objects are therefore inalienable du</w:t>
      </w:r>
      <w:r w:rsidR="00A26323">
        <w:t xml:space="preserve">e to their ancestral </w:t>
      </w:r>
      <w:r w:rsidR="00131778">
        <w:t xml:space="preserve">relations found through inheritance and even thinking of selling them removes this relationship. </w:t>
      </w:r>
    </w:p>
    <w:p w14:paraId="6D2A5D64" w14:textId="0E5A57C3" w:rsidR="0008456E" w:rsidRDefault="00F040CF" w:rsidP="00010D84">
      <w:r>
        <w:t>Focusing particularly on the in</w:t>
      </w:r>
      <w:r w:rsidR="000B1BEB">
        <w:t>alienability of certain categories</w:t>
      </w:r>
      <w:r>
        <w:t xml:space="preserve"> of objects we shall look at why gifts</w:t>
      </w:r>
      <w:r>
        <w:rPr>
          <w:rStyle w:val="FootnoteReference"/>
        </w:rPr>
        <w:footnoteReference w:id="11"/>
      </w:r>
      <w:r>
        <w:t xml:space="preserve"> are perceived to be inalienable. </w:t>
      </w:r>
      <w:r w:rsidR="00AC26CA">
        <w:t xml:space="preserve">In </w:t>
      </w:r>
      <w:proofErr w:type="spellStart"/>
      <w:r w:rsidR="00AC26CA">
        <w:t>Mauss</w:t>
      </w:r>
      <w:proofErr w:type="spellEnd"/>
      <w:r w:rsidR="00AC26CA">
        <w:t>’ opinion all gifts are perceived as being inalienable meaning they do not have an economic value. Gifts can be perceived as holding no economic value as they are given from one person to another so therefore form a relationship between the giver and the receiver</w:t>
      </w:r>
      <w:r w:rsidR="000B1BEB">
        <w:t>. I</w:t>
      </w:r>
      <w:r w:rsidR="00AC26CA">
        <w:t>t is this relationship that makes the gift significant and putting a price on t</w:t>
      </w:r>
      <w:r w:rsidR="000B1BEB">
        <w:t>his gift or exchanging it</w:t>
      </w:r>
      <w:r w:rsidR="00AC26CA">
        <w:t xml:space="preserve"> </w:t>
      </w:r>
      <w:proofErr w:type="gramStart"/>
      <w:r w:rsidR="00AC26CA">
        <w:t>can be seen as</w:t>
      </w:r>
      <w:proofErr w:type="gramEnd"/>
      <w:r w:rsidR="00AC26CA">
        <w:t xml:space="preserve"> a metaphor</w:t>
      </w:r>
      <w:r w:rsidR="000B1BEB">
        <w:t xml:space="preserve"> for</w:t>
      </w:r>
      <w:r w:rsidR="00AC26CA">
        <w:t xml:space="preserve"> the relationship formed over the gift</w:t>
      </w:r>
      <w:r w:rsidR="000B1BEB">
        <w:t xml:space="preserve">. For </w:t>
      </w:r>
      <w:proofErr w:type="gramStart"/>
      <w:r w:rsidR="000B1BEB">
        <w:t>example</w:t>
      </w:r>
      <w:proofErr w:type="gramEnd"/>
      <w:r w:rsidR="000B1BEB">
        <w:t xml:space="preserve"> </w:t>
      </w:r>
      <w:r w:rsidR="00AC26CA">
        <w:t xml:space="preserve">being given </w:t>
      </w:r>
      <w:r w:rsidR="000B1BEB">
        <w:t xml:space="preserve">a gift then re-selling the it </w:t>
      </w:r>
      <w:r w:rsidR="00AC26CA">
        <w:t xml:space="preserve">could be viewed as putting a price on the relationship between </w:t>
      </w:r>
      <w:r w:rsidR="000B1BEB">
        <w:t xml:space="preserve">the </w:t>
      </w:r>
      <w:r w:rsidR="00AC26CA">
        <w:t xml:space="preserve">giver and receiver. However, </w:t>
      </w:r>
      <w:r w:rsidR="00BF2899">
        <w:t>announcing all gifts as inalienable gives rise to further questions which need answerin</w:t>
      </w:r>
      <w:r w:rsidR="002776E8">
        <w:t>g and pose</w:t>
      </w:r>
      <w:r w:rsidR="000B1BEB">
        <w:t>s</w:t>
      </w:r>
      <w:r w:rsidR="002776E8">
        <w:t xml:space="preserve"> as opposition to their inalienable factor. What makes an object a commodity?</w:t>
      </w:r>
      <w:r w:rsidR="001D38D7">
        <w:t xml:space="preserve"> Can a commodity be a gift? A commodity is a product which is exchanged therefore making commodities alienable objects. Which is different to a gift, a gift is something which is personal which instigates a social relationship between two people, but if a gift changes ownership from the original receiver does this make it a commodity? A commodity could also be mistaken as a gift, in some instances people may feel o</w:t>
      </w:r>
      <w:r w:rsidR="000B1BEB">
        <w:t>bliged to give a gift but if</w:t>
      </w:r>
      <w:r w:rsidR="001D38D7">
        <w:t xml:space="preserve"> there is no social connection this makes the gift a commodity</w:t>
      </w:r>
      <w:r w:rsidR="000B1BEB">
        <w:t>.</w:t>
      </w:r>
      <w:r w:rsidR="001D38D7">
        <w:t xml:space="preserve"> </w:t>
      </w:r>
      <w:r w:rsidR="000B1BEB">
        <w:t>This makes the object</w:t>
      </w:r>
      <w:r w:rsidR="00BC690D">
        <w:t xml:space="preserve"> alienable therefore making it merely an economic relationship</w:t>
      </w:r>
      <w:r w:rsidR="000B1BEB">
        <w:t xml:space="preserve"> rather than a social bond</w:t>
      </w:r>
      <w:r w:rsidR="00BC690D">
        <w:t xml:space="preserve"> meaning that gifts </w:t>
      </w:r>
      <w:r w:rsidR="00B61BF4">
        <w:t>flourish</w:t>
      </w:r>
      <w:r w:rsidR="00BC690D">
        <w:t xml:space="preserve"> within a capitalist society where everything has a market value. However, gifts are inalienable as gifts are not necessarily what first comes into our mind when we think of gifts like toys but can also be donations for example ‘gift of life</w:t>
      </w:r>
      <w:r w:rsidR="00BC690D">
        <w:rPr>
          <w:rStyle w:val="FootnoteReference"/>
        </w:rPr>
        <w:footnoteReference w:id="12"/>
      </w:r>
      <w:r w:rsidR="00BC690D">
        <w:t>’ from the bone marrow charity is a gift being received and an object but is a part of the human body so may not be necessarily considered a gift or an object.</w:t>
      </w:r>
      <w:r w:rsidR="0083754C">
        <w:t xml:space="preserve"> Giving a gift instigates a form of </w:t>
      </w:r>
      <w:r w:rsidR="00B61BF4">
        <w:t xml:space="preserve">obligatory relationship where if someone gives then another gives in return which can as the beginning of a social relationship therefore making the gift giving inalienable as an attachment is made. I personally believe that gifts </w:t>
      </w:r>
      <w:r w:rsidR="000B1BEB">
        <w:t xml:space="preserve">are </w:t>
      </w:r>
      <w:r w:rsidR="00B61BF4">
        <w:t xml:space="preserve">inalienable as they are they are the physical symbol of a relationship between two people and therefore the exchanging of them shows a neglect of the relationship making them inalienable on grounds of emotional attachment. </w:t>
      </w:r>
    </w:p>
    <w:p w14:paraId="2B8E202A" w14:textId="5041C0C3" w:rsidR="006F0793" w:rsidRDefault="00131778" w:rsidP="00010D84">
      <w:r>
        <w:t xml:space="preserve">Even though we have been looking at how objects can be inalienable for the following point we shall look at why some people may </w:t>
      </w:r>
      <w:r w:rsidR="00C12857">
        <w:t xml:space="preserve">view objects as </w:t>
      </w:r>
      <w:r>
        <w:t>alienable</w:t>
      </w:r>
      <w:r w:rsidR="00C12857">
        <w:t xml:space="preserve"> meaning they are ‘able to be transferred to new ownership’</w:t>
      </w:r>
      <w:r w:rsidR="00C12857">
        <w:rPr>
          <w:rStyle w:val="FootnoteReference"/>
        </w:rPr>
        <w:footnoteReference w:id="13"/>
      </w:r>
      <w:r>
        <w:t>. The concept of inalienability itself forces us to c</w:t>
      </w:r>
      <w:r w:rsidR="00653826">
        <w:t>onsider the value of all objects which s</w:t>
      </w:r>
      <w:r w:rsidR="00CB3C94">
        <w:t xml:space="preserve">hould remain out of circulation, however this point itself brings up its own problems. A problem with assessing the </w:t>
      </w:r>
      <w:r w:rsidR="00F00A94">
        <w:t>inalienability of objects brings to fruition the question of what objects are we giving a value too? Does every object need a value or are talking specifically about tribal objects? Does a vase from a five-</w:t>
      </w:r>
      <w:r w:rsidR="009E418B">
        <w:t>hundred-year-old</w:t>
      </w:r>
      <w:r w:rsidR="00F00A94">
        <w:t xml:space="preserve"> tribe fall into the same category as a vase from a factory made five weeks ago when trying to distinguish the value of an object?</w:t>
      </w:r>
      <w:r w:rsidR="00653826">
        <w:t xml:space="preserve"> The idea of inalienability is a b</w:t>
      </w:r>
      <w:r w:rsidR="00241812">
        <w:t>y-product from</w:t>
      </w:r>
      <w:r w:rsidR="00653826">
        <w:t xml:space="preserve"> the creation of money, without money we wouldn’t need to give objects a price tag</w:t>
      </w:r>
      <w:r w:rsidR="009E418B">
        <w:t>, question their value</w:t>
      </w:r>
      <w:r w:rsidR="00653826">
        <w:t xml:space="preserve"> or question their inalienability. Objects are </w:t>
      </w:r>
      <w:r w:rsidR="000F1B7B">
        <w:t>consequently</w:t>
      </w:r>
      <w:r w:rsidR="00653826">
        <w:t xml:space="preserve"> turned i</w:t>
      </w:r>
      <w:r w:rsidR="007C59DC">
        <w:t xml:space="preserve">nto material objects which means they are alienable and </w:t>
      </w:r>
      <w:proofErr w:type="gramStart"/>
      <w:r w:rsidR="007C59DC">
        <w:t>have the ability to</w:t>
      </w:r>
      <w:proofErr w:type="gramEnd"/>
      <w:r w:rsidR="007C59DC">
        <w:t xml:space="preserve"> be bought or sold. </w:t>
      </w:r>
      <w:r w:rsidR="00D12F80">
        <w:t>Objects subsequently are then viewed as an economic resource which makes them a basis for power rather than a ‘</w:t>
      </w:r>
      <w:r w:rsidR="000F1B7B">
        <w:t>affirmation of social relations</w:t>
      </w:r>
      <w:r w:rsidR="00D12F80">
        <w:rPr>
          <w:rStyle w:val="FootnoteReference"/>
        </w:rPr>
        <w:footnoteReference w:id="14"/>
      </w:r>
      <w:r w:rsidR="000F1B7B">
        <w:t>’</w:t>
      </w:r>
      <w:r w:rsidR="00165624">
        <w:t xml:space="preserve"> alienable objects </w:t>
      </w:r>
      <w:proofErr w:type="gramStart"/>
      <w:r w:rsidR="00165624">
        <w:t>are seen as</w:t>
      </w:r>
      <w:proofErr w:type="gramEnd"/>
      <w:r w:rsidR="00165624">
        <w:t xml:space="preserve"> a prestigious </w:t>
      </w:r>
      <w:r w:rsidR="00AF7986">
        <w:lastRenderedPageBreak/>
        <w:t>good</w:t>
      </w:r>
      <w:r w:rsidR="000F1B7B">
        <w:t>s</w:t>
      </w:r>
      <w:r w:rsidR="00AF7986">
        <w:t xml:space="preserve"> in o</w:t>
      </w:r>
      <w:r w:rsidR="000F1B7B">
        <w:t>rganised societies, this relates</w:t>
      </w:r>
      <w:r w:rsidR="00AF7986">
        <w:t xml:space="preserve"> to the transformation of an ‘object into a subject</w:t>
      </w:r>
      <w:r w:rsidR="00AF7986">
        <w:rPr>
          <w:rStyle w:val="FootnoteReference"/>
        </w:rPr>
        <w:footnoteReference w:id="15"/>
      </w:r>
      <w:r w:rsidR="00AF7986">
        <w:t xml:space="preserve">’ the subject of sales rather than an inalienable object. </w:t>
      </w:r>
      <w:r w:rsidR="00F75B15">
        <w:t xml:space="preserve"> Th</w:t>
      </w:r>
      <w:r w:rsidR="00AC0372">
        <w:t>e ability to buy and sell objects</w:t>
      </w:r>
      <w:r w:rsidR="00F75B15">
        <w:t xml:space="preserve"> shows a degree of wealth which</w:t>
      </w:r>
      <w:r w:rsidR="00FA02AC">
        <w:t xml:space="preserve"> results in the belief that</w:t>
      </w:r>
      <w:r w:rsidR="00F75B15">
        <w:t xml:space="preserve"> </w:t>
      </w:r>
      <w:r w:rsidR="009F5829">
        <w:t>owning certain objects can be a prestigious thing and can be a powerful way of identifying with other social groups</w:t>
      </w:r>
      <w:r w:rsidR="00AF7986">
        <w:rPr>
          <w:rStyle w:val="FootnoteReference"/>
        </w:rPr>
        <w:footnoteReference w:id="16"/>
      </w:r>
      <w:r w:rsidR="00FA02AC">
        <w:t xml:space="preserve">. </w:t>
      </w:r>
      <w:proofErr w:type="gramStart"/>
      <w:r w:rsidR="00FA02AC">
        <w:t>Subsequently</w:t>
      </w:r>
      <w:r w:rsidR="00AF7986">
        <w:t xml:space="preserve">  </w:t>
      </w:r>
      <w:r w:rsidR="00FA02AC">
        <w:t>‘</w:t>
      </w:r>
      <w:proofErr w:type="gramEnd"/>
      <w:r w:rsidR="00AF7986">
        <w:t>relationship</w:t>
      </w:r>
      <w:r w:rsidR="00FA02AC">
        <w:t>s</w:t>
      </w:r>
      <w:r w:rsidR="00AF7986">
        <w:t xml:space="preserve"> between persons and things it is associated historically with the rise of capitalism in the West and its dependence on private property as individual possessions</w:t>
      </w:r>
      <w:r w:rsidR="00AF7986">
        <w:rPr>
          <w:rStyle w:val="FootnoteReference"/>
        </w:rPr>
        <w:footnoteReference w:id="17"/>
      </w:r>
      <w:r w:rsidR="00AF7986">
        <w:t>’</w:t>
      </w:r>
      <w:r w:rsidR="009F5829">
        <w:t xml:space="preserve">. </w:t>
      </w:r>
      <w:r w:rsidR="00AF7986">
        <w:t xml:space="preserve">However, the original owners of these objects were also very organised societies </w:t>
      </w:r>
      <w:r w:rsidR="00286FC7">
        <w:t>and there will always be a link to the original ancestors no matter if people view the object its</w:t>
      </w:r>
      <w:r w:rsidR="00FA02AC">
        <w:t xml:space="preserve">elf as alienable or inalienable. In the </w:t>
      </w:r>
      <w:proofErr w:type="gramStart"/>
      <w:r w:rsidR="00FA02AC">
        <w:t>meantime</w:t>
      </w:r>
      <w:proofErr w:type="gramEnd"/>
      <w:r w:rsidR="00286FC7">
        <w:t xml:space="preserve"> </w:t>
      </w:r>
      <w:r w:rsidR="00E30706">
        <w:t xml:space="preserve">it was the money that was created as a </w:t>
      </w:r>
      <w:r w:rsidR="000E3166">
        <w:t>by-product</w:t>
      </w:r>
      <w:r w:rsidR="00E30706">
        <w:t xml:space="preserve"> to inalienable objects to give t</w:t>
      </w:r>
      <w:r w:rsidR="00F339B8">
        <w:t>hem value and a material status ‘production becomes a performance through which persons and objects create and define each other</w:t>
      </w:r>
      <w:r w:rsidR="00F339B8">
        <w:rPr>
          <w:rStyle w:val="FootnoteReference"/>
        </w:rPr>
        <w:footnoteReference w:id="18"/>
      </w:r>
      <w:r w:rsidR="00F339B8">
        <w:t xml:space="preserve">’ this shows that the material status of objects defines us and gives us certain social characteristics whereas inalienable objects </w:t>
      </w:r>
      <w:r w:rsidR="00C129D4">
        <w:t>help by acting as a form of ‘protection against debasement of culturally significant items</w:t>
      </w:r>
      <w:r w:rsidR="00C129D4">
        <w:rPr>
          <w:rStyle w:val="FootnoteReference"/>
        </w:rPr>
        <w:footnoteReference w:id="19"/>
      </w:r>
      <w:r w:rsidR="00C129D4">
        <w:t xml:space="preserve">’. </w:t>
      </w:r>
    </w:p>
    <w:p w14:paraId="6269100B" w14:textId="37C82E81" w:rsidR="001D77EE" w:rsidRDefault="0009311E" w:rsidP="00010D84">
      <w:r>
        <w:t xml:space="preserve">To conclude we can see that </w:t>
      </w:r>
      <w:r w:rsidR="009263D8">
        <w:t xml:space="preserve">from the evidence above that objects are to an extent inalienable, although there are strong arguments which try to persuade us they are not inalienable. </w:t>
      </w:r>
      <w:r w:rsidR="00670991">
        <w:t>The arguments on the side representing why</w:t>
      </w:r>
      <w:r w:rsidR="00EC030C">
        <w:t xml:space="preserve"> objects</w:t>
      </w:r>
      <w:r w:rsidR="00670991">
        <w:t xml:space="preserve"> </w:t>
      </w:r>
      <w:proofErr w:type="gramStart"/>
      <w:r w:rsidR="00670991">
        <w:t>are</w:t>
      </w:r>
      <w:r w:rsidR="009263D8">
        <w:t xml:space="preserve"> seen as</w:t>
      </w:r>
      <w:proofErr w:type="gramEnd"/>
      <w:r w:rsidR="009263D8">
        <w:t xml:space="preserve"> inalienable</w:t>
      </w:r>
      <w:r w:rsidR="00670991">
        <w:t xml:space="preserve"> </w:t>
      </w:r>
      <w:r w:rsidR="00B20EF8">
        <w:t>are because</w:t>
      </w:r>
      <w:r w:rsidR="009263D8">
        <w:t xml:space="preserve"> they are </w:t>
      </w:r>
      <w:r w:rsidR="00670991">
        <w:t xml:space="preserve">singularities, very important pieces of ritual heritage and given a price tag as they are by-products of the creation of money. On the other side of the argument </w:t>
      </w:r>
      <w:r w:rsidR="0008456E">
        <w:t>w</w:t>
      </w:r>
      <w:r w:rsidR="00B20EF8">
        <w:t xml:space="preserve">e discussed how objects are seen as alienable because not all singularities are inalienable, if we don’t share objects then how can history be shared and in the modern day all objects and products have an economic </w:t>
      </w:r>
      <w:proofErr w:type="gramStart"/>
      <w:r w:rsidR="00B20EF8">
        <w:t>value</w:t>
      </w:r>
      <w:proofErr w:type="gramEnd"/>
      <w:r w:rsidR="00B20EF8">
        <w:t xml:space="preserve"> so we can’t really get around having inalienable objects. </w:t>
      </w:r>
      <w:r w:rsidR="0008456E">
        <w:t>Overall,</w:t>
      </w:r>
      <w:r w:rsidR="00D06FAF">
        <w:t xml:space="preserve"> I personally believe that objects are theoretica</w:t>
      </w:r>
      <w:r w:rsidR="0008456E">
        <w:t>lly inalienable but in practice in</w:t>
      </w:r>
      <w:r w:rsidR="00D06FAF">
        <w:t xml:space="preserve"> real life they are alienable as they have </w:t>
      </w:r>
      <w:r w:rsidR="00E10457">
        <w:t>unfortunately been dragged into the economic world and therefore are the victim of those who desire material possessions for the she</w:t>
      </w:r>
      <w:r w:rsidR="0008456E">
        <w:t xml:space="preserve">er fact they can have them. Nevertheless, </w:t>
      </w:r>
      <w:r w:rsidR="00E10457">
        <w:t xml:space="preserve">whatever happens to these objects in some way shape or form they have an inherent attachment to their original owners thus making them </w:t>
      </w:r>
      <w:r w:rsidR="0008456E">
        <w:t>to an extent inalienable, but not totally inalienable objects.</w:t>
      </w:r>
    </w:p>
    <w:p w14:paraId="15ACDF29" w14:textId="23F9E8A2" w:rsidR="00010D84" w:rsidRDefault="00010D84" w:rsidP="00010D84"/>
    <w:p w14:paraId="455E664B" w14:textId="5187241C" w:rsidR="00010D84" w:rsidRDefault="00010D84" w:rsidP="00010D84"/>
    <w:p w14:paraId="48813058" w14:textId="1F288892" w:rsidR="00010D84" w:rsidRDefault="00010D84" w:rsidP="00010D84"/>
    <w:p w14:paraId="710C1264" w14:textId="772A7FDC" w:rsidR="00010D84" w:rsidRDefault="00010D84" w:rsidP="00010D84"/>
    <w:p w14:paraId="34780CBD" w14:textId="7C8D8533" w:rsidR="00010D84" w:rsidRDefault="00010D84" w:rsidP="00010D84"/>
    <w:p w14:paraId="5C3BEDDC" w14:textId="02210657" w:rsidR="00010D84" w:rsidRDefault="00010D84" w:rsidP="00010D84"/>
    <w:p w14:paraId="47FCDCEB" w14:textId="4AB40EBF" w:rsidR="00010D84" w:rsidRDefault="00010D84" w:rsidP="00010D84"/>
    <w:p w14:paraId="78A68B07" w14:textId="28307CFC" w:rsidR="00010D84" w:rsidRDefault="00010D84" w:rsidP="00010D84"/>
    <w:p w14:paraId="6737A9AF" w14:textId="5D758C1E" w:rsidR="00010D84" w:rsidRDefault="00010D84" w:rsidP="00010D84"/>
    <w:p w14:paraId="0A4FCB01" w14:textId="4F814E6A" w:rsidR="00010D84" w:rsidRDefault="00010D84" w:rsidP="00010D84">
      <w:pPr>
        <w:jc w:val="center"/>
        <w:rPr>
          <w:b/>
          <w:sz w:val="28"/>
          <w:u w:val="single"/>
        </w:rPr>
      </w:pPr>
      <w:bookmarkStart w:id="0" w:name="_GoBack"/>
      <w:bookmarkEnd w:id="0"/>
      <w:r w:rsidRPr="00010D84">
        <w:rPr>
          <w:b/>
          <w:sz w:val="28"/>
          <w:u w:val="single"/>
        </w:rPr>
        <w:lastRenderedPageBreak/>
        <w:t>BIBLIOGRAPHY</w:t>
      </w:r>
    </w:p>
    <w:p w14:paraId="2EAA1B1D" w14:textId="77777777" w:rsidR="00156BF0" w:rsidRDefault="00156BF0" w:rsidP="00010D84">
      <w:pPr>
        <w:jc w:val="center"/>
        <w:rPr>
          <w:b/>
          <w:sz w:val="28"/>
          <w:u w:val="single"/>
        </w:rPr>
      </w:pPr>
    </w:p>
    <w:p w14:paraId="26209678" w14:textId="4B393C21" w:rsidR="00156BF0" w:rsidRPr="00156BF0" w:rsidRDefault="00156BF0" w:rsidP="00156BF0">
      <w:pPr>
        <w:pStyle w:val="ListParagraph"/>
        <w:numPr>
          <w:ilvl w:val="0"/>
          <w:numId w:val="1"/>
        </w:numPr>
        <w:rPr>
          <w:sz w:val="28"/>
        </w:rPr>
      </w:pPr>
      <w:hyperlink r:id="rId8" w:history="1">
        <w:r w:rsidRPr="00156BF0">
          <w:rPr>
            <w:rStyle w:val="Hyperlink"/>
            <w:color w:val="auto"/>
            <w:u w:val="none"/>
          </w:rPr>
          <w:t>http://www.academia.edu/10015191/The_Establishment_and_Defeat_of_Hierarchy_Inalienable_Possessions_and_the_History_of_Collective_Prestige_Structures_in_the_Puebloan_Southwest</w:t>
        </w:r>
      </w:hyperlink>
    </w:p>
    <w:p w14:paraId="518E74CB" w14:textId="1F5A223F" w:rsidR="00156BF0" w:rsidRPr="00156BF0" w:rsidRDefault="00156BF0" w:rsidP="00156BF0">
      <w:pPr>
        <w:pStyle w:val="ListParagraph"/>
        <w:numPr>
          <w:ilvl w:val="0"/>
          <w:numId w:val="1"/>
        </w:numPr>
        <w:rPr>
          <w:sz w:val="28"/>
        </w:rPr>
      </w:pPr>
      <w:proofErr w:type="spellStart"/>
      <w:r w:rsidRPr="00156BF0">
        <w:t>Buchli</w:t>
      </w:r>
      <w:proofErr w:type="spellEnd"/>
      <w:r w:rsidRPr="00156BF0">
        <w:t>, Victor, The Material Culture Reader, Oxford</w:t>
      </w:r>
    </w:p>
    <w:p w14:paraId="5952AB6B" w14:textId="78AD2328" w:rsidR="00010D84" w:rsidRPr="00156BF0" w:rsidRDefault="00156BF0" w:rsidP="00156BF0">
      <w:pPr>
        <w:pStyle w:val="ListParagraph"/>
        <w:numPr>
          <w:ilvl w:val="0"/>
          <w:numId w:val="1"/>
        </w:numPr>
        <w:rPr>
          <w:rStyle w:val="Hyperlink"/>
          <w:color w:val="auto"/>
          <w:sz w:val="28"/>
          <w:u w:val="none"/>
        </w:rPr>
      </w:pPr>
      <w:r w:rsidRPr="00156BF0">
        <w:rPr>
          <w:rStyle w:val="FootnoteReference"/>
        </w:rPr>
        <w:footnoteRef/>
      </w:r>
      <w:r w:rsidRPr="00156BF0">
        <w:t xml:space="preserve"> </w:t>
      </w:r>
      <w:hyperlink r:id="rId9" w:history="1">
        <w:r w:rsidRPr="00156BF0">
          <w:rPr>
            <w:rStyle w:val="Hyperlink"/>
            <w:color w:val="auto"/>
            <w:u w:val="none"/>
          </w:rPr>
          <w:t>http://www.thefreedictionary.com/inalienability</w:t>
        </w:r>
      </w:hyperlink>
    </w:p>
    <w:p w14:paraId="252A9B5C" w14:textId="6E96EC90" w:rsidR="00156BF0" w:rsidRPr="00156BF0" w:rsidRDefault="00156BF0" w:rsidP="00156BF0">
      <w:pPr>
        <w:pStyle w:val="ListParagraph"/>
        <w:numPr>
          <w:ilvl w:val="0"/>
          <w:numId w:val="1"/>
        </w:numPr>
        <w:rPr>
          <w:rStyle w:val="Hyperlink"/>
          <w:color w:val="auto"/>
          <w:sz w:val="28"/>
          <w:u w:val="none"/>
        </w:rPr>
      </w:pPr>
      <w:r w:rsidRPr="00156BF0">
        <w:t>http://giftoflife.eu/</w:t>
      </w:r>
    </w:p>
    <w:p w14:paraId="1763DE25" w14:textId="6D4DE78A" w:rsidR="00156BF0" w:rsidRPr="00156BF0" w:rsidRDefault="00156BF0" w:rsidP="00156BF0">
      <w:pPr>
        <w:pStyle w:val="ListParagraph"/>
        <w:numPr>
          <w:ilvl w:val="0"/>
          <w:numId w:val="1"/>
        </w:numPr>
        <w:rPr>
          <w:rStyle w:val="Hyperlink"/>
          <w:color w:val="auto"/>
          <w:sz w:val="28"/>
          <w:u w:val="none"/>
        </w:rPr>
      </w:pPr>
      <w:r w:rsidRPr="00156BF0">
        <w:rPr>
          <w:rStyle w:val="FootnoteReference"/>
        </w:rPr>
        <w:footnoteRef/>
      </w:r>
      <w:r w:rsidRPr="00156BF0">
        <w:t xml:space="preserve">http://www.jstor.org.ezproxy.uwtsd.ac.uk/stable/644217 Weiner, </w:t>
      </w:r>
      <w:proofErr w:type="spellStart"/>
      <w:r w:rsidRPr="00156BF0">
        <w:t>Annette.B</w:t>
      </w:r>
      <w:proofErr w:type="spellEnd"/>
      <w:r w:rsidRPr="00156BF0">
        <w:t>, Inalienable Wealth, New York University,</w:t>
      </w:r>
    </w:p>
    <w:p w14:paraId="3BB5F049" w14:textId="3EBAAA05" w:rsidR="00156BF0" w:rsidRPr="00156BF0" w:rsidRDefault="00156BF0" w:rsidP="00156BF0">
      <w:pPr>
        <w:pStyle w:val="ListParagraph"/>
        <w:numPr>
          <w:ilvl w:val="0"/>
          <w:numId w:val="1"/>
        </w:numPr>
        <w:rPr>
          <w:sz w:val="28"/>
        </w:rPr>
      </w:pPr>
      <w:hyperlink r:id="rId10" w:history="1">
        <w:r w:rsidRPr="00156BF0">
          <w:rPr>
            <w:rStyle w:val="Hyperlink"/>
            <w:color w:val="auto"/>
            <w:u w:val="none"/>
          </w:rPr>
          <w:t>https://www.mapsofworld.com/nigeria/culture/clothing.html</w:t>
        </w:r>
      </w:hyperlink>
      <w:r w:rsidRPr="00156BF0">
        <w:rPr>
          <w:rStyle w:val="FootnoteReference"/>
        </w:rPr>
        <w:footnoteRef/>
      </w:r>
      <w:r w:rsidRPr="00156BF0">
        <w:t xml:space="preserve"> </w:t>
      </w:r>
    </w:p>
    <w:p w14:paraId="65DAC0B4" w14:textId="1A19622E" w:rsidR="00156BF0" w:rsidRPr="00156BF0" w:rsidRDefault="00156BF0" w:rsidP="00156BF0">
      <w:pPr>
        <w:pStyle w:val="ListParagraph"/>
        <w:numPr>
          <w:ilvl w:val="0"/>
          <w:numId w:val="1"/>
        </w:numPr>
        <w:rPr>
          <w:rStyle w:val="Hyperlink"/>
          <w:color w:val="auto"/>
          <w:sz w:val="28"/>
          <w:u w:val="none"/>
        </w:rPr>
      </w:pPr>
      <w:hyperlink r:id="rId11" w:history="1">
        <w:r w:rsidRPr="00156BF0">
          <w:rPr>
            <w:rStyle w:val="Hyperlink"/>
            <w:color w:val="auto"/>
            <w:u w:val="none"/>
          </w:rPr>
          <w:t>http://moodle.uwtsd.ac.uk/pluginfile.php/75875/mod_resource/content/1/mauss%20gift.pdf</w:t>
        </w:r>
      </w:hyperlink>
    </w:p>
    <w:p w14:paraId="5AD82DEA" w14:textId="3266547B" w:rsidR="00156BF0" w:rsidRPr="00156BF0" w:rsidRDefault="00156BF0" w:rsidP="00156BF0">
      <w:pPr>
        <w:pStyle w:val="ListParagraph"/>
        <w:numPr>
          <w:ilvl w:val="0"/>
          <w:numId w:val="1"/>
        </w:numPr>
        <w:rPr>
          <w:sz w:val="28"/>
        </w:rPr>
      </w:pPr>
      <w:hyperlink r:id="rId12" w:history="1">
        <w:r w:rsidRPr="00156BF0">
          <w:rPr>
            <w:rStyle w:val="Hyperlink"/>
            <w:color w:val="auto"/>
            <w:u w:val="none"/>
          </w:rPr>
          <w:t>https://en.oxforddictionaries.com/definition/alienable</w:t>
        </w:r>
      </w:hyperlink>
    </w:p>
    <w:p w14:paraId="3661E5F6" w14:textId="43397A50" w:rsidR="00156BF0" w:rsidRPr="00156BF0" w:rsidRDefault="00156BF0" w:rsidP="00156BF0">
      <w:pPr>
        <w:pStyle w:val="ListParagraph"/>
        <w:numPr>
          <w:ilvl w:val="0"/>
          <w:numId w:val="1"/>
        </w:numPr>
        <w:rPr>
          <w:rStyle w:val="Hyperlink"/>
          <w:color w:val="auto"/>
          <w:sz w:val="28"/>
          <w:u w:val="none"/>
        </w:rPr>
      </w:pPr>
      <w:r w:rsidRPr="00156BF0">
        <w:t>Weiner, Annette B. Inalienable Possessions, The Paradox of Keeping-While-Giving, University of California Press, Oxford</w:t>
      </w:r>
    </w:p>
    <w:p w14:paraId="0685424C" w14:textId="77777777" w:rsidR="00156BF0" w:rsidRPr="00156BF0" w:rsidRDefault="00156BF0" w:rsidP="00156BF0">
      <w:pPr>
        <w:ind w:left="360"/>
        <w:rPr>
          <w:b/>
          <w:sz w:val="28"/>
          <w:u w:val="single"/>
        </w:rPr>
      </w:pPr>
    </w:p>
    <w:sectPr w:rsidR="00156BF0" w:rsidRPr="00156BF0">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6775FF9" w14:textId="77777777" w:rsidR="00881FE1" w:rsidRDefault="00881FE1" w:rsidP="00454E5C">
      <w:pPr>
        <w:spacing w:after="0" w:line="240" w:lineRule="auto"/>
      </w:pPr>
      <w:r>
        <w:separator/>
      </w:r>
    </w:p>
  </w:endnote>
  <w:endnote w:type="continuationSeparator" w:id="0">
    <w:p w14:paraId="559DA071" w14:textId="77777777" w:rsidR="00881FE1" w:rsidRDefault="00881FE1" w:rsidP="00454E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5B716EF" w14:textId="77777777" w:rsidR="00881FE1" w:rsidRDefault="00881FE1" w:rsidP="00454E5C">
      <w:pPr>
        <w:spacing w:after="0" w:line="240" w:lineRule="auto"/>
      </w:pPr>
      <w:r>
        <w:separator/>
      </w:r>
    </w:p>
  </w:footnote>
  <w:footnote w:type="continuationSeparator" w:id="0">
    <w:p w14:paraId="76A9B7F4" w14:textId="77777777" w:rsidR="00881FE1" w:rsidRDefault="00881FE1" w:rsidP="00454E5C">
      <w:pPr>
        <w:spacing w:after="0" w:line="240" w:lineRule="auto"/>
      </w:pPr>
      <w:r>
        <w:continuationSeparator/>
      </w:r>
    </w:p>
  </w:footnote>
  <w:footnote w:id="1">
    <w:p w14:paraId="17CE3967" w14:textId="77777777" w:rsidR="005B0922" w:rsidRDefault="005B0922">
      <w:pPr>
        <w:pStyle w:val="FootnoteText"/>
      </w:pPr>
      <w:r>
        <w:rPr>
          <w:rStyle w:val="FootnoteReference"/>
        </w:rPr>
        <w:footnoteRef/>
      </w:r>
      <w:r>
        <w:t xml:space="preserve"> </w:t>
      </w:r>
      <w:hyperlink r:id="rId1" w:history="1">
        <w:r w:rsidRPr="00D23DFC">
          <w:rPr>
            <w:rStyle w:val="Hyperlink"/>
          </w:rPr>
          <w:t>http://www.thefreedictionary.com/inalienability</w:t>
        </w:r>
      </w:hyperlink>
      <w:r>
        <w:t xml:space="preserve"> viewed 16/11/2017</w:t>
      </w:r>
    </w:p>
  </w:footnote>
  <w:footnote w:id="2">
    <w:p w14:paraId="5A166AED" w14:textId="7752AA84" w:rsidR="00EF0BE9" w:rsidRDefault="00EF0BE9">
      <w:pPr>
        <w:pStyle w:val="FootnoteText"/>
      </w:pPr>
      <w:r>
        <w:rPr>
          <w:rStyle w:val="FootnoteReference"/>
        </w:rPr>
        <w:footnoteRef/>
      </w:r>
      <w:r>
        <w:t xml:space="preserve"> </w:t>
      </w:r>
      <w:proofErr w:type="spellStart"/>
      <w:r>
        <w:t>Buchli</w:t>
      </w:r>
      <w:proofErr w:type="spellEnd"/>
      <w:r>
        <w:t xml:space="preserve">, Victor, The Material Culture Reader, Oxford, 2002, p.45 </w:t>
      </w:r>
    </w:p>
  </w:footnote>
  <w:footnote w:id="3">
    <w:p w14:paraId="279F1AAC" w14:textId="5195B9B3" w:rsidR="00BE5B7B" w:rsidRDefault="00BE5B7B">
      <w:pPr>
        <w:pStyle w:val="FootnoteText"/>
      </w:pPr>
      <w:r>
        <w:rPr>
          <w:rStyle w:val="FootnoteReference"/>
        </w:rPr>
        <w:footnoteRef/>
      </w:r>
      <w:r>
        <w:t xml:space="preserve"> </w:t>
      </w:r>
      <w:hyperlink r:id="rId2" w:history="1">
        <w:r w:rsidRPr="00CD5AA0">
          <w:rPr>
            <w:rStyle w:val="Hyperlink"/>
          </w:rPr>
          <w:t>https://www.mapsofworld.com/nigeria/culture/clothing.html</w:t>
        </w:r>
      </w:hyperlink>
      <w:r>
        <w:t xml:space="preserve"> viewed 23/11/1017</w:t>
      </w:r>
    </w:p>
  </w:footnote>
  <w:footnote w:id="4">
    <w:p w14:paraId="544BE450" w14:textId="7AD874FD" w:rsidR="00CD421D" w:rsidRDefault="00CD421D">
      <w:pPr>
        <w:pStyle w:val="FootnoteText"/>
      </w:pPr>
      <w:r>
        <w:rPr>
          <w:rStyle w:val="FootnoteReference"/>
        </w:rPr>
        <w:footnoteRef/>
      </w:r>
      <w:r>
        <w:t xml:space="preserve"> </w:t>
      </w:r>
      <w:hyperlink r:id="rId3" w:history="1">
        <w:r w:rsidRPr="00CD5AA0">
          <w:rPr>
            <w:rStyle w:val="Hyperlink"/>
          </w:rPr>
          <w:t>http://www.academia.edu/10015191/The_Establishment_and_Defeat_of_Hierarchy_Inalienable_Possessions_and_the_History_of_Collective_Prestige_Structures_in_the_Puebloan_Southwest</w:t>
        </w:r>
      </w:hyperlink>
      <w:r>
        <w:t xml:space="preserve"> p.241</w:t>
      </w:r>
    </w:p>
  </w:footnote>
  <w:footnote w:id="5">
    <w:p w14:paraId="557DEE10" w14:textId="77777777" w:rsidR="00484BB8" w:rsidRDefault="00484BB8" w:rsidP="00484BB8">
      <w:pPr>
        <w:pStyle w:val="FootnoteText"/>
      </w:pPr>
      <w:r>
        <w:rPr>
          <w:rStyle w:val="FootnoteReference"/>
        </w:rPr>
        <w:footnoteRef/>
      </w:r>
      <w:r>
        <w:t xml:space="preserve"> Weiner, Annette B. Inalienable Possessions, The Paradox of Keeping-While-Giving, University of California Press, Oxford, 1992, p130</w:t>
      </w:r>
    </w:p>
  </w:footnote>
  <w:footnote w:id="6">
    <w:p w14:paraId="78DD0F48" w14:textId="7F8B0425" w:rsidR="00C443F5" w:rsidRDefault="00C443F5">
      <w:pPr>
        <w:pStyle w:val="FootnoteText"/>
      </w:pPr>
      <w:r>
        <w:rPr>
          <w:rStyle w:val="FootnoteReference"/>
        </w:rPr>
        <w:footnoteRef/>
      </w:r>
      <w:r>
        <w:t xml:space="preserve"> </w:t>
      </w:r>
      <w:hyperlink r:id="rId4" w:history="1">
        <w:r w:rsidRPr="00CD5AA0">
          <w:rPr>
            <w:rStyle w:val="Hyperlink"/>
          </w:rPr>
          <w:t>http://moodle.uwtsd.ac.uk/pluginfile.php/75875/mod_resource/content/1/mauss%20gift.pdf</w:t>
        </w:r>
      </w:hyperlink>
      <w:r>
        <w:t xml:space="preserve">  p.13 viewed 23/11/2017</w:t>
      </w:r>
    </w:p>
  </w:footnote>
  <w:footnote w:id="7">
    <w:p w14:paraId="19491F47" w14:textId="355E919B" w:rsidR="000D0B39" w:rsidRDefault="000D0B39">
      <w:pPr>
        <w:pStyle w:val="FootnoteText"/>
      </w:pPr>
      <w:r>
        <w:rPr>
          <w:rStyle w:val="FootnoteReference"/>
        </w:rPr>
        <w:footnoteRef/>
      </w:r>
      <w:r>
        <w:t xml:space="preserve"> Weiner, Annette B. Inalienable Possessions, The Paradox of Keeping-While-Giving, University of California Press, Oxford, 1992, p130</w:t>
      </w:r>
    </w:p>
  </w:footnote>
  <w:footnote w:id="8">
    <w:p w14:paraId="27532D8B" w14:textId="6BF45102" w:rsidR="00FA7298" w:rsidRDefault="00FA7298">
      <w:pPr>
        <w:pStyle w:val="FootnoteText"/>
      </w:pPr>
      <w:r>
        <w:rPr>
          <w:rStyle w:val="FootnoteReference"/>
        </w:rPr>
        <w:footnoteRef/>
      </w:r>
      <w:r>
        <w:t xml:space="preserve"> </w:t>
      </w:r>
      <w:hyperlink r:id="rId5" w:history="1">
        <w:r w:rsidRPr="00BF4224">
          <w:rPr>
            <w:rStyle w:val="Hyperlink"/>
          </w:rPr>
          <w:t>http://moodle.uwtsd.ac.uk/course/view.php?id=1632</w:t>
        </w:r>
      </w:hyperlink>
      <w:r>
        <w:t>, Abbots, Emma-Jayne, Material Worlds, Approaches to Economic Anthropology, Presentation 1</w:t>
      </w:r>
    </w:p>
  </w:footnote>
  <w:footnote w:id="9">
    <w:p w14:paraId="3D754FB7" w14:textId="67339314" w:rsidR="00286FC7" w:rsidRDefault="00286FC7">
      <w:pPr>
        <w:pStyle w:val="FootnoteText"/>
      </w:pPr>
      <w:r>
        <w:rPr>
          <w:rStyle w:val="FootnoteReference"/>
        </w:rPr>
        <w:footnoteRef/>
      </w:r>
      <w:r>
        <w:t xml:space="preserve"> </w:t>
      </w:r>
      <w:proofErr w:type="spellStart"/>
      <w:r>
        <w:t>Buchli</w:t>
      </w:r>
      <w:proofErr w:type="spellEnd"/>
      <w:r>
        <w:t>, Victor, The Material Culture Reader, Oxford, 2002, p.128</w:t>
      </w:r>
    </w:p>
  </w:footnote>
  <w:footnote w:id="10">
    <w:p w14:paraId="584F0550" w14:textId="0C9BE8BE" w:rsidR="006F0793" w:rsidRDefault="006F0793">
      <w:pPr>
        <w:pStyle w:val="FootnoteText"/>
      </w:pPr>
      <w:r>
        <w:rPr>
          <w:rStyle w:val="FootnoteReference"/>
        </w:rPr>
        <w:footnoteRef/>
      </w:r>
      <w:r w:rsidRPr="006F0793">
        <w:t>http://www.jstor.org.ezproxy.uwtsd.ac.uk/stable/644217</w:t>
      </w:r>
      <w:r>
        <w:t xml:space="preserve"> Weiner, </w:t>
      </w:r>
      <w:proofErr w:type="spellStart"/>
      <w:r>
        <w:t>Annette.B</w:t>
      </w:r>
      <w:proofErr w:type="spellEnd"/>
      <w:r>
        <w:t>, Inalienable Wealth, New York University, p.211 viewed 23/11/2017</w:t>
      </w:r>
    </w:p>
  </w:footnote>
  <w:footnote w:id="11">
    <w:p w14:paraId="3EA50B90" w14:textId="2A6AB5E3" w:rsidR="00F040CF" w:rsidRDefault="00F040CF">
      <w:pPr>
        <w:pStyle w:val="FootnoteText"/>
      </w:pPr>
      <w:r>
        <w:rPr>
          <w:rStyle w:val="FootnoteReference"/>
        </w:rPr>
        <w:footnoteRef/>
      </w:r>
      <w:r>
        <w:t xml:space="preserve"> </w:t>
      </w:r>
      <w:hyperlink r:id="rId6" w:history="1">
        <w:r w:rsidRPr="00BF4224">
          <w:rPr>
            <w:rStyle w:val="Hyperlink"/>
          </w:rPr>
          <w:t>http://moodle.uwtsd.ac.uk/course/view.php?id=1632</w:t>
        </w:r>
      </w:hyperlink>
      <w:r>
        <w:t>, Abbots, Emma-Jayne, Material Worlds, Approaches to Economic Anthropology, Presentation 1</w:t>
      </w:r>
      <w:r>
        <w:t xml:space="preserve"> (</w:t>
      </w:r>
      <w:proofErr w:type="spellStart"/>
      <w:r>
        <w:t>Mauss</w:t>
      </w:r>
      <w:proofErr w:type="spellEnd"/>
      <w:r>
        <w:t xml:space="preserve"> 1925)</w:t>
      </w:r>
    </w:p>
  </w:footnote>
  <w:footnote w:id="12">
    <w:p w14:paraId="2CC8C1F5" w14:textId="79D80FC9" w:rsidR="00BC690D" w:rsidRDefault="00BC690D">
      <w:pPr>
        <w:pStyle w:val="FootnoteText"/>
      </w:pPr>
      <w:r>
        <w:rPr>
          <w:rStyle w:val="FootnoteReference"/>
        </w:rPr>
        <w:footnoteRef/>
      </w:r>
      <w:r>
        <w:t xml:space="preserve"> </w:t>
      </w:r>
      <w:r w:rsidRPr="00BC690D">
        <w:t>http://giftoflife.eu/</w:t>
      </w:r>
    </w:p>
  </w:footnote>
  <w:footnote w:id="13">
    <w:p w14:paraId="113522C0" w14:textId="4616D45B" w:rsidR="00C12857" w:rsidRDefault="00C12857">
      <w:pPr>
        <w:pStyle w:val="FootnoteText"/>
      </w:pPr>
      <w:r>
        <w:rPr>
          <w:rStyle w:val="FootnoteReference"/>
        </w:rPr>
        <w:footnoteRef/>
      </w:r>
      <w:r>
        <w:t xml:space="preserve"> </w:t>
      </w:r>
      <w:hyperlink r:id="rId7" w:history="1">
        <w:r w:rsidRPr="009126C5">
          <w:rPr>
            <w:rStyle w:val="Hyperlink"/>
          </w:rPr>
          <w:t>https://en.oxforddictionaries.com/definition/alienable</w:t>
        </w:r>
      </w:hyperlink>
      <w:r>
        <w:t xml:space="preserve"> viewed 23/11/2017</w:t>
      </w:r>
    </w:p>
  </w:footnote>
  <w:footnote w:id="14">
    <w:p w14:paraId="7DC70319" w14:textId="2577CABA" w:rsidR="00D12F80" w:rsidRDefault="00D12F80">
      <w:pPr>
        <w:pStyle w:val="FootnoteText"/>
      </w:pPr>
      <w:r>
        <w:rPr>
          <w:rStyle w:val="FootnoteReference"/>
        </w:rPr>
        <w:footnoteRef/>
      </w:r>
      <w:r>
        <w:t xml:space="preserve"> </w:t>
      </w:r>
      <w:hyperlink r:id="rId8" w:history="1">
        <w:r w:rsidRPr="009126C5">
          <w:rPr>
            <w:rStyle w:val="Hyperlink"/>
          </w:rPr>
          <w:t>http://moodle.uwtsd.ac.uk/pluginfile.php/75875/mod_resource/content/1/mauss%20gift.pdf</w:t>
        </w:r>
      </w:hyperlink>
      <w:r>
        <w:t xml:space="preserve"> viewed 23/11/2017</w:t>
      </w:r>
    </w:p>
  </w:footnote>
  <w:footnote w:id="15">
    <w:p w14:paraId="309262E0" w14:textId="537A110C" w:rsidR="00AF7986" w:rsidRDefault="00AF7986">
      <w:pPr>
        <w:pStyle w:val="FootnoteText"/>
      </w:pPr>
      <w:r>
        <w:rPr>
          <w:rStyle w:val="FootnoteReference"/>
        </w:rPr>
        <w:footnoteRef/>
      </w:r>
      <w:r>
        <w:t xml:space="preserve"> </w:t>
      </w:r>
      <w:proofErr w:type="spellStart"/>
      <w:r>
        <w:t>Buchli</w:t>
      </w:r>
      <w:proofErr w:type="spellEnd"/>
      <w:r>
        <w:t>, Victor, The Material Culture Reader, Oxford, 2002, p.46</w:t>
      </w:r>
    </w:p>
  </w:footnote>
  <w:footnote w:id="16">
    <w:p w14:paraId="72D9001C" w14:textId="77777777" w:rsidR="00AF7986" w:rsidRDefault="00AF7986" w:rsidP="00AF7986">
      <w:pPr>
        <w:pStyle w:val="FootnoteText"/>
      </w:pPr>
      <w:r>
        <w:rPr>
          <w:rStyle w:val="FootnoteReference"/>
        </w:rPr>
        <w:footnoteRef/>
      </w:r>
      <w:r>
        <w:t xml:space="preserve"> </w:t>
      </w:r>
      <w:hyperlink r:id="rId9" w:history="1">
        <w:r w:rsidRPr="00DF2876">
          <w:rPr>
            <w:rStyle w:val="Hyperlink"/>
          </w:rPr>
          <w:t>http://www.jstor.org.ezproxy.uwtsd.ac.uk/stable/644217</w:t>
        </w:r>
      </w:hyperlink>
      <w:r>
        <w:t xml:space="preserve"> </w:t>
      </w:r>
    </w:p>
  </w:footnote>
  <w:footnote w:id="17">
    <w:p w14:paraId="5CA09BCB" w14:textId="243E0AFB" w:rsidR="00AF7986" w:rsidRDefault="00AF7986">
      <w:pPr>
        <w:pStyle w:val="FootnoteText"/>
      </w:pPr>
      <w:r>
        <w:rPr>
          <w:rStyle w:val="FootnoteReference"/>
        </w:rPr>
        <w:footnoteRef/>
      </w:r>
      <w:r>
        <w:t xml:space="preserve"> </w:t>
      </w:r>
      <w:proofErr w:type="spellStart"/>
      <w:r>
        <w:t>Buchli</w:t>
      </w:r>
      <w:proofErr w:type="spellEnd"/>
      <w:r>
        <w:t>, Victor, The Material Culture Reader, Oxford, 2002, p.126</w:t>
      </w:r>
    </w:p>
  </w:footnote>
  <w:footnote w:id="18">
    <w:p w14:paraId="266B7EE3" w14:textId="5A271E3F" w:rsidR="00F339B8" w:rsidRDefault="00F339B8">
      <w:pPr>
        <w:pStyle w:val="FootnoteText"/>
      </w:pPr>
      <w:r>
        <w:rPr>
          <w:rStyle w:val="FootnoteReference"/>
        </w:rPr>
        <w:footnoteRef/>
      </w:r>
      <w:r>
        <w:t xml:space="preserve"> Weiner, Annette B. Inalienable Possessions, The Paradox of Keeping-While-Giving, University of California Press, Oxford, 1992, p27</w:t>
      </w:r>
    </w:p>
  </w:footnote>
  <w:footnote w:id="19">
    <w:p w14:paraId="4BC8DBA9" w14:textId="6243C3B2" w:rsidR="00C129D4" w:rsidRDefault="00C129D4">
      <w:pPr>
        <w:pStyle w:val="FootnoteText"/>
      </w:pPr>
      <w:r>
        <w:rPr>
          <w:rStyle w:val="FootnoteReference"/>
        </w:rPr>
        <w:footnoteRef/>
      </w:r>
      <w:r>
        <w:t xml:space="preserve"> Weiner, Annette B. Inalienable Possessions, The Paradox of Keeping-While-Giving, University of California Press, Oxford, 1992, p128</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5D95F92" w14:textId="77777777" w:rsidR="00454E5C" w:rsidRDefault="00454E5C">
    <w:pPr>
      <w:pStyle w:val="Header"/>
    </w:pPr>
    <w:r>
      <w:t xml:space="preserve">Georgina Chamley </w:t>
    </w:r>
    <w:r>
      <w:tab/>
    </w:r>
    <w:r>
      <w:tab/>
      <w:t>1600123</w:t>
    </w:r>
  </w:p>
  <w:p w14:paraId="7F340ED2" w14:textId="77777777" w:rsidR="00454E5C" w:rsidRDefault="00454E5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D4D003E"/>
    <w:multiLevelType w:val="hybridMultilevel"/>
    <w:tmpl w:val="F37696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4E5C"/>
    <w:rsid w:val="0000774B"/>
    <w:rsid w:val="00010D84"/>
    <w:rsid w:val="00040194"/>
    <w:rsid w:val="00060AB0"/>
    <w:rsid w:val="00066E55"/>
    <w:rsid w:val="00067493"/>
    <w:rsid w:val="0008456E"/>
    <w:rsid w:val="0009112E"/>
    <w:rsid w:val="00092176"/>
    <w:rsid w:val="0009311E"/>
    <w:rsid w:val="000969B8"/>
    <w:rsid w:val="000B1BEB"/>
    <w:rsid w:val="000B75B3"/>
    <w:rsid w:val="000C6AB3"/>
    <w:rsid w:val="000D0B39"/>
    <w:rsid w:val="000E3166"/>
    <w:rsid w:val="000F1B7B"/>
    <w:rsid w:val="000F7C91"/>
    <w:rsid w:val="00131778"/>
    <w:rsid w:val="00154163"/>
    <w:rsid w:val="00154459"/>
    <w:rsid w:val="00156BF0"/>
    <w:rsid w:val="00165624"/>
    <w:rsid w:val="0018012E"/>
    <w:rsid w:val="001B5D9D"/>
    <w:rsid w:val="001D38D7"/>
    <w:rsid w:val="001D77EE"/>
    <w:rsid w:val="00220298"/>
    <w:rsid w:val="00241812"/>
    <w:rsid w:val="002536BC"/>
    <w:rsid w:val="00263F9F"/>
    <w:rsid w:val="002776E8"/>
    <w:rsid w:val="00286FC7"/>
    <w:rsid w:val="002B4DA7"/>
    <w:rsid w:val="002D7198"/>
    <w:rsid w:val="00326EAB"/>
    <w:rsid w:val="0035313A"/>
    <w:rsid w:val="00376F6A"/>
    <w:rsid w:val="003B1C4F"/>
    <w:rsid w:val="003C6692"/>
    <w:rsid w:val="00404BF0"/>
    <w:rsid w:val="00413291"/>
    <w:rsid w:val="00437385"/>
    <w:rsid w:val="00446136"/>
    <w:rsid w:val="00454E5C"/>
    <w:rsid w:val="004616C5"/>
    <w:rsid w:val="00462CA6"/>
    <w:rsid w:val="00484BB8"/>
    <w:rsid w:val="004915D9"/>
    <w:rsid w:val="005002F0"/>
    <w:rsid w:val="0050433F"/>
    <w:rsid w:val="00553B13"/>
    <w:rsid w:val="005A2D3B"/>
    <w:rsid w:val="005B0922"/>
    <w:rsid w:val="005F2335"/>
    <w:rsid w:val="00604C23"/>
    <w:rsid w:val="00614063"/>
    <w:rsid w:val="00646DA3"/>
    <w:rsid w:val="00653826"/>
    <w:rsid w:val="006607B5"/>
    <w:rsid w:val="00662AD6"/>
    <w:rsid w:val="00670991"/>
    <w:rsid w:val="006769F9"/>
    <w:rsid w:val="00687188"/>
    <w:rsid w:val="006D739A"/>
    <w:rsid w:val="006F0793"/>
    <w:rsid w:val="00720019"/>
    <w:rsid w:val="00741CF9"/>
    <w:rsid w:val="00743C17"/>
    <w:rsid w:val="0074572B"/>
    <w:rsid w:val="007609C3"/>
    <w:rsid w:val="007610DE"/>
    <w:rsid w:val="007C59DC"/>
    <w:rsid w:val="007D295B"/>
    <w:rsid w:val="00822613"/>
    <w:rsid w:val="0083754C"/>
    <w:rsid w:val="00837E0B"/>
    <w:rsid w:val="00854CCA"/>
    <w:rsid w:val="00857567"/>
    <w:rsid w:val="00863B47"/>
    <w:rsid w:val="00881FE1"/>
    <w:rsid w:val="008B3A65"/>
    <w:rsid w:val="008E4E32"/>
    <w:rsid w:val="008F4635"/>
    <w:rsid w:val="00902259"/>
    <w:rsid w:val="009263D8"/>
    <w:rsid w:val="0094570B"/>
    <w:rsid w:val="00973C00"/>
    <w:rsid w:val="00980128"/>
    <w:rsid w:val="009E418B"/>
    <w:rsid w:val="009F03EA"/>
    <w:rsid w:val="009F5829"/>
    <w:rsid w:val="00A26323"/>
    <w:rsid w:val="00AA775B"/>
    <w:rsid w:val="00AC0372"/>
    <w:rsid w:val="00AC26CA"/>
    <w:rsid w:val="00AF7986"/>
    <w:rsid w:val="00B00803"/>
    <w:rsid w:val="00B20EF8"/>
    <w:rsid w:val="00B30B53"/>
    <w:rsid w:val="00B33474"/>
    <w:rsid w:val="00B61BF4"/>
    <w:rsid w:val="00B8531A"/>
    <w:rsid w:val="00BA6D34"/>
    <w:rsid w:val="00BC690D"/>
    <w:rsid w:val="00BE4FC4"/>
    <w:rsid w:val="00BE5B7B"/>
    <w:rsid w:val="00BF2899"/>
    <w:rsid w:val="00C12857"/>
    <w:rsid w:val="00C129D4"/>
    <w:rsid w:val="00C17F95"/>
    <w:rsid w:val="00C24F0A"/>
    <w:rsid w:val="00C443F5"/>
    <w:rsid w:val="00C547C4"/>
    <w:rsid w:val="00C633F0"/>
    <w:rsid w:val="00CB3C94"/>
    <w:rsid w:val="00CD421D"/>
    <w:rsid w:val="00D0626D"/>
    <w:rsid w:val="00D06FAF"/>
    <w:rsid w:val="00D12F80"/>
    <w:rsid w:val="00D95629"/>
    <w:rsid w:val="00E10457"/>
    <w:rsid w:val="00E30706"/>
    <w:rsid w:val="00E851B0"/>
    <w:rsid w:val="00E8755D"/>
    <w:rsid w:val="00E934F1"/>
    <w:rsid w:val="00E95CAD"/>
    <w:rsid w:val="00EC030C"/>
    <w:rsid w:val="00EC39D9"/>
    <w:rsid w:val="00EF0BE9"/>
    <w:rsid w:val="00EF4F88"/>
    <w:rsid w:val="00F00A94"/>
    <w:rsid w:val="00F040CF"/>
    <w:rsid w:val="00F339B8"/>
    <w:rsid w:val="00F75B15"/>
    <w:rsid w:val="00FA02AC"/>
    <w:rsid w:val="00FA7298"/>
    <w:rsid w:val="00FD17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02A01F7"/>
  <w15:chartTrackingRefBased/>
  <w15:docId w15:val="{461DC206-811D-4404-B2DC-A9AE00193E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54E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4E5C"/>
  </w:style>
  <w:style w:type="paragraph" w:styleId="Footer">
    <w:name w:val="footer"/>
    <w:basedOn w:val="Normal"/>
    <w:link w:val="FooterChar"/>
    <w:uiPriority w:val="99"/>
    <w:unhideWhenUsed/>
    <w:rsid w:val="00454E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4E5C"/>
  </w:style>
  <w:style w:type="paragraph" w:styleId="FootnoteText">
    <w:name w:val="footnote text"/>
    <w:basedOn w:val="Normal"/>
    <w:link w:val="FootnoteTextChar"/>
    <w:uiPriority w:val="99"/>
    <w:semiHidden/>
    <w:unhideWhenUsed/>
    <w:rsid w:val="005B092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B0922"/>
    <w:rPr>
      <w:sz w:val="20"/>
      <w:szCs w:val="20"/>
    </w:rPr>
  </w:style>
  <w:style w:type="character" w:styleId="FootnoteReference">
    <w:name w:val="footnote reference"/>
    <w:basedOn w:val="DefaultParagraphFont"/>
    <w:uiPriority w:val="99"/>
    <w:semiHidden/>
    <w:unhideWhenUsed/>
    <w:rsid w:val="005B0922"/>
    <w:rPr>
      <w:vertAlign w:val="superscript"/>
    </w:rPr>
  </w:style>
  <w:style w:type="character" w:styleId="Hyperlink">
    <w:name w:val="Hyperlink"/>
    <w:basedOn w:val="DefaultParagraphFont"/>
    <w:uiPriority w:val="99"/>
    <w:unhideWhenUsed/>
    <w:rsid w:val="005B0922"/>
    <w:rPr>
      <w:color w:val="0563C1" w:themeColor="hyperlink"/>
      <w:u w:val="single"/>
    </w:rPr>
  </w:style>
  <w:style w:type="character" w:styleId="UnresolvedMention">
    <w:name w:val="Unresolved Mention"/>
    <w:basedOn w:val="DefaultParagraphFont"/>
    <w:uiPriority w:val="99"/>
    <w:semiHidden/>
    <w:unhideWhenUsed/>
    <w:rsid w:val="005B0922"/>
    <w:rPr>
      <w:color w:val="808080"/>
      <w:shd w:val="clear" w:color="auto" w:fill="E6E6E6"/>
    </w:rPr>
  </w:style>
  <w:style w:type="paragraph" w:styleId="ListParagraph">
    <w:name w:val="List Paragraph"/>
    <w:basedOn w:val="Normal"/>
    <w:uiPriority w:val="34"/>
    <w:qFormat/>
    <w:rsid w:val="00010D8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academia.edu/10015191/The_Establishment_and_Defeat_of_Hierarchy_Inalienable_Possessions_and_the_History_of_Collective_Prestige_Structures_in_the_Puebloan_Southwest" TargetMode="Externa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en.oxforddictionaries.com/definition/alienable"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moodle.uwtsd.ac.uk/pluginfile.php/75875/mod_resource/content/1/mauss%20gift.pdf"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mapsofworld.com/nigeria/culture/clothing.html" TargetMode="External"/><Relationship Id="rId4" Type="http://schemas.openxmlformats.org/officeDocument/2006/relationships/settings" Target="settings.xml"/><Relationship Id="rId9" Type="http://schemas.openxmlformats.org/officeDocument/2006/relationships/hyperlink" Target="http://www.thefreedictionary.com/inalienability" TargetMode="External"/><Relationship Id="rId14" Type="http://schemas.openxmlformats.org/officeDocument/2006/relationships/fontTable" Target="fontTable.xml"/></Relationships>
</file>

<file path=word/_rels/footnotes.xml.rels><?xml version="1.0" encoding="UTF-8" standalone="yes"?>
<Relationships xmlns="http://schemas.openxmlformats.org/package/2006/relationships"><Relationship Id="rId8" Type="http://schemas.openxmlformats.org/officeDocument/2006/relationships/hyperlink" Target="http://moodle.uwtsd.ac.uk/pluginfile.php/75875/mod_resource/content/1/mauss%20gift.pdf" TargetMode="External"/><Relationship Id="rId3" Type="http://schemas.openxmlformats.org/officeDocument/2006/relationships/hyperlink" Target="http://www.academia.edu/10015191/The_Establishment_and_Defeat_of_Hierarchy_Inalienable_Possessions_and_the_History_of_Collective_Prestige_Structures_in_the_Puebloan_Southwest" TargetMode="External"/><Relationship Id="rId7" Type="http://schemas.openxmlformats.org/officeDocument/2006/relationships/hyperlink" Target="https://en.oxforddictionaries.com/definition/alienable" TargetMode="External"/><Relationship Id="rId2" Type="http://schemas.openxmlformats.org/officeDocument/2006/relationships/hyperlink" Target="https://www.mapsofworld.com/nigeria/culture/clothing.html" TargetMode="External"/><Relationship Id="rId1" Type="http://schemas.openxmlformats.org/officeDocument/2006/relationships/hyperlink" Target="http://www.thefreedictionary.com/inalienability" TargetMode="External"/><Relationship Id="rId6" Type="http://schemas.openxmlformats.org/officeDocument/2006/relationships/hyperlink" Target="http://moodle.uwtsd.ac.uk/course/view.php?id=1632" TargetMode="External"/><Relationship Id="rId5" Type="http://schemas.openxmlformats.org/officeDocument/2006/relationships/hyperlink" Target="http://moodle.uwtsd.ac.uk/course/view.php?id=1632" TargetMode="External"/><Relationship Id="rId4" Type="http://schemas.openxmlformats.org/officeDocument/2006/relationships/hyperlink" Target="http://moodle.uwtsd.ac.uk/pluginfile.php/75875/mod_resource/content/1/mauss%20gift.pdf" TargetMode="External"/><Relationship Id="rId9" Type="http://schemas.openxmlformats.org/officeDocument/2006/relationships/hyperlink" Target="http://www.jstor.org.ezproxy.uwtsd.ac.uk/stable/64421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180FBB-E721-4576-877C-3EDC98442A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6690</TotalTime>
  <Pages>5</Pages>
  <Words>2450</Words>
  <Characters>12544</Characters>
  <Application>Microsoft Office Word</Application>
  <DocSecurity>0</DocSecurity>
  <Lines>156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Georgina Chamley</dc:creator>
  <cp:keywords/>
  <dc:description/>
  <cp:lastModifiedBy>Georgina Chamley</cp:lastModifiedBy>
  <cp:revision>50</cp:revision>
  <dcterms:created xsi:type="dcterms:W3CDTF">2017-11-14T12:19:00Z</dcterms:created>
  <dcterms:modified xsi:type="dcterms:W3CDTF">2017-11-27T19:33:00Z</dcterms:modified>
</cp:coreProperties>
</file>