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t xml:space="preserve">                                          </w:t>
      </w:r>
      <w:r>
        <w:drawing>
          <wp:inline distT="0" distB="0" distL="0" distR="0">
            <wp:extent cx="3191510" cy="631190"/>
            <wp:effectExtent l="0" t="0" r="8888" b="0"/>
            <wp:docPr id="634414730" name="Picture 2" descr="A picture containing text, font, symbol, logo&#10;&#10;Description automatically generated"/>
            <wp:cNvGraphicFramePr/>
            <a:graphic xmlns:a="http://schemas.openxmlformats.org/drawingml/2006/main">
              <a:graphicData uri="http://schemas.openxmlformats.org/drawingml/2006/picture">
                <pic:pic xmlns:pic="http://schemas.openxmlformats.org/drawingml/2006/picture">
                  <pic:nvPicPr>
                    <pic:cNvPr id="634414730" name="Picture 2" descr="A picture containing text, font, symbol, logo&#10;&#10;Description automatically generated"/>
                    <pic:cNvPicPr/>
                  </pic:nvPicPr>
                  <pic:blipFill>
                    <a:blip r:embed="rId7"/>
                    <a:srcRect/>
                    <a:stretch>
                      <a:fillRect/>
                    </a:stretch>
                  </pic:blipFill>
                  <pic:spPr>
                    <a:xfrm>
                      <a:off x="0" y="0"/>
                      <a:ext cx="3191512" cy="631192"/>
                    </a:xfrm>
                    <a:prstGeom prst="rect">
                      <a:avLst/>
                    </a:prstGeom>
                    <a:noFill/>
                    <a:ln>
                      <a:noFill/>
                      <a:prstDash val="solid"/>
                    </a:ln>
                  </pic:spPr>
                </pic:pic>
              </a:graphicData>
            </a:graphic>
          </wp:inline>
        </w:drawing>
      </w:r>
    </w:p>
    <w:p>
      <w:pPr>
        <w:jc w:val="center"/>
      </w:pPr>
      <w:r>
        <w:rPr>
          <w:rFonts w:ascii="Arial" w:hAnsi="Arial" w:eastAsia="mj-ea" w:cs="Arial"/>
          <w:b/>
          <w:bCs/>
          <w:color w:val="000000"/>
          <w:sz w:val="32"/>
          <w:szCs w:val="32"/>
        </w:rPr>
        <w:t>Leadership and Management</w:t>
      </w:r>
    </w:p>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jc w:val="center"/>
        <w:rPr>
          <w:rFonts w:ascii="Arial" w:hAnsi="Arial" w:cs="Arial"/>
          <w:sz w:val="96"/>
          <w:szCs w:val="96"/>
        </w:rPr>
      </w:pPr>
    </w:p>
    <w:p>
      <w:pPr>
        <w:pStyle w:val="3"/>
        <w:shd w:val="clear" w:color="auto" w:fill="FFFFFF"/>
        <w:spacing w:before="0" w:after="0"/>
        <w:jc w:val="center"/>
      </w:pPr>
      <w:r>
        <w:rPr>
          <w:rFonts w:ascii="Arial" w:hAnsi="Arial" w:cs="Arial"/>
          <w:sz w:val="72"/>
          <w:szCs w:val="72"/>
        </w:rPr>
        <w:t>Task 1 Case study report</w:t>
      </w: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2"/>
        <w:shd w:val="clear" w:color="auto" w:fill="FFFFFF"/>
        <w:spacing w:before="0"/>
        <w:rPr>
          <w:rFonts w:ascii="Arial" w:hAnsi="Arial" w:eastAsia="mn-ea" w:cs="Arial"/>
          <w:color w:val="000000"/>
          <w:sz w:val="22"/>
          <w:szCs w:val="22"/>
        </w:rPr>
      </w:pPr>
      <w:r>
        <w:rPr>
          <w:rFonts w:ascii="Arial" w:hAnsi="Arial" w:eastAsia="mn-ea" w:cs="Arial"/>
          <w:b/>
          <w:bCs/>
          <w:color w:val="000000"/>
          <w:sz w:val="22"/>
          <w:szCs w:val="22"/>
        </w:rPr>
        <w:t xml:space="preserve">Module code and name: </w:t>
      </w:r>
      <w:r>
        <w:rPr>
          <w:rFonts w:ascii="Arial" w:hAnsi="Arial" w:eastAsia="mn-ea" w:cs="Arial"/>
          <w:color w:val="000000"/>
          <w:sz w:val="22"/>
          <w:szCs w:val="22"/>
        </w:rPr>
        <w:t>Developing Workplace Critical Thinking (</w:t>
      </w:r>
      <w:r>
        <w:rPr>
          <w:rFonts w:ascii="Arial" w:hAnsi="Arial" w:cs="Arial"/>
          <w:color w:val="373A3C"/>
          <w:sz w:val="22"/>
          <w:szCs w:val="22"/>
        </w:rPr>
        <w:t>BMSW5101</w:t>
      </w:r>
      <w:r>
        <w:rPr>
          <w:rFonts w:ascii="Arial" w:hAnsi="Arial" w:eastAsia="mn-ea" w:cs="Arial"/>
          <w:color w:val="000000"/>
          <w:sz w:val="22"/>
          <w:szCs w:val="22"/>
        </w:rPr>
        <w:t>)</w:t>
      </w:r>
    </w:p>
    <w:p>
      <w:pPr>
        <w:pStyle w:val="2"/>
        <w:shd w:val="clear" w:color="auto" w:fill="FFFFFF"/>
        <w:spacing w:before="0"/>
        <w:rPr>
          <w:rFonts w:ascii="Arial" w:hAnsi="Arial" w:eastAsia="mn-ea" w:cs="Arial"/>
          <w:color w:val="000000"/>
          <w:sz w:val="22"/>
          <w:szCs w:val="22"/>
        </w:rPr>
      </w:pPr>
    </w:p>
    <w:p>
      <w:pPr>
        <w:pStyle w:val="2"/>
        <w:shd w:val="clear" w:color="auto" w:fill="FFFFFF"/>
        <w:spacing w:before="0"/>
        <w:rPr>
          <w:rFonts w:ascii="Arial" w:hAnsi="Arial" w:eastAsia="mn-ea" w:cs="Arial"/>
          <w:color w:val="000000"/>
          <w:sz w:val="22"/>
          <w:szCs w:val="22"/>
        </w:rPr>
      </w:pPr>
      <w:r>
        <w:rPr>
          <w:rFonts w:ascii="Arial" w:hAnsi="Arial" w:eastAsia="mn-ea" w:cs="Arial"/>
          <w:b/>
          <w:bCs/>
          <w:color w:val="000000"/>
          <w:sz w:val="22"/>
          <w:szCs w:val="22"/>
        </w:rPr>
        <w:t xml:space="preserve">Name of the Students and ID Numbers: </w:t>
      </w:r>
      <w:r>
        <w:rPr>
          <w:rFonts w:ascii="Arial" w:hAnsi="Arial" w:eastAsia="mn-ea" w:cs="Arial"/>
          <w:color w:val="000000"/>
          <w:sz w:val="22"/>
          <w:szCs w:val="22"/>
        </w:rPr>
        <w:t xml:space="preserve">Asen Chipilov 2128091 </w:t>
      </w:r>
    </w:p>
    <w:p>
      <w:pPr>
        <w:pStyle w:val="2"/>
        <w:shd w:val="clear" w:color="auto" w:fill="FFFFFF"/>
        <w:spacing w:before="0"/>
        <w:rPr>
          <w:rFonts w:ascii="Arial" w:hAnsi="Arial" w:eastAsia="mn-ea" w:cs="Arial"/>
          <w:color w:val="000000"/>
          <w:sz w:val="22"/>
          <w:szCs w:val="22"/>
        </w:rPr>
      </w:pPr>
    </w:p>
    <w:p>
      <w:pPr>
        <w:pStyle w:val="2"/>
        <w:shd w:val="clear" w:color="auto" w:fill="FFFFFF"/>
        <w:spacing w:before="0"/>
        <w:rPr>
          <w:rFonts w:ascii="Arial" w:hAnsi="Arial" w:eastAsia="mn-ea" w:cs="Arial"/>
          <w:b/>
          <w:bCs/>
          <w:color w:val="000000"/>
          <w:sz w:val="22"/>
          <w:szCs w:val="22"/>
        </w:rPr>
      </w:pPr>
      <w:r>
        <w:rPr>
          <w:rFonts w:ascii="Arial" w:hAnsi="Arial" w:eastAsia="mn-ea" w:cs="Arial"/>
          <w:b/>
          <w:bCs/>
          <w:color w:val="000000"/>
          <w:sz w:val="22"/>
          <w:szCs w:val="22"/>
        </w:rPr>
        <w:t xml:space="preserve">Lecturer Name: </w:t>
      </w:r>
      <w:r>
        <w:rPr>
          <w:rStyle w:val="12"/>
          <w:rFonts w:ascii="Arial" w:hAnsi="Arial" w:cs="Arial"/>
          <w:b w:val="0"/>
          <w:bCs w:val="0"/>
          <w:color w:val="373A3C"/>
          <w:sz w:val="22"/>
          <w:szCs w:val="22"/>
          <w:shd w:val="clear" w:color="auto" w:fill="FFFFFF"/>
        </w:rPr>
        <w:t>Ehsan Khajeh</w:t>
      </w:r>
    </w:p>
    <w:p>
      <w:pPr>
        <w:pStyle w:val="2"/>
        <w:shd w:val="clear" w:color="auto" w:fill="FFFFFF"/>
        <w:spacing w:before="0"/>
        <w:rPr>
          <w:rFonts w:ascii="Arial" w:hAnsi="Arial" w:eastAsia="mn-ea" w:cs="Arial"/>
          <w:b/>
          <w:bCs/>
          <w:color w:val="000000"/>
          <w:sz w:val="22"/>
          <w:szCs w:val="22"/>
        </w:rPr>
      </w:pPr>
    </w:p>
    <w:p>
      <w:pPr>
        <w:pStyle w:val="2"/>
        <w:shd w:val="clear" w:color="auto" w:fill="FFFFFF"/>
        <w:spacing w:before="0"/>
        <w:rPr>
          <w:rFonts w:ascii="Arial" w:hAnsi="Arial" w:cs="Arial"/>
          <w:color w:val="373A3C"/>
          <w:sz w:val="22"/>
          <w:szCs w:val="22"/>
        </w:rPr>
      </w:pPr>
      <w:r>
        <w:rPr>
          <w:rFonts w:ascii="Arial" w:hAnsi="Arial" w:eastAsia="mn-ea" w:cs="Arial"/>
          <w:b/>
          <w:bCs/>
          <w:color w:val="000000"/>
          <w:sz w:val="22"/>
          <w:szCs w:val="22"/>
        </w:rPr>
        <w:t xml:space="preserve">Title: </w:t>
      </w:r>
      <w:r>
        <w:rPr>
          <w:rFonts w:ascii="Arial" w:hAnsi="Arial" w:eastAsia="mn-ea" w:cs="Arial"/>
          <w:color w:val="000000"/>
          <w:sz w:val="22"/>
          <w:szCs w:val="22"/>
        </w:rPr>
        <w:t>Case study A</w:t>
      </w:r>
    </w:p>
    <w:p>
      <w:pPr>
        <w:jc w:val="center"/>
        <w:rPr>
          <w:rFonts w:ascii="Arial" w:hAnsi="Arial" w:cs="Arial"/>
          <w:b/>
          <w:bCs/>
          <w:color w:val="000000"/>
          <w:sz w:val="28"/>
          <w:szCs w:val="28"/>
        </w:rPr>
      </w:pPr>
    </w:p>
    <w:p>
      <w:pPr>
        <w:jc w:val="center"/>
        <w:rPr>
          <w:rFonts w:ascii="Arial" w:hAnsi="Arial" w:cs="Arial"/>
          <w:b/>
          <w:bCs/>
          <w:color w:val="000000"/>
          <w:sz w:val="28"/>
          <w:szCs w:val="28"/>
        </w:rPr>
      </w:pPr>
    </w:p>
    <w:p>
      <w:pPr>
        <w:jc w:val="center"/>
        <w:rPr>
          <w:rFonts w:ascii="Arial" w:hAnsi="Arial" w:cs="Arial"/>
          <w:b/>
          <w:bCs/>
          <w:color w:val="000000"/>
          <w:sz w:val="28"/>
          <w:szCs w:val="28"/>
        </w:rPr>
      </w:pPr>
    </w:p>
    <w:p>
      <w:pPr>
        <w:jc w:val="center"/>
        <w:rPr>
          <w:rFonts w:ascii="Arial" w:hAnsi="Arial" w:cs="Arial"/>
          <w:b/>
          <w:bCs/>
          <w:color w:val="000000"/>
          <w:sz w:val="28"/>
          <w:szCs w:val="28"/>
        </w:rPr>
      </w:pPr>
      <w:r>
        <w:rPr>
          <w:rFonts w:ascii="Arial" w:hAnsi="Arial" w:cs="Arial"/>
          <w:b/>
          <w:bCs/>
          <w:color w:val="000000"/>
          <w:sz w:val="28"/>
          <w:szCs w:val="28"/>
        </w:rPr>
        <w:t>Table of Contents</w:t>
      </w:r>
    </w:p>
    <w:p>
      <w:pPr>
        <w:rPr>
          <w:rFonts w:ascii="Arial" w:hAnsi="Arial" w:cs="Arial"/>
          <w:color w:val="000000"/>
          <w:sz w:val="28"/>
          <w:szCs w:val="28"/>
        </w:rPr>
      </w:pPr>
      <w:r>
        <w:rPr>
          <w:rFonts w:ascii="Arial" w:hAnsi="Arial" w:cs="Arial"/>
          <w:color w:val="000000"/>
          <w:sz w:val="28"/>
          <w:szCs w:val="28"/>
        </w:rPr>
        <w:t xml:space="preserve"> </w:t>
      </w:r>
    </w:p>
    <w:p>
      <w:pPr>
        <w:rPr>
          <w:rFonts w:ascii="Arial" w:hAnsi="Arial" w:cs="Arial"/>
          <w:color w:val="000000"/>
          <w:sz w:val="28"/>
          <w:szCs w:val="28"/>
        </w:rPr>
      </w:pPr>
      <w:r>
        <w:rPr>
          <w:rFonts w:ascii="Arial" w:hAnsi="Arial" w:cs="Arial"/>
          <w:color w:val="000000"/>
          <w:sz w:val="28"/>
          <w:szCs w:val="28"/>
        </w:rPr>
        <w:t xml:space="preserve"> </w:t>
      </w:r>
    </w:p>
    <w:p>
      <w:pPr>
        <w:rPr>
          <w:rFonts w:hint="default"/>
          <w:lang w:val="en-US"/>
        </w:rPr>
      </w:pPr>
      <w:r>
        <w:rPr>
          <w:rFonts w:ascii="Arial" w:hAnsi="Arial" w:cs="Arial"/>
          <w:sz w:val="24"/>
          <w:szCs w:val="24"/>
        </w:rPr>
        <w:t xml:space="preserve">1. </w:t>
      </w:r>
      <w:r>
        <w:rPr>
          <w:rFonts w:ascii="Arial" w:hAnsi="Arial"/>
          <w:color w:val="000000"/>
          <w:sz w:val="24"/>
          <w:szCs w:val="24"/>
        </w:rPr>
        <w:t>Introduction</w:t>
      </w:r>
      <w:r>
        <w:rPr>
          <w:rFonts w:ascii="Arial" w:hAnsi="Arial" w:cs="Arial"/>
          <w:color w:val="000000"/>
          <w:sz w:val="24"/>
          <w:szCs w:val="24"/>
        </w:rPr>
        <w:t>……………………………………………………</w:t>
      </w:r>
      <w:r>
        <w:rPr>
          <w:rFonts w:hint="default" w:ascii="Arial" w:hAnsi="Arial" w:cs="Arial"/>
          <w:color w:val="000000"/>
          <w:sz w:val="24"/>
          <w:szCs w:val="24"/>
          <w:lang w:val="en-US"/>
        </w:rPr>
        <w:t>……………………….3</w:t>
      </w:r>
    </w:p>
    <w:p>
      <w:pPr>
        <w:ind w:left="547" w:hanging="547"/>
        <w:rPr>
          <w:rFonts w:hint="default"/>
          <w:lang w:val="en-US"/>
        </w:rPr>
      </w:pPr>
      <w:r>
        <w:rPr>
          <w:rFonts w:ascii="Arial" w:hAnsi="Arial" w:cs="Arial"/>
          <w:sz w:val="24"/>
          <w:szCs w:val="24"/>
        </w:rPr>
        <w:t xml:space="preserve">2. </w:t>
      </w:r>
      <w:r>
        <w:rPr>
          <w:rFonts w:ascii="Arial" w:hAnsi="Arial"/>
          <w:color w:val="000000"/>
          <w:sz w:val="24"/>
          <w:szCs w:val="24"/>
        </w:rPr>
        <w:t>Ethics in workplace</w:t>
      </w:r>
      <w:r>
        <w:rPr>
          <w:rFonts w:ascii="Arial" w:hAnsi="Arial" w:cs="Arial"/>
          <w:color w:val="000000"/>
          <w:sz w:val="24"/>
          <w:szCs w:val="24"/>
        </w:rPr>
        <w:t>……………………………………………………………………</w:t>
      </w:r>
      <w:r>
        <w:rPr>
          <w:rFonts w:hint="default" w:ascii="Arial" w:hAnsi="Arial" w:cs="Arial"/>
          <w:color w:val="000000"/>
          <w:sz w:val="24"/>
          <w:szCs w:val="24"/>
          <w:lang w:val="en-US"/>
        </w:rPr>
        <w:t>3</w:t>
      </w:r>
    </w:p>
    <w:p>
      <w:pPr>
        <w:ind w:left="547" w:hanging="547"/>
        <w:rPr>
          <w:rFonts w:hint="default"/>
          <w:lang w:val="en-US"/>
        </w:rPr>
      </w:pPr>
      <w:r>
        <w:rPr>
          <w:rFonts w:ascii="Arial" w:hAnsi="Arial" w:cs="Arial"/>
          <w:sz w:val="24"/>
          <w:szCs w:val="24"/>
        </w:rPr>
        <w:t xml:space="preserve">3. Case Study overview of issues </w:t>
      </w:r>
      <w:r>
        <w:rPr>
          <w:rFonts w:ascii="Arial" w:hAnsi="Arial" w:cs="Arial"/>
          <w:color w:val="000000"/>
          <w:sz w:val="24"/>
          <w:szCs w:val="24"/>
        </w:rPr>
        <w:t>……………………</w:t>
      </w:r>
      <w:r>
        <w:rPr>
          <w:rFonts w:hint="default" w:ascii="Arial" w:hAnsi="Arial" w:cs="Arial"/>
          <w:color w:val="000000"/>
          <w:sz w:val="24"/>
          <w:szCs w:val="24"/>
          <w:lang w:val="en-US"/>
        </w:rPr>
        <w:t>………………………………..4</w:t>
      </w:r>
    </w:p>
    <w:p>
      <w:pPr>
        <w:ind w:left="547" w:hanging="547"/>
        <w:rPr>
          <w:rFonts w:hint="default"/>
          <w:lang w:val="en-US"/>
        </w:rPr>
      </w:pPr>
      <w:r>
        <w:rPr>
          <w:rFonts w:ascii="Arial" w:hAnsi="Arial" w:cs="Arial"/>
          <w:sz w:val="24"/>
          <w:szCs w:val="24"/>
        </w:rPr>
        <w:t xml:space="preserve">4. Conclusion </w:t>
      </w:r>
      <w:r>
        <w:rPr>
          <w:rFonts w:ascii="Arial" w:hAnsi="Arial" w:cs="Arial"/>
          <w:color w:val="000000"/>
          <w:sz w:val="24"/>
          <w:szCs w:val="24"/>
        </w:rPr>
        <w:t>…………………………………</w:t>
      </w:r>
      <w:r>
        <w:rPr>
          <w:rFonts w:hint="default" w:ascii="Arial" w:hAnsi="Arial" w:cs="Arial"/>
          <w:color w:val="000000"/>
          <w:sz w:val="24"/>
          <w:szCs w:val="24"/>
          <w:lang w:val="en-US"/>
        </w:rPr>
        <w:t>..</w:t>
      </w:r>
      <w:r>
        <w:rPr>
          <w:rFonts w:ascii="Arial" w:hAnsi="Arial" w:cs="Arial"/>
          <w:color w:val="000000"/>
          <w:sz w:val="24"/>
          <w:szCs w:val="24"/>
        </w:rPr>
        <w:t>…………………………….………</w:t>
      </w:r>
      <w:r>
        <w:rPr>
          <w:rFonts w:hint="default" w:ascii="Arial" w:hAnsi="Arial" w:cs="Arial"/>
          <w:color w:val="000000"/>
          <w:sz w:val="24"/>
          <w:szCs w:val="24"/>
          <w:lang w:val="en-US"/>
        </w:rPr>
        <w:t>…</w:t>
      </w:r>
      <w:r>
        <w:rPr>
          <w:rFonts w:ascii="Arial" w:hAnsi="Arial" w:cs="Arial"/>
          <w:color w:val="000000"/>
          <w:sz w:val="24"/>
          <w:szCs w:val="24"/>
        </w:rPr>
        <w:t>.</w:t>
      </w:r>
      <w:r>
        <w:rPr>
          <w:rFonts w:hint="default" w:ascii="Arial" w:hAnsi="Arial" w:cs="Arial"/>
          <w:color w:val="000000"/>
          <w:sz w:val="24"/>
          <w:szCs w:val="24"/>
          <w:lang w:val="en-US"/>
        </w:rPr>
        <w:t>6</w:t>
      </w:r>
    </w:p>
    <w:p>
      <w:pPr>
        <w:rPr>
          <w:rFonts w:hint="default"/>
          <w:lang w:val="en-US"/>
        </w:rPr>
      </w:pPr>
      <w:r>
        <w:rPr>
          <w:rFonts w:ascii="Arial" w:hAnsi="Arial" w:cs="Arial"/>
          <w:color w:val="000000"/>
          <w:sz w:val="24"/>
          <w:szCs w:val="24"/>
        </w:rPr>
        <w:t>Reference List………………………………………………….………………………...</w:t>
      </w:r>
      <w:r>
        <w:rPr>
          <w:rFonts w:hint="default" w:ascii="Arial" w:hAnsi="Arial" w:cs="Arial"/>
          <w:color w:val="000000"/>
          <w:sz w:val="24"/>
          <w:szCs w:val="24"/>
          <w:lang w:val="en-US"/>
        </w:rPr>
        <w:t>7</w:t>
      </w:r>
    </w:p>
    <w:p>
      <w:pPr>
        <w:spacing w:line="360" w:lineRule="auto"/>
        <w:ind w:left="1440"/>
        <w:rPr>
          <w:rFonts w:ascii="Arial" w:hAnsi="Arial" w:cs="Arial"/>
          <w:sz w:val="24"/>
          <w:szCs w:val="24"/>
          <w:u w:val="single"/>
        </w:rPr>
      </w:pPr>
    </w:p>
    <w:p>
      <w:pPr>
        <w:spacing w:line="360" w:lineRule="auto"/>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rPr>
          <w:rFonts w:ascii="Arial" w:hAnsi="Arial" w:cs="Arial"/>
          <w:color w:val="0A7BE9"/>
          <w:sz w:val="33"/>
          <w:szCs w:val="33"/>
        </w:rPr>
      </w:pPr>
    </w:p>
    <w:p>
      <w:pPr>
        <w:rPr>
          <w:rFonts w:ascii="Arial" w:hAnsi="Arial" w:cs="Arial"/>
          <w:color w:val="0A7BE9"/>
          <w:sz w:val="33"/>
          <w:szCs w:val="33"/>
        </w:rPr>
      </w:pPr>
    </w:p>
    <w:p>
      <w:pPr>
        <w:rPr>
          <w:rFonts w:ascii="Arial" w:hAnsi="Arial" w:cs="Arial"/>
          <w:color w:val="0A7BE9"/>
          <w:sz w:val="33"/>
          <w:szCs w:val="33"/>
        </w:rPr>
      </w:pPr>
    </w:p>
    <w:p>
      <w:pPr>
        <w:rPr>
          <w:rFonts w:ascii="Arial" w:hAnsi="Arial" w:cs="Arial"/>
          <w:color w:val="0A7BE9"/>
          <w:sz w:val="33"/>
          <w:szCs w:val="33"/>
        </w:rPr>
      </w:pPr>
    </w:p>
    <w:p>
      <w:pPr>
        <w:rPr>
          <w:rFonts w:ascii="Arial" w:hAnsi="Arial" w:cs="Arial"/>
          <w:color w:val="0A7BE9"/>
          <w:sz w:val="33"/>
          <w:szCs w:val="33"/>
        </w:rPr>
      </w:pPr>
    </w:p>
    <w:p>
      <w:pPr>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pStyle w:val="3"/>
        <w:shd w:val="clear" w:color="auto" w:fill="FFFFFF"/>
        <w:spacing w:before="0" w:after="0"/>
        <w:rPr>
          <w:rFonts w:ascii="Arial" w:hAnsi="Arial" w:cs="Arial"/>
          <w:color w:val="0A7BE9"/>
          <w:sz w:val="33"/>
          <w:szCs w:val="33"/>
        </w:rPr>
      </w:pPr>
    </w:p>
    <w:p>
      <w:pPr>
        <w:spacing w:line="360" w:lineRule="auto"/>
        <w:rPr>
          <w:lang w:val="en-US"/>
        </w:rPr>
      </w:pPr>
    </w:p>
    <w:p>
      <w:pPr>
        <w:spacing w:line="360" w:lineRule="auto"/>
        <w:rPr>
          <w:lang w:val="en-US"/>
        </w:rPr>
      </w:pPr>
    </w:p>
    <w:p>
      <w:pPr>
        <w:spacing w:line="360" w:lineRule="auto"/>
      </w:pPr>
    </w:p>
    <w:p>
      <w:pPr>
        <w:spacing w:line="360" w:lineRule="auto"/>
      </w:pPr>
    </w:p>
    <w:p>
      <w:pPr>
        <w:pStyle w:val="18"/>
        <w:numPr>
          <w:ilvl w:val="0"/>
          <w:numId w:val="1"/>
        </w:numPr>
        <w:rPr>
          <w:rFonts w:ascii="Arial" w:hAnsi="Arial" w:cs="Arial"/>
          <w:b/>
          <w:bCs/>
        </w:rPr>
      </w:pPr>
      <w:r>
        <w:rPr>
          <w:rFonts w:ascii="Arial" w:hAnsi="Arial" w:cs="Arial"/>
          <w:b/>
          <w:bCs/>
        </w:rPr>
        <w:t>Introduction</w:t>
      </w:r>
    </w:p>
    <w:p>
      <w:pPr>
        <w:spacing w:line="360" w:lineRule="auto"/>
        <w:rPr>
          <w:rFonts w:ascii="Arial" w:hAnsi="Arial" w:cs="Arial"/>
        </w:rPr>
      </w:pPr>
      <w:r>
        <w:rPr>
          <w:rFonts w:ascii="Arial" w:hAnsi="Arial" w:cs="Arial"/>
        </w:rPr>
        <w:t>Today, to help businesses develop sustainably, the human factor needs to be the top concern. Employees often represent their company's image inside and outside of work. Employees also play an important role in the dynamics of a business work environment that helps a business succeed and keep a career or, vice versa, can hurt the company. In addition, employees are often influenced by factors such as beliefs, values, and attitudes in the working environment. To see more clearly why these factors affect employees in the workplace, I chose to analyse case A of Hollyfield Abbey Ltd in the care services to local vulnerable people industry, with the problem occurring in one third of the employees. Employees were fired due to misuse of social media and the company faced a temporary staff shortage.</w:t>
      </w:r>
    </w:p>
    <w:p>
      <w:pPr>
        <w:pStyle w:val="18"/>
        <w:spacing w:line="360" w:lineRule="auto"/>
        <w:ind w:left="1800"/>
      </w:pPr>
    </w:p>
    <w:p>
      <w:pPr>
        <w:pStyle w:val="18"/>
        <w:numPr>
          <w:ilvl w:val="0"/>
          <w:numId w:val="1"/>
        </w:numPr>
        <w:spacing w:line="360" w:lineRule="auto"/>
        <w:rPr>
          <w:rFonts w:ascii="Arial" w:hAnsi="Arial" w:cs="Arial"/>
          <w:b/>
          <w:bCs/>
        </w:rPr>
      </w:pPr>
      <w:r>
        <w:rPr>
          <w:rFonts w:ascii="Arial" w:hAnsi="Arial" w:cs="Arial"/>
          <w:b/>
          <w:bCs/>
        </w:rPr>
        <w:t>Ethics in the Workplace</w:t>
      </w:r>
    </w:p>
    <w:p>
      <w:pPr>
        <w:spacing w:line="240" w:lineRule="auto"/>
        <w:rPr>
          <w:rFonts w:ascii="Arial" w:hAnsi="Arial" w:cs="Arial"/>
        </w:rPr>
      </w:pPr>
      <w:r>
        <w:rPr>
          <w:rFonts w:ascii="Arial" w:hAnsi="Arial" w:cs="Arial"/>
        </w:rPr>
        <w:t xml:space="preserve">In a workplace context, beliefs, attitudes, and values are important concepts that shape the behaviour, decision-making, and overall culture of an organization. </w:t>
      </w:r>
    </w:p>
    <w:p>
      <w:pPr>
        <w:spacing w:line="240" w:lineRule="auto"/>
        <w:rPr>
          <w:rFonts w:ascii="Arial" w:hAnsi="Arial" w:cs="Arial"/>
        </w:rPr>
      </w:pPr>
      <w:r>
        <w:rPr>
          <w:rFonts w:ascii="Arial" w:hAnsi="Arial" w:cs="Arial"/>
          <w:b/>
          <w:bCs/>
        </w:rPr>
        <w:t>Belief</w:t>
      </w:r>
      <w:r>
        <w:rPr>
          <w:rFonts w:ascii="Arial" w:hAnsi="Arial" w:cs="Arial"/>
        </w:rPr>
        <w:t xml:space="preserve"> can be defined as a conviction or acceptance that something is true or exists, often without concrete proof or evidence.</w:t>
      </w:r>
    </w:p>
    <w:p>
      <w:pPr>
        <w:spacing w:line="240" w:lineRule="auto"/>
        <w:rPr>
          <w:rFonts w:ascii="Arial" w:hAnsi="Arial" w:cs="Arial"/>
        </w:rPr>
      </w:pPr>
      <w:r>
        <w:rPr>
          <w:rFonts w:ascii="Arial" w:hAnsi="Arial" w:cs="Arial"/>
        </w:rPr>
        <w:t>‘’Religious beliefs include collection of behaviours, beliefs and relevant attitudes with religion principles, sub-principles and other relevant areas to religion.’’ Mehdad, A. and Iranpour, M., 2014.</w:t>
      </w:r>
    </w:p>
    <w:p>
      <w:pPr>
        <w:spacing w:line="360" w:lineRule="auto"/>
        <w:rPr>
          <w:rFonts w:ascii="Arial" w:hAnsi="Arial" w:cs="Arial"/>
        </w:rPr>
      </w:pPr>
      <w:r>
        <w:t>‘</w:t>
      </w:r>
      <w:r>
        <w:rPr>
          <w:rFonts w:ascii="Arial" w:hAnsi="Arial" w:cs="Arial"/>
        </w:rPr>
        <w:t>’Because values play such an important role in our lives, being able to recognize, understand and articulate one’s own values set becomes critical in sound decision making. Additionally, the ability to identify an employer’s corporate values will assist in determining an employee’s job performance and allegiance. Consequently, when an individual discovers genuine and meaningful alignment between his or her own personal values with those of his or her employer, a powerful connection is created. This connection creates numerous possibilities for both individual growth and company productivity, manifested in myriad ways’’ Dean, K.W., 2008.</w:t>
      </w:r>
    </w:p>
    <w:p>
      <w:pPr>
        <w:spacing w:line="360" w:lineRule="auto"/>
        <w:rPr>
          <w:rFonts w:ascii="Arial" w:hAnsi="Arial" w:cs="Arial"/>
        </w:rPr>
      </w:pPr>
      <w:r>
        <w:rPr>
          <w:rFonts w:ascii="Arial" w:hAnsi="Arial" w:cs="Arial"/>
          <w:b/>
          <w:bCs/>
        </w:rPr>
        <w:t>Value</w:t>
      </w:r>
      <w:r>
        <w:rPr>
          <w:rFonts w:ascii="Arial" w:hAnsi="Arial" w:cs="Arial"/>
        </w:rPr>
        <w:t xml:space="preserve"> refers to the worth, significance, or importance that individuals or organizations attach to something. It represents the principles, ideals, and beliefs that guide our behaviour and decision-making. </w:t>
      </w:r>
    </w:p>
    <w:p>
      <w:pPr>
        <w:spacing w:line="360" w:lineRule="auto"/>
        <w:rPr>
          <w:rFonts w:ascii="Arial" w:hAnsi="Arial" w:cs="Arial"/>
        </w:rPr>
      </w:pPr>
      <w:r>
        <w:rPr>
          <w:rFonts w:ascii="Arial" w:hAnsi="Arial" w:cs="Arial"/>
        </w:rPr>
        <w:t>‘’Within the work environment, an individual employee may encounter managers who possess principles and values that seem substantively divergent. These differences may initially present a challenge and even create a potential conflict in continuing the working relationship. In some workplace scenarios, these differences, whether real or perceived, may detrimentally impact the employee, depending on whether the manager can recognize and respect the employee’s differences. Management instability arises when a manager demonstrates no tolerance for diversity.’’ Dean, K.W., 2008.</w:t>
      </w:r>
    </w:p>
    <w:p>
      <w:pPr>
        <w:spacing w:line="360" w:lineRule="auto"/>
        <w:rPr>
          <w:rFonts w:ascii="Arial" w:hAnsi="Arial" w:cs="Arial"/>
        </w:rPr>
      </w:pPr>
      <w:r>
        <w:rPr>
          <w:rFonts w:ascii="Arial" w:hAnsi="Arial" w:cs="Arial"/>
        </w:rPr>
        <w:t>In the workplace, values can have a profound impact on both individuals and the organization. It is important for organizations to define their core values, communicate them effectively, and integrate them into the daily operations to reap the benefits of a value-driven workplace. By fostering a values-based culture, organizations can create a positive work environment, enhance employee satisfaction, and achieve their mission and objectives with integrity.</w:t>
      </w:r>
    </w:p>
    <w:p>
      <w:pPr>
        <w:spacing w:line="360" w:lineRule="auto"/>
        <w:rPr>
          <w:rFonts w:ascii="Arial" w:hAnsi="Arial" w:cs="Arial"/>
        </w:rPr>
      </w:pPr>
      <w:r>
        <w:rPr>
          <w:rFonts w:ascii="Arial" w:hAnsi="Arial" w:cs="Arial"/>
          <w:b/>
          <w:bCs/>
        </w:rPr>
        <w:t>Attitude</w:t>
      </w:r>
      <w:r>
        <w:rPr>
          <w:rFonts w:ascii="Arial" w:hAnsi="Arial" w:cs="Arial"/>
        </w:rPr>
        <w:t xml:space="preserve"> refers to an individual's overall evaluation, perspective, or mindset towards people, objects, situations, or concepts. It is a predisposition that influences our thoughts, emotions, and behaviours. Attitudes are shaped by a combination of personal experiences, beliefs, values, social influences, and cultural factors.</w:t>
      </w:r>
    </w:p>
    <w:p>
      <w:pPr>
        <w:spacing w:line="360" w:lineRule="auto"/>
        <w:rPr>
          <w:rFonts w:ascii="Arial" w:hAnsi="Arial" w:cs="Arial"/>
        </w:rPr>
      </w:pPr>
      <w:r>
        <w:rPr>
          <w:rFonts w:ascii="Arial" w:hAnsi="Arial" w:cs="Arial"/>
        </w:rPr>
        <w:t>In the workplace, attitudes can have a significant impact on both individuals and the overall work environment. Organizations can promote a positive attitude by providing opportunities for growth and development, recognizing and rewarding positive behaviours, and promoting open and effective communication channels.</w:t>
      </w:r>
    </w:p>
    <w:p>
      <w:pPr>
        <w:spacing w:line="360" w:lineRule="auto"/>
        <w:rPr>
          <w:rFonts w:ascii="Arial" w:hAnsi="Arial" w:cs="Arial"/>
        </w:rPr>
      </w:pPr>
      <w:r>
        <w:rPr>
          <w:rFonts w:ascii="Arial" w:hAnsi="Arial" w:cs="Arial"/>
        </w:rPr>
        <w:t>In summary, attitudes are evaluative perspectives, beliefs are cognitive convictions about truth, and values are deeply held principles guiding behaviour. Attitudes are specific and can change more readily, beliefs are enduring and resistant to change, and values are deeply rooted and guide overall behaviour and decision-making.</w:t>
      </w:r>
    </w:p>
    <w:p>
      <w:pPr>
        <w:pStyle w:val="18"/>
        <w:spacing w:line="360" w:lineRule="auto"/>
        <w:ind w:left="1080"/>
      </w:pPr>
    </w:p>
    <w:p>
      <w:pPr>
        <w:pStyle w:val="18"/>
        <w:numPr>
          <w:ilvl w:val="0"/>
          <w:numId w:val="1"/>
        </w:numPr>
        <w:spacing w:line="360" w:lineRule="auto"/>
        <w:rPr>
          <w:rFonts w:ascii="Arial" w:hAnsi="Arial" w:cs="Arial"/>
          <w:b/>
          <w:bCs/>
        </w:rPr>
      </w:pPr>
      <w:r>
        <w:rPr>
          <w:rFonts w:ascii="Arial" w:hAnsi="Arial" w:cs="Arial"/>
          <w:b/>
          <w:bCs/>
        </w:rPr>
        <w:t>Case study of the issues</w:t>
      </w:r>
    </w:p>
    <w:p>
      <w:pPr>
        <w:spacing w:line="360" w:lineRule="auto"/>
        <w:rPr>
          <w:rFonts w:ascii="Arial" w:hAnsi="Arial" w:cs="Arial"/>
        </w:rPr>
      </w:pPr>
      <w:r>
        <w:rPr>
          <w:rFonts w:ascii="Arial" w:hAnsi="Arial" w:cs="Arial"/>
        </w:rPr>
        <w:t>When a significant portion of the staff gets fired, various ethical challenges arise for both the remaining staff and the customers. Here are some of the ethical challenges and the potential positive and negative consequences associated with such a situation:</w:t>
      </w:r>
    </w:p>
    <w:p>
      <w:pPr>
        <w:spacing w:line="360" w:lineRule="auto"/>
        <w:rPr>
          <w:rFonts w:ascii="Arial" w:hAnsi="Arial" w:cs="Arial"/>
        </w:rPr>
      </w:pPr>
      <w:r>
        <w:rPr>
          <w:rFonts w:ascii="Arial" w:hAnsi="Arial" w:cs="Arial"/>
        </w:rPr>
        <w:t>Ethical Challenges for Staff:</w:t>
      </w:r>
    </w:p>
    <w:p>
      <w:pPr>
        <w:spacing w:line="360" w:lineRule="auto"/>
        <w:rPr>
          <w:rFonts w:ascii="Arial" w:hAnsi="Arial" w:cs="Arial"/>
        </w:rPr>
      </w:pPr>
      <w:r>
        <w:rPr>
          <w:rFonts w:ascii="Arial" w:hAnsi="Arial" w:cs="Arial"/>
        </w:rPr>
        <w:t>Job Security and Fairness: The remaining staff may experience concerns about job security and fairness. They might question the criteria used for determining who gets fired and the transparency of the process. Ensuring fairness in the selection process and providing clear explanations can help address these concerns.</w:t>
      </w:r>
    </w:p>
    <w:p>
      <w:pPr>
        <w:spacing w:line="360" w:lineRule="auto"/>
        <w:rPr>
          <w:rFonts w:ascii="Arial" w:hAnsi="Arial" w:cs="Arial"/>
        </w:rPr>
      </w:pPr>
      <w:r>
        <w:rPr>
          <w:rFonts w:ascii="Arial" w:hAnsi="Arial" w:cs="Arial"/>
        </w:rPr>
        <w:t>Emotional Well-being and Morale: The staff who remain after the layoffs may face emotional distress due to increased workload, survivor guilt, or anxiety about their own job stability. Managers need to be aware of these challenges and provide support to maintain employee well-being and morale.</w:t>
      </w:r>
    </w:p>
    <w:p>
      <w:pPr>
        <w:spacing w:line="360" w:lineRule="auto"/>
        <w:rPr>
          <w:rFonts w:ascii="Arial" w:hAnsi="Arial" w:cs="Arial"/>
        </w:rPr>
      </w:pPr>
      <w:r>
        <w:rPr>
          <w:rFonts w:ascii="Arial" w:hAnsi="Arial" w:cs="Arial"/>
        </w:rPr>
        <w:t>Trust and Communication: Layoffs can damage trust between employees and management. Communication becomes crucial during this time to ensure that employees receive accurate information, understand the reasons behind the decisions, and feel that their concerns are being heard and addressed.</w:t>
      </w:r>
    </w:p>
    <w:p>
      <w:pPr>
        <w:spacing w:line="360" w:lineRule="auto"/>
        <w:rPr>
          <w:rFonts w:ascii="Arial" w:hAnsi="Arial" w:cs="Arial"/>
        </w:rPr>
      </w:pPr>
      <w:r>
        <w:rPr>
          <w:rFonts w:ascii="Arial" w:hAnsi="Arial" w:cs="Arial"/>
        </w:rPr>
        <w:t>Organizational Culture: The remaining staff might experience a shift in the organizational culture after layoffs. The loss of colleagues and their expertise can impact team dynamics, collaboration, and overall employee engagement. It is important for managers to foster a positive culture and reinforce shared values to mitigate the negative impact.</w:t>
      </w:r>
    </w:p>
    <w:p>
      <w:pPr>
        <w:spacing w:line="360" w:lineRule="auto"/>
        <w:rPr>
          <w:rFonts w:ascii="Arial" w:hAnsi="Arial" w:cs="Arial"/>
        </w:rPr>
      </w:pPr>
      <w:r>
        <w:rPr>
          <w:rFonts w:ascii="Arial" w:hAnsi="Arial" w:cs="Arial"/>
        </w:rPr>
        <w:t>Ethical Challenges for Customers:</w:t>
      </w:r>
    </w:p>
    <w:p>
      <w:pPr>
        <w:spacing w:line="360" w:lineRule="auto"/>
        <w:rPr>
          <w:rFonts w:ascii="Arial" w:hAnsi="Arial" w:cs="Arial"/>
        </w:rPr>
      </w:pPr>
      <w:r>
        <w:rPr>
          <w:rFonts w:ascii="Arial" w:hAnsi="Arial" w:cs="Arial"/>
        </w:rPr>
        <w:t>Quality of Service: With a reduced staff, the quality of service provided to customers may be compromised. Longer response times, decreased availability, or a decline in the overall customer experience can negatively impact customer satisfaction and loyalty.</w:t>
      </w:r>
    </w:p>
    <w:p>
      <w:pPr>
        <w:spacing w:line="360" w:lineRule="auto"/>
        <w:rPr>
          <w:rFonts w:ascii="Arial" w:hAnsi="Arial" w:cs="Arial"/>
        </w:rPr>
      </w:pPr>
      <w:r>
        <w:rPr>
          <w:rFonts w:ascii="Arial" w:hAnsi="Arial" w:cs="Arial"/>
        </w:rPr>
        <w:t>Trust and Reputation: Customers may question the stability and reliability of the organization after a significant staff reduction. Their trust in the company's ability to deliver on commitments or meet their needs might be diminished, potentially leading to a negative impact on the organization's reputation.</w:t>
      </w:r>
    </w:p>
    <w:p>
      <w:pPr>
        <w:spacing w:line="360" w:lineRule="auto"/>
        <w:rPr>
          <w:rFonts w:ascii="Arial" w:hAnsi="Arial" w:cs="Arial"/>
        </w:rPr>
      </w:pPr>
      <w:r>
        <w:rPr>
          <w:rFonts w:ascii="Arial" w:hAnsi="Arial" w:cs="Arial"/>
        </w:rPr>
        <w:t>Transparency and Communication: Customers expect transparency and open communication from companies. If the reasons behind the layoffs are not communicated effectively or if there is a lack of clarity, customers may perceive the organization as untrustworthy or uncaring.</w:t>
      </w:r>
    </w:p>
    <w:p>
      <w:pPr>
        <w:spacing w:line="360" w:lineRule="auto"/>
        <w:rPr>
          <w:rFonts w:ascii="Arial" w:hAnsi="Arial" w:cs="Arial"/>
        </w:rPr>
      </w:pPr>
      <w:r>
        <w:rPr>
          <w:rFonts w:ascii="Arial" w:hAnsi="Arial" w:cs="Arial"/>
        </w:rPr>
        <w:t>Positive Consequences:</w:t>
      </w:r>
    </w:p>
    <w:p>
      <w:pPr>
        <w:spacing w:line="360" w:lineRule="auto"/>
        <w:rPr>
          <w:rFonts w:ascii="Arial" w:hAnsi="Arial" w:cs="Arial"/>
        </w:rPr>
      </w:pPr>
      <w:r>
        <w:rPr>
          <w:rFonts w:ascii="Arial" w:hAnsi="Arial" w:cs="Arial"/>
        </w:rPr>
        <w:t>Increased Efficiency: A positive consequence of staff reductions can be increased efficiency. With a smaller workforce, streamlined processes, and improved resource allocation, organizations may experience improved productivity and cost savings.</w:t>
      </w:r>
    </w:p>
    <w:p>
      <w:pPr>
        <w:spacing w:line="360" w:lineRule="auto"/>
        <w:rPr>
          <w:rFonts w:ascii="Arial" w:hAnsi="Arial" w:cs="Arial"/>
        </w:rPr>
      </w:pPr>
      <w:r>
        <w:rPr>
          <w:rFonts w:ascii="Arial" w:hAnsi="Arial" w:cs="Arial"/>
        </w:rPr>
        <w:t>Strategic Realignment: Layoffs can provide an opportunity for organizations to strategically realign their workforce and focus on core competencies. This can lead to a more focused and agile organization that is better positioned for success.</w:t>
      </w:r>
    </w:p>
    <w:p>
      <w:pPr>
        <w:spacing w:line="360" w:lineRule="auto"/>
        <w:rPr>
          <w:rFonts w:ascii="Arial" w:hAnsi="Arial" w:cs="Arial"/>
        </w:rPr>
      </w:pPr>
      <w:r>
        <w:rPr>
          <w:rFonts w:ascii="Arial" w:hAnsi="Arial" w:cs="Arial"/>
        </w:rPr>
        <w:t>Negative Consequences:</w:t>
      </w:r>
    </w:p>
    <w:p>
      <w:pPr>
        <w:spacing w:line="360" w:lineRule="auto"/>
        <w:rPr>
          <w:rFonts w:ascii="Arial" w:hAnsi="Arial" w:cs="Arial"/>
        </w:rPr>
      </w:pPr>
      <w:r>
        <w:rPr>
          <w:rFonts w:ascii="Arial" w:hAnsi="Arial" w:cs="Arial"/>
        </w:rPr>
        <w:t>Loss of Knowledge and Experience: Letting go of employees means losing their valuable knowledge, skills, and experience. This loss can have a negative impact on productivity, innovation, and organizational memory.</w:t>
      </w:r>
    </w:p>
    <w:p>
      <w:pPr>
        <w:spacing w:line="360" w:lineRule="auto"/>
        <w:rPr>
          <w:rFonts w:ascii="Arial" w:hAnsi="Arial" w:cs="Arial"/>
        </w:rPr>
      </w:pPr>
      <w:r>
        <w:rPr>
          <w:rFonts w:ascii="Arial" w:hAnsi="Arial" w:cs="Arial"/>
        </w:rPr>
        <w:t>Employee Disengagement: The fear and uncertainty associated with layoffs can lead to decreased employee engagement. Disengaged employees may become less productive, less committed, and less willing to go the extra mile for the organization.</w:t>
      </w:r>
    </w:p>
    <w:p>
      <w:pPr>
        <w:spacing w:line="360" w:lineRule="auto"/>
        <w:rPr>
          <w:rFonts w:ascii="Arial" w:hAnsi="Arial" w:cs="Arial"/>
        </w:rPr>
      </w:pPr>
      <w:r>
        <w:rPr>
          <w:rFonts w:ascii="Arial" w:hAnsi="Arial" w:cs="Arial"/>
        </w:rPr>
        <w:t>Decreased Customer Satisfaction: A reduced staff may struggle to meet customer demands effectively, resulting in lower levels of customer satisfaction. This can lead to a decline in customer loyalty and potential negative word-of-mouth.</w:t>
      </w:r>
    </w:p>
    <w:p>
      <w:pPr>
        <w:pStyle w:val="18"/>
        <w:numPr>
          <w:ilvl w:val="0"/>
          <w:numId w:val="1"/>
        </w:numPr>
        <w:spacing w:line="360" w:lineRule="auto"/>
        <w:rPr>
          <w:rFonts w:ascii="Arial" w:hAnsi="Arial" w:cs="Arial"/>
          <w:b/>
          <w:bCs/>
        </w:rPr>
      </w:pPr>
      <w:r>
        <w:rPr>
          <w:rFonts w:ascii="Arial" w:hAnsi="Arial" w:cs="Arial"/>
          <w:b/>
          <w:bCs/>
        </w:rPr>
        <w:t>Conclusion</w:t>
      </w:r>
    </w:p>
    <w:p>
      <w:pPr>
        <w:spacing w:line="360" w:lineRule="auto"/>
        <w:rPr>
          <w:rFonts w:ascii="Arial" w:hAnsi="Arial" w:cs="Arial"/>
        </w:rPr>
      </w:pPr>
      <w:r>
        <w:rPr>
          <w:rFonts w:ascii="Arial" w:hAnsi="Arial" w:cs="Arial"/>
        </w:rPr>
        <w:t>Managers need to be aware of the beliefs, values, and attitudes of others when making decisions because these factors heavily influence employee motivation, behaviour, and engagement. Understanding individual perspectives allows managers to tailor their actions, build strong relationships, and promote inclusivity. Being aware of diverse beliefs and values helps anticipate conflicts and find common ground for resolution. Moreover, considering these aspects ensures ethical decision-making aligned with employee values, fostering a positive work environment. Ultimately, managers who recognize and respect the beliefs, values, and attitudes of others can create a more supportive, engaged, and productive workforce.</w:t>
      </w:r>
    </w:p>
    <w:p>
      <w:pPr>
        <w:spacing w:line="360" w:lineRule="auto"/>
      </w:pPr>
      <w:bookmarkStart w:id="0" w:name="_GoBack"/>
      <w:bookmarkEnd w:id="0"/>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pStyle w:val="18"/>
        <w:numPr>
          <w:ilvl w:val="0"/>
          <w:numId w:val="1"/>
        </w:numPr>
        <w:spacing w:line="360" w:lineRule="auto"/>
        <w:rPr>
          <w:b/>
          <w:bCs/>
        </w:rPr>
      </w:pPr>
      <w:r>
        <w:rPr>
          <w:rFonts w:ascii="Arial" w:hAnsi="Arial" w:cs="Arial"/>
          <w:b/>
          <w:bCs/>
        </w:rPr>
        <w:t xml:space="preserve">Reference list </w:t>
      </w:r>
    </w:p>
    <w:p>
      <w:pPr>
        <w:pStyle w:val="18"/>
        <w:numPr>
          <w:ilvl w:val="0"/>
          <w:numId w:val="2"/>
        </w:numPr>
        <w:spacing w:line="360" w:lineRule="auto"/>
        <w:ind w:left="1080"/>
      </w:pPr>
      <w:r>
        <w:rPr>
          <w:rFonts w:ascii="Open Sans" w:hAnsi="Open Sans" w:cs="Open Sans"/>
          <w:color w:val="333333"/>
          <w:shd w:val="clear" w:color="auto" w:fill="FFFFFF"/>
        </w:rPr>
        <w:t>Blank, R., &amp; Slipp, S. (1994). </w:t>
      </w:r>
      <w:r>
        <w:rPr>
          <w:rStyle w:val="6"/>
          <w:rFonts w:ascii="Open Sans" w:hAnsi="Open Sans" w:cs="Open Sans"/>
          <w:color w:val="333333"/>
          <w:shd w:val="clear" w:color="auto" w:fill="FFFFFF"/>
        </w:rPr>
        <w:t>Voices of diversity</w:t>
      </w:r>
      <w:r>
        <w:rPr>
          <w:rFonts w:ascii="Open Sans" w:hAnsi="Open Sans" w:cs="Open Sans"/>
          <w:color w:val="333333"/>
          <w:shd w:val="clear" w:color="auto" w:fill="FFFFFF"/>
        </w:rPr>
        <w:t>. New York: Amacom.</w:t>
      </w:r>
    </w:p>
    <w:p>
      <w:pPr>
        <w:pStyle w:val="18"/>
        <w:numPr>
          <w:ilvl w:val="0"/>
          <w:numId w:val="2"/>
        </w:numPr>
        <w:spacing w:line="360" w:lineRule="auto"/>
        <w:ind w:left="1080" w:leftChars="0" w:firstLine="0" w:firstLineChars="0"/>
      </w:pPr>
      <w:r>
        <w:rPr>
          <w:rFonts w:ascii="Arial" w:hAnsi="Arial" w:cs="Arial"/>
          <w:color w:val="222222"/>
          <w:sz w:val="20"/>
          <w:szCs w:val="20"/>
          <w:shd w:val="clear" w:color="auto" w:fill="FFFFFF"/>
        </w:rPr>
        <w:t>Churchland, P.S. and Churchland, P.M., 2012. What are beliefs?. In </w:t>
      </w:r>
      <w:r>
        <w:rPr>
          <w:rFonts w:ascii="Arial" w:hAnsi="Arial" w:cs="Arial"/>
          <w:i/>
          <w:iCs/>
          <w:color w:val="222222"/>
          <w:sz w:val="20"/>
          <w:szCs w:val="20"/>
          <w:shd w:val="clear" w:color="auto" w:fill="FFFFFF"/>
        </w:rPr>
        <w:t>The neural basis of human belief systems</w:t>
      </w:r>
      <w:r>
        <w:rPr>
          <w:rFonts w:ascii="Arial" w:hAnsi="Arial" w:cs="Arial"/>
          <w:color w:val="222222"/>
          <w:sz w:val="20"/>
          <w:szCs w:val="20"/>
          <w:shd w:val="clear" w:color="auto" w:fill="FFFFFF"/>
        </w:rPr>
        <w:t> (pp. 1-17). Psychology Press.</w:t>
      </w:r>
    </w:p>
    <w:p>
      <w:pPr>
        <w:pStyle w:val="18"/>
        <w:numPr>
          <w:ilvl w:val="0"/>
          <w:numId w:val="2"/>
        </w:numPr>
        <w:spacing w:line="360" w:lineRule="auto"/>
        <w:ind w:left="1080" w:leftChars="0" w:firstLine="0" w:firstLineChars="0"/>
      </w:pPr>
      <w:r>
        <w:rPr>
          <w:rFonts w:ascii="Arial" w:hAnsi="Arial" w:cs="Arial"/>
          <w:color w:val="222222"/>
          <w:sz w:val="20"/>
          <w:szCs w:val="20"/>
          <w:shd w:val="clear" w:color="auto" w:fill="FFFFFF"/>
        </w:rPr>
        <w:t>Davidson, D., 1974. Belief and the Basis of Meaning. </w:t>
      </w:r>
      <w:r>
        <w:rPr>
          <w:rFonts w:ascii="Arial" w:hAnsi="Arial" w:cs="Arial"/>
          <w:i/>
          <w:iCs/>
          <w:color w:val="222222"/>
          <w:sz w:val="20"/>
          <w:szCs w:val="20"/>
          <w:shd w:val="clear" w:color="auto" w:fill="FFFFFF"/>
        </w:rPr>
        <w:t>Synthese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(3-4), pp.309-323.</w:t>
      </w:r>
    </w:p>
    <w:p>
      <w:pPr>
        <w:pStyle w:val="18"/>
        <w:numPr>
          <w:ilvl w:val="0"/>
          <w:numId w:val="2"/>
        </w:numPr>
        <w:spacing w:line="360" w:lineRule="auto"/>
        <w:ind w:left="1080" w:leftChars="0" w:firstLine="0" w:firstLineChars="0"/>
      </w:pPr>
      <w:r>
        <w:rPr>
          <w:rFonts w:ascii="Arial" w:hAnsi="Arial" w:cs="Arial"/>
          <w:color w:val="222222"/>
          <w:sz w:val="20"/>
          <w:szCs w:val="20"/>
          <w:shd w:val="clear" w:color="auto" w:fill="FFFFFF"/>
        </w:rPr>
        <w:t>Dean, K.W., 2008. Values-based leadership: How our personal values impact the workplace. </w:t>
      </w:r>
      <w:r>
        <w:rPr>
          <w:rFonts w:ascii="Arial" w:hAnsi="Arial" w:cs="Arial"/>
          <w:i/>
          <w:iCs/>
          <w:color w:val="222222"/>
          <w:sz w:val="20"/>
          <w:szCs w:val="20"/>
          <w:shd w:val="clear" w:color="auto" w:fill="FFFFFF"/>
        </w:rPr>
        <w:t>The Journal of Values-based leadership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p.9.</w:t>
      </w:r>
    </w:p>
    <w:p>
      <w:pPr>
        <w:pStyle w:val="18"/>
        <w:numPr>
          <w:ilvl w:val="0"/>
          <w:numId w:val="2"/>
        </w:numPr>
        <w:spacing w:line="360" w:lineRule="auto"/>
        <w:ind w:left="1080" w:leftChars="0" w:firstLine="0" w:firstLineChars="0"/>
        <w:rPr>
          <w:rFonts w:ascii="Open Sans" w:hAnsi="Open Sans" w:cs="Open Sans"/>
          <w:color w:val="333333"/>
          <w:shd w:val="clear" w:color="auto" w:fill="FFFFFF"/>
        </w:rPr>
      </w:pPr>
      <w:r>
        <w:rPr>
          <w:rFonts w:ascii="Open Sans" w:hAnsi="Open Sans" w:cs="Open Sans"/>
          <w:color w:val="333333"/>
          <w:shd w:val="clear" w:color="auto" w:fill="FFFFFF"/>
        </w:rPr>
        <w:t>Harris, P. R., &amp; Moran, R. T. (1996). </w:t>
      </w:r>
      <w:r>
        <w:rPr>
          <w:rStyle w:val="6"/>
          <w:rFonts w:ascii="Open Sans" w:hAnsi="Open Sans" w:cs="Open Sans"/>
          <w:color w:val="333333"/>
          <w:shd w:val="clear" w:color="auto" w:fill="FFFFFF"/>
        </w:rPr>
        <w:t>Managing cultural differences, leadership strategies for a new world of business</w:t>
      </w:r>
      <w:r>
        <w:rPr>
          <w:rFonts w:ascii="Open Sans" w:hAnsi="Open Sans" w:cs="Open Sans"/>
          <w:color w:val="333333"/>
          <w:shd w:val="clear" w:color="auto" w:fill="FFFFFF"/>
        </w:rPr>
        <w:t> (4th ed.). Houston, TX: Gulf Publishing.</w:t>
      </w:r>
    </w:p>
    <w:p>
      <w:pPr>
        <w:pStyle w:val="18"/>
        <w:numPr>
          <w:ilvl w:val="0"/>
          <w:numId w:val="2"/>
        </w:numPr>
        <w:spacing w:line="360" w:lineRule="auto"/>
        <w:ind w:left="1080" w:leftChars="0" w:firstLine="0" w:firstLineChars="0"/>
        <w:rPr>
          <w:rFonts w:ascii="Arial" w:hAnsi="Arial" w:cs="Arial"/>
          <w:color w:val="222222"/>
          <w:sz w:val="20"/>
          <w:szCs w:val="20"/>
          <w:shd w:val="clear" w:color="auto" w:fill="FFFFFF"/>
        </w:rPr>
      </w:pPr>
      <w:r>
        <w:rPr>
          <w:rFonts w:ascii="Arial" w:hAnsi="Arial" w:cs="Arial"/>
          <w:color w:val="222222"/>
          <w:sz w:val="20"/>
          <w:szCs w:val="20"/>
          <w:shd w:val="clear" w:color="auto" w:fill="FFFFFF"/>
        </w:rPr>
        <w:t>Maio, G.R., Verplanken, B. and Haddock, G., 2018. </w:t>
      </w:r>
      <w:r>
        <w:rPr>
          <w:rFonts w:ascii="Arial" w:hAnsi="Arial" w:cs="Arial"/>
          <w:i/>
          <w:iCs/>
          <w:color w:val="222222"/>
          <w:sz w:val="20"/>
          <w:szCs w:val="20"/>
          <w:shd w:val="clear" w:color="auto" w:fill="FFFFFF"/>
        </w:rPr>
        <w:t>The psychology of attitudes and attitude change</w:t>
      </w:r>
      <w:r>
        <w:rPr>
          <w:rFonts w:ascii="Arial" w:hAnsi="Arial" w:cs="Arial"/>
          <w:color w:val="222222"/>
          <w:sz w:val="20"/>
          <w:szCs w:val="20"/>
          <w:shd w:val="clear" w:color="auto" w:fill="FFFFFF"/>
        </w:rPr>
        <w:t>. Sage.</w:t>
      </w:r>
    </w:p>
    <w:p>
      <w:pPr>
        <w:pStyle w:val="18"/>
        <w:numPr>
          <w:ilvl w:val="0"/>
          <w:numId w:val="2"/>
        </w:numPr>
        <w:spacing w:line="360" w:lineRule="auto"/>
        <w:ind w:left="1080" w:leftChars="0" w:firstLine="0" w:firstLineChars="0"/>
      </w:pPr>
      <w:r>
        <w:rPr>
          <w:rFonts w:ascii="Arial" w:hAnsi="Arial" w:cs="Arial"/>
          <w:color w:val="222222"/>
          <w:sz w:val="20"/>
          <w:szCs w:val="20"/>
          <w:shd w:val="clear" w:color="auto" w:fill="FFFFFF"/>
        </w:rPr>
        <w:t>Mehdad, A. and Iranpour, M., 2014. Relationship between religious beliefs, workplace happiness and organizational commitment. </w:t>
      </w:r>
      <w:r>
        <w:rPr>
          <w:rFonts w:ascii="Arial" w:hAnsi="Arial" w:cs="Arial"/>
          <w:i/>
          <w:iCs/>
          <w:color w:val="222222"/>
          <w:sz w:val="20"/>
          <w:szCs w:val="20"/>
          <w:shd w:val="clear" w:color="auto" w:fill="FFFFFF"/>
        </w:rPr>
        <w:t>International Journal of Scientific Management and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(10), pp.562-568.</w:t>
      </w:r>
    </w:p>
    <w:p>
      <w:pPr>
        <w:pStyle w:val="18"/>
        <w:numPr>
          <w:ilvl w:val="0"/>
          <w:numId w:val="2"/>
        </w:numPr>
        <w:spacing w:line="360" w:lineRule="auto"/>
        <w:ind w:left="1080" w:leftChars="0" w:firstLine="0" w:firstLineChars="0"/>
      </w:pPr>
      <w:r>
        <w:rPr>
          <w:rFonts w:ascii="Arial" w:hAnsi="Arial" w:cs="Arial"/>
          <w:color w:val="222222"/>
          <w:sz w:val="20"/>
          <w:szCs w:val="20"/>
          <w:shd w:val="clear" w:color="auto" w:fill="FFFFFF"/>
        </w:rPr>
        <w:t>Patrick, H.A. and Kumar, V.R., 2012. Managing workplace diversity: Issues and challenges. </w:t>
      </w:r>
      <w:r>
        <w:rPr>
          <w:rFonts w:ascii="Arial" w:hAnsi="Arial" w:cs="Arial"/>
          <w:i/>
          <w:iCs/>
          <w:color w:val="222222"/>
          <w:sz w:val="20"/>
          <w:szCs w:val="20"/>
          <w:shd w:val="clear" w:color="auto" w:fill="FFFFFF"/>
        </w:rPr>
        <w:t>Sage Open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p.2158244012444615.</w:t>
      </w:r>
    </w:p>
    <w:p>
      <w:pPr>
        <w:pStyle w:val="18"/>
        <w:numPr>
          <w:ilvl w:val="0"/>
          <w:numId w:val="2"/>
        </w:numPr>
        <w:spacing w:line="360" w:lineRule="auto"/>
        <w:ind w:left="1080" w:leftChars="0" w:firstLine="0" w:firstLineChars="0"/>
      </w:pPr>
      <w:r>
        <w:rPr>
          <w:rFonts w:ascii="Arial" w:hAnsi="Arial" w:cs="Arial"/>
          <w:color w:val="222222"/>
          <w:sz w:val="20"/>
          <w:szCs w:val="20"/>
          <w:shd w:val="clear" w:color="auto" w:fill="FFFFFF"/>
        </w:rPr>
        <w:t>Petrulaitiene, V. and Jylhä, T., 2015. The perceived value of workplace concepts for organisations. </w:t>
      </w:r>
      <w:r>
        <w:rPr>
          <w:rFonts w:ascii="Arial" w:hAnsi="Arial" w:cs="Arial"/>
          <w:i/>
          <w:iCs/>
          <w:color w:val="222222"/>
          <w:sz w:val="20"/>
          <w:szCs w:val="20"/>
          <w:shd w:val="clear" w:color="auto" w:fill="FFFFFF"/>
        </w:rPr>
        <w:t>Journal of Corporate Real Estate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(4), pp.260-281.</w:t>
      </w:r>
    </w:p>
    <w:p>
      <w:pPr>
        <w:pStyle w:val="18"/>
        <w:numPr>
          <w:ilvl w:val="0"/>
          <w:numId w:val="2"/>
        </w:numPr>
        <w:spacing w:line="360" w:lineRule="auto"/>
        <w:ind w:left="1080" w:leftChars="0" w:firstLine="0" w:firstLineChars="0"/>
        <w:rPr>
          <w:rFonts w:ascii="Open Sans" w:hAnsi="Open Sans" w:cs="Open Sans"/>
          <w:color w:val="333333"/>
          <w:shd w:val="clear" w:color="auto" w:fill="FFFFFF"/>
        </w:rPr>
      </w:pPr>
      <w:r>
        <w:rPr>
          <w:rFonts w:ascii="Arial" w:hAnsi="Arial" w:cs="Arial"/>
          <w:color w:val="222222"/>
          <w:sz w:val="20"/>
          <w:szCs w:val="20"/>
          <w:shd w:val="clear" w:color="auto" w:fill="FFFFFF"/>
        </w:rPr>
        <w:t>Singh, P., Bhandarker, A., Rai, S. and Jain, A.K., 2011. Relationship between values and workplace: an exploratory analysis. </w:t>
      </w:r>
      <w:r>
        <w:rPr>
          <w:rFonts w:ascii="Arial" w:hAnsi="Arial" w:cs="Arial"/>
          <w:i/>
          <w:iCs/>
          <w:color w:val="222222"/>
          <w:sz w:val="20"/>
          <w:szCs w:val="20"/>
          <w:shd w:val="clear" w:color="auto" w:fill="FFFFFF"/>
        </w:rPr>
        <w:t>Facilities</w:t>
      </w:r>
      <w:r>
        <w:rPr>
          <w:rFonts w:ascii="Arial" w:hAnsi="Arial" w:cs="Arial"/>
          <w:color w:val="222222"/>
          <w:sz w:val="20"/>
          <w:szCs w:val="20"/>
          <w:shd w:val="clear" w:color="auto" w:fill="FFFFFF"/>
        </w:rPr>
        <w:t>.</w:t>
      </w:r>
    </w:p>
    <w:p>
      <w:pPr>
        <w:pStyle w:val="18"/>
        <w:numPr>
          <w:ilvl w:val="0"/>
          <w:numId w:val="2"/>
        </w:numPr>
        <w:spacing w:line="360" w:lineRule="auto"/>
        <w:ind w:left="1080" w:leftChars="0" w:firstLine="0" w:firstLineChars="0"/>
      </w:pPr>
      <w:r>
        <w:rPr>
          <w:rFonts w:ascii="Arial" w:hAnsi="Arial" w:cs="Arial"/>
          <w:color w:val="222222"/>
          <w:sz w:val="20"/>
          <w:szCs w:val="20"/>
          <w:shd w:val="clear" w:color="auto" w:fill="FFFFFF"/>
        </w:rPr>
        <w:t>Usó-Doménech, J.L. and Nescolarde-Selva, J., 2016. What are belief systems?. </w:t>
      </w:r>
      <w:r>
        <w:rPr>
          <w:rFonts w:ascii="Arial" w:hAnsi="Arial" w:cs="Arial"/>
          <w:i/>
          <w:iCs/>
          <w:color w:val="222222"/>
          <w:sz w:val="20"/>
          <w:szCs w:val="20"/>
          <w:shd w:val="clear" w:color="auto" w:fill="FFFFFF"/>
        </w:rPr>
        <w:t>Foundations of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 pp.147-152.</w:t>
      </w:r>
    </w:p>
    <w:p>
      <w:pPr>
        <w:pStyle w:val="18"/>
        <w:numPr>
          <w:ilvl w:val="0"/>
          <w:numId w:val="2"/>
        </w:numPr>
        <w:spacing w:line="360" w:lineRule="auto"/>
        <w:ind w:left="1080" w:leftChars="0" w:firstLine="0" w:firstLineChars="0"/>
      </w:pPr>
      <w:r>
        <w:rPr>
          <w:rFonts w:ascii="Arial" w:hAnsi="Arial" w:cs="Arial"/>
          <w:color w:val="222222"/>
          <w:sz w:val="20"/>
          <w:szCs w:val="20"/>
          <w:shd w:val="clear" w:color="auto" w:fill="FFFFFF"/>
        </w:rPr>
        <w:t>Żuk, P., 2017. Employment structures, employee attitudes and workplace resistance in neoliberal Poland. </w:t>
      </w:r>
      <w:r>
        <w:rPr>
          <w:rFonts w:ascii="Arial" w:hAnsi="Arial" w:cs="Arial"/>
          <w:i/>
          <w:iCs/>
          <w:color w:val="222222"/>
          <w:sz w:val="20"/>
          <w:szCs w:val="20"/>
          <w:shd w:val="clear" w:color="auto" w:fill="FFFFFF"/>
        </w:rPr>
        <w:t>The Economic and Labour Relations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(1), pp.91-112.</w:t>
      </w:r>
    </w:p>
    <w:p>
      <w:pPr>
        <w:pStyle w:val="18"/>
        <w:spacing w:line="360" w:lineRule="auto"/>
        <w:ind w:left="1080"/>
        <w:rPr>
          <w:rFonts w:ascii="Arial" w:hAnsi="Arial" w:cs="Arial"/>
          <w:sz w:val="22"/>
          <w:szCs w:val="22"/>
        </w:rPr>
      </w:pPr>
    </w:p>
    <w:p>
      <w:pPr>
        <w:pStyle w:val="18"/>
        <w:spacing w:line="360" w:lineRule="auto"/>
        <w:ind w:left="1080"/>
        <w:rPr>
          <w:rFonts w:ascii="Arial" w:hAnsi="Arial" w:cs="Arial"/>
          <w:color w:val="222222"/>
          <w:sz w:val="20"/>
          <w:szCs w:val="20"/>
          <w:shd w:val="clear" w:color="auto" w:fill="FFFFFF"/>
        </w:rPr>
      </w:pPr>
    </w:p>
    <w:p>
      <w:pPr>
        <w:pStyle w:val="18"/>
        <w:spacing w:line="360" w:lineRule="auto"/>
        <w:ind w:left="1080"/>
        <w:rPr>
          <w:rFonts w:ascii="Arial" w:hAnsi="Arial" w:cs="Arial"/>
          <w:sz w:val="22"/>
          <w:szCs w:val="22"/>
        </w:rPr>
      </w:pPr>
    </w:p>
    <w:p>
      <w:pPr>
        <w:pStyle w:val="18"/>
        <w:spacing w:line="360" w:lineRule="auto"/>
        <w:ind w:left="1080"/>
        <w:rPr>
          <w:rFonts w:ascii="Arial" w:hAnsi="Arial" w:cs="Arial"/>
          <w:sz w:val="22"/>
          <w:szCs w:val="22"/>
        </w:rPr>
      </w:pPr>
    </w:p>
    <w:p>
      <w:pPr>
        <w:pStyle w:val="18"/>
        <w:spacing w:line="360" w:lineRule="auto"/>
        <w:ind w:left="1080"/>
        <w:rPr>
          <w:rFonts w:ascii="Arial" w:hAnsi="Arial" w:cs="Arial"/>
          <w:sz w:val="22"/>
          <w:szCs w:val="22"/>
        </w:rPr>
      </w:pPr>
    </w:p>
    <w:p>
      <w:pPr>
        <w:rPr>
          <w:lang w:val="en-US"/>
        </w:rPr>
      </w:pPr>
    </w:p>
    <w:sectPr>
      <w:footerReference r:id="rId5" w:type="default"/>
      <w:pgSz w:w="11906" w:h="16838"/>
      <w:pgMar w:top="1440" w:right="1440" w:bottom="1440"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mj-ea">
    <w:altName w:val="AMGDT"/>
    <w:panose1 w:val="00000000000000000000"/>
    <w:charset w:val="00"/>
    <w:family w:val="auto"/>
    <w:pitch w:val="default"/>
    <w:sig w:usb0="00000000" w:usb1="00000000" w:usb2="00000000" w:usb3="00000000" w:csb0="00000000" w:csb1="00000000"/>
  </w:font>
  <w:font w:name="mn-ea">
    <w:altName w:val="AMGD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Open Sans">
    <w:altName w:val="Times New Roman"/>
    <w:panose1 w:val="00000000000000000000"/>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pPr>
    <w:r>
      <w:fldChar w:fldCharType="begin"/>
    </w:r>
    <w:r>
      <w:instrText xml:space="preserve"> PAGE </w:instrText>
    </w:r>
    <w:r>
      <w:fldChar w:fldCharType="separate"/>
    </w:r>
    <w:r>
      <w:t>2</w:t>
    </w:r>
    <w:r>
      <w:fldChar w:fldCharType="end"/>
    </w:r>
  </w:p>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9" w:lineRule="auto"/>
      </w:pPr>
      <w:r>
        <w:separator/>
      </w:r>
    </w:p>
  </w:footnote>
  <w:footnote w:type="continuationSeparator" w:id="1">
    <w:p>
      <w:pPr>
        <w:spacing w:before="0" w:after="0" w:line="24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BEF890"/>
    <w:multiLevelType w:val="singleLevel"/>
    <w:tmpl w:val="AEBEF890"/>
    <w:lvl w:ilvl="0" w:tentative="0">
      <w:start w:val="1"/>
      <w:numFmt w:val="decimal"/>
      <w:suff w:val="space"/>
      <w:lvlText w:val="%1."/>
      <w:lvlJc w:val="left"/>
    </w:lvl>
  </w:abstractNum>
  <w:abstractNum w:abstractNumId="1">
    <w:nsid w:val="477D3AC5"/>
    <w:multiLevelType w:val="multilevel"/>
    <w:tmpl w:val="477D3AC5"/>
    <w:lvl w:ilvl="0" w:tentative="0">
      <w:start w:val="1"/>
      <w:numFmt w:val="decimal"/>
      <w:lvlText w:val="%1."/>
      <w:lvlJc w:val="left"/>
      <w:pPr>
        <w:ind w:left="1140" w:hanging="360"/>
      </w:pPr>
      <w:rPr>
        <w:rFonts w:hint="default"/>
      </w:rPr>
    </w:lvl>
    <w:lvl w:ilvl="1" w:tentative="0">
      <w:start w:val="1"/>
      <w:numFmt w:val="lowerLetter"/>
      <w:lvlText w:val="%2."/>
      <w:lvlJc w:val="left"/>
      <w:pPr>
        <w:ind w:left="1860" w:hanging="360"/>
      </w:pPr>
    </w:lvl>
    <w:lvl w:ilvl="2" w:tentative="0">
      <w:start w:val="1"/>
      <w:numFmt w:val="lowerRoman"/>
      <w:lvlText w:val="%3."/>
      <w:lvlJc w:val="right"/>
      <w:pPr>
        <w:ind w:left="2580" w:hanging="180"/>
      </w:pPr>
    </w:lvl>
    <w:lvl w:ilvl="3" w:tentative="0">
      <w:start w:val="1"/>
      <w:numFmt w:val="decimal"/>
      <w:lvlText w:val="%4."/>
      <w:lvlJc w:val="left"/>
      <w:pPr>
        <w:ind w:left="3300" w:hanging="360"/>
      </w:pPr>
    </w:lvl>
    <w:lvl w:ilvl="4" w:tentative="0">
      <w:start w:val="1"/>
      <w:numFmt w:val="lowerLetter"/>
      <w:lvlText w:val="%5."/>
      <w:lvlJc w:val="left"/>
      <w:pPr>
        <w:ind w:left="4020" w:hanging="360"/>
      </w:pPr>
    </w:lvl>
    <w:lvl w:ilvl="5" w:tentative="0">
      <w:start w:val="1"/>
      <w:numFmt w:val="lowerRoman"/>
      <w:lvlText w:val="%6."/>
      <w:lvlJc w:val="right"/>
      <w:pPr>
        <w:ind w:left="4740" w:hanging="180"/>
      </w:pPr>
    </w:lvl>
    <w:lvl w:ilvl="6" w:tentative="0">
      <w:start w:val="1"/>
      <w:numFmt w:val="decimal"/>
      <w:lvlText w:val="%7."/>
      <w:lvlJc w:val="left"/>
      <w:pPr>
        <w:ind w:left="5460" w:hanging="360"/>
      </w:pPr>
    </w:lvl>
    <w:lvl w:ilvl="7" w:tentative="0">
      <w:start w:val="1"/>
      <w:numFmt w:val="lowerLetter"/>
      <w:lvlText w:val="%8."/>
      <w:lvlJc w:val="left"/>
      <w:pPr>
        <w:ind w:left="6180" w:hanging="360"/>
      </w:pPr>
    </w:lvl>
    <w:lvl w:ilvl="8" w:tentative="0">
      <w:start w:val="1"/>
      <w:numFmt w:val="lowerRoman"/>
      <w:lvlText w:val="%9."/>
      <w:lvlJc w:val="right"/>
      <w:pPr>
        <w:ind w:left="69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autoHyphenation/>
  <w:characterSpacingControl w:val="doNotCompress"/>
  <w:footnotePr>
    <w:footnote w:id="0"/>
    <w:footnote w:id="1"/>
  </w:footnotePr>
  <w:endnotePr>
    <w:endnote w:id="0"/>
    <w:endnote w:id="1"/>
  </w:endnotePr>
  <w:compat>
    <w:compatSetting w:name="compatibilityMode" w:uri="http://schemas.microsoft.com/office/word" w:val="15"/>
  </w:compat>
  <w:rsids>
    <w:rsidRoot w:val="007E1A92"/>
    <w:rsid w:val="000F053A"/>
    <w:rsid w:val="0025390F"/>
    <w:rsid w:val="00327EEF"/>
    <w:rsid w:val="004B51BD"/>
    <w:rsid w:val="005B463A"/>
    <w:rsid w:val="007E1A92"/>
    <w:rsid w:val="00835644"/>
    <w:rsid w:val="009670A0"/>
    <w:rsid w:val="009E070B"/>
    <w:rsid w:val="00AC714C"/>
    <w:rsid w:val="00B268FA"/>
    <w:rsid w:val="00B73E61"/>
    <w:rsid w:val="00BF40C1"/>
    <w:rsid w:val="00C105C9"/>
    <w:rsid w:val="00DD3512"/>
    <w:rsid w:val="00EE7159"/>
    <w:rsid w:val="00EF0913"/>
    <w:rsid w:val="25063D7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unhideWhenUsed="0" w:uiPriority="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autoSpaceDN w:val="0"/>
      <w:spacing w:after="160" w:line="249" w:lineRule="auto"/>
    </w:pPr>
    <w:rPr>
      <w:rFonts w:ascii="Calibri" w:hAnsi="Calibri" w:eastAsia="Calibri" w:cs="Times New Roman"/>
      <w:kern w:val="3"/>
      <w:sz w:val="22"/>
      <w:szCs w:val="22"/>
      <w:lang w:val="en-GB" w:eastAsia="en-US" w:bidi="ar-SA"/>
    </w:rPr>
  </w:style>
  <w:style w:type="paragraph" w:styleId="2">
    <w:name w:val="heading 1"/>
    <w:basedOn w:val="1"/>
    <w:next w:val="1"/>
    <w:link w:val="2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unhideWhenUsed/>
    <w:qFormat/>
    <w:uiPriority w:val="9"/>
    <w:pPr>
      <w:spacing w:before="100" w:after="100" w:line="240" w:lineRule="auto"/>
      <w:outlineLvl w:val="1"/>
    </w:pPr>
    <w:rPr>
      <w:rFonts w:ascii="Times New Roman" w:hAnsi="Times New Roman" w:eastAsia="Times New Roman"/>
      <w:b/>
      <w:bCs/>
      <w:kern w:val="0"/>
      <w:sz w:val="36"/>
      <w:szCs w:val="36"/>
      <w:lang w:val="en-US"/>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Emphasis"/>
    <w:basedOn w:val="4"/>
    <w:uiPriority w:val="0"/>
    <w:rPr>
      <w:i/>
      <w:iCs/>
    </w:rPr>
  </w:style>
  <w:style w:type="paragraph" w:styleId="7">
    <w:name w:val="footer"/>
    <w:basedOn w:val="1"/>
    <w:uiPriority w:val="0"/>
    <w:pPr>
      <w:tabs>
        <w:tab w:val="center" w:pos="4513"/>
        <w:tab w:val="right" w:pos="9026"/>
      </w:tabs>
      <w:spacing w:after="0" w:line="240" w:lineRule="auto"/>
    </w:pPr>
  </w:style>
  <w:style w:type="paragraph" w:styleId="8">
    <w:name w:val="header"/>
    <w:basedOn w:val="1"/>
    <w:uiPriority w:val="0"/>
    <w:pPr>
      <w:tabs>
        <w:tab w:val="center" w:pos="4513"/>
        <w:tab w:val="right" w:pos="9026"/>
      </w:tabs>
      <w:spacing w:after="0" w:line="240" w:lineRule="auto"/>
    </w:pPr>
  </w:style>
  <w:style w:type="paragraph" w:styleId="9">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hAnsi="Courier New" w:eastAsia="Times New Roman" w:cs="Courier New"/>
      <w:kern w:val="0"/>
      <w:sz w:val="20"/>
      <w:szCs w:val="20"/>
      <w:lang w:val="en-US"/>
    </w:rPr>
  </w:style>
  <w:style w:type="character" w:styleId="10">
    <w:name w:val="Hyperlink"/>
    <w:basedOn w:val="4"/>
    <w:uiPriority w:val="0"/>
    <w:rPr>
      <w:color w:val="0000FF"/>
      <w:u w:val="single"/>
    </w:rPr>
  </w:style>
  <w:style w:type="paragraph" w:styleId="11">
    <w:name w:val="Normal (Web)"/>
    <w:basedOn w:val="1"/>
    <w:uiPriority w:val="0"/>
    <w:pPr>
      <w:suppressAutoHyphens w:val="0"/>
      <w:spacing w:before="100" w:after="100" w:line="240" w:lineRule="auto"/>
    </w:pPr>
    <w:rPr>
      <w:rFonts w:ascii="Times New Roman" w:hAnsi="Times New Roman" w:eastAsia="Times New Roman"/>
      <w:kern w:val="0"/>
      <w:sz w:val="24"/>
      <w:szCs w:val="24"/>
      <w:lang w:val="en-US"/>
    </w:rPr>
  </w:style>
  <w:style w:type="character" w:styleId="12">
    <w:name w:val="Strong"/>
    <w:basedOn w:val="4"/>
    <w:qFormat/>
    <w:uiPriority w:val="22"/>
    <w:rPr>
      <w:b/>
      <w:bCs/>
    </w:rPr>
  </w:style>
  <w:style w:type="character" w:customStyle="1" w:styleId="13">
    <w:name w:val="Heading 2 Char"/>
    <w:basedOn w:val="4"/>
    <w:uiPriority w:val="0"/>
    <w:rPr>
      <w:rFonts w:ascii="Times New Roman" w:hAnsi="Times New Roman" w:eastAsia="Times New Roman" w:cs="Times New Roman"/>
      <w:b/>
      <w:bCs/>
      <w:kern w:val="0"/>
      <w:sz w:val="36"/>
      <w:szCs w:val="36"/>
      <w:lang w:val="en-US"/>
    </w:rPr>
  </w:style>
  <w:style w:type="character" w:customStyle="1" w:styleId="14">
    <w:name w:val="color-black"/>
    <w:basedOn w:val="4"/>
    <w:uiPriority w:val="0"/>
  </w:style>
  <w:style w:type="paragraph" w:customStyle="1" w:styleId="15">
    <w:name w:val="slide_content"/>
    <w:basedOn w:val="1"/>
    <w:uiPriority w:val="0"/>
    <w:pPr>
      <w:spacing w:before="100" w:after="100" w:line="240" w:lineRule="auto"/>
    </w:pPr>
    <w:rPr>
      <w:rFonts w:ascii="Times New Roman" w:hAnsi="Times New Roman" w:eastAsia="Times New Roman"/>
      <w:kern w:val="0"/>
      <w:sz w:val="24"/>
      <w:szCs w:val="24"/>
      <w:lang w:val="en-US"/>
    </w:rPr>
  </w:style>
  <w:style w:type="character" w:customStyle="1" w:styleId="16">
    <w:name w:val="color-orange"/>
    <w:basedOn w:val="4"/>
    <w:uiPriority w:val="0"/>
  </w:style>
  <w:style w:type="character" w:customStyle="1" w:styleId="17">
    <w:name w:val="color-blue"/>
    <w:basedOn w:val="4"/>
    <w:uiPriority w:val="0"/>
  </w:style>
  <w:style w:type="paragraph" w:styleId="18">
    <w:name w:val="List Paragraph"/>
    <w:basedOn w:val="1"/>
    <w:uiPriority w:val="0"/>
    <w:pPr>
      <w:spacing w:before="100" w:after="100" w:line="240" w:lineRule="auto"/>
      <w:ind w:left="720"/>
      <w:contextualSpacing/>
    </w:pPr>
    <w:rPr>
      <w:rFonts w:ascii="Times New Roman" w:hAnsi="Times New Roman" w:eastAsia="Times New Roman"/>
      <w:kern w:val="0"/>
      <w:sz w:val="24"/>
      <w:szCs w:val="24"/>
      <w:lang w:val="en-US"/>
    </w:rPr>
  </w:style>
  <w:style w:type="character" w:customStyle="1" w:styleId="19">
    <w:name w:val="kqeaa"/>
    <w:basedOn w:val="4"/>
    <w:uiPriority w:val="0"/>
  </w:style>
  <w:style w:type="character" w:customStyle="1" w:styleId="20">
    <w:name w:val="HTML Preformatted Char"/>
    <w:basedOn w:val="4"/>
    <w:uiPriority w:val="0"/>
    <w:rPr>
      <w:rFonts w:ascii="Courier New" w:hAnsi="Courier New" w:eastAsia="Times New Roman" w:cs="Courier New"/>
      <w:kern w:val="0"/>
      <w:sz w:val="20"/>
      <w:szCs w:val="20"/>
      <w:lang w:val="en-US"/>
    </w:rPr>
  </w:style>
  <w:style w:type="character" w:customStyle="1" w:styleId="21">
    <w:name w:val="y2iqfc"/>
    <w:basedOn w:val="4"/>
    <w:uiPriority w:val="0"/>
  </w:style>
  <w:style w:type="character" w:customStyle="1" w:styleId="22">
    <w:name w:val="Header Char"/>
    <w:basedOn w:val="4"/>
    <w:uiPriority w:val="0"/>
  </w:style>
  <w:style w:type="character" w:customStyle="1" w:styleId="23">
    <w:name w:val="Footer Char"/>
    <w:basedOn w:val="4"/>
    <w:uiPriority w:val="0"/>
  </w:style>
  <w:style w:type="character" w:customStyle="1" w:styleId="24">
    <w:name w:val="Heading 1 Char"/>
    <w:basedOn w:val="4"/>
    <w:link w:val="2"/>
    <w:uiPriority w:val="9"/>
    <w:rPr>
      <w:rFonts w:asciiTheme="majorHAnsi" w:hAnsiTheme="majorHAnsi" w:eastAsiaTheme="majorEastAsia" w:cstheme="majorBidi"/>
      <w:color w:val="2F5597" w:themeColor="accent1" w:themeShade="BF"/>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1674</Words>
  <Characters>9545</Characters>
  <Lines>79</Lines>
  <Paragraphs>22</Paragraphs>
  <TotalTime>4</TotalTime>
  <ScaleCrop>false</ScaleCrop>
  <LinksUpToDate>false</LinksUpToDate>
  <CharactersWithSpaces>11197</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2023-06-11T14:35:00Z</dcterms:created>
  <dc:creator>Asen Chipilov (2128091)</dc:creator>
  <cp:lastModifiedBy>Asen Chipilov</cp:lastModifiedBy>
  <dcterms:modified xsi:type="dcterms:W3CDTF">2023-06-11T14:49:47Z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76FF9D64645F42ED9E5D20263AD0299E</vt:lpwstr>
  </property>
</Properties>
</file>