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66"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3381375" cy="135255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spacing w:line="480" w:lineRule="auto"/>
        <w:ind w:right="2777"/>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                    Student Name: Hira Akter</w:t>
        <w:br w:type="textWrapping"/>
        <w:t xml:space="preserve">                    Student ID: 2530059</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spacing w:line="480" w:lineRule="auto"/>
        <w:ind w:left="1533" w:right="1257" w:firstLine="0"/>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Name: Marketing Management Module Code: LCMB7024</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 w:line="240" w:lineRule="auto"/>
        <w:ind w:left="0" w:right="0" w:firstLine="0"/>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ind w:right="2783"/>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                    Lecturer: Dr. Lail</w:t>
      </w:r>
      <w:r w:rsidDel="00000000" w:rsidR="00000000" w:rsidRPr="00000000">
        <w:rPr>
          <w:b w:val="1"/>
          <w:bCs w:val="1"/>
          <w:sz w:val="28"/>
          <w:szCs w:val="28"/>
          <w:rtl w:val="0"/>
        </w:rPr>
        <w:t xml:space="preserve">a </w:t>
      </w:r>
      <w:r w:rsidDel="00000000" w:rsidR="00000000" w:rsidRPr="00000000">
        <w:rPr>
          <w:rFonts w:ascii="Arial" w:cs="Arial" w:eastAsia="Arial" w:hAnsi="Arial"/>
          <w:b w:val="1"/>
          <w:bCs w:val="1"/>
          <w:sz w:val="28"/>
          <w:szCs w:val="28"/>
          <w:rtl w:val="0"/>
        </w:rPr>
        <w:t xml:space="preserve">Maazouz</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ind w:left="0" w:right="2784" w:firstLine="0"/>
        <w:rPr>
          <w:rFonts w:ascii="Arial" w:cs="Arial" w:eastAsia="Arial" w:hAnsi="Arial"/>
          <w:b w:val="1"/>
          <w:bCs w:val="1"/>
          <w:sz w:val="28"/>
          <w:szCs w:val="28"/>
        </w:rPr>
      </w:pPr>
      <w:r w:rsidDel="00000000" w:rsidR="00000000" w:rsidRPr="00000000">
        <w:rPr>
          <w:b w:val="1"/>
          <w:bCs w:val="1"/>
          <w:sz w:val="28"/>
          <w:szCs w:val="28"/>
          <w:rtl w:val="0"/>
        </w:rPr>
        <w:t xml:space="preserve">                    </w:t>
      </w:r>
      <w:r w:rsidDel="00000000" w:rsidR="00000000" w:rsidRPr="00000000">
        <w:rPr>
          <w:rFonts w:ascii="Arial" w:cs="Arial" w:eastAsia="Arial" w:hAnsi="Arial"/>
          <w:b w:val="1"/>
          <w:bCs w:val="1"/>
          <w:sz w:val="28"/>
          <w:szCs w:val="28"/>
          <w:rtl w:val="0"/>
        </w:rPr>
        <w:t xml:space="preserve">Word Count: 2308</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ind w:left="0" w:right="2779" w:firstLine="0"/>
        <w:rPr>
          <w:rFonts w:ascii="Arial" w:cs="Arial" w:eastAsia="Arial" w:hAnsi="Arial"/>
          <w:b w:val="1"/>
          <w:bCs w:val="1"/>
          <w:sz w:val="28"/>
          <w:szCs w:val="28"/>
        </w:rPr>
      </w:pPr>
      <w:r w:rsidDel="00000000" w:rsidR="00000000" w:rsidRPr="00000000">
        <w:rPr>
          <w:b w:val="1"/>
          <w:bCs w:val="1"/>
          <w:sz w:val="28"/>
          <w:szCs w:val="28"/>
          <w:rtl w:val="0"/>
        </w:rPr>
        <w:t xml:space="preserve">                     </w:t>
      </w:r>
      <w:r w:rsidDel="00000000" w:rsidR="00000000" w:rsidRPr="00000000">
        <w:rPr>
          <w:rFonts w:ascii="Arial" w:cs="Arial" w:eastAsia="Arial" w:hAnsi="Arial"/>
          <w:b w:val="1"/>
          <w:bCs w:val="1"/>
          <w:sz w:val="28"/>
          <w:szCs w:val="28"/>
          <w:rtl w:val="0"/>
        </w:rPr>
        <w:t xml:space="preserve">Term 1</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ind w:left="23" w:firstLine="0"/>
        <w:rPr>
          <w:rFonts w:ascii="Times New Roman" w:cs="Times New Roman" w:eastAsia="Times New Roman" w:hAnsi="Times New Roman"/>
          <w:sz w:val="24"/>
          <w:szCs w:val="24"/>
        </w:rPr>
        <w:sectPr>
          <w:headerReference r:id="rId8" w:type="default"/>
          <w:headerReference r:id="rId9" w:type="first"/>
          <w:pgSz w:h="16840" w:w="11910" w:orient="portrait"/>
          <w:pgMar w:bottom="280" w:top="1420" w:left="1417" w:right="1700" w:header="720" w:footer="720"/>
          <w:pgNumType w:start="0"/>
          <w:titlePg w:val="1"/>
        </w:sectPr>
      </w:pPr>
      <w:r w:rsidDel="00000000" w:rsidR="00000000" w:rsidRPr="00000000">
        <w:rPr>
          <w:rFonts w:ascii="Times New Roman" w:cs="Times New Roman" w:eastAsia="Times New Roman" w:hAnsi="Times New Roman"/>
          <w:sz w:val="24"/>
          <w:szCs w:val="24"/>
          <w:rtl w:val="0"/>
        </w:rPr>
        <w:t xml:space="preserve">1</w:t>
      </w:r>
    </w:p>
    <w:bookmarkStart w:colFirst="0" w:colLast="0" w:name="bookmark=id.4vjmpbusxh8n" w:id="0"/>
    <w:bookmarkEnd w:id="0"/>
    <w:p w:rsidR="00000000" w:rsidDel="00000000" w:rsidP="00000000" w:rsidRDefault="00000000" w:rsidRPr="00000000" w14:paraId="0000001B">
      <w:pPr>
        <w:pStyle w:val="Heading1"/>
        <w:ind w:firstLine="23"/>
        <w:rPr/>
      </w:pPr>
      <w:r w:rsidDel="00000000" w:rsidR="00000000" w:rsidRPr="00000000">
        <w:rPr>
          <w:color w:val="0e4660"/>
          <w:rtl w:val="0"/>
        </w:rPr>
        <w:t xml:space="preserve">Introduction:</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78.00000000000006" w:lineRule="auto"/>
        <w:ind w:left="23" w:right="68"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Companies that want to stay ahead of the competition in fast-changing markets need to constantly look at their outside environment to find new possibilities, predict risks, and stay ahead of the competition. The macro marketing environment is one of the most important tools for understanding this environment. It includes big outside factors like changes in technology, the economy, politics, and social and cultural trends that affect how well an organization does but are mostly out of the company’s control (Kotler and Keller, 2016). A thorough understanding of these factors enables firms to anticipate market shifts and align their strategic planning accordingly.</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8"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94"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74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The smartphone sector is a great place to look at macro marketing factors since it changes quickly, is driven by technology, and is competitive on a worldwide scale (Johnson et al., 2020). Apple Inc. and Samsung Electronics are two of the biggest companies in this field. The advent of the iPhone in 2007, which completely changed the mobile phone market around the world, is what many people think of when they think of Apple as a pioneering company (McGee and Sammut-Bonnici, 2015). Samsung is sometimes called a follower company because it copied and changed many of Apple’s new ideas.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while still competing hard by adding new products and improving existing ones (Gawer and Cusumano, 2014). Their contrasting approaches offer valuable insight into how market leadership can be established and sustained under differing strategic philosophies.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This essay critically examines two macro-environmental elements, namely technological change and regulatory/political pressures, to assess how these forces generate possibilities and risks for both organizations. It also looks at the strategic and Ansoff’s Growth Matrix. This shows how each company stays competitive and grows in the global smartphone market. By applying these theoretical frameworks, the essay aims to draw broader conclusions about strategic adaptability in technology- driven industries.</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bookmarkStart w:colFirst="0" w:colLast="0" w:name="bookmark=id.c0f5py13br1q" w:id="1"/>
    <w:bookmarkEnd w:id="1"/>
    <w:p w:rsidR="00000000" w:rsidDel="00000000" w:rsidP="00000000" w:rsidRDefault="00000000" w:rsidRPr="00000000" w14:paraId="00000024">
      <w:pPr>
        <w:pStyle w:val="Heading1"/>
        <w:numPr>
          <w:ilvl w:val="0"/>
          <w:numId w:val="1"/>
        </w:numPr>
        <w:tabs>
          <w:tab w:val="left" w:leader="none" w:pos="353"/>
        </w:tabs>
        <w:spacing w:before="0" w:line="276" w:lineRule="auto"/>
        <w:ind w:left="23" w:right="788" w:firstLine="0"/>
        <w:rPr/>
      </w:pPr>
      <w:r w:rsidDel="00000000" w:rsidR="00000000" w:rsidRPr="00000000">
        <w:rPr>
          <w:color w:val="0e4660"/>
          <w:rtl w:val="0"/>
        </w:rPr>
        <w:t xml:space="preserve">Task1: Critical Analysis of the Macro Marketing Environment</w:t>
      </w:r>
      <w:r w:rsidDel="00000000" w:rsidR="00000000" w:rsidRPr="00000000">
        <w:rPr>
          <w:rtl w:val="0"/>
        </w:rPr>
      </w:r>
    </w:p>
    <w:bookmarkStart w:colFirst="0" w:colLast="0" w:name="bookmark=id.281dlkxpm1rn" w:id="2"/>
    <w:bookmarkEnd w:id="2"/>
    <w:p w:rsidR="00000000" w:rsidDel="00000000" w:rsidP="00000000" w:rsidRDefault="00000000" w:rsidRPr="00000000" w14:paraId="0000002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72"/>
        </w:tabs>
        <w:spacing w:after="0" w:before="364" w:line="240" w:lineRule="auto"/>
        <w:ind w:left="572" w:right="0" w:hanging="549"/>
        <w:jc w:val="left"/>
        <w:rPr>
          <w:rFonts w:ascii="Arial" w:cs="Arial" w:eastAsia="Arial" w:hAnsi="Arial"/>
          <w:b w:val="0"/>
          <w:bCs w:val="0"/>
          <w:i w:val="0"/>
          <w:iCs w:val="0"/>
          <w:smallCaps w:val="0"/>
          <w:strike w:val="0"/>
          <w:color w:val="000000"/>
          <w:sz w:val="40"/>
          <w:szCs w:val="40"/>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40"/>
          <w:szCs w:val="40"/>
          <w:u w:val="none"/>
          <w:shd w:fill="auto" w:val="clear"/>
          <w:vertAlign w:val="baseline"/>
          <w:rtl w:val="0"/>
        </w:rPr>
        <w:t xml:space="preserve">: Macro Marketing Environment:</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The macro marketing environment is the set of outside factors that have a big effect on how companies market themselves and how well they do. Frameworks like PESTEL, which looks at political, economic, social,</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technical, environmental, and legal factors (Johnson et</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al.,2020), are often used to study these influences. Macro factors, on the other hand, work on a larger scale and affect all businesses in an industry (Teece,2018). They are different from the microenvironment, which comprises customers, suppliers, and competitors. Technological innovation and government regulation are two big macro forces that are affecting the smartphone market.</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bookmarkStart w:colFirst="0" w:colLast="0" w:name="bookmark=id.wy2mipwu3oq9" w:id="3"/>
    <w:bookmarkEnd w:id="3"/>
    <w:p w:rsidR="00000000" w:rsidDel="00000000" w:rsidP="00000000" w:rsidRDefault="00000000" w:rsidRPr="00000000" w14:paraId="0000002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72"/>
        </w:tabs>
        <w:spacing w:after="0" w:before="0" w:line="300" w:lineRule="auto"/>
        <w:ind w:left="23" w:right="505"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40"/>
          <w:szCs w:val="40"/>
          <w:u w:val="none"/>
          <w:shd w:fill="auto" w:val="clear"/>
          <w:vertAlign w:val="baseline"/>
          <w:rtl w:val="0"/>
        </w:rPr>
        <w:t xml:space="preserve">: Analysis of Technological Innovation: </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Technological progress is probably the most important factor that drives competition in the smartphone market.</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8"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Rapid advancements in hardware, software ecosystems,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78.00000000000006" w:lineRule="auto"/>
        <w:ind w:left="23" w:right="94"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Artificial intelligence, and communication technologies have generated both possibilities and challenges for companies in this sector (Teece, 2018).</w:t>
      </w:r>
    </w:p>
    <w:bookmarkStart w:colFirst="0" w:colLast="0" w:name="bookmark=id.y3mdqmymp916" w:id="4"/>
    <w:bookmarkEnd w:id="4"/>
    <w:p w:rsidR="00000000" w:rsidDel="00000000" w:rsidP="00000000" w:rsidRDefault="00000000" w:rsidRPr="00000000" w14:paraId="0000002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905"/>
        </w:tabs>
        <w:spacing w:after="0" w:before="356" w:line="300" w:lineRule="auto"/>
        <w:ind w:left="23" w:right="479" w:firstLine="0"/>
        <w:jc w:val="both"/>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40"/>
          <w:szCs w:val="40"/>
          <w:u w:val="none"/>
          <w:shd w:fill="auto" w:val="clear"/>
          <w:vertAlign w:val="baseline"/>
          <w:rtl w:val="0"/>
        </w:rPr>
        <w:t xml:space="preserve">: Impact on the Pioneer Organization (Apple): </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Apple has always used changes in technology to gain a big edge over its competitors. The iPhone was big</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8"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change from regular cell phones to touchscreen</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smartphones with built-in ecosystems (Gawer and Cusumano,2014). Apple’s ability to combine hardware, software, and services into one ecosystem gave it a substantial competitive edge based on brand loyalty and</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68"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product differentiation (West and Mace,2010). Apple has had several chances because of advances in technology. For instance, new mobile processors, camera technology, and operating systems have helped Apple keep improving its products. The creation of services like the App Store has also opened new ways to make money and made it harder for customers to leave (Cusumano et al.,2019). But changes in technology can also be dangerous. When innovation happens quickly, it makes it easier for competitors to add similar features. Samsung and other companies have often used and enhanced new technologies including big OLED screens, multi-camera systems, and devices that can be folded. This makes competition tougher and takes away some of the technological advantages that Apple used to have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(Teece,2018). Apple is still in a good competitive position despite these concerns since it has a strong brand and integrates its products into its ecosystem. Despite these threats, Apple maintains Strong competitive position through ecosystem integration and strong brand equity.</w:t>
      </w:r>
    </w:p>
    <w:bookmarkStart w:colFirst="0" w:colLast="0" w:name="bookmark=id.eyottty6dcrg" w:id="5"/>
    <w:bookmarkEnd w:id="5"/>
    <w:p w:rsidR="00000000" w:rsidDel="00000000" w:rsidP="00000000" w:rsidRDefault="00000000" w:rsidRPr="00000000" w14:paraId="00000033">
      <w:pPr>
        <w:pStyle w:val="Heading1"/>
        <w:numPr>
          <w:ilvl w:val="2"/>
          <w:numId w:val="1"/>
        </w:numPr>
        <w:tabs>
          <w:tab w:val="left" w:leader="none" w:pos="905"/>
        </w:tabs>
        <w:spacing w:line="278.00000000000006" w:lineRule="auto"/>
        <w:ind w:left="23" w:right="1847" w:firstLine="0"/>
        <w:rPr/>
      </w:pPr>
      <w:r w:rsidDel="00000000" w:rsidR="00000000" w:rsidRPr="00000000">
        <w:rPr>
          <w:color w:val="0e4660"/>
          <w:rtl w:val="0"/>
        </w:rPr>
        <w:t xml:space="preserve">: Impact on the Follower Organisation (Samsung):</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 has made the most of changes in technology by quickly adopting and scaling new ideas across a wide range of products, from high-end flagship handsets to inexpensive smartphones (Teece,2018). Samsung has been able to compete fiercely in the market because of changes in technology and semiconductor manufacturing. This has allowed it to come up with new ideas like foldable smartphones before many of its rivals (Zhu et al.,2021).</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But relying on technology can also be dangerous. Samsung has to spend a lot of money on research and development since it makes many different types of products, and its products don’t last as long. Also, the rise of Chinese companies like Xiaomi and Huawei has made the fight for technology even tougher (Zhu et al.,2021). So, changes in technology are both a chance and a danger for Samsung, and the company needs to keep coming up with new ideas to be competitive (Zhu et al.,2021).</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bookmarkStart w:colFirst="0" w:colLast="0" w:name="bookmark=id.i4n4ayfjlc67" w:id="6"/>
    <w:bookmarkEnd w:id="6"/>
    <w:p w:rsidR="00000000" w:rsidDel="00000000" w:rsidP="00000000" w:rsidRDefault="00000000" w:rsidRPr="00000000" w14:paraId="0000003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72"/>
        </w:tabs>
        <w:spacing w:after="0" w:before="0" w:line="300" w:lineRule="auto"/>
        <w:ind w:left="23" w:right="123"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40"/>
          <w:szCs w:val="40"/>
          <w:u w:val="none"/>
          <w:shd w:fill="auto" w:val="clear"/>
          <w:vertAlign w:val="baseline"/>
          <w:rtl w:val="0"/>
        </w:rPr>
        <w:t xml:space="preserve">: Analysis of Regulatory and Political Forces: </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Government rules and political climates are also important factors that shape the smartphone industry’s macro</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3"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marketing environment. Regulations concerning</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Competition Law, digital privacy, and international trade can</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176"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profoundly impact strategic decision-making (Cusumano et al.,2019).</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bookmarkStart w:colFirst="0" w:colLast="0" w:name="bookmark=id.e1d8e1gcklzz" w:id="7"/>
    <w:bookmarkEnd w:id="7"/>
    <w:p w:rsidR="00000000" w:rsidDel="00000000" w:rsidP="00000000" w:rsidRDefault="00000000" w:rsidRPr="00000000" w14:paraId="0000003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905"/>
        </w:tabs>
        <w:spacing w:after="0" w:before="0" w:line="300" w:lineRule="auto"/>
        <w:ind w:left="23" w:right="224"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40"/>
          <w:szCs w:val="40"/>
          <w:u w:val="none"/>
          <w:shd w:fill="auto" w:val="clear"/>
          <w:vertAlign w:val="baseline"/>
          <w:rtl w:val="0"/>
        </w:rPr>
        <w:t xml:space="preserve">: Impact on the pioneer Organisation (Apple): </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Governments all over the world are paying more attention to Apple’s ecosystem control and digital marketplace</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8"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activities. Authorities in places like the European Union are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78.00000000000006" w:lineRule="auto"/>
        <w:ind w:left="23" w:right="51"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worried about Apple’s control over app distribution and payment system in its ecosystem (Cusumano et al.,2019). As an example, antitrust regulators have looked into whether Apple limits third-party developers by making them pay commission fees and only letting them distribute apps through its App Store. These kinds of legislative demands could hurt Apple’s revenue model since they could make the company have to let more competitors into its ecosystem. Apple’s worldwide supply chain is also affected by trade regulations and geopolitical issues. Apple makes a lot of its products in China, which makes the business subject to trade disputes and rules that limit trade between countries. Even with these problems, Apple’s strong brand and high-end market position enables it to stay strong in the face of regulatory uncertainty.</w:t>
      </w:r>
    </w:p>
    <w:bookmarkStart w:colFirst="0" w:colLast="0" w:name="bookmark=id.qtdm88xlzi41" w:id="8"/>
    <w:bookmarkEnd w:id="8"/>
    <w:p w:rsidR="00000000" w:rsidDel="00000000" w:rsidP="00000000" w:rsidRDefault="00000000" w:rsidRPr="00000000" w14:paraId="00000041">
      <w:pPr>
        <w:pStyle w:val="Heading1"/>
        <w:numPr>
          <w:ilvl w:val="2"/>
          <w:numId w:val="1"/>
        </w:numPr>
        <w:tabs>
          <w:tab w:val="left" w:leader="none" w:pos="905"/>
        </w:tabs>
        <w:spacing w:line="278.00000000000006" w:lineRule="auto"/>
        <w:ind w:left="23" w:right="1937" w:firstLine="0"/>
        <w:rPr/>
      </w:pPr>
      <w:r w:rsidDel="00000000" w:rsidR="00000000" w:rsidRPr="00000000">
        <w:rPr>
          <w:color w:val="0e4660"/>
          <w:rtl w:val="0"/>
        </w:rPr>
        <w:t xml:space="preserve">: Impact on the Follower organisation (Samsung):</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7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 also must deal with regulatory problems, but they are usually different from Apple’s. Samsung is a global manufacturer with a lot of factories in different countries.</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78.00000000000006" w:lineRule="auto"/>
        <w:ind w:left="23" w:right="9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This means that they must deal with complicated rules about trade, the environment, and worker rights (Scott, 2014). Changes in international trade rules can have an effect on Samsung’s manufacturing and supply chain operations, for example. The company’s capacity to do business well in global markets can also be affected by rules that limit the export of semiconductors and the transfer of technology. Samsung’s diverse production base, on the other hand, gives the company some strategic flexibility that makes it less dependent on any</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one area. This makes it easier for the organization to deal with changes in the law (Scott,2014).</w:t>
      </w:r>
    </w:p>
    <w:bookmarkStart w:colFirst="0" w:colLast="0" w:name="bookmark=id.qqw3l3yvt6m0" w:id="9"/>
    <w:bookmarkEnd w:id="9"/>
    <w:p w:rsidR="00000000" w:rsidDel="00000000" w:rsidP="00000000" w:rsidRDefault="00000000" w:rsidRPr="00000000" w14:paraId="00000045">
      <w:pPr>
        <w:pStyle w:val="Heading1"/>
        <w:numPr>
          <w:ilvl w:val="0"/>
          <w:numId w:val="1"/>
        </w:numPr>
        <w:tabs>
          <w:tab w:val="left" w:leader="none" w:pos="355"/>
        </w:tabs>
        <w:spacing w:before="355" w:line="278.00000000000006" w:lineRule="auto"/>
        <w:ind w:left="23" w:right="732" w:firstLine="0"/>
        <w:rPr/>
      </w:pPr>
      <w:r w:rsidDel="00000000" w:rsidR="00000000" w:rsidRPr="00000000">
        <w:rPr>
          <w:color w:val="0e4660"/>
          <w:rtl w:val="0"/>
        </w:rPr>
        <w:t xml:space="preserve">Task 2: Strategic Responses of Pioneering and Follower Organisations:</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78.00000000000006" w:lineRule="auto"/>
        <w:ind w:left="23" w:right="19"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Based on the macro-environmental study above, Apple and Samsung have each taken different strategic steps to keep growing and stay ahead of the competition (Keller,2013). Porter’s Generic Strategies and Ansoff’s Growth Matrix (Porter,1985) might be used to analyse these responses. These frameworks help to better understand how</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companies position themselves in highly competitive markets and respond to external challenges,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bookmarkStart w:colFirst="0" w:colLast="0" w:name="bookmark=id.je0uy67g93n2" w:id="10"/>
    <w:bookmarkEnd w:id="10"/>
    <w:p w:rsidR="00000000" w:rsidDel="00000000" w:rsidP="00000000" w:rsidRDefault="00000000" w:rsidRPr="00000000" w14:paraId="0000004A">
      <w:pPr>
        <w:pStyle w:val="Heading1"/>
        <w:numPr>
          <w:ilvl w:val="1"/>
          <w:numId w:val="1"/>
        </w:numPr>
        <w:tabs>
          <w:tab w:val="left" w:leader="none" w:pos="572"/>
        </w:tabs>
        <w:spacing w:before="0" w:line="278.00000000000006" w:lineRule="auto"/>
        <w:ind w:left="23" w:right="934" w:firstLine="0"/>
        <w:rPr/>
      </w:pPr>
      <w:r w:rsidDel="00000000" w:rsidR="00000000" w:rsidRPr="00000000">
        <w:rPr>
          <w:color w:val="0e4660"/>
          <w:rtl w:val="0"/>
        </w:rPr>
        <w:t xml:space="preserve">: Pioneering Organisation’s (Apple) Strategic Responses:</w:t>
      </w:r>
      <w:r w:rsidDel="00000000" w:rsidR="00000000" w:rsidRPr="00000000">
        <w:rPr>
          <w:rtl w:val="0"/>
        </w:rPr>
      </w:r>
    </w:p>
    <w:bookmarkStart w:colFirst="0" w:colLast="0" w:name="bookmark=id.jgilgxlhln4b" w:id="11"/>
    <w:bookmarkEnd w:id="11"/>
    <w:p w:rsidR="00000000" w:rsidDel="00000000" w:rsidP="00000000" w:rsidRDefault="00000000" w:rsidRPr="00000000" w14:paraId="0000004B">
      <w:pPr>
        <w:spacing w:before="359" w:lineRule="auto"/>
        <w:ind w:left="23" w:firstLine="0"/>
        <w:rPr>
          <w:sz w:val="40"/>
          <w:szCs w:val="40"/>
        </w:rPr>
      </w:pPr>
      <w:r w:rsidDel="00000000" w:rsidR="00000000" w:rsidRPr="00000000">
        <w:rPr>
          <w:color w:val="0e4660"/>
          <w:sz w:val="40"/>
          <w:szCs w:val="40"/>
          <w:rtl w:val="0"/>
        </w:rPr>
        <w:t xml:space="preserve">Ansoff’s Growth Matrix:</w:t>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78.00000000000006" w:lineRule="auto"/>
        <w:ind w:left="23" w:right="105"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Ansoff’s Growth Matrix to look at Apple’s strategic growth in a few different ways. Apple’s first step is to build new goods by constantly improving the ones they already have. Every new model of the iPhone comes with new tech features that make people want to upgrade. This shows a strong product development strategy, where innovation plays a key role in maintaining customer interest. Second, Apple works to grow its business by entering new markets and making its presence stronger in emerging economies. This allows the company to expand its customer base and reduce dependence on saturated markets. Third, Apple has been expanding into digital services including streaming cloud storage, and financial technology services. These projects are examples of diversification, which helps Apple rely less on hardware sales. Additionally, Apple focuses heavily on building a strong ecosystem that connects its devices and services seamlessly. This ecosystem increases customer loyalty</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and creates high switching costs for users. Apple has kept growing quickly even though there is a lot of rivalry in the smartphone sector (Keller 2013; Barney, 1991). This long- term strategic focus enables Apple to maintain its premium brand positioning.</w:t>
      </w:r>
    </w:p>
    <w:bookmarkStart w:colFirst="0" w:colLast="0" w:name="bookmark=id.n4pph6i39p2b" w:id="12"/>
    <w:bookmarkEnd w:id="12"/>
    <w:p w:rsidR="00000000" w:rsidDel="00000000" w:rsidP="00000000" w:rsidRDefault="00000000" w:rsidRPr="00000000" w14:paraId="0000004E">
      <w:pPr>
        <w:pStyle w:val="Heading1"/>
        <w:numPr>
          <w:ilvl w:val="1"/>
          <w:numId w:val="1"/>
        </w:numPr>
        <w:tabs>
          <w:tab w:val="left" w:leader="none" w:pos="572"/>
        </w:tabs>
        <w:spacing w:before="18" w:line="892" w:lineRule="auto"/>
        <w:ind w:left="23" w:right="511" w:firstLine="0"/>
        <w:rPr/>
      </w:pPr>
      <w:r w:rsidDel="00000000" w:rsidR="00000000" w:rsidRPr="00000000">
        <w:rPr>
          <w:color w:val="0e4660"/>
          <w:rtl w:val="0"/>
        </w:rPr>
        <w:t xml:space="preserve">: Follower Organisation’s Strategic Responses: </w:t>
      </w:r>
      <w:bookmarkStart w:colFirst="0" w:colLast="0" w:name="bookmark=id.b7ngk4g4oiiy" w:id="13"/>
      <w:bookmarkEnd w:id="13"/>
      <w:r w:rsidDel="00000000" w:rsidR="00000000" w:rsidRPr="00000000">
        <w:rPr>
          <w:color w:val="0e4660"/>
          <w:rtl w:val="0"/>
        </w:rPr>
        <w:t xml:space="preserve">Porter’s Generic Strategies</w:t>
      </w: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Samsung’s main business strategy is cost leadership and differentiator the best at what it does. Samsung can make smartphones at different price points while keeping</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production costs low since it has the ability to make a lot of them (Teece, 2018). This demonstrates a cost leadership strategy combined with elements of differentiation.</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 also sets its flagship products apart from others by using cutting-edge hardware improvements like high-</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resolution displays, foldable screens, and superior camera technology. This mixed strategy lets Samsung compete in both high-end low-end markets at the same time, which helps it grow its global market share (Teece, 2018).</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78.00000000000006" w:lineRule="auto"/>
        <w:ind w:left="23" w:right="176"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Moreover, Samsung benefits from strong supply chain control and vertical integration, allowing it to produce many of its own components. This gives the company greater flexibility and cost advantages over competitors. As a follower organisation, Samsung quickly adapts to</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market trends and often improves on existing innovations introduced by competitors.</w:t>
      </w:r>
    </w:p>
    <w:bookmarkStart w:colFirst="0" w:colLast="0" w:name="bookmark=id.yqzqk9y167ke" w:id="14"/>
    <w:bookmarkEnd w:id="14"/>
    <w:p w:rsidR="00000000" w:rsidDel="00000000" w:rsidP="00000000" w:rsidRDefault="00000000" w:rsidRPr="00000000" w14:paraId="00000055">
      <w:pPr>
        <w:spacing w:before="357" w:line="300" w:lineRule="auto"/>
        <w:ind w:left="23" w:firstLine="0"/>
        <w:rPr>
          <w:sz w:val="36"/>
          <w:szCs w:val="36"/>
        </w:rPr>
      </w:pPr>
      <w:r w:rsidDel="00000000" w:rsidR="00000000" w:rsidRPr="00000000">
        <w:rPr>
          <w:color w:val="0e4660"/>
          <w:sz w:val="40"/>
          <w:szCs w:val="40"/>
          <w:rtl w:val="0"/>
        </w:rPr>
        <w:t xml:space="preserve">Comparative Evaluation of Strategic Responses </w:t>
      </w:r>
      <w:r w:rsidDel="00000000" w:rsidR="00000000" w:rsidRPr="00000000">
        <w:rPr>
          <w:sz w:val="36"/>
          <w:szCs w:val="36"/>
          <w:rtl w:val="0"/>
        </w:rPr>
        <w:t xml:space="preserve">When comparing Apple and Samsung, it becomes evident that both organizations respond differently to macro-</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8"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environmental pressures. Apple’s main goal is to stand out</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in the ecosystem by putting the customer experience, brand loyalty, and integrated services first. This technique helps Apple stay profitable even though it has a smaller share of the worldwide market (McGee and Sammut- Bonnici,2015).</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 on the other hand, uses a portfolio-based strategy, which means it sells products in a range of price ranges and quickly adapts new technologies. With this strategy, Samsung can get a lot of market share and stay very competitive. Its flexibility allows it to respond faster to changes in consumer demand and technological advancements.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37"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Both tactics have been successful, but they are based on very different ways of dealing with changes in technology and ambiguity in the law (Johnson et al.,2020). While Apple focuses on innovation and brand exclusivity,</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 emphasizes scale, variety, and rapid adaptation. These contrasting approaches highlight how different strategic models can succeed in the same industry.</w:t>
      </w:r>
    </w:p>
    <w:bookmarkStart w:colFirst="0" w:colLast="0" w:name="bookmark=id.mk89f0ahjx5" w:id="15"/>
    <w:bookmarkEnd w:id="15"/>
    <w:p w:rsidR="00000000" w:rsidDel="00000000" w:rsidP="00000000" w:rsidRDefault="00000000" w:rsidRPr="00000000" w14:paraId="0000005D">
      <w:pPr>
        <w:pStyle w:val="Heading1"/>
        <w:spacing w:before="357" w:lineRule="auto"/>
        <w:ind w:firstLine="23"/>
        <w:rPr/>
      </w:pPr>
      <w:r w:rsidDel="00000000" w:rsidR="00000000" w:rsidRPr="00000000">
        <w:rPr>
          <w:color w:val="0e4660"/>
          <w:rtl w:val="0"/>
        </w:rPr>
        <w:t xml:space="preserve">Conclusion:</w:t>
      </w: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78.00000000000006" w:lineRule="auto"/>
        <w:ind w:left="23" w:right="176"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The macro marketing environment is very important for making strategic marketing decisions in the smartphones business. Two of the most important outside factors that affect companies like Apple and Samsung are new technologies and government rules. These macro- environmental forces create both opportunities and threats, and how a company responds to them often determines its long-term success in the industry.</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Apple has used changes in technology to build a unique ecosystem that helps it keep its strong premium brand position even as governmental scrutiny grows. By integrating hardware, software, and services seamlessly, Apple ensures that customers remain loyal to its brand.</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68" w:firstLine="0"/>
        <w:jc w:val="left"/>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This ecosystem strategy not only enhances customer retention but also creates multiple revenue streams beyond device sales, in response to regulatory pressures, Apple has gradually adapted by offering more user control over data privacy and adjusting its App Store policies to comply with regional laws.</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68"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Samsung, on the other hand, has taken advantage of technical advances by quickly coming up with new ideas and delivering a wider range of products. This has allowed it to compete in many different market areas, from premium flagship devices to affordable entry-level smartphones. Samsung’s ability to rapidly adopt emerging technologies such as foldable displays, 5G connectivity,</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3" w:right="32"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and advanced camera systems has enabled it to appeal to a broad customer base. Additionally, Samsung has navigated political and regulatory challenges by diversifying its manufacturing locations and maintaining strong relationships with governments across key markets.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78.00000000000006" w:lineRule="auto"/>
        <w:ind w:left="23" w:right="97"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The strategic responses of these companies illustrate varying competitive tactics. Apple focuses on making its products stand out and integrating them into its ecosystem. Samsung, on the other hand, focuses on keeping costs low while trying out new technologies through a hybrid strategy that combines cost leadership with differentiation. Porter’s Generic Strategies and Ansoff’s Growth Matrix are helpful tools for understanding how these companies keep growing and staying ahead of the competition in a fast-changing sector.</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 w:right="700" w:firstLine="0"/>
        <w:jc w:val="both"/>
        <w:rPr>
          <w:rFonts w:ascii="Arial" w:cs="Arial" w:eastAsia="Arial" w:hAnsi="Arial"/>
          <w:b w:val="0"/>
          <w:bCs w:val="0"/>
          <w:i w:val="0"/>
          <w:iCs w:val="0"/>
          <w:smallCaps w:val="0"/>
          <w:strike w:val="0"/>
          <w:color w:val="000000"/>
          <w:sz w:val="36"/>
          <w:szCs w:val="36"/>
          <w:u w:val="none"/>
          <w:shd w:fill="auto" w:val="clear"/>
          <w:vertAlign w:val="baseline"/>
        </w:rPr>
        <w:sectPr>
          <w:type w:val="nextPage"/>
          <w:pgSz w:h="16840" w:w="11910" w:orient="portrait"/>
          <w:pgMar w:bottom="280" w:top="1380" w:left="1417" w:right="1417" w:header="720" w:footer="720"/>
        </w:sect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Ultimately, the story of Apple and Samsung shows that companies need to comprehend macro-environmental influences and come up with flexible plans that fit their</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78.00000000000006" w:lineRule="auto"/>
        <w:ind w:left="23" w:right="94"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own strengths and market position in order to be effective at strategic marketing management. There is no single correct strategy, instead, success depends on aligning organizational capabilities with the demands of the external environment. As the smartphone market continues to evolve with new technologies like artificial intelligence and evolving regulatory landscapes, both Apple and Samsung must remain forward-thinking to sustain their competitive positions in the years ahead.</w:t>
      </w:r>
    </w:p>
    <w:bookmarkStart w:colFirst="0" w:colLast="0" w:name="bookmark=id.vluzioptp8hp" w:id="16"/>
    <w:bookmarkEnd w:id="16"/>
    <w:p w:rsidR="00000000" w:rsidDel="00000000" w:rsidP="00000000" w:rsidRDefault="00000000" w:rsidRPr="00000000" w14:paraId="00000068">
      <w:pPr>
        <w:pStyle w:val="Heading1"/>
        <w:spacing w:before="352" w:lineRule="auto"/>
        <w:ind w:firstLine="23"/>
        <w:rPr/>
      </w:pPr>
      <w:r w:rsidDel="00000000" w:rsidR="00000000" w:rsidRPr="00000000">
        <w:rPr>
          <w:color w:val="0e4660"/>
          <w:rtl w:val="0"/>
        </w:rPr>
        <w:t xml:space="preserve">5.References</w:t>
      </w:r>
      <w:r w:rsidDel="00000000" w:rsidR="00000000" w:rsidRPr="00000000">
        <w:rPr>
          <w:rtl w:val="0"/>
        </w:rPr>
      </w:r>
    </w:p>
    <w:p w:rsidR="00000000" w:rsidDel="00000000" w:rsidP="00000000" w:rsidRDefault="00000000" w:rsidRPr="00000000" w14:paraId="00000069">
      <w:pPr>
        <w:spacing w:before="153" w:line="280" w:lineRule="auto"/>
        <w:ind w:left="23" w:firstLine="0"/>
        <w:rPr>
          <w:sz w:val="36"/>
          <w:szCs w:val="36"/>
        </w:rPr>
      </w:pPr>
      <w:r w:rsidDel="00000000" w:rsidR="00000000" w:rsidRPr="00000000">
        <w:rPr>
          <w:sz w:val="36"/>
          <w:szCs w:val="36"/>
          <w:rtl w:val="0"/>
        </w:rPr>
        <w:t xml:space="preserve">Ansoff, H. (1957</w:t>
      </w:r>
      <w:r w:rsidDel="00000000" w:rsidR="00000000" w:rsidRPr="00000000">
        <w:rPr>
          <w:rFonts w:ascii="Arial" w:cs="Arial" w:eastAsia="Arial" w:hAnsi="Arial"/>
          <w:i w:val="1"/>
          <w:iCs w:val="1"/>
          <w:sz w:val="36"/>
          <w:szCs w:val="36"/>
          <w:rtl w:val="0"/>
        </w:rPr>
        <w:t xml:space="preserve">) Strategies for diversification</w:t>
      </w:r>
      <w:r w:rsidDel="00000000" w:rsidR="00000000" w:rsidRPr="00000000">
        <w:rPr>
          <w:sz w:val="36"/>
          <w:szCs w:val="36"/>
          <w:rtl w:val="0"/>
        </w:rPr>
        <w:t xml:space="preserve">. Harvard Business Review.</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78.00000000000006" w:lineRule="auto"/>
        <w:ind w:left="23" w:right="653"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Barney, J. (1991) Firm resources and sustained competitive advantage. </w:t>
      </w:r>
      <w:r w:rsidDel="00000000" w:rsidR="00000000" w:rsidRPr="00000000">
        <w:rPr>
          <w:rFonts w:ascii="Arial" w:cs="Arial" w:eastAsia="Arial" w:hAnsi="Arial"/>
          <w:b w:val="0"/>
          <w:bCs w:val="0"/>
          <w:i w:val="1"/>
          <w:iCs w:val="1"/>
          <w:smallCaps w:val="0"/>
          <w:strike w:val="0"/>
          <w:color w:val="000000"/>
          <w:sz w:val="36"/>
          <w:szCs w:val="36"/>
          <w:u w:val="none"/>
          <w:shd w:fill="auto" w:val="clear"/>
          <w:vertAlign w:val="baseline"/>
          <w:rtl w:val="0"/>
        </w:rPr>
        <w:t xml:space="preserve">Journal of Management</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17(1), pp.99-120.</w:t>
      </w:r>
    </w:p>
    <w:p w:rsidR="00000000" w:rsidDel="00000000" w:rsidP="00000000" w:rsidRDefault="00000000" w:rsidRPr="00000000" w14:paraId="0000006B">
      <w:pPr>
        <w:spacing w:before="153" w:line="278.00000000000006" w:lineRule="auto"/>
        <w:ind w:left="23" w:firstLine="0"/>
        <w:rPr>
          <w:sz w:val="36"/>
          <w:szCs w:val="36"/>
        </w:rPr>
      </w:pPr>
      <w:r w:rsidDel="00000000" w:rsidR="00000000" w:rsidRPr="00000000">
        <w:rPr>
          <w:sz w:val="36"/>
          <w:szCs w:val="36"/>
          <w:rtl w:val="0"/>
        </w:rPr>
        <w:t xml:space="preserve">Cusumano, M., Gawer, A. and Yoffie, D. (2019) </w:t>
      </w:r>
      <w:r w:rsidDel="00000000" w:rsidR="00000000" w:rsidRPr="00000000">
        <w:rPr>
          <w:rFonts w:ascii="Arial" w:cs="Arial" w:eastAsia="Arial" w:hAnsi="Arial"/>
          <w:i w:val="1"/>
          <w:iCs w:val="1"/>
          <w:sz w:val="36"/>
          <w:szCs w:val="36"/>
          <w:rtl w:val="0"/>
        </w:rPr>
        <w:t xml:space="preserve">The Business of Platforms</w:t>
      </w:r>
      <w:r w:rsidDel="00000000" w:rsidR="00000000" w:rsidRPr="00000000">
        <w:rPr>
          <w:sz w:val="36"/>
          <w:szCs w:val="36"/>
          <w:rtl w:val="0"/>
        </w:rPr>
        <w:t xml:space="preserve">. Harper Business.</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78.0000000000000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Eccles, R., Ioannou, I. and Serafeim, G. (2014) The impact of corporate sustainability.</w:t>
      </w:r>
    </w:p>
    <w:p w:rsidR="00000000" w:rsidDel="00000000" w:rsidP="00000000" w:rsidRDefault="00000000" w:rsidRPr="00000000" w14:paraId="0000006D">
      <w:pPr>
        <w:spacing w:before="153" w:lineRule="auto"/>
        <w:ind w:left="124" w:firstLine="0"/>
        <w:rPr>
          <w:sz w:val="36"/>
          <w:szCs w:val="36"/>
        </w:rPr>
      </w:pPr>
      <w:r w:rsidDel="00000000" w:rsidR="00000000" w:rsidRPr="00000000">
        <w:rPr>
          <w:rFonts w:ascii="Arial" w:cs="Arial" w:eastAsia="Arial" w:hAnsi="Arial"/>
          <w:i w:val="1"/>
          <w:iCs w:val="1"/>
          <w:sz w:val="36"/>
          <w:szCs w:val="36"/>
          <w:rtl w:val="0"/>
        </w:rPr>
        <w:t xml:space="preserve">Management Science</w:t>
      </w:r>
      <w:r w:rsidDel="00000000" w:rsidR="00000000" w:rsidRPr="00000000">
        <w:rPr>
          <w:sz w:val="36"/>
          <w:szCs w:val="36"/>
          <w:rtl w:val="0"/>
        </w:rPr>
        <w:t xml:space="preserve">,60(11), pp.2835-2857.</w:t>
      </w:r>
    </w:p>
    <w:p w:rsidR="00000000" w:rsidDel="00000000" w:rsidP="00000000" w:rsidRDefault="00000000" w:rsidRPr="00000000" w14:paraId="0000006E">
      <w:pPr>
        <w:spacing w:before="230" w:line="278.00000000000006" w:lineRule="auto"/>
        <w:ind w:left="23" w:firstLine="0"/>
        <w:rPr>
          <w:sz w:val="36"/>
          <w:szCs w:val="36"/>
        </w:rPr>
      </w:pPr>
      <w:r w:rsidDel="00000000" w:rsidR="00000000" w:rsidRPr="00000000">
        <w:rPr>
          <w:sz w:val="36"/>
          <w:szCs w:val="36"/>
          <w:rtl w:val="0"/>
        </w:rPr>
        <w:t xml:space="preserve">Gawer, A. And Cusumano, M. (2014) Industry platforms. </w:t>
      </w:r>
      <w:r w:rsidDel="00000000" w:rsidR="00000000" w:rsidRPr="00000000">
        <w:rPr>
          <w:rFonts w:ascii="Arial" w:cs="Arial" w:eastAsia="Arial" w:hAnsi="Arial"/>
          <w:i w:val="1"/>
          <w:iCs w:val="1"/>
          <w:sz w:val="36"/>
          <w:szCs w:val="36"/>
          <w:rtl w:val="0"/>
        </w:rPr>
        <w:t xml:space="preserve">Journal of Product Innovation Management</w:t>
      </w:r>
      <w:r w:rsidDel="00000000" w:rsidR="00000000" w:rsidRPr="00000000">
        <w:rPr>
          <w:sz w:val="36"/>
          <w:szCs w:val="36"/>
          <w:rtl w:val="0"/>
        </w:rPr>
        <w:t xml:space="preserve">,31(3), pp. 417- 433.</w:t>
      </w:r>
    </w:p>
    <w:p w:rsidR="00000000" w:rsidDel="00000000" w:rsidP="00000000" w:rsidRDefault="00000000" w:rsidRPr="00000000" w14:paraId="0000006F">
      <w:pPr>
        <w:spacing w:before="153" w:lineRule="auto"/>
        <w:ind w:left="23" w:firstLine="0"/>
        <w:rPr>
          <w:sz w:val="36"/>
          <w:szCs w:val="36"/>
        </w:rPr>
        <w:sectPr>
          <w:type w:val="nextPage"/>
          <w:pgSz w:h="16840" w:w="11910" w:orient="portrait"/>
          <w:pgMar w:bottom="280" w:top="1380" w:left="1417" w:right="1417" w:header="720" w:footer="720"/>
        </w:sectPr>
      </w:pPr>
      <w:r w:rsidDel="00000000" w:rsidR="00000000" w:rsidRPr="00000000">
        <w:rPr>
          <w:sz w:val="36"/>
          <w:szCs w:val="36"/>
          <w:rtl w:val="0"/>
        </w:rPr>
        <w:t xml:space="preserve">Grant, R. (2019) </w:t>
      </w:r>
      <w:r w:rsidDel="00000000" w:rsidR="00000000" w:rsidRPr="00000000">
        <w:rPr>
          <w:rFonts w:ascii="Arial" w:cs="Arial" w:eastAsia="Arial" w:hAnsi="Arial"/>
          <w:i w:val="1"/>
          <w:iCs w:val="1"/>
          <w:sz w:val="36"/>
          <w:szCs w:val="36"/>
          <w:rtl w:val="0"/>
        </w:rPr>
        <w:t xml:space="preserve">Contemporary Strategy Analysis</w:t>
      </w:r>
      <w:r w:rsidDel="00000000" w:rsidR="00000000" w:rsidRPr="00000000">
        <w:rPr>
          <w:sz w:val="36"/>
          <w:szCs w:val="36"/>
          <w:rtl w:val="0"/>
        </w:rPr>
        <w:t xml:space="preserve">. Wiley.</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Johnson, G., Scholes, K. and Whittington, R. (2020)</w:t>
      </w:r>
    </w:p>
    <w:p w:rsidR="00000000" w:rsidDel="00000000" w:rsidP="00000000" w:rsidRDefault="00000000" w:rsidRPr="00000000" w14:paraId="00000071">
      <w:pPr>
        <w:spacing w:before="62" w:lineRule="auto"/>
        <w:ind w:left="23" w:firstLine="0"/>
        <w:rPr>
          <w:sz w:val="36"/>
          <w:szCs w:val="36"/>
        </w:rPr>
      </w:pPr>
      <w:r w:rsidDel="00000000" w:rsidR="00000000" w:rsidRPr="00000000">
        <w:rPr>
          <w:rFonts w:ascii="Arial" w:cs="Arial" w:eastAsia="Arial" w:hAnsi="Arial"/>
          <w:i w:val="1"/>
          <w:iCs w:val="1"/>
          <w:sz w:val="36"/>
          <w:szCs w:val="36"/>
          <w:rtl w:val="0"/>
        </w:rPr>
        <w:t xml:space="preserve">Exploring Strategy</w:t>
      </w:r>
      <w:r w:rsidDel="00000000" w:rsidR="00000000" w:rsidRPr="00000000">
        <w:rPr>
          <w:sz w:val="36"/>
          <w:szCs w:val="36"/>
          <w:rtl w:val="0"/>
        </w:rPr>
        <w:t xml:space="preserve">. Pearson.</w:t>
      </w:r>
    </w:p>
    <w:p w:rsidR="00000000" w:rsidDel="00000000" w:rsidP="00000000" w:rsidRDefault="00000000" w:rsidRPr="00000000" w14:paraId="00000072">
      <w:pPr>
        <w:spacing w:before="225" w:line="278.00000000000006" w:lineRule="auto"/>
        <w:ind w:left="23" w:firstLine="0"/>
        <w:rPr>
          <w:sz w:val="36"/>
          <w:szCs w:val="36"/>
        </w:rPr>
      </w:pPr>
      <w:r w:rsidDel="00000000" w:rsidR="00000000" w:rsidRPr="00000000">
        <w:rPr>
          <w:sz w:val="36"/>
          <w:szCs w:val="36"/>
          <w:rtl w:val="0"/>
        </w:rPr>
        <w:t xml:space="preserve">Kapferer. J.N. (2012) </w:t>
      </w:r>
      <w:r w:rsidDel="00000000" w:rsidR="00000000" w:rsidRPr="00000000">
        <w:rPr>
          <w:rFonts w:ascii="Arial" w:cs="Arial" w:eastAsia="Arial" w:hAnsi="Arial"/>
          <w:i w:val="1"/>
          <w:iCs w:val="1"/>
          <w:sz w:val="36"/>
          <w:szCs w:val="36"/>
          <w:rtl w:val="0"/>
        </w:rPr>
        <w:t xml:space="preserve">The New Strategic Brand Management</w:t>
      </w:r>
      <w:r w:rsidDel="00000000" w:rsidR="00000000" w:rsidRPr="00000000">
        <w:rPr>
          <w:sz w:val="36"/>
          <w:szCs w:val="36"/>
          <w:rtl w:val="0"/>
        </w:rPr>
        <w:t xml:space="preserve">. Kogan Page.</w:t>
      </w:r>
    </w:p>
    <w:p w:rsidR="00000000" w:rsidDel="00000000" w:rsidP="00000000" w:rsidRDefault="00000000" w:rsidRPr="00000000" w14:paraId="00000073">
      <w:pPr>
        <w:spacing w:before="158" w:lineRule="auto"/>
        <w:ind w:left="23" w:firstLine="0"/>
        <w:rPr>
          <w:sz w:val="36"/>
          <w:szCs w:val="36"/>
        </w:rPr>
      </w:pPr>
      <w:r w:rsidDel="00000000" w:rsidR="00000000" w:rsidRPr="00000000">
        <w:rPr>
          <w:sz w:val="36"/>
          <w:szCs w:val="36"/>
          <w:rtl w:val="0"/>
        </w:rPr>
        <w:t xml:space="preserve">Keller. K. (2013) </w:t>
      </w:r>
      <w:r w:rsidDel="00000000" w:rsidR="00000000" w:rsidRPr="00000000">
        <w:rPr>
          <w:rFonts w:ascii="Arial" w:cs="Arial" w:eastAsia="Arial" w:hAnsi="Arial"/>
          <w:i w:val="1"/>
          <w:iCs w:val="1"/>
          <w:sz w:val="36"/>
          <w:szCs w:val="36"/>
          <w:rtl w:val="0"/>
        </w:rPr>
        <w:t xml:space="preserve">Strategic Brand Management</w:t>
      </w:r>
      <w:r w:rsidDel="00000000" w:rsidR="00000000" w:rsidRPr="00000000">
        <w:rPr>
          <w:sz w:val="36"/>
          <w:szCs w:val="36"/>
          <w:rtl w:val="0"/>
        </w:rPr>
        <w:t xml:space="preserve">. Pearson.</w:t>
      </w:r>
    </w:p>
    <w:p w:rsidR="00000000" w:rsidDel="00000000" w:rsidP="00000000" w:rsidRDefault="00000000" w:rsidRPr="00000000" w14:paraId="00000074">
      <w:pPr>
        <w:spacing w:before="225" w:line="280" w:lineRule="auto"/>
        <w:ind w:left="23" w:firstLine="0"/>
        <w:rPr>
          <w:sz w:val="36"/>
          <w:szCs w:val="36"/>
        </w:rPr>
      </w:pPr>
      <w:r w:rsidDel="00000000" w:rsidR="00000000" w:rsidRPr="00000000">
        <w:rPr>
          <w:sz w:val="36"/>
          <w:szCs w:val="36"/>
          <w:rtl w:val="0"/>
        </w:rPr>
        <w:t xml:space="preserve">Kotler. P. and Keller, K. (2016) </w:t>
      </w:r>
      <w:r w:rsidDel="00000000" w:rsidR="00000000" w:rsidRPr="00000000">
        <w:rPr>
          <w:rFonts w:ascii="Arial" w:cs="Arial" w:eastAsia="Arial" w:hAnsi="Arial"/>
          <w:i w:val="1"/>
          <w:iCs w:val="1"/>
          <w:sz w:val="36"/>
          <w:szCs w:val="36"/>
          <w:rtl w:val="0"/>
        </w:rPr>
        <w:t xml:space="preserve">Marketing Management</w:t>
      </w:r>
      <w:r w:rsidDel="00000000" w:rsidR="00000000" w:rsidRPr="00000000">
        <w:rPr>
          <w:sz w:val="36"/>
          <w:szCs w:val="36"/>
          <w:rtl w:val="0"/>
        </w:rPr>
        <w:t xml:space="preserve">. Pearson.</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76" w:lineRule="auto"/>
        <w:ind w:left="23" w:right="68"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Lazonick, W.et al. (2013) Apple’s changing business model. </w:t>
      </w:r>
      <w:r w:rsidDel="00000000" w:rsidR="00000000" w:rsidRPr="00000000">
        <w:rPr>
          <w:rFonts w:ascii="Arial" w:cs="Arial" w:eastAsia="Arial" w:hAnsi="Arial"/>
          <w:b w:val="0"/>
          <w:bCs w:val="0"/>
          <w:i w:val="1"/>
          <w:iCs w:val="1"/>
          <w:smallCaps w:val="0"/>
          <w:strike w:val="0"/>
          <w:color w:val="000000"/>
          <w:sz w:val="36"/>
          <w:szCs w:val="36"/>
          <w:u w:val="none"/>
          <w:shd w:fill="auto" w:val="clear"/>
          <w:vertAlign w:val="baseline"/>
          <w:rtl w:val="0"/>
        </w:rPr>
        <w:t xml:space="preserve">Accounting Forum</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,37(4), pp.249-267.</w:t>
      </w:r>
    </w:p>
    <w:p w:rsidR="00000000" w:rsidDel="00000000" w:rsidP="00000000" w:rsidRDefault="00000000" w:rsidRPr="00000000" w14:paraId="00000076">
      <w:pPr>
        <w:spacing w:before="167" w:line="276" w:lineRule="auto"/>
        <w:ind w:left="23" w:firstLine="0"/>
        <w:rPr>
          <w:sz w:val="36"/>
          <w:szCs w:val="36"/>
        </w:rPr>
      </w:pPr>
      <w:r w:rsidDel="00000000" w:rsidR="00000000" w:rsidRPr="00000000">
        <w:rPr>
          <w:sz w:val="36"/>
          <w:szCs w:val="36"/>
          <w:rtl w:val="0"/>
        </w:rPr>
        <w:t xml:space="preserve">McGee, J. and Sammut- Bonnici, T. (2015) Competitive strategy. </w:t>
      </w:r>
      <w:r w:rsidDel="00000000" w:rsidR="00000000" w:rsidRPr="00000000">
        <w:rPr>
          <w:rFonts w:ascii="Arial" w:cs="Arial" w:eastAsia="Arial" w:hAnsi="Arial"/>
          <w:i w:val="1"/>
          <w:iCs w:val="1"/>
          <w:sz w:val="36"/>
          <w:szCs w:val="36"/>
          <w:rtl w:val="0"/>
        </w:rPr>
        <w:t xml:space="preserve">Wiley Encyclopedia of Management</w:t>
      </w:r>
      <w:r w:rsidDel="00000000" w:rsidR="00000000" w:rsidRPr="00000000">
        <w:rPr>
          <w:sz w:val="36"/>
          <w:szCs w:val="36"/>
          <w:rtl w:val="0"/>
        </w:rPr>
        <w:t xml:space="preserve">.</w:t>
      </w:r>
    </w:p>
    <w:p w:rsidR="00000000" w:rsidDel="00000000" w:rsidP="00000000" w:rsidRDefault="00000000" w:rsidRPr="00000000" w14:paraId="00000077">
      <w:pPr>
        <w:spacing w:before="162" w:lineRule="auto"/>
        <w:ind w:left="23" w:firstLine="0"/>
        <w:rPr>
          <w:sz w:val="36"/>
          <w:szCs w:val="36"/>
        </w:rPr>
      </w:pPr>
      <w:r w:rsidDel="00000000" w:rsidR="00000000" w:rsidRPr="00000000">
        <w:rPr>
          <w:sz w:val="36"/>
          <w:szCs w:val="36"/>
          <w:rtl w:val="0"/>
        </w:rPr>
        <w:t xml:space="preserve">Porter, M. (1985) </w:t>
      </w:r>
      <w:r w:rsidDel="00000000" w:rsidR="00000000" w:rsidRPr="00000000">
        <w:rPr>
          <w:rFonts w:ascii="Arial" w:cs="Arial" w:eastAsia="Arial" w:hAnsi="Arial"/>
          <w:i w:val="1"/>
          <w:iCs w:val="1"/>
          <w:sz w:val="36"/>
          <w:szCs w:val="36"/>
          <w:rtl w:val="0"/>
        </w:rPr>
        <w:t xml:space="preserve">Competitive Advantage</w:t>
      </w:r>
      <w:r w:rsidDel="00000000" w:rsidR="00000000" w:rsidRPr="00000000">
        <w:rPr>
          <w:sz w:val="36"/>
          <w:szCs w:val="36"/>
          <w:rtl w:val="0"/>
        </w:rPr>
        <w:t xml:space="preserve">. Free Press.</w:t>
      </w:r>
    </w:p>
    <w:p w:rsidR="00000000" w:rsidDel="00000000" w:rsidP="00000000" w:rsidRDefault="00000000" w:rsidRPr="00000000" w14:paraId="00000078">
      <w:pPr>
        <w:spacing w:before="224" w:line="278.00000000000006" w:lineRule="auto"/>
        <w:ind w:left="23" w:firstLine="0"/>
        <w:rPr>
          <w:rFonts w:ascii="Arial" w:cs="Arial" w:eastAsia="Arial" w:hAnsi="Arial"/>
          <w:i w:val="1"/>
          <w:iCs w:val="1"/>
          <w:sz w:val="36"/>
          <w:szCs w:val="36"/>
        </w:rPr>
      </w:pPr>
      <w:r w:rsidDel="00000000" w:rsidR="00000000" w:rsidRPr="00000000">
        <w:rPr>
          <w:sz w:val="36"/>
          <w:szCs w:val="36"/>
          <w:rtl w:val="0"/>
        </w:rPr>
        <w:t xml:space="preserve">Porter M. (2008) The five competitive forces. </w:t>
      </w:r>
      <w:r w:rsidDel="00000000" w:rsidR="00000000" w:rsidRPr="00000000">
        <w:rPr>
          <w:rFonts w:ascii="Arial" w:cs="Arial" w:eastAsia="Arial" w:hAnsi="Arial"/>
          <w:i w:val="1"/>
          <w:iCs w:val="1"/>
          <w:sz w:val="36"/>
          <w:szCs w:val="36"/>
          <w:rtl w:val="0"/>
        </w:rPr>
        <w:t xml:space="preserve">Harvard business review.</w:t>
      </w:r>
    </w:p>
    <w:p w:rsidR="00000000" w:rsidDel="00000000" w:rsidP="00000000" w:rsidRDefault="00000000" w:rsidRPr="00000000" w14:paraId="00000079">
      <w:pPr>
        <w:spacing w:before="158" w:lineRule="auto"/>
        <w:ind w:left="23" w:firstLine="0"/>
        <w:rPr>
          <w:sz w:val="36"/>
          <w:szCs w:val="36"/>
        </w:rPr>
      </w:pPr>
      <w:r w:rsidDel="00000000" w:rsidR="00000000" w:rsidRPr="00000000">
        <w:rPr>
          <w:sz w:val="36"/>
          <w:szCs w:val="36"/>
          <w:rtl w:val="0"/>
        </w:rPr>
        <w:t xml:space="preserve">Scott, W. (2014) </w:t>
      </w:r>
      <w:r w:rsidDel="00000000" w:rsidR="00000000" w:rsidRPr="00000000">
        <w:rPr>
          <w:rFonts w:ascii="Arial" w:cs="Arial" w:eastAsia="Arial" w:hAnsi="Arial"/>
          <w:i w:val="1"/>
          <w:iCs w:val="1"/>
          <w:sz w:val="36"/>
          <w:szCs w:val="36"/>
          <w:rtl w:val="0"/>
        </w:rPr>
        <w:t xml:space="preserve">Institutions and Organizations</w:t>
      </w:r>
      <w:r w:rsidDel="00000000" w:rsidR="00000000" w:rsidRPr="00000000">
        <w:rPr>
          <w:sz w:val="36"/>
          <w:szCs w:val="36"/>
          <w:rtl w:val="0"/>
        </w:rPr>
        <w:t xml:space="preserve">. Sage.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76"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Teece, D. (2018) Business models and dynamic capabilities. </w:t>
      </w:r>
      <w:r w:rsidDel="00000000" w:rsidR="00000000" w:rsidRPr="00000000">
        <w:rPr>
          <w:rFonts w:ascii="Arial" w:cs="Arial" w:eastAsia="Arial" w:hAnsi="Arial"/>
          <w:b w:val="0"/>
          <w:bCs w:val="0"/>
          <w:i w:val="1"/>
          <w:iCs w:val="1"/>
          <w:smallCaps w:val="0"/>
          <w:strike w:val="0"/>
          <w:color w:val="000000"/>
          <w:sz w:val="36"/>
          <w:szCs w:val="36"/>
          <w:u w:val="none"/>
          <w:shd w:fill="auto" w:val="clear"/>
          <w:vertAlign w:val="baseline"/>
          <w:rtl w:val="0"/>
        </w:rPr>
        <w:t xml:space="preserve">Long Range Planning</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,51(1), pp. 40-49.</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114"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West, J. And Mace. M (2010) Apple iPhone SUCCESS.</w:t>
      </w:r>
    </w:p>
    <w:p w:rsidR="00000000" w:rsidDel="00000000" w:rsidP="00000000" w:rsidRDefault="00000000" w:rsidRPr="00000000" w14:paraId="0000007C">
      <w:pPr>
        <w:spacing w:before="62" w:lineRule="auto"/>
        <w:ind w:left="23" w:firstLine="0"/>
        <w:rPr>
          <w:sz w:val="36"/>
          <w:szCs w:val="36"/>
        </w:rPr>
      </w:pPr>
      <w:r w:rsidDel="00000000" w:rsidR="00000000" w:rsidRPr="00000000">
        <w:rPr>
          <w:rFonts w:ascii="Arial" w:cs="Arial" w:eastAsia="Arial" w:hAnsi="Arial"/>
          <w:i w:val="1"/>
          <w:iCs w:val="1"/>
          <w:sz w:val="36"/>
          <w:szCs w:val="36"/>
          <w:rtl w:val="0"/>
        </w:rPr>
        <w:t xml:space="preserve">Telecommunications Policy</w:t>
      </w:r>
      <w:r w:rsidDel="00000000" w:rsidR="00000000" w:rsidRPr="00000000">
        <w:rPr>
          <w:sz w:val="36"/>
          <w:szCs w:val="36"/>
          <w:rtl w:val="0"/>
        </w:rPr>
        <w:t xml:space="preserve">,34(5-6), pp 270-286.</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23"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Zhu, F. and lansiti, M. (2019) Why some platforms thrive.</w:t>
      </w:r>
    </w:p>
    <w:p w:rsidR="00000000" w:rsidDel="00000000" w:rsidP="00000000" w:rsidRDefault="00000000" w:rsidRPr="00000000" w14:paraId="0000007E">
      <w:pPr>
        <w:tabs>
          <w:tab w:val="left" w:leader="none" w:pos="5130"/>
        </w:tabs>
        <w:spacing w:before="61" w:lineRule="auto"/>
        <w:ind w:left="23" w:firstLine="0"/>
        <w:rPr>
          <w:sz w:val="36"/>
          <w:szCs w:val="36"/>
        </w:rPr>
      </w:pPr>
      <w:r w:rsidDel="00000000" w:rsidR="00000000" w:rsidRPr="00000000">
        <w:rPr>
          <w:rFonts w:ascii="Arial" w:cs="Arial" w:eastAsia="Arial" w:hAnsi="Arial"/>
          <w:i w:val="1"/>
          <w:iCs w:val="1"/>
          <w:sz w:val="36"/>
          <w:szCs w:val="36"/>
          <w:rtl w:val="0"/>
        </w:rPr>
        <w:t xml:space="preserve">Harvard Business Review</w:t>
      </w:r>
      <w:r w:rsidDel="00000000" w:rsidR="00000000" w:rsidRPr="00000000">
        <w:rPr>
          <w:sz w:val="36"/>
          <w:szCs w:val="36"/>
          <w:rtl w:val="0"/>
        </w:rPr>
        <w:t xml:space="preserve">.</w:t>
      </w:r>
    </w:p>
    <w:p w:rsidR="00000000" w:rsidDel="00000000" w:rsidP="00000000" w:rsidRDefault="00000000" w:rsidRPr="00000000" w14:paraId="0000007F">
      <w:pPr>
        <w:spacing w:before="230" w:line="276" w:lineRule="auto"/>
        <w:ind w:left="23" w:firstLine="0"/>
        <w:rPr>
          <w:sz w:val="36"/>
          <w:szCs w:val="36"/>
        </w:rPr>
        <w:sectPr>
          <w:type w:val="nextPage"/>
          <w:pgSz w:h="16840" w:w="11910" w:orient="portrait"/>
          <w:pgMar w:bottom="280" w:top="1380" w:left="1417" w:right="1417" w:header="720" w:footer="720"/>
        </w:sectPr>
      </w:pPr>
      <w:r w:rsidDel="00000000" w:rsidR="00000000" w:rsidRPr="00000000">
        <w:rPr>
          <w:sz w:val="36"/>
          <w:szCs w:val="36"/>
          <w:rtl w:val="0"/>
        </w:rPr>
        <w:t xml:space="preserve">Zhu, K., Kraemer, K. and Dedrick, J. (2021) Competition in smartphone markets. </w:t>
      </w:r>
      <w:r w:rsidDel="00000000" w:rsidR="00000000" w:rsidRPr="00000000">
        <w:rPr>
          <w:rFonts w:ascii="Arial" w:cs="Arial" w:eastAsia="Arial" w:hAnsi="Arial"/>
          <w:i w:val="1"/>
          <w:iCs w:val="1"/>
          <w:sz w:val="36"/>
          <w:szCs w:val="36"/>
          <w:rtl w:val="0"/>
        </w:rPr>
        <w:t xml:space="preserve">Information System Research</w:t>
      </w:r>
      <w:r w:rsidDel="00000000" w:rsidR="00000000" w:rsidRPr="00000000">
        <w:rPr>
          <w:sz w:val="36"/>
          <w:szCs w:val="36"/>
          <w:rtl w:val="0"/>
        </w:rPr>
        <w:t xml:space="preserv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tl w:val="0"/>
        </w:rPr>
      </w:r>
    </w:p>
    <w:sectPr>
      <w:type w:val="nextPage"/>
      <w:pgSz w:h="16840" w:w="11910" w:orient="portrait"/>
      <w:pgMar w:bottom="280" w:top="1820" w:left="1417" w:right="141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23" w:hanging="332.99999999999994"/>
      </w:pPr>
      <w:rPr>
        <w:rFonts w:ascii="Arial" w:cs="Arial" w:eastAsia="Arial" w:hAnsi="Arial"/>
        <w:b w:val="0"/>
        <w:bCs w:val="0"/>
        <w:i w:val="0"/>
        <w:iCs w:val="0"/>
        <w:color w:val="0e4660"/>
        <w:sz w:val="38"/>
        <w:szCs w:val="38"/>
      </w:rPr>
    </w:lvl>
    <w:lvl w:ilvl="1">
      <w:start w:val="1"/>
      <w:numFmt w:val="decimal"/>
      <w:lvlText w:val="%1.%2"/>
      <w:lvlJc w:val="left"/>
      <w:pPr>
        <w:ind w:left="578" w:hanging="555"/>
      </w:pPr>
      <w:rPr>
        <w:rFonts w:ascii="Arial" w:cs="Arial" w:eastAsia="Arial" w:hAnsi="Arial"/>
        <w:b w:val="0"/>
        <w:bCs w:val="0"/>
        <w:i w:val="0"/>
        <w:iCs w:val="0"/>
        <w:color w:val="0e4660"/>
        <w:sz w:val="38"/>
        <w:szCs w:val="38"/>
      </w:rPr>
    </w:lvl>
    <w:lvl w:ilvl="2">
      <w:start w:val="1"/>
      <w:numFmt w:val="decimal"/>
      <w:lvlText w:val="%1.%2.%3"/>
      <w:lvlJc w:val="left"/>
      <w:pPr>
        <w:ind w:left="23" w:hanging="886"/>
      </w:pPr>
      <w:rPr>
        <w:rFonts w:ascii="Arial" w:cs="Arial" w:eastAsia="Arial" w:hAnsi="Arial"/>
        <w:b w:val="0"/>
        <w:bCs w:val="0"/>
        <w:i w:val="0"/>
        <w:iCs w:val="0"/>
        <w:color w:val="0e4660"/>
        <w:sz w:val="38"/>
        <w:szCs w:val="38"/>
      </w:rPr>
    </w:lvl>
    <w:lvl w:ilvl="3">
      <w:start w:val="0"/>
      <w:numFmt w:val="bullet"/>
      <w:lvlText w:val="•"/>
      <w:lvlJc w:val="left"/>
      <w:pPr>
        <w:ind w:left="2541" w:hanging="886"/>
      </w:pPr>
      <w:rPr/>
    </w:lvl>
    <w:lvl w:ilvl="4">
      <w:start w:val="0"/>
      <w:numFmt w:val="bullet"/>
      <w:lvlText w:val="•"/>
      <w:lvlJc w:val="left"/>
      <w:pPr>
        <w:ind w:left="3522" w:hanging="886"/>
      </w:pPr>
      <w:rPr/>
    </w:lvl>
    <w:lvl w:ilvl="5">
      <w:start w:val="0"/>
      <w:numFmt w:val="bullet"/>
      <w:lvlText w:val="•"/>
      <w:lvlJc w:val="left"/>
      <w:pPr>
        <w:ind w:left="4502" w:hanging="886"/>
      </w:pPr>
      <w:rPr/>
    </w:lvl>
    <w:lvl w:ilvl="6">
      <w:start w:val="0"/>
      <w:numFmt w:val="bullet"/>
      <w:lvlText w:val="•"/>
      <w:lvlJc w:val="left"/>
      <w:pPr>
        <w:ind w:left="5483" w:hanging="886.0000000000009"/>
      </w:pPr>
      <w:rPr/>
    </w:lvl>
    <w:lvl w:ilvl="7">
      <w:start w:val="0"/>
      <w:numFmt w:val="bullet"/>
      <w:lvlText w:val="•"/>
      <w:lvlJc w:val="left"/>
      <w:pPr>
        <w:ind w:left="6464" w:hanging="886"/>
      </w:pPr>
      <w:rPr/>
    </w:lvl>
    <w:lvl w:ilvl="8">
      <w:start w:val="0"/>
      <w:numFmt w:val="bullet"/>
      <w:lvlText w:val="•"/>
      <w:lvlJc w:val="left"/>
      <w:pPr>
        <w:ind w:left="7444" w:hanging="886"/>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59" w:lineRule="auto"/>
      <w:ind w:left="23"/>
    </w:pPr>
    <w:rPr>
      <w:sz w:val="40"/>
      <w:szCs w:val="4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23"/>
    </w:pPr>
    <w:rPr>
      <w:sz w:val="36"/>
      <w:szCs w:val="36"/>
    </w:rPr>
  </w:style>
  <w:style w:type="paragraph" w:styleId="ListParagraph">
    <w:name w:val="List Paragraph"/>
    <w:basedOn w:val="Normal"/>
    <w:uiPriority w:val="1"/>
    <w:qFormat w:val="1"/>
    <w:pPr>
      <w:ind w:left="23"/>
    </w:pPr>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623B54"/>
    <w:pPr>
      <w:tabs>
        <w:tab w:val="center" w:pos="4680"/>
        <w:tab w:val="right" w:pos="9360"/>
      </w:tabs>
    </w:pPr>
  </w:style>
  <w:style w:type="character" w:styleId="HeaderChar" w:customStyle="1">
    <w:name w:val="Header Char"/>
    <w:basedOn w:val="DefaultParagraphFont"/>
    <w:link w:val="Header"/>
    <w:uiPriority w:val="99"/>
    <w:rsid w:val="00623B54"/>
    <w:rPr>
      <w:rFonts w:ascii="Arial MT" w:cs="Arial MT" w:eastAsia="Arial MT" w:hAnsi="Arial MT"/>
    </w:rPr>
  </w:style>
  <w:style w:type="paragraph" w:styleId="Footer">
    <w:name w:val="footer"/>
    <w:basedOn w:val="Normal"/>
    <w:link w:val="FooterChar"/>
    <w:uiPriority w:val="99"/>
    <w:unhideWhenUsed w:val="1"/>
    <w:rsid w:val="00623B54"/>
    <w:pPr>
      <w:tabs>
        <w:tab w:val="center" w:pos="4680"/>
        <w:tab w:val="right" w:pos="9360"/>
      </w:tabs>
    </w:pPr>
  </w:style>
  <w:style w:type="character" w:styleId="FooterChar" w:customStyle="1">
    <w:name w:val="Footer Char"/>
    <w:basedOn w:val="DefaultParagraphFont"/>
    <w:link w:val="Footer"/>
    <w:uiPriority w:val="99"/>
    <w:rsid w:val="00623B54"/>
    <w:rPr>
      <w:rFonts w:ascii="Arial MT" w:cs="Arial MT" w:eastAsia="Arial MT" w:hAnsi="Arial M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c0CaWgBjYvYhSna8HQoRlKiQrg==">CgMxLjAyD2lkLjR2am1wYnVzeGg4bjIPaWQuYzBmNXB5MTNicjFxMg9pZC4yODFkbGt4cG0xcm4yD2lkLnd5Mm1pcHd1M29xOTIPaWQueTNtZHFteW1wOTE2Mg9pZC5leW90dHR5NmRjcmcyD2lkLmk0bjRheWZqbGM2NzIPaWQuZTFkOGUxZ2NrbHp6Mg9pZC5xdGRtODh4bHppNDEyD2lkLnFxdzNsM3l2dDZtMDIPaWQuamUwdXk2N2c5M24yMg9pZC5qZ2lsZ3hsaGxuNGIyD2lkLm40cHBoNmkzOXAyYjIPaWQuYjduZ2s0ZzRvaWl5Mg9pZC55cXpxazl5MTY3a2UyDmlkLm1rODlmMGFoang1Mg9pZC52bHV6aW9wdHA4aHA4AHIhMVFVR1hwMkZ4d2tHZjNRU3ZyZU5ULTlCaERMcEpPbjF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2026-03-27T00:26:00Z</dcterms:created>
  <dc:creator>Hira Hasan Nur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2026-03-24T00:00:00Z</vt:filetime>
  </property>
  <property fmtid="{D5CDD505-2E9C-101B-9397-08002B2CF9AE}" pid="3" name="LastSaved">
    <vt:filetime>2026-03-24T00:00:00Z</vt:filetime>
  </property>
  <property fmtid="{D5CDD505-2E9C-101B-9397-08002B2CF9AE}" pid="4" name="Producer">
    <vt:lpwstr>iLovePDF</vt:lpwstr>
  </property>
  <property fmtid="{D5CDD505-2E9C-101B-9397-08002B2CF9AE}" pid="5" name="ContentTypeId">
    <vt:lpwstr>0x01010023E21010F4412842A7801E7AF9F0F67E</vt:lpwstr>
  </property>
</Properties>
</file>