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378C" w:rsidRDefault="0080378C" w:rsidP="00D42709">
      <w:pPr>
        <w:jc w:val="center"/>
        <w:rPr>
          <w:sz w:val="28"/>
          <w:szCs w:val="28"/>
        </w:rPr>
      </w:pPr>
      <w:r w:rsidRPr="0080378C">
        <w:rPr>
          <w:sz w:val="28"/>
          <w:szCs w:val="28"/>
        </w:rPr>
        <w:t>What is Reception History and does it have a value in Biblical Studies?</w:t>
      </w:r>
    </w:p>
    <w:p w:rsidR="00D42709" w:rsidRPr="00D42709" w:rsidRDefault="00D42709" w:rsidP="00D42709">
      <w:pPr>
        <w:jc w:val="center"/>
        <w:rPr>
          <w:sz w:val="28"/>
          <w:szCs w:val="28"/>
        </w:rPr>
      </w:pPr>
    </w:p>
    <w:p w:rsidR="00502467" w:rsidRDefault="005C1D80" w:rsidP="00D42709">
      <w:pPr>
        <w:spacing w:line="360" w:lineRule="auto"/>
        <w:rPr>
          <w:rFonts w:cstheme="minorHAnsi"/>
          <w:color w:val="000000" w:themeColor="text1"/>
          <w:sz w:val="24"/>
          <w:szCs w:val="24"/>
        </w:rPr>
      </w:pPr>
      <w:r w:rsidRPr="005C1D80">
        <w:rPr>
          <w:rFonts w:cstheme="minorHAnsi"/>
          <w:color w:val="000000" w:themeColor="text1"/>
          <w:sz w:val="24"/>
          <w:szCs w:val="24"/>
        </w:rPr>
        <w:t xml:space="preserve">Reception </w:t>
      </w:r>
      <w:r>
        <w:rPr>
          <w:rFonts w:cstheme="minorHAnsi"/>
          <w:color w:val="000000" w:themeColor="text1"/>
          <w:sz w:val="24"/>
          <w:szCs w:val="24"/>
        </w:rPr>
        <w:t>h</w:t>
      </w:r>
      <w:r w:rsidRPr="005C1D80">
        <w:rPr>
          <w:rFonts w:cstheme="minorHAnsi"/>
          <w:color w:val="000000" w:themeColor="text1"/>
          <w:sz w:val="24"/>
          <w:szCs w:val="24"/>
        </w:rPr>
        <w:t xml:space="preserve">istory has been defined </w:t>
      </w:r>
      <w:r w:rsidR="00C0307F">
        <w:rPr>
          <w:rFonts w:cstheme="minorHAnsi"/>
          <w:color w:val="000000" w:themeColor="text1"/>
          <w:sz w:val="24"/>
          <w:szCs w:val="24"/>
        </w:rPr>
        <w:t xml:space="preserve">in varying ways </w:t>
      </w:r>
      <w:r w:rsidRPr="005C1D80">
        <w:rPr>
          <w:rFonts w:cstheme="minorHAnsi"/>
          <w:color w:val="000000" w:themeColor="text1"/>
          <w:sz w:val="24"/>
          <w:szCs w:val="24"/>
        </w:rPr>
        <w:t>by</w:t>
      </w:r>
      <w:r w:rsidR="00C0307F">
        <w:rPr>
          <w:rFonts w:cstheme="minorHAnsi"/>
          <w:color w:val="000000" w:themeColor="text1"/>
          <w:sz w:val="24"/>
          <w:szCs w:val="24"/>
        </w:rPr>
        <w:t xml:space="preserve"> biblical scholars</w:t>
      </w:r>
      <w:r w:rsidR="00502467">
        <w:rPr>
          <w:rFonts w:cstheme="minorHAnsi"/>
          <w:color w:val="000000" w:themeColor="text1"/>
          <w:sz w:val="24"/>
          <w:szCs w:val="24"/>
        </w:rPr>
        <w:t>, historians</w:t>
      </w:r>
      <w:r w:rsidR="00C0307F">
        <w:rPr>
          <w:rFonts w:cstheme="minorHAnsi"/>
          <w:color w:val="000000" w:themeColor="text1"/>
          <w:sz w:val="24"/>
          <w:szCs w:val="24"/>
        </w:rPr>
        <w:t xml:space="preserve"> and philosophers</w:t>
      </w:r>
      <w:r w:rsidR="00502467">
        <w:rPr>
          <w:rFonts w:cstheme="minorHAnsi"/>
          <w:color w:val="000000" w:themeColor="text1"/>
          <w:sz w:val="24"/>
          <w:szCs w:val="24"/>
        </w:rPr>
        <w:t xml:space="preserve">, </w:t>
      </w:r>
      <w:r w:rsidR="00E47DFF">
        <w:rPr>
          <w:rFonts w:cstheme="minorHAnsi"/>
          <w:color w:val="000000" w:themeColor="text1"/>
          <w:sz w:val="24"/>
          <w:szCs w:val="24"/>
        </w:rPr>
        <w:t>whilst it</w:t>
      </w:r>
      <w:r w:rsidR="00502467">
        <w:rPr>
          <w:rFonts w:cstheme="minorHAnsi"/>
          <w:color w:val="000000" w:themeColor="text1"/>
          <w:sz w:val="24"/>
          <w:szCs w:val="24"/>
        </w:rPr>
        <w:t xml:space="preserve">s cultural impact is also expressed through literature and the arts. </w:t>
      </w:r>
      <w:r w:rsidR="00C0307F">
        <w:rPr>
          <w:rFonts w:cstheme="minorHAnsi"/>
          <w:color w:val="000000" w:themeColor="text1"/>
          <w:sz w:val="24"/>
          <w:szCs w:val="24"/>
        </w:rPr>
        <w:t>Professor of Religious Studies</w:t>
      </w:r>
      <w:r>
        <w:rPr>
          <w:rFonts w:cstheme="minorHAnsi"/>
          <w:color w:val="000000" w:themeColor="text1"/>
          <w:sz w:val="24"/>
          <w:szCs w:val="24"/>
        </w:rPr>
        <w:t xml:space="preserve"> J. F. A. Sawyer </w:t>
      </w:r>
      <w:r w:rsidR="00C0307F">
        <w:rPr>
          <w:rFonts w:cstheme="minorHAnsi"/>
          <w:color w:val="000000" w:themeColor="text1"/>
          <w:sz w:val="24"/>
          <w:szCs w:val="24"/>
        </w:rPr>
        <w:t>viewed reception history as</w:t>
      </w:r>
      <w:r>
        <w:rPr>
          <w:rFonts w:cstheme="minorHAnsi"/>
          <w:color w:val="000000" w:themeColor="text1"/>
          <w:sz w:val="24"/>
          <w:szCs w:val="24"/>
        </w:rPr>
        <w:t xml:space="preserve"> ‘the history of how a text has influenced communities and cultures down the centuries</w:t>
      </w:r>
      <w:r w:rsidR="00E751A1">
        <w:rPr>
          <w:rFonts w:cstheme="minorHAnsi"/>
          <w:color w:val="000000" w:themeColor="text1"/>
          <w:sz w:val="24"/>
          <w:szCs w:val="24"/>
        </w:rPr>
        <w:t>,’</w:t>
      </w:r>
      <w:r>
        <w:rPr>
          <w:rFonts w:cstheme="minorHAnsi"/>
          <w:color w:val="000000" w:themeColor="text1"/>
          <w:sz w:val="24"/>
          <w:szCs w:val="24"/>
        </w:rPr>
        <w:t xml:space="preserve"> </w:t>
      </w:r>
      <w:r>
        <w:rPr>
          <w:rFonts w:cstheme="minorHAnsi"/>
          <w:color w:val="000000" w:themeColor="text1"/>
          <w:sz w:val="24"/>
          <w:szCs w:val="24"/>
          <w:vertAlign w:val="superscript"/>
        </w:rPr>
        <w:t>(1)</w:t>
      </w:r>
      <w:r w:rsidR="00E751A1">
        <w:rPr>
          <w:rFonts w:cstheme="minorHAnsi"/>
          <w:color w:val="000000" w:themeColor="text1"/>
          <w:sz w:val="24"/>
          <w:szCs w:val="24"/>
        </w:rPr>
        <w:t>, whilst his contemporary, the Theologian James Barr, in a s</w:t>
      </w:r>
      <w:r w:rsidR="00CB03A1">
        <w:rPr>
          <w:rFonts w:cstheme="minorHAnsi"/>
          <w:color w:val="000000" w:themeColor="text1"/>
          <w:sz w:val="24"/>
          <w:szCs w:val="24"/>
        </w:rPr>
        <w:t>i</w:t>
      </w:r>
      <w:r w:rsidR="00E751A1">
        <w:rPr>
          <w:rFonts w:cstheme="minorHAnsi"/>
          <w:color w:val="000000" w:themeColor="text1"/>
          <w:sz w:val="24"/>
          <w:szCs w:val="24"/>
        </w:rPr>
        <w:t>milar vein, saw reception history as ‘the effects of writing, rather than origins</w:t>
      </w:r>
      <w:r w:rsidR="00CB03A1">
        <w:rPr>
          <w:rFonts w:cstheme="minorHAnsi"/>
          <w:color w:val="000000" w:themeColor="text1"/>
          <w:sz w:val="24"/>
          <w:szCs w:val="24"/>
        </w:rPr>
        <w:t>’</w:t>
      </w:r>
      <w:r w:rsidR="00F14CAB">
        <w:rPr>
          <w:rFonts w:cstheme="minorHAnsi"/>
          <w:color w:val="000000" w:themeColor="text1"/>
          <w:sz w:val="24"/>
          <w:szCs w:val="24"/>
        </w:rPr>
        <w:t>.</w:t>
      </w:r>
      <w:r w:rsidR="00CB03A1">
        <w:rPr>
          <w:rFonts w:cstheme="minorHAnsi"/>
          <w:color w:val="000000" w:themeColor="text1"/>
          <w:sz w:val="24"/>
          <w:szCs w:val="24"/>
          <w:vertAlign w:val="superscript"/>
        </w:rPr>
        <w:t xml:space="preserve"> (</w:t>
      </w:r>
      <w:r w:rsidR="00E751A1">
        <w:rPr>
          <w:rFonts w:cstheme="minorHAnsi"/>
          <w:color w:val="000000" w:themeColor="text1"/>
          <w:sz w:val="24"/>
          <w:szCs w:val="24"/>
          <w:vertAlign w:val="superscript"/>
        </w:rPr>
        <w:t>2)</w:t>
      </w:r>
      <w:r w:rsidR="00E751A1">
        <w:rPr>
          <w:rFonts w:cstheme="minorHAnsi"/>
          <w:color w:val="000000" w:themeColor="text1"/>
          <w:sz w:val="24"/>
          <w:szCs w:val="24"/>
        </w:rPr>
        <w:t xml:space="preserve"> </w:t>
      </w:r>
      <w:r w:rsidR="00F14CAB">
        <w:rPr>
          <w:rFonts w:cstheme="minorHAnsi"/>
          <w:color w:val="000000" w:themeColor="text1"/>
          <w:sz w:val="24"/>
          <w:szCs w:val="24"/>
        </w:rPr>
        <w:t xml:space="preserve">Both religious scholars </w:t>
      </w:r>
      <w:r w:rsidR="00E751A1">
        <w:rPr>
          <w:rFonts w:cstheme="minorHAnsi"/>
          <w:color w:val="000000" w:themeColor="text1"/>
          <w:sz w:val="24"/>
          <w:szCs w:val="24"/>
        </w:rPr>
        <w:t>focussing on the cultural consequences of the texts following their composition</w:t>
      </w:r>
      <w:r w:rsidR="00D42709">
        <w:rPr>
          <w:rFonts w:cstheme="minorHAnsi"/>
          <w:color w:val="000000" w:themeColor="text1"/>
          <w:sz w:val="24"/>
          <w:szCs w:val="24"/>
        </w:rPr>
        <w:t>, whereas the Old Testament scholar Brenna</w:t>
      </w:r>
      <w:r w:rsidR="0059338F">
        <w:rPr>
          <w:rFonts w:cstheme="minorHAnsi"/>
          <w:color w:val="000000" w:themeColor="text1"/>
          <w:sz w:val="24"/>
          <w:szCs w:val="24"/>
        </w:rPr>
        <w:t>n</w:t>
      </w:r>
      <w:r w:rsidR="00D42709">
        <w:rPr>
          <w:rFonts w:cstheme="minorHAnsi"/>
          <w:color w:val="000000" w:themeColor="text1"/>
          <w:sz w:val="24"/>
          <w:szCs w:val="24"/>
        </w:rPr>
        <w:t xml:space="preserve"> Reed, sees it as ‘the study of how biblical texts have changed over time’ through various mediums.</w:t>
      </w:r>
      <w:r w:rsidR="00D42709">
        <w:rPr>
          <w:rFonts w:cstheme="minorHAnsi"/>
          <w:color w:val="000000" w:themeColor="text1"/>
          <w:sz w:val="24"/>
          <w:szCs w:val="24"/>
          <w:vertAlign w:val="superscript"/>
        </w:rPr>
        <w:t>(3)</w:t>
      </w:r>
      <w:r w:rsidR="00D42709">
        <w:rPr>
          <w:rFonts w:cstheme="minorHAnsi"/>
          <w:color w:val="000000" w:themeColor="text1"/>
          <w:sz w:val="24"/>
          <w:szCs w:val="24"/>
        </w:rPr>
        <w:t xml:space="preserve"> </w:t>
      </w:r>
      <w:r w:rsidR="00502467">
        <w:rPr>
          <w:rFonts w:cstheme="minorHAnsi"/>
          <w:color w:val="000000" w:themeColor="text1"/>
          <w:sz w:val="24"/>
          <w:szCs w:val="24"/>
        </w:rPr>
        <w:t>The historian Harold Marcuse, interprets reception history as ‘the history of meanings that have been imputed to historical events’,</w:t>
      </w:r>
      <w:r w:rsidR="0059338F">
        <w:rPr>
          <w:rFonts w:cstheme="minorHAnsi"/>
          <w:color w:val="000000" w:themeColor="text1"/>
          <w:sz w:val="24"/>
          <w:szCs w:val="24"/>
        </w:rPr>
        <w:t xml:space="preserve"> </w:t>
      </w:r>
      <w:r w:rsidR="00502467">
        <w:rPr>
          <w:rFonts w:cstheme="minorHAnsi"/>
          <w:color w:val="000000" w:themeColor="text1"/>
          <w:sz w:val="24"/>
          <w:szCs w:val="24"/>
        </w:rPr>
        <w:t>and the ‘differing ways in which observers, and historians and other retrospective interpreters</w:t>
      </w:r>
      <w:r w:rsidR="002043B6">
        <w:rPr>
          <w:rFonts w:cstheme="minorHAnsi"/>
          <w:color w:val="000000" w:themeColor="text1"/>
          <w:sz w:val="24"/>
          <w:szCs w:val="24"/>
        </w:rPr>
        <w:t xml:space="preserve"> … make sense of events</w:t>
      </w:r>
      <w:r w:rsidR="00502467">
        <w:rPr>
          <w:rFonts w:cstheme="minorHAnsi"/>
          <w:color w:val="000000" w:themeColor="text1"/>
          <w:sz w:val="24"/>
          <w:szCs w:val="24"/>
        </w:rPr>
        <w:t xml:space="preserve">’ </w:t>
      </w:r>
      <w:r w:rsidR="00502467">
        <w:rPr>
          <w:rFonts w:cstheme="minorHAnsi"/>
          <w:color w:val="000000" w:themeColor="text1"/>
          <w:sz w:val="24"/>
          <w:szCs w:val="24"/>
          <w:vertAlign w:val="superscript"/>
        </w:rPr>
        <w:t>(</w:t>
      </w:r>
      <w:r w:rsidR="00D42709">
        <w:rPr>
          <w:rFonts w:cstheme="minorHAnsi"/>
          <w:color w:val="000000" w:themeColor="text1"/>
          <w:sz w:val="24"/>
          <w:szCs w:val="24"/>
          <w:vertAlign w:val="superscript"/>
        </w:rPr>
        <w:t>4</w:t>
      </w:r>
      <w:r w:rsidR="00502467">
        <w:rPr>
          <w:rFonts w:cstheme="minorHAnsi"/>
          <w:color w:val="000000" w:themeColor="text1"/>
          <w:sz w:val="24"/>
          <w:szCs w:val="24"/>
          <w:vertAlign w:val="superscript"/>
        </w:rPr>
        <w:t>)</w:t>
      </w:r>
      <w:r w:rsidR="00502467">
        <w:rPr>
          <w:rFonts w:cstheme="minorHAnsi"/>
          <w:color w:val="000000" w:themeColor="text1"/>
          <w:sz w:val="24"/>
          <w:szCs w:val="24"/>
        </w:rPr>
        <w:t xml:space="preserve"> </w:t>
      </w:r>
      <w:r w:rsidR="00B24D10">
        <w:rPr>
          <w:rFonts w:cstheme="minorHAnsi"/>
          <w:color w:val="000000" w:themeColor="text1"/>
          <w:sz w:val="24"/>
          <w:szCs w:val="24"/>
        </w:rPr>
        <w:t xml:space="preserve">focussing on the </w:t>
      </w:r>
      <w:r w:rsidR="00502467">
        <w:rPr>
          <w:rFonts w:cstheme="minorHAnsi"/>
          <w:color w:val="000000" w:themeColor="text1"/>
          <w:sz w:val="24"/>
          <w:szCs w:val="24"/>
        </w:rPr>
        <w:t>analys</w:t>
      </w:r>
      <w:r w:rsidR="00B24D10">
        <w:rPr>
          <w:rFonts w:cstheme="minorHAnsi"/>
          <w:color w:val="000000" w:themeColor="text1"/>
          <w:sz w:val="24"/>
          <w:szCs w:val="24"/>
        </w:rPr>
        <w:t>is of</w:t>
      </w:r>
      <w:r w:rsidR="00502467">
        <w:rPr>
          <w:rFonts w:cstheme="minorHAnsi"/>
          <w:color w:val="000000" w:themeColor="text1"/>
          <w:sz w:val="24"/>
          <w:szCs w:val="24"/>
        </w:rPr>
        <w:t xml:space="preserve"> these events and their contextual significance.  </w:t>
      </w:r>
      <w:r w:rsidR="00E47DFF">
        <w:rPr>
          <w:rFonts w:cstheme="minorHAnsi"/>
          <w:color w:val="000000" w:themeColor="text1"/>
          <w:sz w:val="24"/>
          <w:szCs w:val="24"/>
        </w:rPr>
        <w:t xml:space="preserve">Whereas the </w:t>
      </w:r>
      <w:r w:rsidR="00B24D10">
        <w:rPr>
          <w:rFonts w:cstheme="minorHAnsi"/>
          <w:color w:val="000000" w:themeColor="text1"/>
          <w:sz w:val="24"/>
          <w:szCs w:val="24"/>
        </w:rPr>
        <w:t>‘</w:t>
      </w:r>
      <w:r w:rsidR="00E47DFF">
        <w:rPr>
          <w:rFonts w:cstheme="minorHAnsi"/>
          <w:color w:val="000000" w:themeColor="text1"/>
          <w:sz w:val="24"/>
          <w:szCs w:val="24"/>
        </w:rPr>
        <w:t>godfather</w:t>
      </w:r>
      <w:r w:rsidR="00B24D10">
        <w:rPr>
          <w:rFonts w:cstheme="minorHAnsi"/>
          <w:color w:val="000000" w:themeColor="text1"/>
          <w:sz w:val="24"/>
          <w:szCs w:val="24"/>
        </w:rPr>
        <w:t>’</w:t>
      </w:r>
      <w:r w:rsidR="00E47DFF">
        <w:rPr>
          <w:rFonts w:cstheme="minorHAnsi"/>
          <w:color w:val="000000" w:themeColor="text1"/>
          <w:sz w:val="24"/>
          <w:szCs w:val="24"/>
        </w:rPr>
        <w:t xml:space="preserve"> of reception history, the philosopher Hans Georg Gadamer, firmly believed that ‘History does not belong to us; we belong to it…</w:t>
      </w:r>
      <w:r w:rsidR="00265EDC">
        <w:rPr>
          <w:rFonts w:cstheme="minorHAnsi"/>
          <w:color w:val="000000" w:themeColor="text1"/>
          <w:sz w:val="24"/>
          <w:szCs w:val="24"/>
        </w:rPr>
        <w:t>…. The</w:t>
      </w:r>
      <w:r w:rsidR="00E47DFF">
        <w:rPr>
          <w:rFonts w:cstheme="minorHAnsi"/>
          <w:color w:val="000000" w:themeColor="text1"/>
          <w:sz w:val="24"/>
          <w:szCs w:val="24"/>
        </w:rPr>
        <w:t xml:space="preserve"> prejudices of the individual</w:t>
      </w:r>
      <w:r w:rsidR="00265EDC">
        <w:rPr>
          <w:rFonts w:cstheme="minorHAnsi"/>
          <w:color w:val="000000" w:themeColor="text1"/>
          <w:sz w:val="24"/>
          <w:szCs w:val="24"/>
        </w:rPr>
        <w:t>…. constitute</w:t>
      </w:r>
      <w:r w:rsidR="00E47DFF">
        <w:rPr>
          <w:rFonts w:cstheme="minorHAnsi"/>
          <w:color w:val="000000" w:themeColor="text1"/>
          <w:sz w:val="24"/>
          <w:szCs w:val="24"/>
        </w:rPr>
        <w:t xml:space="preserve"> the historical reality of his being.’ </w:t>
      </w:r>
      <w:r w:rsidR="00E47DFF">
        <w:rPr>
          <w:rFonts w:cstheme="minorHAnsi"/>
          <w:color w:val="000000" w:themeColor="text1"/>
          <w:sz w:val="24"/>
          <w:szCs w:val="24"/>
          <w:vertAlign w:val="superscript"/>
        </w:rPr>
        <w:t>(</w:t>
      </w:r>
      <w:r w:rsidR="00D42709">
        <w:rPr>
          <w:rFonts w:cstheme="minorHAnsi"/>
          <w:color w:val="000000" w:themeColor="text1"/>
          <w:sz w:val="24"/>
          <w:szCs w:val="24"/>
          <w:vertAlign w:val="superscript"/>
        </w:rPr>
        <w:t>5</w:t>
      </w:r>
      <w:r w:rsidR="00E47DFF">
        <w:rPr>
          <w:rFonts w:cstheme="minorHAnsi"/>
          <w:color w:val="000000" w:themeColor="text1"/>
          <w:sz w:val="24"/>
          <w:szCs w:val="24"/>
          <w:vertAlign w:val="superscript"/>
        </w:rPr>
        <w:t>)</w:t>
      </w:r>
      <w:r w:rsidR="00265EDC">
        <w:rPr>
          <w:rFonts w:cstheme="minorHAnsi"/>
          <w:color w:val="000000" w:themeColor="text1"/>
          <w:sz w:val="24"/>
          <w:szCs w:val="24"/>
          <w:vertAlign w:val="superscript"/>
        </w:rPr>
        <w:t xml:space="preserve"> </w:t>
      </w:r>
    </w:p>
    <w:p w:rsidR="002043B6" w:rsidRDefault="00265EDC" w:rsidP="00D42709">
      <w:pPr>
        <w:spacing w:line="360" w:lineRule="auto"/>
        <w:rPr>
          <w:rFonts w:cstheme="minorHAnsi"/>
          <w:color w:val="000000" w:themeColor="text1"/>
          <w:sz w:val="24"/>
          <w:szCs w:val="24"/>
        </w:rPr>
      </w:pPr>
      <w:r>
        <w:rPr>
          <w:rFonts w:cstheme="minorHAnsi"/>
          <w:color w:val="000000" w:themeColor="text1"/>
          <w:sz w:val="24"/>
          <w:szCs w:val="24"/>
        </w:rPr>
        <w:t xml:space="preserve">These </w:t>
      </w:r>
      <w:r w:rsidR="00491F0C">
        <w:rPr>
          <w:rFonts w:cstheme="minorHAnsi"/>
          <w:color w:val="000000" w:themeColor="text1"/>
          <w:sz w:val="24"/>
          <w:szCs w:val="24"/>
        </w:rPr>
        <w:t xml:space="preserve">varying attempts, from different fields of expertise, to explain what reception history actually is, highlights </w:t>
      </w:r>
      <w:r w:rsidR="00F14CAB">
        <w:rPr>
          <w:rFonts w:cstheme="minorHAnsi"/>
          <w:color w:val="000000" w:themeColor="text1"/>
          <w:sz w:val="24"/>
          <w:szCs w:val="24"/>
        </w:rPr>
        <w:t>the differing opinions</w:t>
      </w:r>
      <w:r w:rsidR="00491F0C">
        <w:rPr>
          <w:rFonts w:cstheme="minorHAnsi"/>
          <w:color w:val="000000" w:themeColor="text1"/>
          <w:sz w:val="24"/>
          <w:szCs w:val="24"/>
        </w:rPr>
        <w:t xml:space="preserve"> in academia as to its posi</w:t>
      </w:r>
      <w:r w:rsidR="00B24D10">
        <w:rPr>
          <w:rFonts w:cstheme="minorHAnsi"/>
          <w:color w:val="000000" w:themeColor="text1"/>
          <w:sz w:val="24"/>
          <w:szCs w:val="24"/>
        </w:rPr>
        <w:t>tion</w:t>
      </w:r>
      <w:r w:rsidR="00491F0C">
        <w:rPr>
          <w:rFonts w:cstheme="minorHAnsi"/>
          <w:color w:val="000000" w:themeColor="text1"/>
          <w:sz w:val="24"/>
          <w:szCs w:val="24"/>
        </w:rPr>
        <w:t xml:space="preserve">. </w:t>
      </w:r>
      <w:r w:rsidR="00F14CAB">
        <w:rPr>
          <w:rFonts w:cstheme="minorHAnsi"/>
          <w:color w:val="000000" w:themeColor="text1"/>
          <w:sz w:val="24"/>
          <w:szCs w:val="24"/>
        </w:rPr>
        <w:t>This eclectic range can be interpreted as</w:t>
      </w:r>
      <w:r w:rsidR="00491F0C">
        <w:rPr>
          <w:rFonts w:cstheme="minorHAnsi"/>
          <w:color w:val="000000" w:themeColor="text1"/>
          <w:sz w:val="24"/>
          <w:szCs w:val="24"/>
        </w:rPr>
        <w:t xml:space="preserve"> prov</w:t>
      </w:r>
      <w:r w:rsidR="00F14CAB">
        <w:rPr>
          <w:rFonts w:cstheme="minorHAnsi"/>
          <w:color w:val="000000" w:themeColor="text1"/>
          <w:sz w:val="24"/>
          <w:szCs w:val="24"/>
        </w:rPr>
        <w:t>ing</w:t>
      </w:r>
      <w:r w:rsidR="00491F0C">
        <w:rPr>
          <w:rFonts w:cstheme="minorHAnsi"/>
          <w:color w:val="000000" w:themeColor="text1"/>
          <w:sz w:val="24"/>
          <w:szCs w:val="24"/>
        </w:rPr>
        <w:t xml:space="preserve"> its significance as area of study, as historians, philosophers, theologians and artists, </w:t>
      </w:r>
      <w:r w:rsidR="00F14CAB">
        <w:rPr>
          <w:rFonts w:cstheme="minorHAnsi"/>
          <w:color w:val="000000" w:themeColor="text1"/>
          <w:sz w:val="24"/>
          <w:szCs w:val="24"/>
        </w:rPr>
        <w:t xml:space="preserve">all </w:t>
      </w:r>
      <w:r w:rsidR="00491F0C">
        <w:rPr>
          <w:rFonts w:cstheme="minorHAnsi"/>
          <w:color w:val="000000" w:themeColor="text1"/>
          <w:sz w:val="24"/>
          <w:szCs w:val="24"/>
        </w:rPr>
        <w:t>have their own perceptions of what reception history is</w:t>
      </w:r>
      <w:r w:rsidR="00B24D10">
        <w:rPr>
          <w:rFonts w:cstheme="minorHAnsi"/>
          <w:color w:val="000000" w:themeColor="text1"/>
          <w:sz w:val="24"/>
          <w:szCs w:val="24"/>
        </w:rPr>
        <w:t xml:space="preserve">. </w:t>
      </w:r>
    </w:p>
    <w:p w:rsidR="002043B6" w:rsidRPr="00F14CAB" w:rsidRDefault="002043B6" w:rsidP="00D42709">
      <w:pPr>
        <w:spacing w:line="360" w:lineRule="auto"/>
        <w:rPr>
          <w:rFonts w:cstheme="minorHAnsi"/>
          <w:color w:val="000000" w:themeColor="text1"/>
          <w:sz w:val="24"/>
          <w:szCs w:val="24"/>
        </w:rPr>
      </w:pPr>
    </w:p>
    <w:p w:rsidR="00847919" w:rsidRPr="00C9701B" w:rsidRDefault="00847919" w:rsidP="00D42709">
      <w:pPr>
        <w:pStyle w:val="ListParagraph"/>
        <w:numPr>
          <w:ilvl w:val="0"/>
          <w:numId w:val="1"/>
        </w:numPr>
        <w:spacing w:line="360" w:lineRule="auto"/>
        <w:rPr>
          <w:sz w:val="24"/>
          <w:szCs w:val="24"/>
        </w:rPr>
      </w:pPr>
      <w:r w:rsidRPr="00C9701B">
        <w:rPr>
          <w:sz w:val="24"/>
          <w:szCs w:val="24"/>
        </w:rPr>
        <w:t xml:space="preserve">Sawyer, J. F. A., </w:t>
      </w:r>
      <w:r w:rsidRPr="00C9701B">
        <w:rPr>
          <w:i/>
          <w:iCs/>
          <w:sz w:val="24"/>
          <w:szCs w:val="24"/>
        </w:rPr>
        <w:t xml:space="preserve">‘Sacred Language and Sacred Texts’ </w:t>
      </w:r>
      <w:r w:rsidRPr="00C9701B">
        <w:rPr>
          <w:sz w:val="24"/>
          <w:szCs w:val="24"/>
        </w:rPr>
        <w:t>(London, Routledge, 1999) p. 2.</w:t>
      </w:r>
    </w:p>
    <w:p w:rsidR="00847919" w:rsidRPr="00D42709" w:rsidRDefault="00847919" w:rsidP="00D42709">
      <w:pPr>
        <w:pStyle w:val="ListParagraph"/>
        <w:numPr>
          <w:ilvl w:val="0"/>
          <w:numId w:val="1"/>
        </w:numPr>
        <w:spacing w:line="360" w:lineRule="auto"/>
        <w:rPr>
          <w:sz w:val="24"/>
          <w:szCs w:val="24"/>
        </w:rPr>
      </w:pPr>
      <w:r>
        <w:t xml:space="preserve">Barr, J., </w:t>
      </w:r>
      <w:r w:rsidRPr="001B25B8">
        <w:rPr>
          <w:i/>
          <w:iCs/>
        </w:rPr>
        <w:t>‘The Concept of Biblical Theology’</w:t>
      </w:r>
      <w:r>
        <w:t>, 447.</w:t>
      </w:r>
    </w:p>
    <w:p w:rsidR="00D42709" w:rsidRPr="00502467" w:rsidRDefault="00D42709" w:rsidP="00D42709">
      <w:pPr>
        <w:pStyle w:val="ListParagraph"/>
        <w:numPr>
          <w:ilvl w:val="0"/>
          <w:numId w:val="1"/>
        </w:numPr>
        <w:spacing w:line="360" w:lineRule="auto"/>
        <w:rPr>
          <w:sz w:val="24"/>
          <w:szCs w:val="24"/>
        </w:rPr>
      </w:pPr>
      <w:r>
        <w:t xml:space="preserve">Reed, Brennan., </w:t>
      </w:r>
      <w:r>
        <w:rPr>
          <w:i/>
          <w:iCs/>
        </w:rPr>
        <w:t>‘What Is Reception Histor</w:t>
      </w:r>
      <w:r w:rsidR="006F48C8">
        <w:rPr>
          <w:i/>
          <w:iCs/>
        </w:rPr>
        <w:t>y?</w:t>
      </w:r>
      <w:r>
        <w:rPr>
          <w:i/>
          <w:iCs/>
        </w:rPr>
        <w:t>’</w:t>
      </w:r>
      <w:r w:rsidR="006F48C8">
        <w:rPr>
          <w:i/>
          <w:iCs/>
        </w:rPr>
        <w:t xml:space="preserve"> </w:t>
      </w:r>
      <w:hyperlink r:id="rId5" w:history="1">
        <w:r w:rsidR="006F48C8" w:rsidRPr="00F9154D">
          <w:rPr>
            <w:rStyle w:val="Hyperlink"/>
            <w:i/>
            <w:iCs/>
          </w:rPr>
          <w:t>http://bibleodyssey.org.433/en/bible-basics/what-is-reception-history</w:t>
        </w:r>
      </w:hyperlink>
      <w:r w:rsidR="006F48C8">
        <w:rPr>
          <w:i/>
          <w:iCs/>
        </w:rPr>
        <w:t xml:space="preserve"> 31st May 2021</w:t>
      </w:r>
    </w:p>
    <w:p w:rsidR="00D42709" w:rsidRPr="00D42709" w:rsidRDefault="00847919" w:rsidP="00D42709">
      <w:pPr>
        <w:pStyle w:val="ListParagraph"/>
        <w:numPr>
          <w:ilvl w:val="0"/>
          <w:numId w:val="1"/>
        </w:numPr>
        <w:spacing w:line="360" w:lineRule="auto"/>
        <w:rPr>
          <w:sz w:val="24"/>
          <w:szCs w:val="24"/>
        </w:rPr>
      </w:pPr>
      <w:hyperlink r:id="rId6" w:history="1">
        <w:r w:rsidRPr="00F9154D">
          <w:rPr>
            <w:rStyle w:val="Hyperlink"/>
            <w:sz w:val="24"/>
            <w:szCs w:val="24"/>
          </w:rPr>
          <w:t>https://marcuse.faculty.history.ucsb.edu/receptionhist.htm#quotations</w:t>
        </w:r>
      </w:hyperlink>
    </w:p>
    <w:p w:rsidR="00847919" w:rsidRDefault="00847919" w:rsidP="00D42709">
      <w:pPr>
        <w:pStyle w:val="ListParagraph"/>
        <w:numPr>
          <w:ilvl w:val="0"/>
          <w:numId w:val="1"/>
        </w:numPr>
        <w:spacing w:line="360" w:lineRule="auto"/>
        <w:rPr>
          <w:sz w:val="24"/>
          <w:szCs w:val="24"/>
        </w:rPr>
      </w:pPr>
      <w:r>
        <w:rPr>
          <w:sz w:val="24"/>
          <w:szCs w:val="24"/>
        </w:rPr>
        <w:t xml:space="preserve">Gadamer, Hans Georg., </w:t>
      </w:r>
      <w:r w:rsidRPr="001B25B8">
        <w:rPr>
          <w:i/>
          <w:iCs/>
          <w:sz w:val="24"/>
          <w:szCs w:val="24"/>
        </w:rPr>
        <w:t>‘Truth and Method’</w:t>
      </w:r>
      <w:r>
        <w:rPr>
          <w:sz w:val="24"/>
          <w:szCs w:val="24"/>
        </w:rPr>
        <w:t xml:space="preserve">, </w:t>
      </w:r>
      <w:r w:rsidR="001B25B8">
        <w:rPr>
          <w:sz w:val="24"/>
          <w:szCs w:val="24"/>
        </w:rPr>
        <w:t>(</w:t>
      </w:r>
      <w:r>
        <w:rPr>
          <w:sz w:val="24"/>
          <w:szCs w:val="24"/>
        </w:rPr>
        <w:t>trans. Joel Weinsheimer and Donald G. Marshall 2</w:t>
      </w:r>
      <w:r w:rsidRPr="00770497">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w:t>
      </w:r>
      <w:r w:rsidR="001B25B8">
        <w:rPr>
          <w:sz w:val="24"/>
          <w:szCs w:val="24"/>
        </w:rPr>
        <w:t xml:space="preserve">London, </w:t>
      </w:r>
      <w:r>
        <w:rPr>
          <w:sz w:val="24"/>
          <w:szCs w:val="24"/>
        </w:rPr>
        <w:t>Continuum, 2004) p. 276-77</w:t>
      </w:r>
    </w:p>
    <w:p w:rsidR="00D42709" w:rsidRDefault="00D42709" w:rsidP="00D42709">
      <w:pPr>
        <w:spacing w:line="360" w:lineRule="auto"/>
        <w:rPr>
          <w:sz w:val="24"/>
          <w:szCs w:val="24"/>
        </w:rPr>
      </w:pPr>
    </w:p>
    <w:p w:rsidR="00D42709" w:rsidRDefault="00D42709" w:rsidP="00D42709">
      <w:pPr>
        <w:spacing w:line="360" w:lineRule="auto"/>
        <w:rPr>
          <w:rFonts w:cstheme="minorHAnsi"/>
          <w:color w:val="000000" w:themeColor="text1"/>
          <w:sz w:val="24"/>
          <w:szCs w:val="24"/>
        </w:rPr>
      </w:pPr>
      <w:r>
        <w:rPr>
          <w:rFonts w:cstheme="minorHAnsi"/>
          <w:color w:val="000000" w:themeColor="text1"/>
          <w:sz w:val="24"/>
          <w:szCs w:val="24"/>
        </w:rPr>
        <w:lastRenderedPageBreak/>
        <w:t>However, th</w:t>
      </w:r>
      <w:r w:rsidR="004D7E6C">
        <w:rPr>
          <w:rFonts w:cstheme="minorHAnsi"/>
          <w:color w:val="000000" w:themeColor="text1"/>
          <w:sz w:val="24"/>
          <w:szCs w:val="24"/>
        </w:rPr>
        <w:t>ese</w:t>
      </w:r>
      <w:r>
        <w:rPr>
          <w:rFonts w:cstheme="minorHAnsi"/>
          <w:color w:val="000000" w:themeColor="text1"/>
          <w:sz w:val="24"/>
          <w:szCs w:val="24"/>
        </w:rPr>
        <w:t xml:space="preserve"> a</w:t>
      </w:r>
      <w:r w:rsidR="004D7E6C">
        <w:rPr>
          <w:rFonts w:cstheme="minorHAnsi"/>
          <w:color w:val="000000" w:themeColor="text1"/>
          <w:sz w:val="24"/>
          <w:szCs w:val="24"/>
        </w:rPr>
        <w:t>re</w:t>
      </w:r>
      <w:r>
        <w:rPr>
          <w:rFonts w:cstheme="minorHAnsi"/>
          <w:color w:val="000000" w:themeColor="text1"/>
          <w:sz w:val="24"/>
          <w:szCs w:val="24"/>
        </w:rPr>
        <w:t xml:space="preserve"> influenced by their own academic backgrounds, or </w:t>
      </w:r>
      <w:r w:rsidR="004D7E6C">
        <w:rPr>
          <w:rFonts w:cstheme="minorHAnsi"/>
          <w:color w:val="000000" w:themeColor="text1"/>
          <w:sz w:val="24"/>
          <w:szCs w:val="24"/>
        </w:rPr>
        <w:t xml:space="preserve">possibly, </w:t>
      </w:r>
      <w:r>
        <w:rPr>
          <w:rFonts w:cstheme="minorHAnsi"/>
          <w:color w:val="000000" w:themeColor="text1"/>
          <w:sz w:val="24"/>
          <w:szCs w:val="24"/>
        </w:rPr>
        <w:t xml:space="preserve">the way in </w:t>
      </w:r>
      <w:r w:rsidRPr="00F14CAB">
        <w:rPr>
          <w:rFonts w:cstheme="minorHAnsi"/>
          <w:color w:val="000000" w:themeColor="text1"/>
          <w:sz w:val="24"/>
          <w:szCs w:val="24"/>
        </w:rPr>
        <w:t xml:space="preserve">which they receive reception history. </w:t>
      </w:r>
    </w:p>
    <w:p w:rsidR="00D42709" w:rsidRDefault="00D42709" w:rsidP="00D42709">
      <w:pPr>
        <w:spacing w:line="360" w:lineRule="auto"/>
        <w:rPr>
          <w:sz w:val="24"/>
          <w:szCs w:val="24"/>
        </w:rPr>
      </w:pPr>
      <w:r>
        <w:rPr>
          <w:sz w:val="24"/>
          <w:szCs w:val="24"/>
        </w:rPr>
        <w:t xml:space="preserve">The study of reception history was triggered by the philosophical hermeneutics of </w:t>
      </w:r>
      <w:r w:rsidRPr="00F14CAB">
        <w:rPr>
          <w:sz w:val="24"/>
          <w:szCs w:val="24"/>
        </w:rPr>
        <w:t xml:space="preserve">Gadamer’s </w:t>
      </w:r>
      <w:r w:rsidRPr="006B5117">
        <w:rPr>
          <w:i/>
          <w:iCs/>
          <w:sz w:val="24"/>
          <w:szCs w:val="24"/>
        </w:rPr>
        <w:t xml:space="preserve">‘Warheit und </w:t>
      </w:r>
      <w:proofErr w:type="spellStart"/>
      <w:r w:rsidRPr="006B5117">
        <w:rPr>
          <w:i/>
          <w:iCs/>
          <w:sz w:val="24"/>
          <w:szCs w:val="24"/>
        </w:rPr>
        <w:t>Methode</w:t>
      </w:r>
      <w:proofErr w:type="spellEnd"/>
      <w:r w:rsidRPr="006B5117">
        <w:rPr>
          <w:i/>
          <w:iCs/>
          <w:sz w:val="24"/>
          <w:szCs w:val="24"/>
        </w:rPr>
        <w:t>’</w:t>
      </w:r>
      <w:r>
        <w:rPr>
          <w:sz w:val="24"/>
          <w:szCs w:val="24"/>
        </w:rPr>
        <w:t xml:space="preserve">, </w:t>
      </w:r>
      <w:r>
        <w:rPr>
          <w:sz w:val="24"/>
          <w:szCs w:val="24"/>
          <w:vertAlign w:val="superscript"/>
        </w:rPr>
        <w:t>(6)</w:t>
      </w:r>
      <w:r>
        <w:rPr>
          <w:sz w:val="24"/>
          <w:szCs w:val="24"/>
        </w:rPr>
        <w:t xml:space="preserve"> in which he conceived of two central concepts. </w:t>
      </w:r>
      <w:r>
        <w:rPr>
          <w:sz w:val="24"/>
          <w:szCs w:val="24"/>
          <w:vertAlign w:val="superscript"/>
        </w:rPr>
        <w:t>(7)</w:t>
      </w:r>
      <w:r>
        <w:rPr>
          <w:sz w:val="24"/>
          <w:szCs w:val="24"/>
        </w:rPr>
        <w:t xml:space="preserve"> Firstly, </w:t>
      </w:r>
      <w:proofErr w:type="spellStart"/>
      <w:r w:rsidRPr="006B5117">
        <w:rPr>
          <w:i/>
          <w:iCs/>
          <w:sz w:val="24"/>
          <w:szCs w:val="24"/>
        </w:rPr>
        <w:t>Wirkungsgeschichte</w:t>
      </w:r>
      <w:proofErr w:type="spellEnd"/>
      <w:r>
        <w:rPr>
          <w:sz w:val="24"/>
          <w:szCs w:val="24"/>
        </w:rPr>
        <w:t>, often translated as the ‘</w:t>
      </w:r>
      <w:r w:rsidRPr="00F14CAB">
        <w:rPr>
          <w:sz w:val="24"/>
          <w:szCs w:val="24"/>
        </w:rPr>
        <w:t>history of effects</w:t>
      </w:r>
      <w:r>
        <w:rPr>
          <w:sz w:val="24"/>
          <w:szCs w:val="24"/>
        </w:rPr>
        <w:t>’</w:t>
      </w:r>
      <w:r w:rsidRPr="00F14CAB">
        <w:rPr>
          <w:sz w:val="24"/>
          <w:szCs w:val="24"/>
        </w:rPr>
        <w:t xml:space="preserve">, </w:t>
      </w:r>
      <w:r>
        <w:rPr>
          <w:sz w:val="24"/>
          <w:szCs w:val="24"/>
        </w:rPr>
        <w:t xml:space="preserve">enveloping humanities interconnectedness, both linguistically and historically, evidencing our different perceptions based on individual and cultural experiences. </w:t>
      </w:r>
    </w:p>
    <w:p w:rsidR="009A612E" w:rsidRPr="003F06EF" w:rsidRDefault="00C9701B" w:rsidP="00D42709">
      <w:pPr>
        <w:spacing w:line="360" w:lineRule="auto"/>
        <w:rPr>
          <w:sz w:val="24"/>
          <w:szCs w:val="24"/>
        </w:rPr>
      </w:pPr>
      <w:r w:rsidRPr="00C9701B">
        <w:rPr>
          <w:sz w:val="24"/>
          <w:szCs w:val="24"/>
        </w:rPr>
        <w:t xml:space="preserve">Secondly, Gadamer perceived the concept of a ‘fusion of two horizons’, </w:t>
      </w:r>
      <w:r w:rsidRPr="00C9701B">
        <w:rPr>
          <w:sz w:val="24"/>
          <w:szCs w:val="24"/>
          <w:vertAlign w:val="superscript"/>
        </w:rPr>
        <w:t>(</w:t>
      </w:r>
      <w:r w:rsidR="006F48C8">
        <w:rPr>
          <w:sz w:val="24"/>
          <w:szCs w:val="24"/>
          <w:vertAlign w:val="superscript"/>
        </w:rPr>
        <w:t>8</w:t>
      </w:r>
      <w:r w:rsidRPr="00C9701B">
        <w:rPr>
          <w:sz w:val="24"/>
          <w:szCs w:val="24"/>
          <w:vertAlign w:val="superscript"/>
        </w:rPr>
        <w:t>)</w:t>
      </w:r>
      <w:r w:rsidRPr="00C9701B">
        <w:rPr>
          <w:sz w:val="24"/>
          <w:szCs w:val="24"/>
        </w:rPr>
        <w:t xml:space="preserve">, the textual horizon, the work itself, and the interpreters own internal horizon. </w:t>
      </w:r>
      <w:r w:rsidR="006B5117">
        <w:rPr>
          <w:sz w:val="24"/>
          <w:szCs w:val="24"/>
        </w:rPr>
        <w:t xml:space="preserve">Gadamer saw this ‘fusion of horizons’ as enabling a ‘consciousness of the hermeneutical situation’. </w:t>
      </w:r>
      <w:r w:rsidR="006B5117">
        <w:rPr>
          <w:sz w:val="24"/>
          <w:szCs w:val="24"/>
          <w:vertAlign w:val="superscript"/>
        </w:rPr>
        <w:t>(</w:t>
      </w:r>
      <w:r w:rsidR="006F48C8">
        <w:rPr>
          <w:sz w:val="24"/>
          <w:szCs w:val="24"/>
          <w:vertAlign w:val="superscript"/>
        </w:rPr>
        <w:t>9</w:t>
      </w:r>
      <w:r w:rsidR="006B5117">
        <w:rPr>
          <w:sz w:val="24"/>
          <w:szCs w:val="24"/>
          <w:vertAlign w:val="superscript"/>
        </w:rPr>
        <w:t>)</w:t>
      </w:r>
      <w:r w:rsidR="00327092">
        <w:rPr>
          <w:sz w:val="24"/>
          <w:szCs w:val="24"/>
          <w:vertAlign w:val="superscript"/>
        </w:rPr>
        <w:t xml:space="preserve"> </w:t>
      </w:r>
      <w:r w:rsidR="003F06EF">
        <w:rPr>
          <w:sz w:val="24"/>
          <w:szCs w:val="24"/>
        </w:rPr>
        <w:t xml:space="preserve">This fusion would enable the reception historian to read the text </w:t>
      </w:r>
      <w:r w:rsidR="00815321">
        <w:rPr>
          <w:sz w:val="24"/>
          <w:szCs w:val="24"/>
        </w:rPr>
        <w:t xml:space="preserve">in its original setting, drawing on their knowledge of the period, to further explain the textual nuances and to better understand the composer and the derivation of </w:t>
      </w:r>
      <w:r w:rsidR="002043B6">
        <w:rPr>
          <w:sz w:val="24"/>
          <w:szCs w:val="24"/>
        </w:rPr>
        <w:t>what he saw as the ‘original’ or ‘classic’</w:t>
      </w:r>
      <w:r w:rsidR="00815321">
        <w:rPr>
          <w:sz w:val="24"/>
          <w:szCs w:val="24"/>
        </w:rPr>
        <w:t xml:space="preserve"> text.</w:t>
      </w:r>
    </w:p>
    <w:p w:rsidR="004D7E6C" w:rsidRPr="00055124" w:rsidRDefault="001109D0" w:rsidP="006F48C8">
      <w:pPr>
        <w:spacing w:line="360" w:lineRule="auto"/>
        <w:rPr>
          <w:color w:val="C00000"/>
          <w:sz w:val="24"/>
          <w:szCs w:val="24"/>
          <w:vertAlign w:val="superscript"/>
        </w:rPr>
      </w:pPr>
      <w:r>
        <w:rPr>
          <w:sz w:val="24"/>
          <w:szCs w:val="24"/>
        </w:rPr>
        <w:t>Gadamer heavily influenc</w:t>
      </w:r>
      <w:r w:rsidR="002043B6">
        <w:rPr>
          <w:sz w:val="24"/>
          <w:szCs w:val="24"/>
        </w:rPr>
        <w:t>ing</w:t>
      </w:r>
      <w:r>
        <w:rPr>
          <w:sz w:val="24"/>
          <w:szCs w:val="24"/>
        </w:rPr>
        <w:t xml:space="preserve"> both Hans Robert Jauss and </w:t>
      </w:r>
      <w:r w:rsidR="006B5117">
        <w:rPr>
          <w:sz w:val="24"/>
          <w:szCs w:val="24"/>
        </w:rPr>
        <w:t>Ulrich Luz</w:t>
      </w:r>
      <w:r>
        <w:rPr>
          <w:sz w:val="24"/>
          <w:szCs w:val="24"/>
        </w:rPr>
        <w:t>. Jauss</w:t>
      </w:r>
      <w:r w:rsidR="00DC4D02">
        <w:rPr>
          <w:sz w:val="24"/>
          <w:szCs w:val="24"/>
        </w:rPr>
        <w:t xml:space="preserve">, who coined the term </w:t>
      </w:r>
      <w:r w:rsidR="00D42709">
        <w:rPr>
          <w:sz w:val="24"/>
          <w:szCs w:val="24"/>
        </w:rPr>
        <w:t>the term</w:t>
      </w:r>
      <w:r w:rsidR="002043B6">
        <w:rPr>
          <w:sz w:val="24"/>
          <w:szCs w:val="24"/>
        </w:rPr>
        <w:t xml:space="preserve"> ‘reception history’</w:t>
      </w:r>
      <w:r w:rsidR="00D42709">
        <w:rPr>
          <w:sz w:val="24"/>
          <w:szCs w:val="24"/>
        </w:rPr>
        <w:t>,</w:t>
      </w:r>
      <w:r>
        <w:rPr>
          <w:sz w:val="24"/>
          <w:szCs w:val="24"/>
        </w:rPr>
        <w:t xml:space="preserve"> was a student of Gadamer and further developed his ideas,</w:t>
      </w:r>
      <w:r w:rsidR="004D7E6C" w:rsidRPr="004D7E6C">
        <w:rPr>
          <w:color w:val="C00000"/>
          <w:sz w:val="24"/>
          <w:szCs w:val="24"/>
        </w:rPr>
        <w:t xml:space="preserve"> </w:t>
      </w:r>
      <w:r w:rsidR="004D7E6C" w:rsidRPr="004D7E6C">
        <w:rPr>
          <w:color w:val="000000" w:themeColor="text1"/>
          <w:sz w:val="24"/>
          <w:szCs w:val="24"/>
        </w:rPr>
        <w:t xml:space="preserve">viewing </w:t>
      </w:r>
      <w:r w:rsidR="004D7E6C" w:rsidRPr="004D7E6C">
        <w:rPr>
          <w:color w:val="000000" w:themeColor="text1"/>
          <w:sz w:val="24"/>
          <w:szCs w:val="24"/>
        </w:rPr>
        <w:t>Gadamer’s belief in a</w:t>
      </w:r>
      <w:r w:rsidR="004D7E6C" w:rsidRPr="004D7E6C">
        <w:rPr>
          <w:color w:val="000000" w:themeColor="text1"/>
          <w:sz w:val="24"/>
          <w:szCs w:val="24"/>
        </w:rPr>
        <w:t>n</w:t>
      </w:r>
      <w:r w:rsidR="004D7E6C" w:rsidRPr="004D7E6C">
        <w:rPr>
          <w:color w:val="000000" w:themeColor="text1"/>
          <w:sz w:val="24"/>
          <w:szCs w:val="24"/>
        </w:rPr>
        <w:t xml:space="preserve"> ‘original’ work as limiting, and recognised the need for an ‘hermeneutical distance’ </w:t>
      </w:r>
      <w:r w:rsidR="004D7E6C" w:rsidRPr="004D7E6C">
        <w:rPr>
          <w:color w:val="000000" w:themeColor="text1"/>
          <w:sz w:val="24"/>
          <w:szCs w:val="24"/>
          <w:vertAlign w:val="superscript"/>
        </w:rPr>
        <w:t>(10)</w:t>
      </w:r>
      <w:r w:rsidR="004D7E6C" w:rsidRPr="004D7E6C">
        <w:rPr>
          <w:color w:val="000000" w:themeColor="text1"/>
          <w:sz w:val="24"/>
          <w:szCs w:val="24"/>
        </w:rPr>
        <w:t xml:space="preserve"> from th</w:t>
      </w:r>
      <w:r w:rsidR="004D7E6C" w:rsidRPr="00055124">
        <w:rPr>
          <w:color w:val="000000" w:themeColor="text1"/>
          <w:sz w:val="24"/>
          <w:szCs w:val="24"/>
        </w:rPr>
        <w:t>is</w:t>
      </w:r>
      <w:r w:rsidR="004D7E6C" w:rsidRPr="00055124">
        <w:rPr>
          <w:color w:val="000000" w:themeColor="text1"/>
          <w:sz w:val="24"/>
          <w:szCs w:val="24"/>
        </w:rPr>
        <w:t xml:space="preserve"> </w:t>
      </w:r>
      <w:r w:rsidR="004D7E6C" w:rsidRPr="00055124">
        <w:rPr>
          <w:color w:val="000000" w:themeColor="text1"/>
          <w:sz w:val="24"/>
          <w:szCs w:val="24"/>
        </w:rPr>
        <w:t>by acknowledging the context</w:t>
      </w:r>
      <w:r w:rsidR="00055124" w:rsidRPr="00055124">
        <w:rPr>
          <w:color w:val="000000" w:themeColor="text1"/>
          <w:sz w:val="24"/>
          <w:szCs w:val="24"/>
        </w:rPr>
        <w:t xml:space="preserve"> </w:t>
      </w:r>
      <w:r w:rsidR="00055124" w:rsidRPr="00055124">
        <w:rPr>
          <w:color w:val="000000" w:themeColor="text1"/>
          <w:sz w:val="24"/>
          <w:szCs w:val="24"/>
        </w:rPr>
        <w:t xml:space="preserve">of the foundational text. </w:t>
      </w:r>
      <w:r w:rsidR="00055124" w:rsidRPr="00055124">
        <w:rPr>
          <w:color w:val="000000" w:themeColor="text1"/>
          <w:sz w:val="24"/>
          <w:szCs w:val="24"/>
          <w:vertAlign w:val="superscript"/>
        </w:rPr>
        <w:t xml:space="preserve">(11) </w:t>
      </w:r>
    </w:p>
    <w:p w:rsidR="006F48C8" w:rsidRDefault="006F48C8" w:rsidP="006F48C8">
      <w:pPr>
        <w:pStyle w:val="ListParagraph"/>
        <w:numPr>
          <w:ilvl w:val="0"/>
          <w:numId w:val="1"/>
        </w:numPr>
        <w:spacing w:line="360" w:lineRule="auto"/>
        <w:rPr>
          <w:sz w:val="24"/>
          <w:szCs w:val="24"/>
        </w:rPr>
      </w:pPr>
      <w:r>
        <w:rPr>
          <w:sz w:val="24"/>
          <w:szCs w:val="24"/>
        </w:rPr>
        <w:t xml:space="preserve">Gadamer, Hans Georg., </w:t>
      </w:r>
      <w:r w:rsidRPr="001B25B8">
        <w:rPr>
          <w:i/>
          <w:iCs/>
          <w:sz w:val="24"/>
          <w:szCs w:val="24"/>
        </w:rPr>
        <w:t>‘Truth and Method’,</w:t>
      </w:r>
      <w:r>
        <w:rPr>
          <w:sz w:val="24"/>
          <w:szCs w:val="24"/>
        </w:rPr>
        <w:t xml:space="preserve"> (trans. Joel Weinsheimer and Donald G. Marshall 2</w:t>
      </w:r>
      <w:r w:rsidRPr="00770497">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London: Bloomsbury; London/New York, Bloomsbury, 2013; </w:t>
      </w:r>
    </w:p>
    <w:p w:rsidR="00D42709" w:rsidRPr="00D42709" w:rsidRDefault="00D42709" w:rsidP="006F48C8">
      <w:pPr>
        <w:pStyle w:val="ListParagraph"/>
        <w:numPr>
          <w:ilvl w:val="0"/>
          <w:numId w:val="1"/>
        </w:numPr>
        <w:spacing w:line="360" w:lineRule="auto"/>
        <w:rPr>
          <w:sz w:val="24"/>
          <w:szCs w:val="24"/>
        </w:rPr>
      </w:pPr>
      <w:r>
        <w:rPr>
          <w:sz w:val="24"/>
          <w:szCs w:val="24"/>
        </w:rPr>
        <w:t xml:space="preserve">Beal, Timothy., </w:t>
      </w:r>
      <w:r w:rsidRPr="001B25B8">
        <w:rPr>
          <w:i/>
          <w:iCs/>
          <w:sz w:val="24"/>
          <w:szCs w:val="24"/>
        </w:rPr>
        <w:t>‘Reception History and Beyond: Toward the Cultural History of Scriptures’</w:t>
      </w:r>
      <w:r>
        <w:rPr>
          <w:sz w:val="24"/>
          <w:szCs w:val="24"/>
        </w:rPr>
        <w:t>, (Biblical Interpretation 19 2011) p. 362</w:t>
      </w:r>
    </w:p>
    <w:p w:rsidR="00C9701B" w:rsidRPr="00C9701B" w:rsidRDefault="00C9701B" w:rsidP="006F48C8">
      <w:pPr>
        <w:pStyle w:val="ListParagraph"/>
        <w:numPr>
          <w:ilvl w:val="0"/>
          <w:numId w:val="1"/>
        </w:numPr>
        <w:spacing w:line="360" w:lineRule="auto"/>
        <w:rPr>
          <w:sz w:val="24"/>
          <w:szCs w:val="24"/>
        </w:rPr>
      </w:pPr>
      <w:r>
        <w:rPr>
          <w:sz w:val="24"/>
          <w:szCs w:val="24"/>
        </w:rPr>
        <w:t xml:space="preserve">Gadamer, Hans Georg., </w:t>
      </w:r>
      <w:r w:rsidRPr="001B25B8">
        <w:rPr>
          <w:i/>
          <w:iCs/>
          <w:sz w:val="24"/>
          <w:szCs w:val="24"/>
        </w:rPr>
        <w:t>‘Truth and Method’</w:t>
      </w:r>
      <w:r>
        <w:rPr>
          <w:sz w:val="24"/>
          <w:szCs w:val="24"/>
        </w:rPr>
        <w:t>, (trans. Joel Weinsheimer and Donald G. Marshall 2</w:t>
      </w:r>
      <w:r w:rsidRPr="00770497">
        <w:rPr>
          <w:sz w:val="24"/>
          <w:szCs w:val="24"/>
          <w:vertAlign w:val="superscript"/>
        </w:rPr>
        <w:t>nd</w:t>
      </w:r>
      <w:r>
        <w:rPr>
          <w:sz w:val="24"/>
          <w:szCs w:val="24"/>
        </w:rPr>
        <w:t xml:space="preserve"> </w:t>
      </w:r>
      <w:proofErr w:type="spellStart"/>
      <w:r>
        <w:rPr>
          <w:sz w:val="24"/>
          <w:szCs w:val="24"/>
        </w:rPr>
        <w:t>edn</w:t>
      </w:r>
      <w:proofErr w:type="spellEnd"/>
      <w:r>
        <w:rPr>
          <w:sz w:val="24"/>
          <w:szCs w:val="24"/>
        </w:rPr>
        <w:t>. London, Continuum, 2004) p. 310</w:t>
      </w:r>
    </w:p>
    <w:p w:rsidR="006B5117" w:rsidRPr="007E715E" w:rsidRDefault="00C9701B" w:rsidP="006F48C8">
      <w:pPr>
        <w:pStyle w:val="ListParagraph"/>
        <w:numPr>
          <w:ilvl w:val="0"/>
          <w:numId w:val="1"/>
        </w:numPr>
        <w:spacing w:line="360" w:lineRule="auto"/>
        <w:rPr>
          <w:sz w:val="24"/>
          <w:szCs w:val="24"/>
        </w:rPr>
      </w:pPr>
      <w:r>
        <w:rPr>
          <w:sz w:val="24"/>
          <w:szCs w:val="24"/>
        </w:rPr>
        <w:t xml:space="preserve">Ibid. </w:t>
      </w:r>
      <w:r w:rsidR="006B5117" w:rsidRPr="007E715E">
        <w:rPr>
          <w:sz w:val="24"/>
          <w:szCs w:val="24"/>
        </w:rPr>
        <w:t>p. 31</w:t>
      </w:r>
      <w:r w:rsidR="006B5117" w:rsidRPr="007E715E">
        <w:rPr>
          <w:sz w:val="24"/>
          <w:szCs w:val="24"/>
        </w:rPr>
        <w:t>2</w:t>
      </w:r>
    </w:p>
    <w:p w:rsidR="001109D0" w:rsidRDefault="001109D0" w:rsidP="006F48C8">
      <w:pPr>
        <w:pStyle w:val="ListParagraph"/>
        <w:numPr>
          <w:ilvl w:val="0"/>
          <w:numId w:val="1"/>
        </w:numPr>
        <w:spacing w:line="360" w:lineRule="auto"/>
        <w:rPr>
          <w:sz w:val="24"/>
          <w:szCs w:val="24"/>
        </w:rPr>
      </w:pPr>
      <w:r w:rsidRPr="007E715E">
        <w:rPr>
          <w:sz w:val="24"/>
          <w:szCs w:val="24"/>
        </w:rPr>
        <w:t xml:space="preserve">Beal, Timothy., </w:t>
      </w:r>
      <w:r w:rsidRPr="007E715E">
        <w:rPr>
          <w:i/>
          <w:iCs/>
          <w:sz w:val="24"/>
          <w:szCs w:val="24"/>
        </w:rPr>
        <w:t>‘Reception History and Beyond: Toward the Cultural History of Scriptures’</w:t>
      </w:r>
      <w:r w:rsidRPr="007E715E">
        <w:rPr>
          <w:sz w:val="24"/>
          <w:szCs w:val="24"/>
        </w:rPr>
        <w:t>, (Biblical Interpretation 19 2011) p. 36</w:t>
      </w:r>
      <w:r w:rsidRPr="007E715E">
        <w:rPr>
          <w:sz w:val="24"/>
          <w:szCs w:val="24"/>
        </w:rPr>
        <w:t>3</w:t>
      </w:r>
    </w:p>
    <w:p w:rsidR="00055124" w:rsidRPr="00055124" w:rsidRDefault="00055124" w:rsidP="00055124">
      <w:pPr>
        <w:pStyle w:val="ListParagraph"/>
        <w:numPr>
          <w:ilvl w:val="0"/>
          <w:numId w:val="1"/>
        </w:numPr>
        <w:spacing w:line="360" w:lineRule="auto"/>
        <w:rPr>
          <w:sz w:val="24"/>
          <w:szCs w:val="24"/>
        </w:rPr>
      </w:pPr>
      <w:r w:rsidRPr="007E715E">
        <w:rPr>
          <w:sz w:val="24"/>
          <w:szCs w:val="24"/>
        </w:rPr>
        <w:t>Jauss,</w:t>
      </w:r>
      <w:r>
        <w:rPr>
          <w:sz w:val="24"/>
          <w:szCs w:val="24"/>
        </w:rPr>
        <w:t xml:space="preserve"> H. R.,</w:t>
      </w:r>
      <w:r w:rsidRPr="007E715E">
        <w:rPr>
          <w:sz w:val="24"/>
          <w:szCs w:val="24"/>
        </w:rPr>
        <w:t xml:space="preserve"> </w:t>
      </w:r>
      <w:r w:rsidRPr="007E715E">
        <w:rPr>
          <w:i/>
          <w:iCs/>
          <w:sz w:val="24"/>
          <w:szCs w:val="24"/>
        </w:rPr>
        <w:t>‘Literary History as a Challenge to Literary Theory,’ New Literary History 1</w:t>
      </w:r>
      <w:r w:rsidRPr="007E715E">
        <w:rPr>
          <w:sz w:val="24"/>
          <w:szCs w:val="24"/>
        </w:rPr>
        <w:t xml:space="preserve"> (1970), </w:t>
      </w:r>
      <w:r w:rsidRPr="007E715E">
        <w:rPr>
          <w:i/>
          <w:iCs/>
          <w:sz w:val="24"/>
          <w:szCs w:val="24"/>
        </w:rPr>
        <w:t>‘</w:t>
      </w:r>
      <w:proofErr w:type="spellStart"/>
      <w:r w:rsidRPr="007E715E">
        <w:rPr>
          <w:i/>
          <w:iCs/>
          <w:sz w:val="24"/>
          <w:szCs w:val="24"/>
        </w:rPr>
        <w:t>Literaturgeschichte</w:t>
      </w:r>
      <w:proofErr w:type="spellEnd"/>
      <w:r w:rsidRPr="007E715E">
        <w:rPr>
          <w:i/>
          <w:iCs/>
          <w:sz w:val="24"/>
          <w:szCs w:val="24"/>
        </w:rPr>
        <w:t xml:space="preserve"> </w:t>
      </w:r>
      <w:proofErr w:type="spellStart"/>
      <w:r w:rsidRPr="007E715E">
        <w:rPr>
          <w:i/>
          <w:iCs/>
          <w:sz w:val="24"/>
          <w:szCs w:val="24"/>
        </w:rPr>
        <w:t>als</w:t>
      </w:r>
      <w:proofErr w:type="spellEnd"/>
      <w:r w:rsidRPr="007E715E">
        <w:rPr>
          <w:i/>
          <w:iCs/>
          <w:sz w:val="24"/>
          <w:szCs w:val="24"/>
        </w:rPr>
        <w:t xml:space="preserve"> </w:t>
      </w:r>
      <w:proofErr w:type="spellStart"/>
      <w:r w:rsidRPr="007E715E">
        <w:rPr>
          <w:i/>
          <w:iCs/>
          <w:sz w:val="24"/>
          <w:szCs w:val="24"/>
        </w:rPr>
        <w:t>Provokation</w:t>
      </w:r>
      <w:proofErr w:type="spellEnd"/>
      <w:r w:rsidRPr="007E715E">
        <w:rPr>
          <w:i/>
          <w:iCs/>
          <w:sz w:val="24"/>
          <w:szCs w:val="24"/>
        </w:rPr>
        <w:t xml:space="preserve"> der </w:t>
      </w:r>
      <w:proofErr w:type="spellStart"/>
      <w:r w:rsidRPr="007E715E">
        <w:rPr>
          <w:i/>
          <w:iCs/>
          <w:sz w:val="24"/>
          <w:szCs w:val="24"/>
        </w:rPr>
        <w:t>Literaturwissenschaft</w:t>
      </w:r>
      <w:proofErr w:type="spellEnd"/>
      <w:r w:rsidRPr="007E715E">
        <w:rPr>
          <w:i/>
          <w:iCs/>
          <w:sz w:val="24"/>
          <w:szCs w:val="24"/>
        </w:rPr>
        <w:t xml:space="preserve">’ </w:t>
      </w:r>
      <w:r w:rsidRPr="007E715E">
        <w:rPr>
          <w:sz w:val="24"/>
          <w:szCs w:val="24"/>
        </w:rPr>
        <w:t>(Konstanz, 1967)</w:t>
      </w:r>
      <w:r>
        <w:rPr>
          <w:sz w:val="24"/>
          <w:szCs w:val="24"/>
        </w:rPr>
        <w:t xml:space="preserve"> p. 8</w:t>
      </w:r>
    </w:p>
    <w:p w:rsidR="006F48C8" w:rsidRPr="00B24D10" w:rsidRDefault="006F48C8" w:rsidP="006F48C8">
      <w:pPr>
        <w:spacing w:line="360" w:lineRule="auto"/>
        <w:rPr>
          <w:sz w:val="24"/>
          <w:szCs w:val="24"/>
        </w:rPr>
      </w:pPr>
      <w:r>
        <w:rPr>
          <w:sz w:val="24"/>
          <w:szCs w:val="24"/>
        </w:rPr>
        <w:t xml:space="preserve">He further recognised that the creation of any foundational text, must itself be a result of its contextual reception. </w:t>
      </w:r>
      <w:r>
        <w:rPr>
          <w:sz w:val="24"/>
          <w:szCs w:val="24"/>
          <w:vertAlign w:val="superscript"/>
        </w:rPr>
        <w:t>(1</w:t>
      </w:r>
      <w:r>
        <w:rPr>
          <w:sz w:val="24"/>
          <w:szCs w:val="24"/>
          <w:vertAlign w:val="superscript"/>
        </w:rPr>
        <w:t>2</w:t>
      </w:r>
      <w:r>
        <w:rPr>
          <w:sz w:val="24"/>
          <w:szCs w:val="24"/>
          <w:vertAlign w:val="superscript"/>
        </w:rPr>
        <w:t xml:space="preserve">)  </w:t>
      </w:r>
      <w:r w:rsidRPr="005E549A">
        <w:rPr>
          <w:sz w:val="24"/>
          <w:szCs w:val="24"/>
        </w:rPr>
        <w:t xml:space="preserve">In his understanding of Jauss, Beal views works of </w:t>
      </w:r>
      <w:r>
        <w:rPr>
          <w:sz w:val="24"/>
          <w:szCs w:val="24"/>
        </w:rPr>
        <w:t xml:space="preserve">biblical </w:t>
      </w:r>
      <w:r w:rsidRPr="005E549A">
        <w:rPr>
          <w:sz w:val="24"/>
          <w:szCs w:val="24"/>
        </w:rPr>
        <w:t>literature</w:t>
      </w:r>
      <w:r>
        <w:rPr>
          <w:sz w:val="24"/>
          <w:szCs w:val="24"/>
        </w:rPr>
        <w:t xml:space="preserve">, </w:t>
      </w:r>
      <w:r w:rsidRPr="005E549A">
        <w:rPr>
          <w:sz w:val="24"/>
          <w:szCs w:val="24"/>
        </w:rPr>
        <w:t>not a</w:t>
      </w:r>
      <w:r>
        <w:rPr>
          <w:sz w:val="24"/>
          <w:szCs w:val="24"/>
        </w:rPr>
        <w:t>s</w:t>
      </w:r>
      <w:r w:rsidRPr="005E549A">
        <w:rPr>
          <w:sz w:val="24"/>
          <w:szCs w:val="24"/>
        </w:rPr>
        <w:t xml:space="preserve"> fact</w:t>
      </w:r>
      <w:r>
        <w:rPr>
          <w:sz w:val="24"/>
          <w:szCs w:val="24"/>
        </w:rPr>
        <w:t>s,</w:t>
      </w:r>
      <w:r w:rsidRPr="005E549A">
        <w:rPr>
          <w:sz w:val="24"/>
          <w:szCs w:val="24"/>
        </w:rPr>
        <w:t xml:space="preserve"> </w:t>
      </w:r>
      <w:r>
        <w:rPr>
          <w:sz w:val="24"/>
          <w:szCs w:val="24"/>
        </w:rPr>
        <w:t>‘</w:t>
      </w:r>
      <w:r w:rsidRPr="005E549A">
        <w:rPr>
          <w:sz w:val="24"/>
          <w:szCs w:val="24"/>
        </w:rPr>
        <w:t>but an event</w:t>
      </w:r>
      <w:r>
        <w:rPr>
          <w:sz w:val="24"/>
          <w:szCs w:val="24"/>
        </w:rPr>
        <w:t>’</w:t>
      </w:r>
      <w:r w:rsidRPr="005E549A">
        <w:rPr>
          <w:sz w:val="24"/>
          <w:szCs w:val="24"/>
        </w:rPr>
        <w:t>,</w:t>
      </w:r>
      <w:r>
        <w:rPr>
          <w:sz w:val="24"/>
          <w:szCs w:val="24"/>
        </w:rPr>
        <w:t xml:space="preserve"> </w:t>
      </w:r>
      <w:r>
        <w:rPr>
          <w:sz w:val="24"/>
          <w:szCs w:val="24"/>
          <w:vertAlign w:val="superscript"/>
        </w:rPr>
        <w:t>(1</w:t>
      </w:r>
      <w:r>
        <w:rPr>
          <w:sz w:val="24"/>
          <w:szCs w:val="24"/>
          <w:vertAlign w:val="superscript"/>
        </w:rPr>
        <w:t>3</w:t>
      </w:r>
      <w:r>
        <w:rPr>
          <w:sz w:val="24"/>
          <w:szCs w:val="24"/>
          <w:vertAlign w:val="superscript"/>
        </w:rPr>
        <w:t>)</w:t>
      </w:r>
      <w:r w:rsidRPr="005E549A">
        <w:rPr>
          <w:sz w:val="24"/>
          <w:szCs w:val="24"/>
        </w:rPr>
        <w:t xml:space="preserve"> a moment of </w:t>
      </w:r>
      <w:r>
        <w:rPr>
          <w:sz w:val="24"/>
          <w:szCs w:val="24"/>
        </w:rPr>
        <w:t xml:space="preserve">a </w:t>
      </w:r>
      <w:r w:rsidRPr="005E549A">
        <w:rPr>
          <w:sz w:val="24"/>
          <w:szCs w:val="24"/>
        </w:rPr>
        <w:t>meaningful relationship, and the study of that event, must be historicised just as much as any earlier event, including the te</w:t>
      </w:r>
      <w:r>
        <w:rPr>
          <w:sz w:val="24"/>
          <w:szCs w:val="24"/>
        </w:rPr>
        <w:t>x</w:t>
      </w:r>
      <w:r w:rsidRPr="005E549A">
        <w:rPr>
          <w:sz w:val="24"/>
          <w:szCs w:val="24"/>
        </w:rPr>
        <w:t xml:space="preserve">t’s </w:t>
      </w:r>
      <w:r>
        <w:rPr>
          <w:sz w:val="24"/>
          <w:szCs w:val="24"/>
        </w:rPr>
        <w:t>origin</w:t>
      </w:r>
      <w:r w:rsidRPr="005E549A">
        <w:rPr>
          <w:sz w:val="24"/>
          <w:szCs w:val="24"/>
        </w:rPr>
        <w:t>s.</w:t>
      </w:r>
      <w:r>
        <w:rPr>
          <w:sz w:val="24"/>
          <w:szCs w:val="24"/>
        </w:rPr>
        <w:t xml:space="preserve"> Beal sees biblical reception history positively in that it can potentially bring ‘biblical scholarship’ into a closer relationship with other areas of religious studies. </w:t>
      </w:r>
      <w:r>
        <w:rPr>
          <w:sz w:val="24"/>
          <w:szCs w:val="24"/>
          <w:vertAlign w:val="superscript"/>
        </w:rPr>
        <w:t>(1</w:t>
      </w:r>
      <w:r>
        <w:rPr>
          <w:sz w:val="24"/>
          <w:szCs w:val="24"/>
          <w:vertAlign w:val="superscript"/>
        </w:rPr>
        <w:t>4</w:t>
      </w:r>
      <w:r>
        <w:rPr>
          <w:sz w:val="24"/>
          <w:szCs w:val="24"/>
          <w:vertAlign w:val="superscript"/>
        </w:rPr>
        <w:t>)</w:t>
      </w:r>
      <w:r>
        <w:rPr>
          <w:sz w:val="24"/>
          <w:szCs w:val="24"/>
        </w:rPr>
        <w:t xml:space="preserve"> </w:t>
      </w:r>
    </w:p>
    <w:p w:rsidR="006F48C8" w:rsidRDefault="006F48C8" w:rsidP="006F48C8">
      <w:pPr>
        <w:spacing w:line="360" w:lineRule="auto"/>
        <w:rPr>
          <w:sz w:val="24"/>
          <w:szCs w:val="24"/>
        </w:rPr>
      </w:pPr>
      <w:r w:rsidRPr="005E549A">
        <w:rPr>
          <w:sz w:val="24"/>
          <w:szCs w:val="24"/>
        </w:rPr>
        <w:t xml:space="preserve">Luz, a biblical scholar, was heavily influenced by Gadamer and praised his concept of </w:t>
      </w:r>
      <w:proofErr w:type="spellStart"/>
      <w:r w:rsidRPr="005E549A">
        <w:rPr>
          <w:i/>
          <w:iCs/>
          <w:sz w:val="24"/>
          <w:szCs w:val="24"/>
        </w:rPr>
        <w:t>Wirkungsgeschichte</w:t>
      </w:r>
      <w:proofErr w:type="spellEnd"/>
      <w:r w:rsidRPr="005E549A">
        <w:rPr>
          <w:i/>
          <w:iCs/>
          <w:sz w:val="24"/>
          <w:szCs w:val="24"/>
        </w:rPr>
        <w:t xml:space="preserve">, </w:t>
      </w:r>
      <w:r w:rsidRPr="005E549A">
        <w:rPr>
          <w:sz w:val="24"/>
          <w:szCs w:val="24"/>
        </w:rPr>
        <w:t xml:space="preserve">as giving ‘us back to history’, and Luz beautifully elucidated how both history and texts ‘belong to the stream of history which also carries the boat of the interpreter.’ </w:t>
      </w:r>
      <w:r w:rsidRPr="005E549A">
        <w:rPr>
          <w:sz w:val="24"/>
          <w:szCs w:val="24"/>
          <w:vertAlign w:val="superscript"/>
        </w:rPr>
        <w:t>(1</w:t>
      </w:r>
      <w:r>
        <w:rPr>
          <w:sz w:val="24"/>
          <w:szCs w:val="24"/>
          <w:vertAlign w:val="superscript"/>
        </w:rPr>
        <w:t>5</w:t>
      </w:r>
      <w:r w:rsidRPr="005E549A">
        <w:rPr>
          <w:sz w:val="24"/>
          <w:szCs w:val="24"/>
          <w:vertAlign w:val="superscript"/>
        </w:rPr>
        <w:t>)</w:t>
      </w:r>
      <w:r w:rsidRPr="005E549A">
        <w:rPr>
          <w:sz w:val="24"/>
          <w:szCs w:val="24"/>
        </w:rPr>
        <w:t xml:space="preserve"> </w:t>
      </w:r>
    </w:p>
    <w:p w:rsidR="00055124" w:rsidRPr="00055124" w:rsidRDefault="006F48C8" w:rsidP="00055124">
      <w:pPr>
        <w:spacing w:line="360" w:lineRule="auto"/>
        <w:rPr>
          <w:sz w:val="24"/>
          <w:szCs w:val="24"/>
          <w:vertAlign w:val="superscript"/>
        </w:rPr>
      </w:pPr>
      <w:r w:rsidRPr="002D0928">
        <w:rPr>
          <w:sz w:val="24"/>
          <w:szCs w:val="24"/>
        </w:rPr>
        <w:t>However, Donald A. Hagner,</w:t>
      </w:r>
      <w:r>
        <w:rPr>
          <w:sz w:val="24"/>
          <w:szCs w:val="24"/>
        </w:rPr>
        <w:t xml:space="preserve"> in </w:t>
      </w:r>
      <w:r w:rsidR="002043B6">
        <w:rPr>
          <w:sz w:val="24"/>
          <w:szCs w:val="24"/>
        </w:rPr>
        <w:t xml:space="preserve">his </w:t>
      </w:r>
      <w:r>
        <w:rPr>
          <w:sz w:val="24"/>
          <w:szCs w:val="24"/>
        </w:rPr>
        <w:t>review</w:t>
      </w:r>
      <w:r w:rsidR="002043B6">
        <w:rPr>
          <w:sz w:val="24"/>
          <w:szCs w:val="24"/>
        </w:rPr>
        <w:t xml:space="preserve"> of</w:t>
      </w:r>
      <w:r>
        <w:rPr>
          <w:sz w:val="24"/>
          <w:szCs w:val="24"/>
        </w:rPr>
        <w:t xml:space="preserve"> a commentary on Matthew by Luz</w:t>
      </w:r>
      <w:r w:rsidR="002043B6">
        <w:rPr>
          <w:sz w:val="24"/>
          <w:szCs w:val="24"/>
        </w:rPr>
        <w:t>, considered that Luz</w:t>
      </w:r>
      <w:r>
        <w:rPr>
          <w:sz w:val="24"/>
          <w:szCs w:val="24"/>
        </w:rPr>
        <w:t xml:space="preserve"> </w:t>
      </w:r>
      <w:r w:rsidR="002043B6">
        <w:rPr>
          <w:sz w:val="24"/>
          <w:szCs w:val="24"/>
        </w:rPr>
        <w:t>w</w:t>
      </w:r>
      <w:r>
        <w:rPr>
          <w:sz w:val="24"/>
          <w:szCs w:val="24"/>
        </w:rPr>
        <w:t>as emphasising the ‘double-edged sword nature of reception history.</w:t>
      </w:r>
      <w:r w:rsidRPr="00D25333">
        <w:rPr>
          <w:sz w:val="24"/>
          <w:szCs w:val="24"/>
          <w:vertAlign w:val="superscript"/>
        </w:rPr>
        <w:t xml:space="preserve"> </w:t>
      </w:r>
      <w:r>
        <w:rPr>
          <w:sz w:val="24"/>
          <w:szCs w:val="24"/>
          <w:vertAlign w:val="superscript"/>
        </w:rPr>
        <w:t>(1</w:t>
      </w:r>
      <w:r>
        <w:rPr>
          <w:sz w:val="24"/>
          <w:szCs w:val="24"/>
          <w:vertAlign w:val="superscript"/>
        </w:rPr>
        <w:t>6)</w:t>
      </w:r>
      <w:r w:rsidR="00055124">
        <w:rPr>
          <w:sz w:val="24"/>
          <w:szCs w:val="24"/>
          <w:vertAlign w:val="superscript"/>
        </w:rPr>
        <w:t xml:space="preserve"> </w:t>
      </w:r>
      <w:r w:rsidR="00055124">
        <w:rPr>
          <w:sz w:val="24"/>
          <w:szCs w:val="24"/>
        </w:rPr>
        <w:t xml:space="preserve"> </w:t>
      </w:r>
      <w:r w:rsidR="00055124">
        <w:rPr>
          <w:sz w:val="24"/>
          <w:szCs w:val="24"/>
        </w:rPr>
        <w:t>Whilst praising the insight exposed by Luz in his commentary as ‘revolutionary’ in discovering new textual interpretations,</w:t>
      </w:r>
      <w:r w:rsidR="00055124">
        <w:rPr>
          <w:sz w:val="24"/>
          <w:szCs w:val="24"/>
          <w:vertAlign w:val="superscript"/>
        </w:rPr>
        <w:t xml:space="preserve"> </w:t>
      </w:r>
      <w:r w:rsidR="00055124">
        <w:rPr>
          <w:sz w:val="24"/>
          <w:szCs w:val="24"/>
        </w:rPr>
        <w:t xml:space="preserve">he fears Luz is ‘simultaneously </w:t>
      </w:r>
      <w:r w:rsidR="00055124" w:rsidRPr="002D0928">
        <w:rPr>
          <w:sz w:val="24"/>
          <w:szCs w:val="24"/>
        </w:rPr>
        <w:t xml:space="preserve">surrendering the quest for a foundational meaning in the text’ </w:t>
      </w:r>
      <w:r w:rsidR="00055124" w:rsidRPr="002D0928">
        <w:rPr>
          <w:sz w:val="24"/>
          <w:szCs w:val="24"/>
          <w:vertAlign w:val="superscript"/>
        </w:rPr>
        <w:t>(1</w:t>
      </w:r>
      <w:r w:rsidR="00055124">
        <w:rPr>
          <w:sz w:val="24"/>
          <w:szCs w:val="24"/>
          <w:vertAlign w:val="superscript"/>
        </w:rPr>
        <w:t>7</w:t>
      </w:r>
      <w:r w:rsidR="00055124" w:rsidRPr="002D0928">
        <w:rPr>
          <w:sz w:val="24"/>
          <w:szCs w:val="24"/>
          <w:vertAlign w:val="superscript"/>
        </w:rPr>
        <w:t>)</w:t>
      </w:r>
      <w:r w:rsidR="00055124">
        <w:rPr>
          <w:sz w:val="24"/>
          <w:szCs w:val="24"/>
        </w:rPr>
        <w:t>.</w:t>
      </w:r>
      <w:r w:rsidR="00055124">
        <w:rPr>
          <w:sz w:val="24"/>
          <w:szCs w:val="24"/>
        </w:rPr>
        <w:t xml:space="preserve"> </w:t>
      </w:r>
      <w:r w:rsidR="00055124">
        <w:rPr>
          <w:sz w:val="24"/>
          <w:szCs w:val="24"/>
        </w:rPr>
        <w:t xml:space="preserve">Hagner </w:t>
      </w:r>
      <w:r w:rsidR="00DA7757">
        <w:rPr>
          <w:sz w:val="24"/>
          <w:szCs w:val="24"/>
        </w:rPr>
        <w:t>understands</w:t>
      </w:r>
      <w:r w:rsidR="00055124" w:rsidRPr="002D0928">
        <w:rPr>
          <w:sz w:val="24"/>
          <w:szCs w:val="24"/>
        </w:rPr>
        <w:t xml:space="preserve"> </w:t>
      </w:r>
      <w:r w:rsidR="00055124">
        <w:rPr>
          <w:sz w:val="24"/>
          <w:szCs w:val="24"/>
        </w:rPr>
        <w:t>that according to Luz, the original textual meanings</w:t>
      </w:r>
      <w:r w:rsidR="00055124" w:rsidRPr="00170F04">
        <w:rPr>
          <w:sz w:val="24"/>
          <w:szCs w:val="24"/>
        </w:rPr>
        <w:t xml:space="preserve"> </w:t>
      </w:r>
      <w:r w:rsidR="00055124">
        <w:rPr>
          <w:sz w:val="24"/>
          <w:szCs w:val="24"/>
        </w:rPr>
        <w:t>carry no more significance than any others.</w:t>
      </w:r>
    </w:p>
    <w:p w:rsidR="006F48C8" w:rsidRPr="00C9701B" w:rsidRDefault="006F48C8" w:rsidP="006F48C8">
      <w:pPr>
        <w:spacing w:line="360" w:lineRule="auto"/>
        <w:rPr>
          <w:sz w:val="24"/>
          <w:szCs w:val="24"/>
        </w:rPr>
      </w:pPr>
    </w:p>
    <w:p w:rsidR="006F48C8" w:rsidRPr="007E715E" w:rsidRDefault="006F48C8" w:rsidP="006F48C8">
      <w:pPr>
        <w:pStyle w:val="ListParagraph"/>
        <w:numPr>
          <w:ilvl w:val="0"/>
          <w:numId w:val="1"/>
        </w:numPr>
        <w:spacing w:line="360" w:lineRule="auto"/>
        <w:rPr>
          <w:sz w:val="24"/>
          <w:szCs w:val="24"/>
        </w:rPr>
      </w:pPr>
      <w:r>
        <w:rPr>
          <w:sz w:val="24"/>
          <w:szCs w:val="24"/>
        </w:rPr>
        <w:t>Ibid. p. 24</w:t>
      </w:r>
      <w:r w:rsidRPr="007E715E">
        <w:rPr>
          <w:sz w:val="24"/>
          <w:szCs w:val="24"/>
        </w:rPr>
        <w:t xml:space="preserve"> </w:t>
      </w:r>
    </w:p>
    <w:p w:rsidR="006F48C8" w:rsidRDefault="006F48C8" w:rsidP="006F48C8">
      <w:pPr>
        <w:pStyle w:val="ListParagraph"/>
        <w:numPr>
          <w:ilvl w:val="0"/>
          <w:numId w:val="1"/>
        </w:numPr>
        <w:spacing w:line="360" w:lineRule="auto"/>
        <w:rPr>
          <w:sz w:val="24"/>
          <w:szCs w:val="24"/>
        </w:rPr>
      </w:pPr>
      <w:r w:rsidRPr="007E715E">
        <w:rPr>
          <w:sz w:val="24"/>
          <w:szCs w:val="24"/>
        </w:rPr>
        <w:t xml:space="preserve">Beal, Timothy., </w:t>
      </w:r>
      <w:r w:rsidRPr="007E715E">
        <w:rPr>
          <w:i/>
          <w:iCs/>
          <w:sz w:val="24"/>
          <w:szCs w:val="24"/>
        </w:rPr>
        <w:t>‘Reception History and Beyond: Toward the Cultural History of Scriptures’</w:t>
      </w:r>
      <w:r w:rsidRPr="007E715E">
        <w:rPr>
          <w:sz w:val="24"/>
          <w:szCs w:val="24"/>
        </w:rPr>
        <w:t>, (Biblical Interpretation 19 2011) p. 36</w:t>
      </w:r>
      <w:r>
        <w:rPr>
          <w:sz w:val="24"/>
          <w:szCs w:val="24"/>
        </w:rPr>
        <w:t>4</w:t>
      </w:r>
    </w:p>
    <w:p w:rsidR="006F48C8" w:rsidRDefault="006F48C8" w:rsidP="006F48C8">
      <w:pPr>
        <w:pStyle w:val="ListParagraph"/>
        <w:numPr>
          <w:ilvl w:val="0"/>
          <w:numId w:val="1"/>
        </w:numPr>
        <w:spacing w:line="360" w:lineRule="auto"/>
        <w:rPr>
          <w:sz w:val="24"/>
          <w:szCs w:val="24"/>
        </w:rPr>
      </w:pPr>
      <w:r>
        <w:rPr>
          <w:sz w:val="24"/>
          <w:szCs w:val="24"/>
        </w:rPr>
        <w:t>Ibid.</w:t>
      </w:r>
    </w:p>
    <w:p w:rsidR="006F48C8" w:rsidRDefault="006F48C8" w:rsidP="006F48C8">
      <w:pPr>
        <w:pStyle w:val="ListParagraph"/>
        <w:numPr>
          <w:ilvl w:val="0"/>
          <w:numId w:val="1"/>
        </w:numPr>
        <w:spacing w:line="360" w:lineRule="auto"/>
        <w:rPr>
          <w:sz w:val="24"/>
          <w:szCs w:val="24"/>
        </w:rPr>
      </w:pPr>
      <w:r w:rsidRPr="007E715E">
        <w:rPr>
          <w:sz w:val="24"/>
          <w:szCs w:val="24"/>
        </w:rPr>
        <w:t>Luz, Ulrich., ‘</w:t>
      </w:r>
      <w:r w:rsidRPr="007E715E">
        <w:rPr>
          <w:i/>
          <w:iCs/>
          <w:sz w:val="24"/>
          <w:szCs w:val="24"/>
        </w:rPr>
        <w:t xml:space="preserve">The Contribution of Reception History to a Theology of the New Testament’ </w:t>
      </w:r>
      <w:r w:rsidRPr="007E715E">
        <w:rPr>
          <w:sz w:val="24"/>
          <w:szCs w:val="24"/>
        </w:rPr>
        <w:t xml:space="preserve">in C. Rowland, C. M. Tucket, and R. Morgan (eds.) </w:t>
      </w:r>
      <w:r w:rsidRPr="007E715E">
        <w:rPr>
          <w:i/>
          <w:iCs/>
          <w:sz w:val="24"/>
          <w:szCs w:val="24"/>
        </w:rPr>
        <w:t xml:space="preserve">‘The Nature of New Testament Theology: Essays in Honour of Robert Morgan’, </w:t>
      </w:r>
      <w:r w:rsidRPr="007E715E">
        <w:rPr>
          <w:sz w:val="24"/>
          <w:szCs w:val="24"/>
        </w:rPr>
        <w:t>(Oxford: Blackwell, 2006) p.125</w:t>
      </w:r>
    </w:p>
    <w:p w:rsidR="006F48C8" w:rsidRDefault="006F48C8" w:rsidP="006F48C8">
      <w:pPr>
        <w:pStyle w:val="ListParagraph"/>
        <w:numPr>
          <w:ilvl w:val="0"/>
          <w:numId w:val="1"/>
        </w:numPr>
        <w:spacing w:line="360" w:lineRule="auto"/>
        <w:rPr>
          <w:sz w:val="24"/>
          <w:szCs w:val="24"/>
        </w:rPr>
      </w:pPr>
      <w:r w:rsidRPr="002D0928">
        <w:rPr>
          <w:sz w:val="24"/>
          <w:szCs w:val="24"/>
        </w:rPr>
        <w:t>Hagner, Do</w:t>
      </w:r>
      <w:r>
        <w:rPr>
          <w:sz w:val="24"/>
          <w:szCs w:val="24"/>
        </w:rPr>
        <w:t>n</w:t>
      </w:r>
      <w:r w:rsidRPr="002D0928">
        <w:rPr>
          <w:sz w:val="24"/>
          <w:szCs w:val="24"/>
        </w:rPr>
        <w:t xml:space="preserve">ald A., </w:t>
      </w:r>
      <w:proofErr w:type="spellStart"/>
      <w:r w:rsidRPr="002D0928">
        <w:rPr>
          <w:i/>
          <w:iCs/>
          <w:sz w:val="24"/>
          <w:szCs w:val="24"/>
        </w:rPr>
        <w:t>ʻReview</w:t>
      </w:r>
      <w:proofErr w:type="spellEnd"/>
      <w:r w:rsidRPr="002D0928">
        <w:rPr>
          <w:i/>
          <w:iCs/>
          <w:sz w:val="24"/>
          <w:szCs w:val="24"/>
        </w:rPr>
        <w:t>: Matthew 8–20, by Ulrich Luz’.</w:t>
      </w:r>
      <w:r w:rsidRPr="002D0928">
        <w:rPr>
          <w:sz w:val="24"/>
          <w:szCs w:val="24"/>
        </w:rPr>
        <w:t xml:space="preserve"> Trans. James E. Crouch. </w:t>
      </w:r>
      <w:proofErr w:type="spellStart"/>
      <w:r w:rsidRPr="002D0928">
        <w:rPr>
          <w:sz w:val="24"/>
          <w:szCs w:val="24"/>
        </w:rPr>
        <w:t>Hermeneia</w:t>
      </w:r>
      <w:proofErr w:type="spellEnd"/>
      <w:r w:rsidRPr="002D0928">
        <w:rPr>
          <w:sz w:val="24"/>
          <w:szCs w:val="24"/>
        </w:rPr>
        <w:t xml:space="preserve">. Minneapolis: Fortress, 2001ʼ., Journal of Biblical Literature, 121: 4 (Winter 2002), </w:t>
      </w:r>
      <w:r>
        <w:rPr>
          <w:sz w:val="24"/>
          <w:szCs w:val="24"/>
        </w:rPr>
        <w:t>p.</w:t>
      </w:r>
      <w:r w:rsidRPr="002D0928">
        <w:rPr>
          <w:sz w:val="24"/>
          <w:szCs w:val="24"/>
        </w:rPr>
        <w:t xml:space="preserve"> 768.</w:t>
      </w:r>
    </w:p>
    <w:p w:rsidR="00055124" w:rsidRPr="00055124" w:rsidRDefault="00055124" w:rsidP="00055124">
      <w:pPr>
        <w:pStyle w:val="ListParagraph"/>
        <w:numPr>
          <w:ilvl w:val="0"/>
          <w:numId w:val="1"/>
        </w:numPr>
        <w:spacing w:line="360" w:lineRule="auto"/>
        <w:rPr>
          <w:sz w:val="24"/>
          <w:szCs w:val="24"/>
        </w:rPr>
      </w:pPr>
      <w:r>
        <w:rPr>
          <w:sz w:val="24"/>
          <w:szCs w:val="24"/>
        </w:rPr>
        <w:t>Ibid.</w:t>
      </w:r>
    </w:p>
    <w:p w:rsidR="00BC1181" w:rsidRPr="00815321" w:rsidRDefault="00EE4C55" w:rsidP="00D42709">
      <w:pPr>
        <w:spacing w:line="360" w:lineRule="auto"/>
        <w:rPr>
          <w:color w:val="000000" w:themeColor="text1"/>
          <w:sz w:val="24"/>
          <w:szCs w:val="24"/>
        </w:rPr>
      </w:pPr>
      <w:r>
        <w:rPr>
          <w:sz w:val="24"/>
          <w:szCs w:val="24"/>
        </w:rPr>
        <w:t xml:space="preserve">This could be seen as undermining the very essence of what has always been viewed as the original Bible as the intentions of the ‘original’ author have no longer have any ‘special importance’. </w:t>
      </w:r>
      <w:r>
        <w:rPr>
          <w:sz w:val="24"/>
          <w:szCs w:val="24"/>
          <w:vertAlign w:val="superscript"/>
        </w:rPr>
        <w:t>(1</w:t>
      </w:r>
      <w:r w:rsidR="006F48C8">
        <w:rPr>
          <w:sz w:val="24"/>
          <w:szCs w:val="24"/>
          <w:vertAlign w:val="superscript"/>
        </w:rPr>
        <w:t>8</w:t>
      </w:r>
      <w:r>
        <w:rPr>
          <w:sz w:val="24"/>
          <w:szCs w:val="24"/>
          <w:vertAlign w:val="superscript"/>
        </w:rPr>
        <w:t>)</w:t>
      </w:r>
      <w:r w:rsidR="00F5000E">
        <w:rPr>
          <w:sz w:val="24"/>
          <w:szCs w:val="24"/>
          <w:vertAlign w:val="superscript"/>
        </w:rPr>
        <w:t xml:space="preserve"> </w:t>
      </w:r>
      <w:r w:rsidR="00F5000E">
        <w:rPr>
          <w:sz w:val="24"/>
          <w:szCs w:val="24"/>
        </w:rPr>
        <w:t xml:space="preserve">Hagner </w:t>
      </w:r>
      <w:r w:rsidR="00712356">
        <w:rPr>
          <w:sz w:val="24"/>
          <w:szCs w:val="24"/>
        </w:rPr>
        <w:t xml:space="preserve">is also concerned that Luz has created a ‘different kind of foundationalism’, </w:t>
      </w:r>
      <w:r w:rsidR="00712356">
        <w:rPr>
          <w:sz w:val="24"/>
          <w:szCs w:val="24"/>
          <w:vertAlign w:val="superscript"/>
        </w:rPr>
        <w:t>(1</w:t>
      </w:r>
      <w:r w:rsidR="006F48C8">
        <w:rPr>
          <w:sz w:val="24"/>
          <w:szCs w:val="24"/>
          <w:vertAlign w:val="superscript"/>
        </w:rPr>
        <w:t>9</w:t>
      </w:r>
      <w:r w:rsidR="00675AAD">
        <w:rPr>
          <w:sz w:val="24"/>
          <w:szCs w:val="24"/>
          <w:vertAlign w:val="superscript"/>
        </w:rPr>
        <w:t>)</w:t>
      </w:r>
      <w:r w:rsidR="00712356">
        <w:rPr>
          <w:sz w:val="24"/>
          <w:szCs w:val="24"/>
          <w:vertAlign w:val="superscript"/>
        </w:rPr>
        <w:t xml:space="preserve"> </w:t>
      </w:r>
      <w:r w:rsidR="00712356">
        <w:rPr>
          <w:sz w:val="24"/>
          <w:szCs w:val="24"/>
        </w:rPr>
        <w:t xml:space="preserve">in that Luz separates ‘valid interpretations from false one’. </w:t>
      </w:r>
      <w:r w:rsidR="00712356">
        <w:rPr>
          <w:sz w:val="24"/>
          <w:szCs w:val="24"/>
          <w:vertAlign w:val="superscript"/>
        </w:rPr>
        <w:t>(</w:t>
      </w:r>
      <w:r w:rsidR="006F48C8">
        <w:rPr>
          <w:sz w:val="24"/>
          <w:szCs w:val="24"/>
          <w:vertAlign w:val="superscript"/>
        </w:rPr>
        <w:t>20</w:t>
      </w:r>
      <w:r w:rsidR="00712356">
        <w:rPr>
          <w:sz w:val="24"/>
          <w:szCs w:val="24"/>
          <w:vertAlign w:val="superscript"/>
        </w:rPr>
        <w:t>)</w:t>
      </w:r>
      <w:r w:rsidR="00712356">
        <w:rPr>
          <w:sz w:val="24"/>
          <w:szCs w:val="24"/>
        </w:rPr>
        <w:t xml:space="preserve"> As Roberts elucidates, Luz is shaping his interpretations ‘by the very tradition that he then uses them to define’. </w:t>
      </w:r>
      <w:r w:rsidR="00712356">
        <w:rPr>
          <w:sz w:val="24"/>
          <w:szCs w:val="24"/>
          <w:vertAlign w:val="superscript"/>
        </w:rPr>
        <w:t>(</w:t>
      </w:r>
      <w:r w:rsidR="00675AAD">
        <w:rPr>
          <w:sz w:val="24"/>
          <w:szCs w:val="24"/>
          <w:vertAlign w:val="superscript"/>
        </w:rPr>
        <w:t>2</w:t>
      </w:r>
      <w:r w:rsidR="006F48C8">
        <w:rPr>
          <w:sz w:val="24"/>
          <w:szCs w:val="24"/>
          <w:vertAlign w:val="superscript"/>
        </w:rPr>
        <w:t>1</w:t>
      </w:r>
      <w:r w:rsidR="00712356">
        <w:rPr>
          <w:sz w:val="24"/>
          <w:szCs w:val="24"/>
          <w:vertAlign w:val="superscript"/>
        </w:rPr>
        <w:t xml:space="preserve">) </w:t>
      </w:r>
      <w:r w:rsidR="00712356">
        <w:rPr>
          <w:color w:val="C00000"/>
          <w:sz w:val="24"/>
          <w:szCs w:val="24"/>
        </w:rPr>
        <w:t xml:space="preserve"> </w:t>
      </w:r>
      <w:r w:rsidR="00815321">
        <w:rPr>
          <w:color w:val="000000" w:themeColor="text1"/>
          <w:sz w:val="24"/>
          <w:szCs w:val="24"/>
        </w:rPr>
        <w:t xml:space="preserve">All ways in which the Bible is received and interpreted should be faithfully examined and analysed.  </w:t>
      </w:r>
    </w:p>
    <w:p w:rsidR="00185E44" w:rsidRDefault="00510128" w:rsidP="00D42709">
      <w:pPr>
        <w:spacing w:line="360" w:lineRule="auto"/>
        <w:rPr>
          <w:color w:val="000000" w:themeColor="text1"/>
          <w:sz w:val="24"/>
          <w:szCs w:val="24"/>
        </w:rPr>
      </w:pPr>
      <w:r>
        <w:rPr>
          <w:color w:val="000000" w:themeColor="text1"/>
          <w:sz w:val="24"/>
          <w:szCs w:val="24"/>
        </w:rPr>
        <w:t>All reception history and its</w:t>
      </w:r>
      <w:r w:rsidR="00031B2B">
        <w:rPr>
          <w:color w:val="000000" w:themeColor="text1"/>
          <w:sz w:val="24"/>
          <w:szCs w:val="24"/>
        </w:rPr>
        <w:t xml:space="preserve"> myriad of</w:t>
      </w:r>
      <w:r>
        <w:rPr>
          <w:color w:val="000000" w:themeColor="text1"/>
          <w:sz w:val="24"/>
          <w:szCs w:val="24"/>
        </w:rPr>
        <w:t xml:space="preserve"> meanings to different scholars, poses the question as to when does reception </w:t>
      </w:r>
      <w:r w:rsidR="00881874">
        <w:rPr>
          <w:color w:val="000000" w:themeColor="text1"/>
          <w:sz w:val="24"/>
          <w:szCs w:val="24"/>
        </w:rPr>
        <w:t xml:space="preserve">history </w:t>
      </w:r>
      <w:r>
        <w:rPr>
          <w:color w:val="000000" w:themeColor="text1"/>
          <w:sz w:val="24"/>
          <w:szCs w:val="24"/>
        </w:rPr>
        <w:t>begin and how is the an ‘original’ text received</w:t>
      </w:r>
      <w:r w:rsidR="00815321">
        <w:rPr>
          <w:color w:val="000000" w:themeColor="text1"/>
          <w:sz w:val="24"/>
          <w:szCs w:val="24"/>
        </w:rPr>
        <w:t>?</w:t>
      </w:r>
      <w:r>
        <w:rPr>
          <w:color w:val="000000" w:themeColor="text1"/>
          <w:sz w:val="24"/>
          <w:szCs w:val="24"/>
        </w:rPr>
        <w:t xml:space="preserve"> Brennan Reed poses the question of ‘Who is the last producer, and who is the first </w:t>
      </w:r>
      <w:r w:rsidR="00881874">
        <w:rPr>
          <w:color w:val="000000" w:themeColor="text1"/>
          <w:sz w:val="24"/>
          <w:szCs w:val="24"/>
        </w:rPr>
        <w:t>interpret</w:t>
      </w:r>
      <w:r>
        <w:rPr>
          <w:color w:val="000000" w:themeColor="text1"/>
          <w:sz w:val="24"/>
          <w:szCs w:val="24"/>
        </w:rPr>
        <w:t xml:space="preserve">er? </w:t>
      </w:r>
      <w:r w:rsidR="00F53A29">
        <w:rPr>
          <w:color w:val="000000" w:themeColor="text1"/>
          <w:sz w:val="24"/>
          <w:szCs w:val="24"/>
        </w:rPr>
        <w:t xml:space="preserve">Is there an ‘original’ text or an ‘original’ context? </w:t>
      </w:r>
      <w:r w:rsidR="00F53A29">
        <w:rPr>
          <w:color w:val="000000" w:themeColor="text1"/>
          <w:sz w:val="24"/>
          <w:szCs w:val="24"/>
          <w:vertAlign w:val="superscript"/>
        </w:rPr>
        <w:t>(2</w:t>
      </w:r>
      <w:r w:rsidR="006F48C8">
        <w:rPr>
          <w:color w:val="000000" w:themeColor="text1"/>
          <w:sz w:val="24"/>
          <w:szCs w:val="24"/>
          <w:vertAlign w:val="superscript"/>
        </w:rPr>
        <w:t>2</w:t>
      </w:r>
      <w:r w:rsidR="00F53A29">
        <w:rPr>
          <w:color w:val="000000" w:themeColor="text1"/>
          <w:sz w:val="24"/>
          <w:szCs w:val="24"/>
          <w:vertAlign w:val="superscript"/>
        </w:rPr>
        <w:t xml:space="preserve">) </w:t>
      </w:r>
      <w:r w:rsidR="00F53A29">
        <w:rPr>
          <w:color w:val="000000" w:themeColor="text1"/>
          <w:sz w:val="24"/>
          <w:szCs w:val="24"/>
        </w:rPr>
        <w:t>As Breed explains, an ‘original’ point for both text and context are created by scholars rather than discovered. Therefore</w:t>
      </w:r>
      <w:r w:rsidR="00502239">
        <w:rPr>
          <w:color w:val="000000" w:themeColor="text1"/>
          <w:sz w:val="24"/>
          <w:szCs w:val="24"/>
        </w:rPr>
        <w:t>,</w:t>
      </w:r>
      <w:r w:rsidR="00F53A29">
        <w:rPr>
          <w:color w:val="000000" w:themeColor="text1"/>
          <w:sz w:val="24"/>
          <w:szCs w:val="24"/>
        </w:rPr>
        <w:t xml:space="preserve"> there is no </w:t>
      </w:r>
      <w:r w:rsidR="003446CA">
        <w:rPr>
          <w:color w:val="000000" w:themeColor="text1"/>
          <w:sz w:val="24"/>
          <w:szCs w:val="24"/>
        </w:rPr>
        <w:t>‘</w:t>
      </w:r>
      <w:r w:rsidR="00F53A29">
        <w:rPr>
          <w:color w:val="000000" w:themeColor="text1"/>
          <w:sz w:val="24"/>
          <w:szCs w:val="24"/>
        </w:rPr>
        <w:t>original</w:t>
      </w:r>
      <w:r w:rsidR="003446CA">
        <w:rPr>
          <w:color w:val="000000" w:themeColor="text1"/>
          <w:sz w:val="24"/>
          <w:szCs w:val="24"/>
        </w:rPr>
        <w:t>’</w:t>
      </w:r>
      <w:r w:rsidR="00F53A29">
        <w:rPr>
          <w:color w:val="000000" w:themeColor="text1"/>
          <w:sz w:val="24"/>
          <w:szCs w:val="24"/>
        </w:rPr>
        <w:t xml:space="preserve">, which </w:t>
      </w:r>
      <w:r w:rsidR="00502239">
        <w:rPr>
          <w:color w:val="000000" w:themeColor="text1"/>
          <w:sz w:val="24"/>
          <w:szCs w:val="24"/>
        </w:rPr>
        <w:t xml:space="preserve">has been amply determined by the discovery and subsequent analysis of the Dead Scrolls, clearly evidencing a </w:t>
      </w:r>
      <w:r w:rsidR="003446CA">
        <w:rPr>
          <w:color w:val="000000" w:themeColor="text1"/>
          <w:sz w:val="24"/>
          <w:szCs w:val="24"/>
        </w:rPr>
        <w:t>complex</w:t>
      </w:r>
      <w:r w:rsidR="00502239">
        <w:rPr>
          <w:color w:val="000000" w:themeColor="text1"/>
          <w:sz w:val="24"/>
          <w:szCs w:val="24"/>
        </w:rPr>
        <w:t xml:space="preserve"> </w:t>
      </w:r>
      <w:r w:rsidR="003446CA">
        <w:rPr>
          <w:color w:val="000000" w:themeColor="text1"/>
          <w:sz w:val="24"/>
          <w:szCs w:val="24"/>
        </w:rPr>
        <w:t xml:space="preserve">range of biblical texts were still extant during the Second Temple period, at the time of Christ, with no indication of any version of the text holding greater weight than others. </w:t>
      </w:r>
    </w:p>
    <w:p w:rsidR="00055124" w:rsidRDefault="00055124" w:rsidP="00D42709">
      <w:pPr>
        <w:spacing w:line="360" w:lineRule="auto"/>
        <w:rPr>
          <w:rFonts w:eastAsia="Times New Roman" w:cstheme="minorHAnsi"/>
          <w:kern w:val="0"/>
          <w:sz w:val="24"/>
          <w:szCs w:val="24"/>
          <w:lang w:eastAsia="en-GB"/>
          <w14:ligatures w14:val="none"/>
        </w:rPr>
      </w:pPr>
      <w:r>
        <w:rPr>
          <w:color w:val="000000" w:themeColor="text1"/>
          <w:sz w:val="24"/>
          <w:szCs w:val="24"/>
        </w:rPr>
        <w:t xml:space="preserve">In terms of this evidence, one would have to agree with the conclusion of Breed, that biblical reception </w:t>
      </w:r>
      <w:r w:rsidRPr="00F67D26">
        <w:rPr>
          <w:rFonts w:cstheme="minorHAnsi"/>
          <w:color w:val="000000" w:themeColor="text1"/>
          <w:sz w:val="24"/>
          <w:szCs w:val="24"/>
        </w:rPr>
        <w:t>‘</w:t>
      </w:r>
      <w:r w:rsidRPr="00F67D26">
        <w:rPr>
          <w:rFonts w:eastAsia="Times New Roman" w:cstheme="minorHAnsi"/>
          <w:kern w:val="0"/>
          <w:sz w:val="24"/>
          <w:szCs w:val="24"/>
          <w:lang w:eastAsia="en-GB"/>
          <w14:ligatures w14:val="none"/>
        </w:rPr>
        <w:t>adequately describes the entire history of the biblical text, from the beginning of its production until the present day.</w:t>
      </w:r>
      <w:r>
        <w:rPr>
          <w:rFonts w:eastAsia="Times New Roman" w:cstheme="minorHAnsi"/>
          <w:kern w:val="0"/>
          <w:sz w:val="24"/>
          <w:szCs w:val="24"/>
          <w:lang w:eastAsia="en-GB"/>
          <w14:ligatures w14:val="none"/>
        </w:rPr>
        <w:t xml:space="preserve">’ Thus, there is no separation between production and transmission, and there is no ‘original. </w:t>
      </w:r>
      <w:r>
        <w:rPr>
          <w:rFonts w:eastAsia="Times New Roman" w:cstheme="minorHAnsi"/>
          <w:kern w:val="0"/>
          <w:sz w:val="24"/>
          <w:szCs w:val="24"/>
          <w:vertAlign w:val="superscript"/>
          <w:lang w:eastAsia="en-GB"/>
          <w14:ligatures w14:val="none"/>
        </w:rPr>
        <w:t>(23)</w:t>
      </w:r>
    </w:p>
    <w:p w:rsidR="00055124" w:rsidRPr="00424B9D" w:rsidRDefault="00055124" w:rsidP="00D42709">
      <w:pPr>
        <w:spacing w:line="360" w:lineRule="auto"/>
        <w:rPr>
          <w:color w:val="000000" w:themeColor="text1"/>
          <w:sz w:val="24"/>
          <w:szCs w:val="24"/>
        </w:rPr>
      </w:pPr>
    </w:p>
    <w:p w:rsidR="00712356" w:rsidRPr="00EE4C55" w:rsidRDefault="00712356" w:rsidP="006F48C8">
      <w:pPr>
        <w:pStyle w:val="ListParagraph"/>
        <w:numPr>
          <w:ilvl w:val="0"/>
          <w:numId w:val="1"/>
        </w:numPr>
        <w:spacing w:line="360" w:lineRule="auto"/>
        <w:rPr>
          <w:sz w:val="24"/>
          <w:szCs w:val="24"/>
        </w:rPr>
      </w:pPr>
      <w:r>
        <w:rPr>
          <w:sz w:val="24"/>
          <w:szCs w:val="24"/>
        </w:rPr>
        <w:t>Ibid. p.767</w:t>
      </w:r>
    </w:p>
    <w:p w:rsidR="00712356" w:rsidRDefault="003F06EF" w:rsidP="006F48C8">
      <w:pPr>
        <w:pStyle w:val="ListParagraph"/>
        <w:numPr>
          <w:ilvl w:val="0"/>
          <w:numId w:val="1"/>
        </w:numPr>
        <w:spacing w:line="360" w:lineRule="auto"/>
        <w:rPr>
          <w:sz w:val="24"/>
          <w:szCs w:val="24"/>
        </w:rPr>
      </w:pPr>
      <w:r>
        <w:rPr>
          <w:sz w:val="24"/>
          <w:szCs w:val="24"/>
        </w:rPr>
        <w:t>Ibid.</w:t>
      </w:r>
    </w:p>
    <w:p w:rsidR="003F06EF" w:rsidRDefault="003F06EF" w:rsidP="006F48C8">
      <w:pPr>
        <w:pStyle w:val="ListParagraph"/>
        <w:numPr>
          <w:ilvl w:val="0"/>
          <w:numId w:val="1"/>
        </w:numPr>
        <w:spacing w:line="360" w:lineRule="auto"/>
        <w:rPr>
          <w:sz w:val="24"/>
          <w:szCs w:val="24"/>
        </w:rPr>
      </w:pPr>
      <w:r>
        <w:rPr>
          <w:sz w:val="24"/>
          <w:szCs w:val="24"/>
        </w:rPr>
        <w:t>Ibid.</w:t>
      </w:r>
    </w:p>
    <w:p w:rsidR="00712356" w:rsidRPr="002D0928" w:rsidRDefault="00712356" w:rsidP="006F48C8">
      <w:pPr>
        <w:pStyle w:val="ListParagraph"/>
        <w:numPr>
          <w:ilvl w:val="0"/>
          <w:numId w:val="1"/>
        </w:numPr>
        <w:spacing w:line="360" w:lineRule="auto"/>
        <w:rPr>
          <w:sz w:val="24"/>
          <w:szCs w:val="24"/>
        </w:rPr>
      </w:pPr>
      <w:r w:rsidRPr="002D0928">
        <w:rPr>
          <w:rFonts w:eastAsia="Times New Roman" w:cstheme="minorHAnsi"/>
          <w:kern w:val="0"/>
          <w:sz w:val="24"/>
          <w:szCs w:val="24"/>
          <w:lang w:eastAsia="en-GB"/>
          <w14:ligatures w14:val="none"/>
        </w:rPr>
        <w:t xml:space="preserve">Roberts, J., </w:t>
      </w:r>
      <w:r w:rsidRPr="002D0928">
        <w:rPr>
          <w:rFonts w:eastAsia="Times New Roman" w:cstheme="minorHAnsi"/>
          <w:i/>
          <w:iCs/>
          <w:kern w:val="0"/>
          <w:sz w:val="24"/>
          <w:szCs w:val="24"/>
          <w:lang w:eastAsia="en-GB"/>
          <w14:ligatures w14:val="none"/>
        </w:rPr>
        <w:t>‘Introduction,</w:t>
      </w:r>
      <w:r w:rsidRPr="002D0928">
        <w:rPr>
          <w:rFonts w:eastAsia="Times New Roman" w:cstheme="minorHAnsi"/>
          <w:kern w:val="0"/>
          <w:sz w:val="24"/>
          <w:szCs w:val="24"/>
          <w:lang w:eastAsia="en-GB"/>
          <w14:ligatures w14:val="none"/>
        </w:rPr>
        <w:t>’ in ‘</w:t>
      </w:r>
      <w:r w:rsidRPr="002D0928">
        <w:rPr>
          <w:rFonts w:eastAsia="Times New Roman" w:cstheme="minorHAnsi"/>
          <w:i/>
          <w:iCs/>
          <w:kern w:val="0"/>
          <w:sz w:val="24"/>
          <w:szCs w:val="24"/>
          <w:lang w:eastAsia="en-GB"/>
          <w14:ligatures w14:val="none"/>
        </w:rPr>
        <w:t>The Oxford Handbook of the Reception History of the Bible’</w:t>
      </w:r>
      <w:r w:rsidRPr="002D0928">
        <w:rPr>
          <w:rFonts w:eastAsia="Times New Roman" w:cstheme="minorHAnsi"/>
          <w:kern w:val="0"/>
          <w:sz w:val="24"/>
          <w:szCs w:val="24"/>
          <w:lang w:eastAsia="en-GB"/>
          <w14:ligatures w14:val="none"/>
        </w:rPr>
        <w:t xml:space="preserve"> (eds. Michael Lieb, Emma Mason, Jonathan Roberts; Oxford: Oxford University Press, 2011), p. </w:t>
      </w:r>
      <w:r>
        <w:rPr>
          <w:rFonts w:eastAsia="Times New Roman" w:cstheme="minorHAnsi"/>
          <w:kern w:val="0"/>
          <w:sz w:val="24"/>
          <w:szCs w:val="24"/>
          <w:lang w:eastAsia="en-GB"/>
          <w14:ligatures w14:val="none"/>
        </w:rPr>
        <w:t>5</w:t>
      </w:r>
    </w:p>
    <w:p w:rsidR="002D0928" w:rsidRDefault="00F53A29" w:rsidP="006F48C8">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 xml:space="preserve">Breed, Brennan., </w:t>
      </w:r>
      <w:r>
        <w:rPr>
          <w:rFonts w:cstheme="minorHAnsi"/>
          <w:i/>
          <w:iCs/>
          <w:color w:val="000000" w:themeColor="text1"/>
          <w:sz w:val="24"/>
          <w:szCs w:val="24"/>
        </w:rPr>
        <w:t xml:space="preserve">‘Biblical Reception History: A Dangerous Supplement’, </w:t>
      </w:r>
      <w:r>
        <w:rPr>
          <w:rFonts w:cstheme="minorHAnsi"/>
          <w:color w:val="000000" w:themeColor="text1"/>
          <w:sz w:val="24"/>
          <w:szCs w:val="24"/>
        </w:rPr>
        <w:t>Columbia Theological Seminary, Oct 2014</w:t>
      </w:r>
    </w:p>
    <w:p w:rsidR="00055124" w:rsidRPr="00055124" w:rsidRDefault="00055124" w:rsidP="00055124">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 xml:space="preserve">Ibid. </w:t>
      </w:r>
    </w:p>
    <w:p w:rsidR="00675AAD" w:rsidRPr="00675AAD" w:rsidRDefault="00675AAD" w:rsidP="00D42709">
      <w:pPr>
        <w:spacing w:line="360" w:lineRule="auto"/>
        <w:rPr>
          <w:rFonts w:eastAsia="Times New Roman" w:cstheme="minorHAnsi"/>
          <w:kern w:val="0"/>
          <w:sz w:val="24"/>
          <w:szCs w:val="24"/>
          <w:vertAlign w:val="superscript"/>
          <w:lang w:eastAsia="en-GB"/>
          <w14:ligatures w14:val="none"/>
        </w:rPr>
      </w:pPr>
      <w:r>
        <w:rPr>
          <w:rFonts w:eastAsia="Times New Roman" w:cstheme="minorHAnsi"/>
          <w:kern w:val="0"/>
          <w:sz w:val="24"/>
          <w:szCs w:val="24"/>
          <w:lang w:eastAsia="en-GB"/>
          <w14:ligatures w14:val="none"/>
        </w:rPr>
        <w:t>T</w:t>
      </w:r>
      <w:r w:rsidRPr="00675AAD">
        <w:rPr>
          <w:rFonts w:eastAsia="Times New Roman" w:cstheme="minorHAnsi"/>
          <w:kern w:val="0"/>
          <w:sz w:val="24"/>
          <w:szCs w:val="24"/>
          <w:lang w:eastAsia="en-GB"/>
          <w14:ligatures w14:val="none"/>
        </w:rPr>
        <w:t xml:space="preserve">he book of Genesis is not an ‘original’, but </w:t>
      </w:r>
      <w:r w:rsidR="00EF1F85">
        <w:rPr>
          <w:rFonts w:eastAsia="Times New Roman" w:cstheme="minorHAnsi"/>
          <w:kern w:val="0"/>
          <w:sz w:val="24"/>
          <w:szCs w:val="24"/>
          <w:lang w:eastAsia="en-GB"/>
          <w14:ligatures w14:val="none"/>
        </w:rPr>
        <w:t>is</w:t>
      </w:r>
      <w:r w:rsidRPr="00675AAD">
        <w:rPr>
          <w:rFonts w:eastAsia="Times New Roman" w:cstheme="minorHAnsi"/>
          <w:kern w:val="0"/>
          <w:sz w:val="24"/>
          <w:szCs w:val="24"/>
          <w:lang w:eastAsia="en-GB"/>
          <w14:ligatures w14:val="none"/>
        </w:rPr>
        <w:t xml:space="preserve"> a primary epic, such as Homer’s ‘Iliad’, </w:t>
      </w:r>
      <w:r w:rsidRPr="00675AAD">
        <w:rPr>
          <w:rFonts w:eastAsia="Times New Roman" w:cstheme="minorHAnsi"/>
          <w:kern w:val="0"/>
          <w:sz w:val="24"/>
          <w:szCs w:val="24"/>
          <w:vertAlign w:val="superscript"/>
          <w:lang w:eastAsia="en-GB"/>
          <w14:ligatures w14:val="none"/>
        </w:rPr>
        <w:t>(2</w:t>
      </w:r>
      <w:r w:rsidR="00424B9D">
        <w:rPr>
          <w:rFonts w:eastAsia="Times New Roman" w:cstheme="minorHAnsi"/>
          <w:kern w:val="0"/>
          <w:sz w:val="24"/>
          <w:szCs w:val="24"/>
          <w:vertAlign w:val="superscript"/>
          <w:lang w:eastAsia="en-GB"/>
          <w14:ligatures w14:val="none"/>
        </w:rPr>
        <w:t>4</w:t>
      </w:r>
      <w:r w:rsidRPr="00675AAD">
        <w:rPr>
          <w:rFonts w:eastAsia="Times New Roman" w:cstheme="minorHAnsi"/>
          <w:kern w:val="0"/>
          <w:sz w:val="24"/>
          <w:szCs w:val="24"/>
          <w:vertAlign w:val="superscript"/>
          <w:lang w:eastAsia="en-GB"/>
          <w14:ligatures w14:val="none"/>
        </w:rPr>
        <w:t>)</w:t>
      </w:r>
      <w:r w:rsidRPr="00675AAD">
        <w:rPr>
          <w:rFonts w:eastAsia="Times New Roman" w:cstheme="minorHAnsi"/>
          <w:kern w:val="0"/>
          <w:sz w:val="24"/>
          <w:szCs w:val="24"/>
          <w:lang w:eastAsia="en-GB"/>
          <w14:ligatures w14:val="none"/>
        </w:rPr>
        <w:t xml:space="preserve"> </w:t>
      </w:r>
      <w:r w:rsidR="00881874">
        <w:rPr>
          <w:rFonts w:eastAsia="Times New Roman" w:cstheme="minorHAnsi"/>
          <w:kern w:val="0"/>
          <w:sz w:val="24"/>
          <w:szCs w:val="24"/>
          <w:lang w:eastAsia="en-GB"/>
          <w14:ligatures w14:val="none"/>
        </w:rPr>
        <w:t xml:space="preserve">and </w:t>
      </w:r>
      <w:r w:rsidRPr="00675AAD">
        <w:rPr>
          <w:rFonts w:eastAsia="Times New Roman" w:cstheme="minorHAnsi"/>
          <w:kern w:val="0"/>
          <w:sz w:val="24"/>
          <w:szCs w:val="24"/>
          <w:lang w:eastAsia="en-GB"/>
          <w14:ligatures w14:val="none"/>
        </w:rPr>
        <w:t>is an accumulation of numerous oral traditions and literary texts, from different cultures, religious traditions and geographical areas</w:t>
      </w:r>
      <w:r w:rsidR="00881874">
        <w:rPr>
          <w:rFonts w:eastAsia="Times New Roman" w:cstheme="minorHAnsi"/>
          <w:kern w:val="0"/>
          <w:sz w:val="24"/>
          <w:szCs w:val="24"/>
          <w:lang w:eastAsia="en-GB"/>
          <w14:ligatures w14:val="none"/>
        </w:rPr>
        <w:t xml:space="preserve"> brought together as one</w:t>
      </w:r>
      <w:r w:rsidRPr="00675AAD">
        <w:rPr>
          <w:rFonts w:eastAsia="Times New Roman" w:cstheme="minorHAnsi"/>
          <w:kern w:val="0"/>
          <w:sz w:val="24"/>
          <w:szCs w:val="24"/>
          <w:lang w:eastAsia="en-GB"/>
          <w14:ligatures w14:val="none"/>
        </w:rPr>
        <w:t xml:space="preserve">. </w:t>
      </w:r>
      <w:r w:rsidRPr="00675AAD">
        <w:rPr>
          <w:rFonts w:eastAsia="Times New Roman" w:cstheme="minorHAnsi"/>
          <w:kern w:val="0"/>
          <w:sz w:val="24"/>
          <w:szCs w:val="24"/>
          <w:vertAlign w:val="superscript"/>
          <w:lang w:eastAsia="en-GB"/>
          <w14:ligatures w14:val="none"/>
        </w:rPr>
        <w:t>(2</w:t>
      </w:r>
      <w:r w:rsidR="00424B9D">
        <w:rPr>
          <w:rFonts w:eastAsia="Times New Roman" w:cstheme="minorHAnsi"/>
          <w:kern w:val="0"/>
          <w:sz w:val="24"/>
          <w:szCs w:val="24"/>
          <w:vertAlign w:val="superscript"/>
          <w:lang w:eastAsia="en-GB"/>
          <w14:ligatures w14:val="none"/>
        </w:rPr>
        <w:t>5</w:t>
      </w:r>
      <w:r w:rsidRPr="00675AAD">
        <w:rPr>
          <w:rFonts w:eastAsia="Times New Roman" w:cstheme="minorHAnsi"/>
          <w:kern w:val="0"/>
          <w:sz w:val="24"/>
          <w:szCs w:val="24"/>
          <w:vertAlign w:val="superscript"/>
          <w:lang w:eastAsia="en-GB"/>
          <w14:ligatures w14:val="none"/>
        </w:rPr>
        <w:t>)</w:t>
      </w:r>
      <w:r w:rsidRPr="00675AAD">
        <w:rPr>
          <w:rFonts w:eastAsia="Times New Roman" w:cstheme="minorHAnsi"/>
          <w:kern w:val="0"/>
          <w:sz w:val="24"/>
          <w:szCs w:val="24"/>
          <w:lang w:eastAsia="en-GB"/>
          <w14:ligatures w14:val="none"/>
        </w:rPr>
        <w:t xml:space="preserve"> </w:t>
      </w:r>
    </w:p>
    <w:p w:rsidR="00031B2B" w:rsidRDefault="00815321" w:rsidP="00D42709">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It is impossible to discern a singular religious or contextual reception due to the diachronic nature of Genesis, and a large amount of the biblical text. This is evident in the tale of Noah from Genesis 6-8, as in this case, it would seem clear that flood story has been developed from older sources, such as the Sumerian ‘Epic of Gilgamesh’, which was probably derived from the Akkadian ‘Atra-Hasis, if not others </w:t>
      </w:r>
      <w:r w:rsidR="00881874">
        <w:rPr>
          <w:rFonts w:eastAsia="Times New Roman" w:cstheme="minorHAnsi"/>
          <w:kern w:val="0"/>
          <w:sz w:val="24"/>
          <w:szCs w:val="24"/>
          <w:lang w:eastAsia="en-GB"/>
          <w14:ligatures w14:val="none"/>
        </w:rPr>
        <w:t>older sources</w:t>
      </w:r>
      <w:r>
        <w:rPr>
          <w:rFonts w:eastAsia="Times New Roman" w:cstheme="minorHAnsi"/>
          <w:kern w:val="0"/>
          <w:sz w:val="24"/>
          <w:szCs w:val="24"/>
          <w:lang w:eastAsia="en-GB"/>
          <w14:ligatures w14:val="none"/>
        </w:rPr>
        <w:t xml:space="preserve">. </w:t>
      </w:r>
      <w:r>
        <w:rPr>
          <w:rFonts w:eastAsia="Times New Roman" w:cstheme="minorHAnsi"/>
          <w:kern w:val="0"/>
          <w:sz w:val="24"/>
          <w:szCs w:val="24"/>
          <w:vertAlign w:val="superscript"/>
          <w:lang w:eastAsia="en-GB"/>
          <w14:ligatures w14:val="none"/>
        </w:rPr>
        <w:t>(2</w:t>
      </w:r>
      <w:r w:rsidR="00424B9D">
        <w:rPr>
          <w:rFonts w:eastAsia="Times New Roman" w:cstheme="minorHAnsi"/>
          <w:kern w:val="0"/>
          <w:sz w:val="24"/>
          <w:szCs w:val="24"/>
          <w:vertAlign w:val="superscript"/>
          <w:lang w:eastAsia="en-GB"/>
          <w14:ligatures w14:val="none"/>
        </w:rPr>
        <w:t>6</w:t>
      </w:r>
      <w:r>
        <w:rPr>
          <w:rFonts w:eastAsia="Times New Roman" w:cstheme="minorHAnsi"/>
          <w:kern w:val="0"/>
          <w:sz w:val="24"/>
          <w:szCs w:val="24"/>
          <w:vertAlign w:val="superscript"/>
          <w:lang w:eastAsia="en-GB"/>
          <w14:ligatures w14:val="none"/>
        </w:rPr>
        <w:t>)</w:t>
      </w:r>
      <w:r w:rsidR="00031B2B">
        <w:rPr>
          <w:rFonts w:eastAsia="Times New Roman" w:cstheme="minorHAnsi"/>
          <w:kern w:val="0"/>
          <w:sz w:val="24"/>
          <w:szCs w:val="24"/>
          <w:vertAlign w:val="superscript"/>
          <w:lang w:eastAsia="en-GB"/>
          <w14:ligatures w14:val="none"/>
        </w:rPr>
        <w:t xml:space="preserve"> </w:t>
      </w:r>
      <w:r w:rsidR="00031B2B">
        <w:rPr>
          <w:rFonts w:eastAsia="Times New Roman" w:cstheme="minorHAnsi"/>
          <w:kern w:val="0"/>
          <w:sz w:val="24"/>
          <w:szCs w:val="24"/>
          <w:lang w:eastAsia="en-GB"/>
          <w14:ligatures w14:val="none"/>
        </w:rPr>
        <w:t xml:space="preserve">This opens up fascinating areas of biblical reception history and enables us to delve even further into the roots of our traditions, customs and beliefs. </w:t>
      </w:r>
    </w:p>
    <w:p w:rsidR="00CA269A" w:rsidRDefault="00031B2B" w:rsidP="00D42709">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However, there c</w:t>
      </w:r>
      <w:r w:rsidR="009A4A28">
        <w:rPr>
          <w:rFonts w:eastAsia="Times New Roman" w:cstheme="minorHAnsi"/>
          <w:kern w:val="0"/>
          <w:sz w:val="24"/>
          <w:szCs w:val="24"/>
          <w:lang w:eastAsia="en-GB"/>
          <w14:ligatures w14:val="none"/>
        </w:rPr>
        <w:t xml:space="preserve">an be seen to </w:t>
      </w:r>
      <w:r>
        <w:rPr>
          <w:rFonts w:eastAsia="Times New Roman" w:cstheme="minorHAnsi"/>
          <w:kern w:val="0"/>
          <w:sz w:val="24"/>
          <w:szCs w:val="24"/>
          <w:lang w:eastAsia="en-GB"/>
          <w14:ligatures w14:val="none"/>
        </w:rPr>
        <w:t>be limitations to biblical reception history</w:t>
      </w:r>
      <w:r w:rsidR="009A4A28">
        <w:rPr>
          <w:rFonts w:eastAsia="Times New Roman" w:cstheme="minorHAnsi"/>
          <w:kern w:val="0"/>
          <w:sz w:val="24"/>
          <w:szCs w:val="24"/>
          <w:lang w:eastAsia="en-GB"/>
          <w14:ligatures w14:val="none"/>
        </w:rPr>
        <w:t xml:space="preserve">, and Beal views these as threefold. </w:t>
      </w:r>
      <w:r w:rsidR="00242A79">
        <w:rPr>
          <w:rFonts w:eastAsia="Times New Roman" w:cstheme="minorHAnsi"/>
          <w:kern w:val="0"/>
          <w:sz w:val="24"/>
          <w:szCs w:val="24"/>
          <w:vertAlign w:val="superscript"/>
          <w:lang w:eastAsia="en-GB"/>
          <w14:ligatures w14:val="none"/>
        </w:rPr>
        <w:t>(2</w:t>
      </w:r>
      <w:r w:rsidR="00424B9D">
        <w:rPr>
          <w:rFonts w:eastAsia="Times New Roman" w:cstheme="minorHAnsi"/>
          <w:kern w:val="0"/>
          <w:sz w:val="24"/>
          <w:szCs w:val="24"/>
          <w:vertAlign w:val="superscript"/>
          <w:lang w:eastAsia="en-GB"/>
          <w14:ligatures w14:val="none"/>
        </w:rPr>
        <w:t>7</w:t>
      </w:r>
      <w:r w:rsidR="00242A79">
        <w:rPr>
          <w:rFonts w:eastAsia="Times New Roman" w:cstheme="minorHAnsi"/>
          <w:kern w:val="0"/>
          <w:sz w:val="24"/>
          <w:szCs w:val="24"/>
          <w:vertAlign w:val="superscript"/>
          <w:lang w:eastAsia="en-GB"/>
          <w14:ligatures w14:val="none"/>
        </w:rPr>
        <w:t xml:space="preserve">) </w:t>
      </w:r>
      <w:r w:rsidR="009A4A28">
        <w:rPr>
          <w:rFonts w:eastAsia="Times New Roman" w:cstheme="minorHAnsi"/>
          <w:kern w:val="0"/>
          <w:sz w:val="24"/>
          <w:szCs w:val="24"/>
          <w:lang w:eastAsia="en-GB"/>
          <w14:ligatures w14:val="none"/>
        </w:rPr>
        <w:t>The first two refer to reception history</w:t>
      </w:r>
      <w:r w:rsidR="00242A79">
        <w:rPr>
          <w:rFonts w:eastAsia="Times New Roman" w:cstheme="minorHAnsi"/>
          <w:kern w:val="0"/>
          <w:sz w:val="24"/>
          <w:szCs w:val="24"/>
          <w:lang w:eastAsia="en-GB"/>
          <w14:ligatures w14:val="none"/>
        </w:rPr>
        <w:t xml:space="preserve"> as an area of study, with </w:t>
      </w:r>
      <w:r w:rsidR="00675AAD">
        <w:rPr>
          <w:rFonts w:eastAsia="Times New Roman" w:cstheme="minorHAnsi"/>
          <w:kern w:val="0"/>
          <w:sz w:val="24"/>
          <w:szCs w:val="24"/>
          <w:lang w:eastAsia="en-GB"/>
          <w14:ligatures w14:val="none"/>
        </w:rPr>
        <w:t xml:space="preserve">Beal concerned </w:t>
      </w:r>
      <w:r w:rsidR="00242A79">
        <w:rPr>
          <w:rFonts w:eastAsia="Times New Roman" w:cstheme="minorHAnsi"/>
          <w:kern w:val="0"/>
          <w:sz w:val="24"/>
          <w:szCs w:val="24"/>
          <w:lang w:eastAsia="en-GB"/>
          <w14:ligatures w14:val="none"/>
        </w:rPr>
        <w:t>that</w:t>
      </w:r>
      <w:r w:rsidR="00675AAD">
        <w:rPr>
          <w:rFonts w:eastAsia="Times New Roman" w:cstheme="minorHAnsi"/>
          <w:kern w:val="0"/>
          <w:sz w:val="24"/>
          <w:szCs w:val="24"/>
          <w:lang w:eastAsia="en-GB"/>
          <w14:ligatures w14:val="none"/>
        </w:rPr>
        <w:t xml:space="preserve"> the nature of reception history and its foundations in philosophical hermeneutics and </w:t>
      </w:r>
      <w:r w:rsidR="00242A79">
        <w:rPr>
          <w:rFonts w:eastAsia="Times New Roman" w:cstheme="minorHAnsi"/>
          <w:kern w:val="0"/>
          <w:sz w:val="24"/>
          <w:szCs w:val="24"/>
          <w:lang w:eastAsia="en-GB"/>
          <w14:ligatures w14:val="none"/>
        </w:rPr>
        <w:t xml:space="preserve">the interpretation of words, precludes it from studying </w:t>
      </w:r>
      <w:r w:rsidR="006E5873">
        <w:rPr>
          <w:rFonts w:eastAsia="Times New Roman" w:cstheme="minorHAnsi"/>
          <w:kern w:val="0"/>
          <w:sz w:val="24"/>
          <w:szCs w:val="24"/>
          <w:lang w:eastAsia="en-GB"/>
          <w14:ligatures w14:val="none"/>
        </w:rPr>
        <w:t xml:space="preserve">firstly, </w:t>
      </w:r>
      <w:r w:rsidR="00242A79">
        <w:rPr>
          <w:rFonts w:eastAsia="Times New Roman" w:cstheme="minorHAnsi"/>
          <w:kern w:val="0"/>
          <w:sz w:val="24"/>
          <w:szCs w:val="24"/>
          <w:lang w:eastAsia="en-GB"/>
          <w14:ligatures w14:val="none"/>
        </w:rPr>
        <w:t>the anthropological or ritualistic origins of texts</w:t>
      </w:r>
      <w:r w:rsidR="006E5873">
        <w:rPr>
          <w:rFonts w:eastAsia="Times New Roman" w:cstheme="minorHAnsi"/>
          <w:kern w:val="0"/>
          <w:sz w:val="24"/>
          <w:szCs w:val="24"/>
          <w:lang w:eastAsia="en-GB"/>
          <w14:ligatures w14:val="none"/>
        </w:rPr>
        <w:t xml:space="preserve">, and </w:t>
      </w:r>
      <w:r w:rsidR="00242A79">
        <w:rPr>
          <w:rFonts w:eastAsia="Times New Roman" w:cstheme="minorHAnsi"/>
          <w:kern w:val="0"/>
          <w:sz w:val="24"/>
          <w:szCs w:val="24"/>
          <w:lang w:eastAsia="en-GB"/>
          <w14:ligatures w14:val="none"/>
        </w:rPr>
        <w:t xml:space="preserve">secondly, </w:t>
      </w:r>
      <w:r w:rsidR="006E5873">
        <w:rPr>
          <w:rFonts w:eastAsia="Times New Roman" w:cstheme="minorHAnsi"/>
          <w:kern w:val="0"/>
          <w:sz w:val="24"/>
          <w:szCs w:val="24"/>
          <w:lang w:eastAsia="en-GB"/>
          <w14:ligatures w14:val="none"/>
        </w:rPr>
        <w:t xml:space="preserve">by ignoring </w:t>
      </w:r>
      <w:r w:rsidR="00242A79">
        <w:rPr>
          <w:rFonts w:eastAsia="Times New Roman" w:cstheme="minorHAnsi"/>
          <w:kern w:val="0"/>
          <w:sz w:val="24"/>
          <w:szCs w:val="24"/>
          <w:lang w:eastAsia="en-GB"/>
          <w14:ligatures w14:val="none"/>
        </w:rPr>
        <w:t>the</w:t>
      </w:r>
      <w:r w:rsidR="006E5873">
        <w:rPr>
          <w:rFonts w:eastAsia="Times New Roman" w:cstheme="minorHAnsi"/>
          <w:kern w:val="0"/>
          <w:sz w:val="24"/>
          <w:szCs w:val="24"/>
          <w:lang w:eastAsia="en-GB"/>
          <w14:ligatures w14:val="none"/>
        </w:rPr>
        <w:t xml:space="preserve"> texts</w:t>
      </w:r>
      <w:r w:rsidR="00242A79">
        <w:rPr>
          <w:rFonts w:eastAsia="Times New Roman" w:cstheme="minorHAnsi"/>
          <w:kern w:val="0"/>
          <w:sz w:val="24"/>
          <w:szCs w:val="24"/>
          <w:lang w:eastAsia="en-GB"/>
          <w14:ligatures w14:val="none"/>
        </w:rPr>
        <w:t xml:space="preserve"> materialistic aspects, </w:t>
      </w:r>
      <w:r w:rsidR="006E5873">
        <w:rPr>
          <w:rFonts w:eastAsia="Times New Roman" w:cstheme="minorHAnsi"/>
          <w:kern w:val="0"/>
          <w:sz w:val="24"/>
          <w:szCs w:val="24"/>
          <w:lang w:eastAsia="en-GB"/>
          <w14:ligatures w14:val="none"/>
        </w:rPr>
        <w:t xml:space="preserve">both </w:t>
      </w:r>
      <w:r w:rsidR="00242A79">
        <w:rPr>
          <w:rFonts w:eastAsia="Times New Roman" w:cstheme="minorHAnsi"/>
          <w:kern w:val="0"/>
          <w:sz w:val="24"/>
          <w:szCs w:val="24"/>
          <w:lang w:eastAsia="en-GB"/>
          <w14:ligatures w14:val="none"/>
        </w:rPr>
        <w:t>socially and economically</w:t>
      </w:r>
      <w:r w:rsidR="006E5873">
        <w:rPr>
          <w:rFonts w:eastAsia="Times New Roman" w:cstheme="minorHAnsi"/>
          <w:kern w:val="0"/>
          <w:sz w:val="24"/>
          <w:szCs w:val="24"/>
          <w:lang w:eastAsia="en-GB"/>
          <w14:ligatures w14:val="none"/>
        </w:rPr>
        <w:t>.</w:t>
      </w:r>
      <w:r w:rsidR="006B4DB4">
        <w:rPr>
          <w:rFonts w:eastAsia="Times New Roman" w:cstheme="minorHAnsi"/>
          <w:kern w:val="0"/>
          <w:sz w:val="24"/>
          <w:szCs w:val="24"/>
          <w:lang w:eastAsia="en-GB"/>
          <w14:ligatures w14:val="none"/>
        </w:rPr>
        <w:t xml:space="preserve"> </w:t>
      </w:r>
      <w:r w:rsidR="00424B9D">
        <w:rPr>
          <w:rFonts w:eastAsia="Times New Roman" w:cstheme="minorHAnsi"/>
          <w:kern w:val="0"/>
          <w:sz w:val="24"/>
          <w:szCs w:val="24"/>
          <w:lang w:eastAsia="en-GB"/>
          <w14:ligatures w14:val="none"/>
        </w:rPr>
        <w:t>This is a fundamental difference from biblical criticism.</w:t>
      </w:r>
    </w:p>
    <w:p w:rsidR="00055124" w:rsidRDefault="00055124" w:rsidP="00D42709">
      <w:pPr>
        <w:spacing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Breed also evidences this in how the serpent in Genesis 3 has been perceived over the centuries, wherein the Israelites appear to have lacked an ‘embodiment of cosmic evil’, whereas a reception scholar may well come to this conclusion despite the lack of contextual evidence, to fit their reception. </w:t>
      </w:r>
      <w:r>
        <w:rPr>
          <w:rFonts w:eastAsia="Times New Roman" w:cstheme="minorHAnsi"/>
          <w:kern w:val="0"/>
          <w:sz w:val="24"/>
          <w:szCs w:val="24"/>
          <w:vertAlign w:val="superscript"/>
          <w:lang w:eastAsia="en-GB"/>
          <w14:ligatures w14:val="none"/>
        </w:rPr>
        <w:t>(28)</w:t>
      </w:r>
    </w:p>
    <w:p w:rsidR="00675AAD" w:rsidRPr="00675AAD" w:rsidRDefault="00675AAD" w:rsidP="00424B9D">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Homer.,</w:t>
      </w:r>
      <w:r w:rsidRPr="00031B2B">
        <w:rPr>
          <w:rFonts w:cstheme="minorHAnsi"/>
          <w:i/>
          <w:iCs/>
          <w:color w:val="000000" w:themeColor="text1"/>
          <w:sz w:val="24"/>
          <w:szCs w:val="24"/>
        </w:rPr>
        <w:t xml:space="preserve"> ‘Iliad’</w:t>
      </w:r>
    </w:p>
    <w:p w:rsidR="00675AAD" w:rsidRPr="00675AAD" w:rsidRDefault="00675AAD" w:rsidP="00424B9D">
      <w:pPr>
        <w:pStyle w:val="ListParagraph"/>
        <w:numPr>
          <w:ilvl w:val="0"/>
          <w:numId w:val="1"/>
        </w:numPr>
        <w:spacing w:after="150" w:line="360" w:lineRule="auto"/>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Breed, Brennan., </w:t>
      </w:r>
      <w:r>
        <w:rPr>
          <w:rFonts w:eastAsia="Times New Roman" w:cstheme="minorHAnsi"/>
          <w:i/>
          <w:iCs/>
          <w:kern w:val="0"/>
          <w:sz w:val="24"/>
          <w:szCs w:val="24"/>
          <w:lang w:eastAsia="en-GB"/>
          <w14:ligatures w14:val="none"/>
        </w:rPr>
        <w:t>‘</w:t>
      </w:r>
      <w:r w:rsidRPr="009D530F">
        <w:rPr>
          <w:rFonts w:eastAsia="Times New Roman" w:cstheme="minorHAnsi"/>
          <w:i/>
          <w:iCs/>
          <w:kern w:val="0"/>
          <w:sz w:val="24"/>
          <w:szCs w:val="24"/>
          <w:lang w:eastAsia="en-GB"/>
          <w14:ligatures w14:val="none"/>
        </w:rPr>
        <w:t>Nomadic Text: A Theory of Biblical Reception History</w:t>
      </w:r>
      <w:r>
        <w:rPr>
          <w:rFonts w:eastAsia="Times New Roman" w:cstheme="minorHAnsi"/>
          <w:i/>
          <w:iCs/>
          <w:kern w:val="0"/>
          <w:sz w:val="24"/>
          <w:szCs w:val="24"/>
          <w:lang w:eastAsia="en-GB"/>
          <w14:ligatures w14:val="none"/>
        </w:rPr>
        <w:t>’</w:t>
      </w:r>
      <w:r w:rsidRPr="009D530F">
        <w:rPr>
          <w:rFonts w:eastAsia="Times New Roman" w:cstheme="minorHAnsi"/>
          <w:kern w:val="0"/>
          <w:sz w:val="24"/>
          <w:szCs w:val="24"/>
          <w:lang w:eastAsia="en-GB"/>
          <w14:ligatures w14:val="none"/>
        </w:rPr>
        <w:t> (Bloomington, IN: Indiana University Press, 2014)</w:t>
      </w:r>
      <w:r>
        <w:rPr>
          <w:rFonts w:eastAsia="Times New Roman" w:cstheme="minorHAnsi"/>
          <w:kern w:val="0"/>
          <w:sz w:val="24"/>
          <w:szCs w:val="24"/>
          <w:lang w:eastAsia="en-GB"/>
          <w14:ligatures w14:val="none"/>
        </w:rPr>
        <w:t xml:space="preserve"> p. 82</w:t>
      </w:r>
    </w:p>
    <w:p w:rsidR="00777A1E" w:rsidRDefault="00777A1E" w:rsidP="00424B9D">
      <w:pPr>
        <w:pStyle w:val="ListParagraph"/>
        <w:numPr>
          <w:ilvl w:val="0"/>
          <w:numId w:val="1"/>
        </w:numPr>
        <w:spacing w:line="360" w:lineRule="auto"/>
        <w:rPr>
          <w:rFonts w:cstheme="minorHAnsi"/>
          <w:color w:val="000000" w:themeColor="text1"/>
          <w:sz w:val="24"/>
          <w:szCs w:val="24"/>
        </w:rPr>
      </w:pPr>
      <w:r w:rsidRPr="00031B2B">
        <w:rPr>
          <w:rFonts w:cstheme="minorHAnsi"/>
          <w:color w:val="000000" w:themeColor="text1"/>
          <w:sz w:val="24"/>
          <w:szCs w:val="24"/>
        </w:rPr>
        <w:t xml:space="preserve">Breed, Brennan., </w:t>
      </w:r>
      <w:r w:rsidRPr="00031B2B">
        <w:rPr>
          <w:rFonts w:cstheme="minorHAnsi"/>
          <w:i/>
          <w:iCs/>
          <w:color w:val="000000" w:themeColor="text1"/>
          <w:sz w:val="24"/>
          <w:szCs w:val="24"/>
        </w:rPr>
        <w:t xml:space="preserve">‘Biblical Reception History: A Dangerous Supplement’, </w:t>
      </w:r>
      <w:r w:rsidRPr="00031B2B">
        <w:rPr>
          <w:rFonts w:cstheme="minorHAnsi"/>
          <w:color w:val="000000" w:themeColor="text1"/>
          <w:sz w:val="24"/>
          <w:szCs w:val="24"/>
        </w:rPr>
        <w:t>Columbia Theological Seminary, Oct 2014</w:t>
      </w:r>
    </w:p>
    <w:p w:rsidR="009A4A28" w:rsidRDefault="009A4A28" w:rsidP="00424B9D">
      <w:pPr>
        <w:pStyle w:val="ListParagraph"/>
        <w:numPr>
          <w:ilvl w:val="0"/>
          <w:numId w:val="1"/>
        </w:numPr>
        <w:spacing w:line="360" w:lineRule="auto"/>
        <w:rPr>
          <w:sz w:val="24"/>
          <w:szCs w:val="24"/>
        </w:rPr>
      </w:pPr>
      <w:r w:rsidRPr="007E715E">
        <w:rPr>
          <w:sz w:val="24"/>
          <w:szCs w:val="24"/>
        </w:rPr>
        <w:t xml:space="preserve">Beal, Timothy., </w:t>
      </w:r>
      <w:r w:rsidRPr="007E715E">
        <w:rPr>
          <w:i/>
          <w:iCs/>
          <w:sz w:val="24"/>
          <w:szCs w:val="24"/>
        </w:rPr>
        <w:t>‘Reception History and Beyond: Toward the Cultural History of Scriptures’</w:t>
      </w:r>
      <w:r w:rsidRPr="007E715E">
        <w:rPr>
          <w:sz w:val="24"/>
          <w:szCs w:val="24"/>
        </w:rPr>
        <w:t>, (Biblical Interpretation 19 2011) p</w:t>
      </w:r>
      <w:r>
        <w:rPr>
          <w:sz w:val="24"/>
          <w:szCs w:val="24"/>
        </w:rPr>
        <w:t>gs</w:t>
      </w:r>
      <w:r w:rsidRPr="007E715E">
        <w:rPr>
          <w:sz w:val="24"/>
          <w:szCs w:val="24"/>
        </w:rPr>
        <w:t>. 36</w:t>
      </w:r>
      <w:r w:rsidR="00CA269A">
        <w:rPr>
          <w:sz w:val="24"/>
          <w:szCs w:val="24"/>
        </w:rPr>
        <w:t>5</w:t>
      </w:r>
      <w:r>
        <w:rPr>
          <w:sz w:val="24"/>
          <w:szCs w:val="24"/>
        </w:rPr>
        <w:t xml:space="preserve"> - 36</w:t>
      </w:r>
      <w:r w:rsidR="00CA269A">
        <w:rPr>
          <w:sz w:val="24"/>
          <w:szCs w:val="24"/>
        </w:rPr>
        <w:t>7</w:t>
      </w:r>
    </w:p>
    <w:p w:rsidR="00D84E9B" w:rsidRPr="00055124" w:rsidRDefault="00055124" w:rsidP="00055124">
      <w:pPr>
        <w:pStyle w:val="ListParagraph"/>
        <w:numPr>
          <w:ilvl w:val="0"/>
          <w:numId w:val="1"/>
        </w:numPr>
        <w:spacing w:line="360" w:lineRule="auto"/>
        <w:rPr>
          <w:sz w:val="24"/>
          <w:szCs w:val="24"/>
        </w:rPr>
      </w:pPr>
      <w:r>
        <w:t xml:space="preserve">Reed, Brennan., </w:t>
      </w:r>
      <w:r>
        <w:rPr>
          <w:i/>
          <w:iCs/>
        </w:rPr>
        <w:t xml:space="preserve">‘What Is Reception History?’ </w:t>
      </w:r>
      <w:hyperlink r:id="rId7" w:history="1">
        <w:r w:rsidRPr="00F9154D">
          <w:rPr>
            <w:rStyle w:val="Hyperlink"/>
            <w:i/>
            <w:iCs/>
          </w:rPr>
          <w:t>http://bibleodyssey.org.433/en/bible-basics/what-is-reception-history</w:t>
        </w:r>
      </w:hyperlink>
      <w:r>
        <w:rPr>
          <w:i/>
          <w:iCs/>
        </w:rPr>
        <w:t xml:space="preserve"> 31st May 2021</w:t>
      </w:r>
    </w:p>
    <w:p w:rsidR="00BC6D96" w:rsidRPr="00BC6D96" w:rsidRDefault="00BC6D96" w:rsidP="00424B9D">
      <w:pPr>
        <w:spacing w:line="360" w:lineRule="auto"/>
        <w:rPr>
          <w:rFonts w:eastAsia="Times New Roman" w:cstheme="minorHAnsi"/>
          <w:kern w:val="0"/>
          <w:sz w:val="24"/>
          <w:szCs w:val="24"/>
          <w:vertAlign w:val="superscript"/>
          <w:lang w:eastAsia="en-GB"/>
          <w14:ligatures w14:val="none"/>
        </w:rPr>
      </w:pPr>
      <w:r>
        <w:rPr>
          <w:rFonts w:eastAsia="Times New Roman" w:cstheme="minorHAnsi"/>
          <w:kern w:val="0"/>
          <w:sz w:val="24"/>
          <w:szCs w:val="24"/>
          <w:lang w:eastAsia="en-GB"/>
          <w14:ligatures w14:val="none"/>
        </w:rPr>
        <w:t xml:space="preserve">They may well have centred their studies on Second Temple books such as </w:t>
      </w:r>
      <w:r w:rsidR="00EF1F85">
        <w:rPr>
          <w:rFonts w:eastAsia="Times New Roman" w:cstheme="minorHAnsi"/>
          <w:kern w:val="0"/>
          <w:sz w:val="24"/>
          <w:szCs w:val="24"/>
          <w:lang w:eastAsia="en-GB"/>
          <w14:ligatures w14:val="none"/>
        </w:rPr>
        <w:t xml:space="preserve">1 </w:t>
      </w:r>
      <w:r>
        <w:rPr>
          <w:rFonts w:eastAsia="Times New Roman" w:cstheme="minorHAnsi"/>
          <w:kern w:val="0"/>
          <w:sz w:val="24"/>
          <w:szCs w:val="24"/>
          <w:lang w:eastAsia="en-GB"/>
          <w14:ligatures w14:val="none"/>
        </w:rPr>
        <w:t xml:space="preserve">Enoch and the Wisdom of Solomon, when Jewish though was shifting towards a spiritual evil, whilst in Revelation, the serpent becomes ‘the Devil’. </w:t>
      </w:r>
      <w:r>
        <w:rPr>
          <w:rFonts w:eastAsia="Times New Roman" w:cstheme="minorHAnsi"/>
          <w:kern w:val="0"/>
          <w:sz w:val="24"/>
          <w:szCs w:val="24"/>
          <w:vertAlign w:val="superscript"/>
          <w:lang w:eastAsia="en-GB"/>
          <w14:ligatures w14:val="none"/>
        </w:rPr>
        <w:t xml:space="preserve">(29) </w:t>
      </w:r>
      <w:r>
        <w:rPr>
          <w:rFonts w:eastAsia="Times New Roman" w:cstheme="minorHAnsi"/>
          <w:kern w:val="0"/>
          <w:sz w:val="24"/>
          <w:szCs w:val="24"/>
          <w:lang w:eastAsia="en-GB"/>
          <w14:ligatures w14:val="none"/>
        </w:rPr>
        <w:t xml:space="preserve">Gnosticism has the heroic serpent assisting Adam and Eve to gain knowledge, whilst in Medieval Europe, the serpent has the head of a woman, linking to the weakness of Eve. </w:t>
      </w:r>
      <w:r>
        <w:rPr>
          <w:rFonts w:eastAsia="Times New Roman" w:cstheme="minorHAnsi"/>
          <w:kern w:val="0"/>
          <w:sz w:val="24"/>
          <w:szCs w:val="24"/>
          <w:vertAlign w:val="superscript"/>
          <w:lang w:eastAsia="en-GB"/>
          <w14:ligatures w14:val="none"/>
        </w:rPr>
        <w:t>(30)</w:t>
      </w:r>
    </w:p>
    <w:p w:rsidR="00424B9D" w:rsidRDefault="00424B9D" w:rsidP="00424B9D">
      <w:pPr>
        <w:spacing w:line="360" w:lineRule="auto"/>
        <w:rPr>
          <w:sz w:val="24"/>
          <w:szCs w:val="24"/>
          <w:vertAlign w:val="superscript"/>
        </w:rPr>
      </w:pPr>
      <w:r>
        <w:rPr>
          <w:rFonts w:eastAsia="Times New Roman" w:cstheme="minorHAnsi"/>
          <w:kern w:val="0"/>
          <w:sz w:val="24"/>
          <w:szCs w:val="24"/>
          <w:lang w:eastAsia="en-GB"/>
          <w14:ligatures w14:val="none"/>
        </w:rPr>
        <w:t xml:space="preserve">This is similar to the concerns of Lyon, </w:t>
      </w:r>
      <w:r>
        <w:rPr>
          <w:sz w:val="24"/>
          <w:szCs w:val="24"/>
        </w:rPr>
        <w:t xml:space="preserve">who believes that from </w:t>
      </w:r>
      <w:proofErr w:type="gramStart"/>
      <w:r>
        <w:rPr>
          <w:sz w:val="24"/>
          <w:szCs w:val="24"/>
        </w:rPr>
        <w:t>an</w:t>
      </w:r>
      <w:proofErr w:type="gramEnd"/>
      <w:r>
        <w:rPr>
          <w:sz w:val="24"/>
          <w:szCs w:val="24"/>
        </w:rPr>
        <w:t xml:space="preserve"> hermeneutical standpoint, ‘t</w:t>
      </w:r>
      <w:r w:rsidRPr="006B4DB4">
        <w:rPr>
          <w:sz w:val="24"/>
          <w:szCs w:val="24"/>
        </w:rPr>
        <w:t>he mores of our own native discourses will predispose us to expressing preferences</w:t>
      </w:r>
      <w:r>
        <w:rPr>
          <w:sz w:val="24"/>
          <w:szCs w:val="24"/>
        </w:rPr>
        <w:t xml:space="preserve">’, and that </w:t>
      </w:r>
      <w:r w:rsidR="004D7E6C">
        <w:rPr>
          <w:sz w:val="24"/>
          <w:szCs w:val="24"/>
        </w:rPr>
        <w:t xml:space="preserve">our attempted explanation </w:t>
      </w:r>
      <w:r w:rsidRPr="00055124">
        <w:rPr>
          <w:color w:val="000000" w:themeColor="text1"/>
          <w:sz w:val="24"/>
          <w:szCs w:val="24"/>
        </w:rPr>
        <w:t xml:space="preserve">‘are always going to be offered as exercises in plausibility.’ </w:t>
      </w:r>
      <w:r w:rsidRPr="00055124">
        <w:rPr>
          <w:color w:val="000000" w:themeColor="text1"/>
          <w:sz w:val="24"/>
          <w:szCs w:val="24"/>
          <w:vertAlign w:val="superscript"/>
        </w:rPr>
        <w:t>(</w:t>
      </w:r>
      <w:r w:rsidR="00BC6D96" w:rsidRPr="00055124">
        <w:rPr>
          <w:color w:val="000000" w:themeColor="text1"/>
          <w:sz w:val="24"/>
          <w:szCs w:val="24"/>
          <w:vertAlign w:val="superscript"/>
        </w:rPr>
        <w:t>31</w:t>
      </w:r>
      <w:r w:rsidRPr="00055124">
        <w:rPr>
          <w:color w:val="000000" w:themeColor="text1"/>
          <w:sz w:val="24"/>
          <w:szCs w:val="24"/>
          <w:vertAlign w:val="superscript"/>
        </w:rPr>
        <w:t xml:space="preserve">) </w:t>
      </w:r>
    </w:p>
    <w:p w:rsidR="00CA269A" w:rsidRDefault="00CA269A" w:rsidP="00D42709">
      <w:pPr>
        <w:spacing w:line="360" w:lineRule="auto"/>
        <w:rPr>
          <w:rFonts w:eastAsia="Times New Roman" w:cstheme="minorHAnsi"/>
          <w:kern w:val="0"/>
          <w:sz w:val="24"/>
          <w:szCs w:val="24"/>
          <w:lang w:eastAsia="en-GB"/>
          <w14:ligatures w14:val="none"/>
        </w:rPr>
      </w:pPr>
      <w:r>
        <w:rPr>
          <w:sz w:val="24"/>
          <w:szCs w:val="24"/>
        </w:rPr>
        <w:t>Lyons also feels that ‘</w:t>
      </w:r>
      <w:r w:rsidRPr="00D84E9B">
        <w:rPr>
          <w:sz w:val="24"/>
          <w:szCs w:val="24"/>
        </w:rPr>
        <w:t>tensions created by the interaction of our limited evidence with the events</w:t>
      </w:r>
      <w:r>
        <w:rPr>
          <w:sz w:val="24"/>
          <w:szCs w:val="24"/>
        </w:rPr>
        <w:t>’</w:t>
      </w:r>
      <w:r w:rsidRPr="00D84E9B">
        <w:rPr>
          <w:sz w:val="24"/>
          <w:szCs w:val="24"/>
        </w:rPr>
        <w:t xml:space="preserve"> </w:t>
      </w:r>
      <w:r>
        <w:rPr>
          <w:sz w:val="24"/>
          <w:szCs w:val="24"/>
        </w:rPr>
        <w:t xml:space="preserve">demand more creative ways in not only tackling the questions, but deciding what those questions are. </w:t>
      </w:r>
      <w:r>
        <w:rPr>
          <w:sz w:val="24"/>
          <w:szCs w:val="24"/>
          <w:vertAlign w:val="superscript"/>
        </w:rPr>
        <w:t>(</w:t>
      </w:r>
      <w:r w:rsidR="00BC6D96">
        <w:rPr>
          <w:sz w:val="24"/>
          <w:szCs w:val="24"/>
          <w:vertAlign w:val="superscript"/>
        </w:rPr>
        <w:t>32</w:t>
      </w:r>
      <w:r>
        <w:rPr>
          <w:sz w:val="24"/>
          <w:szCs w:val="24"/>
          <w:vertAlign w:val="superscript"/>
        </w:rPr>
        <w:t>)</w:t>
      </w:r>
      <w:r w:rsidR="00C66372">
        <w:rPr>
          <w:sz w:val="24"/>
          <w:szCs w:val="24"/>
          <w:vertAlign w:val="superscript"/>
        </w:rPr>
        <w:t xml:space="preserve"> </w:t>
      </w:r>
      <w:r w:rsidR="00C66372">
        <w:rPr>
          <w:sz w:val="24"/>
          <w:szCs w:val="24"/>
        </w:rPr>
        <w:t xml:space="preserve">This is significant issue with reception history, as it is impossible to question each biblical text in the same manner. </w:t>
      </w:r>
      <w:r>
        <w:rPr>
          <w:rFonts w:eastAsia="Times New Roman" w:cstheme="minorHAnsi"/>
          <w:kern w:val="0"/>
          <w:sz w:val="24"/>
          <w:szCs w:val="24"/>
          <w:lang w:eastAsia="en-GB"/>
          <w14:ligatures w14:val="none"/>
        </w:rPr>
        <w:t xml:space="preserve">An understanding of a text, requires more than just a literary hermeneutical discussion, </w:t>
      </w:r>
      <w:r w:rsidR="00881874">
        <w:rPr>
          <w:rFonts w:eastAsia="Times New Roman" w:cstheme="minorHAnsi"/>
          <w:kern w:val="0"/>
          <w:sz w:val="24"/>
          <w:szCs w:val="24"/>
          <w:lang w:eastAsia="en-GB"/>
          <w14:ligatures w14:val="none"/>
        </w:rPr>
        <w:t xml:space="preserve">with </w:t>
      </w:r>
      <w:r>
        <w:rPr>
          <w:rFonts w:eastAsia="Times New Roman" w:cstheme="minorHAnsi"/>
          <w:kern w:val="0"/>
          <w:sz w:val="24"/>
          <w:szCs w:val="24"/>
          <w:lang w:eastAsia="en-GB"/>
          <w14:ligatures w14:val="none"/>
        </w:rPr>
        <w:t xml:space="preserve">the anthropological nature of the producers of the text </w:t>
      </w:r>
      <w:r w:rsidR="00881874">
        <w:rPr>
          <w:rFonts w:eastAsia="Times New Roman" w:cstheme="minorHAnsi"/>
          <w:kern w:val="0"/>
          <w:sz w:val="24"/>
          <w:szCs w:val="24"/>
          <w:lang w:eastAsia="en-GB"/>
          <w14:ligatures w14:val="none"/>
        </w:rPr>
        <w:t>also being</w:t>
      </w:r>
      <w:r>
        <w:rPr>
          <w:rFonts w:eastAsia="Times New Roman" w:cstheme="minorHAnsi"/>
          <w:kern w:val="0"/>
          <w:sz w:val="24"/>
          <w:szCs w:val="24"/>
          <w:lang w:eastAsia="en-GB"/>
          <w14:ligatures w14:val="none"/>
        </w:rPr>
        <w:t xml:space="preserve"> vital in understanding the words.</w:t>
      </w:r>
      <w:r w:rsidR="00BC6D96">
        <w:rPr>
          <w:rFonts w:eastAsia="Times New Roman" w:cstheme="minorHAnsi"/>
          <w:kern w:val="0"/>
          <w:sz w:val="24"/>
          <w:szCs w:val="24"/>
          <w:lang w:eastAsia="en-GB"/>
          <w14:ligatures w14:val="none"/>
        </w:rPr>
        <w:t xml:space="preserve"> </w:t>
      </w:r>
      <w:r w:rsidR="00185E44">
        <w:rPr>
          <w:rFonts w:eastAsia="Times New Roman" w:cstheme="minorHAnsi"/>
          <w:kern w:val="0"/>
          <w:sz w:val="24"/>
          <w:szCs w:val="24"/>
          <w:lang w:eastAsia="en-GB"/>
          <w14:ligatures w14:val="none"/>
        </w:rPr>
        <w:t xml:space="preserve"> </w:t>
      </w:r>
    </w:p>
    <w:p w:rsidR="00055124" w:rsidRDefault="00055124" w:rsidP="00D42709">
      <w:pPr>
        <w:spacing w:line="360" w:lineRule="auto"/>
        <w:rPr>
          <w:rFonts w:eastAsia="Times New Roman" w:cstheme="minorHAnsi"/>
          <w:kern w:val="0"/>
          <w:sz w:val="24"/>
          <w:szCs w:val="24"/>
          <w:lang w:eastAsia="en-GB"/>
          <w14:ligatures w14:val="none"/>
        </w:rPr>
      </w:pPr>
      <w:r>
        <w:rPr>
          <w:rFonts w:cstheme="minorHAnsi"/>
          <w:color w:val="000000" w:themeColor="text1"/>
          <w:sz w:val="24"/>
          <w:szCs w:val="24"/>
        </w:rPr>
        <w:t xml:space="preserve">The third concern of Beal, which relates specifically to biblical reception history, is that the term ‘‘reception’ implies origination’’, </w:t>
      </w:r>
      <w:r>
        <w:rPr>
          <w:rFonts w:cstheme="minorHAnsi"/>
          <w:color w:val="000000" w:themeColor="text1"/>
          <w:sz w:val="24"/>
          <w:szCs w:val="24"/>
          <w:vertAlign w:val="superscript"/>
        </w:rPr>
        <w:t>(33)</w:t>
      </w:r>
      <w:r>
        <w:rPr>
          <w:rFonts w:cstheme="minorHAnsi"/>
          <w:color w:val="000000" w:themeColor="text1"/>
          <w:sz w:val="24"/>
          <w:szCs w:val="24"/>
        </w:rPr>
        <w:t xml:space="preserve"> and there is no original, it is all received, whether that be the Pentateuch or the Gospels. As Beal states, ‘there is no such thing as the Bible’... only ‘the Bibles’. </w:t>
      </w:r>
      <w:r>
        <w:rPr>
          <w:rFonts w:cstheme="minorHAnsi"/>
          <w:color w:val="000000" w:themeColor="text1"/>
          <w:sz w:val="24"/>
          <w:szCs w:val="24"/>
          <w:vertAlign w:val="superscript"/>
        </w:rPr>
        <w:t>(34)</w:t>
      </w:r>
      <w:r>
        <w:rPr>
          <w:rFonts w:cstheme="minorHAnsi"/>
          <w:color w:val="000000" w:themeColor="text1"/>
          <w:sz w:val="24"/>
          <w:szCs w:val="24"/>
        </w:rPr>
        <w:t xml:space="preserve">  </w:t>
      </w:r>
    </w:p>
    <w:p w:rsidR="00185E44" w:rsidRPr="00185E44" w:rsidRDefault="00185E44" w:rsidP="00D42709">
      <w:pPr>
        <w:spacing w:line="360" w:lineRule="auto"/>
        <w:rPr>
          <w:sz w:val="24"/>
          <w:szCs w:val="24"/>
          <w:vertAlign w:val="superscript"/>
        </w:rPr>
      </w:pPr>
    </w:p>
    <w:p w:rsidR="00BC6D96" w:rsidRDefault="00BC6D96" w:rsidP="00BC6D96">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Ibid.</w:t>
      </w:r>
    </w:p>
    <w:p w:rsidR="00BC6D96" w:rsidRDefault="00BC6D96" w:rsidP="00BC6D96">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Ibid</w:t>
      </w:r>
    </w:p>
    <w:p w:rsidR="00424B9D" w:rsidRPr="00424B9D" w:rsidRDefault="00424B9D" w:rsidP="00BC6D96">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 xml:space="preserve">Lyons, William John., </w:t>
      </w:r>
      <w:r w:rsidRPr="00D84E9B">
        <w:rPr>
          <w:rFonts w:cstheme="minorHAnsi"/>
          <w:i/>
          <w:iCs/>
          <w:color w:val="000000" w:themeColor="text1"/>
          <w:sz w:val="24"/>
          <w:szCs w:val="24"/>
        </w:rPr>
        <w:t>‘</w:t>
      </w:r>
      <w:r w:rsidRPr="00D84E9B">
        <w:rPr>
          <w:i/>
          <w:iCs/>
          <w:sz w:val="24"/>
          <w:szCs w:val="24"/>
        </w:rPr>
        <w:t>Some Thoughts on Defining Reception History and the Future of Biblical Studies’</w:t>
      </w:r>
      <w:r>
        <w:rPr>
          <w:sz w:val="24"/>
          <w:szCs w:val="24"/>
        </w:rPr>
        <w:t>, University of Bristol, August 2015</w:t>
      </w:r>
    </w:p>
    <w:p w:rsidR="00CA269A" w:rsidRDefault="00CA269A" w:rsidP="00BC6D96">
      <w:pPr>
        <w:pStyle w:val="ListParagraph"/>
        <w:numPr>
          <w:ilvl w:val="0"/>
          <w:numId w:val="1"/>
        </w:numPr>
        <w:spacing w:line="360" w:lineRule="auto"/>
        <w:rPr>
          <w:sz w:val="24"/>
          <w:szCs w:val="24"/>
        </w:rPr>
      </w:pPr>
      <w:r>
        <w:rPr>
          <w:sz w:val="24"/>
          <w:szCs w:val="24"/>
        </w:rPr>
        <w:t>Ibid.</w:t>
      </w:r>
    </w:p>
    <w:p w:rsidR="00055124" w:rsidRDefault="00055124" w:rsidP="00055124">
      <w:pPr>
        <w:pStyle w:val="ListParagraph"/>
        <w:numPr>
          <w:ilvl w:val="0"/>
          <w:numId w:val="1"/>
        </w:numPr>
        <w:spacing w:line="360" w:lineRule="auto"/>
        <w:rPr>
          <w:sz w:val="24"/>
          <w:szCs w:val="24"/>
        </w:rPr>
      </w:pPr>
      <w:r w:rsidRPr="007E715E">
        <w:rPr>
          <w:sz w:val="24"/>
          <w:szCs w:val="24"/>
        </w:rPr>
        <w:t xml:space="preserve">Beal, Timothy., </w:t>
      </w:r>
      <w:r w:rsidRPr="007E715E">
        <w:rPr>
          <w:i/>
          <w:iCs/>
          <w:sz w:val="24"/>
          <w:szCs w:val="24"/>
        </w:rPr>
        <w:t>‘Reception History and Beyond: Toward the Cultural History of Scriptures’</w:t>
      </w:r>
      <w:r w:rsidRPr="007E715E">
        <w:rPr>
          <w:sz w:val="24"/>
          <w:szCs w:val="24"/>
        </w:rPr>
        <w:t>, (Biblical Interpretation 19 2011) p</w:t>
      </w:r>
      <w:r>
        <w:rPr>
          <w:sz w:val="24"/>
          <w:szCs w:val="24"/>
        </w:rPr>
        <w:t>gs</w:t>
      </w:r>
      <w:r w:rsidRPr="007E715E">
        <w:rPr>
          <w:sz w:val="24"/>
          <w:szCs w:val="24"/>
        </w:rPr>
        <w:t>. 36</w:t>
      </w:r>
      <w:r>
        <w:rPr>
          <w:sz w:val="24"/>
          <w:szCs w:val="24"/>
        </w:rPr>
        <w:t>7</w:t>
      </w:r>
    </w:p>
    <w:p w:rsidR="00055124" w:rsidRPr="00055124" w:rsidRDefault="00055124" w:rsidP="00055124">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Ibid. 368</w:t>
      </w:r>
    </w:p>
    <w:p w:rsidR="00F67D26" w:rsidRDefault="00F67D26" w:rsidP="00F67D26">
      <w:pPr>
        <w:spacing w:after="150" w:line="240" w:lineRule="auto"/>
        <w:rPr>
          <w:rFonts w:ascii="Times New Roman" w:eastAsia="Times New Roman" w:hAnsi="Times New Roman" w:cs="Times New Roman"/>
          <w:kern w:val="0"/>
          <w:sz w:val="24"/>
          <w:szCs w:val="24"/>
          <w:lang w:eastAsia="en-GB"/>
          <w14:ligatures w14:val="none"/>
        </w:rPr>
      </w:pPr>
    </w:p>
    <w:p w:rsidR="00185E44" w:rsidRPr="00185E44" w:rsidRDefault="00185E44" w:rsidP="00185E44">
      <w:pPr>
        <w:spacing w:line="360" w:lineRule="auto"/>
        <w:rPr>
          <w:rFonts w:cstheme="minorHAnsi"/>
          <w:color w:val="000000" w:themeColor="text1"/>
          <w:sz w:val="24"/>
          <w:szCs w:val="24"/>
        </w:rPr>
      </w:pPr>
      <w:r>
        <w:rPr>
          <w:rFonts w:eastAsia="Times New Roman" w:cstheme="minorHAnsi"/>
          <w:kern w:val="0"/>
          <w:sz w:val="24"/>
          <w:szCs w:val="24"/>
          <w:lang w:eastAsia="en-GB"/>
          <w14:ligatures w14:val="none"/>
        </w:rPr>
        <w:t xml:space="preserve">The producers of the canon of Christianity should also include the </w:t>
      </w:r>
      <w:r>
        <w:rPr>
          <w:rFonts w:eastAsia="Times New Roman" w:cstheme="minorHAnsi"/>
          <w:kern w:val="0"/>
          <w:sz w:val="24"/>
          <w:szCs w:val="24"/>
          <w:lang w:eastAsia="en-GB"/>
          <w14:ligatures w14:val="none"/>
        </w:rPr>
        <w:t xml:space="preserve">Coptic </w:t>
      </w:r>
      <w:r>
        <w:rPr>
          <w:rFonts w:eastAsia="Times New Roman" w:cstheme="minorHAnsi"/>
          <w:kern w:val="0"/>
          <w:sz w:val="24"/>
          <w:szCs w:val="24"/>
          <w:lang w:eastAsia="en-GB"/>
          <w14:ligatures w14:val="none"/>
        </w:rPr>
        <w:t>‘Gnostic Gospels’ of the ‘Nag Hammadi Scriptures’</w:t>
      </w:r>
      <w:r>
        <w:rPr>
          <w:rFonts w:eastAsia="Times New Roman" w:cstheme="minorHAnsi"/>
          <w:kern w:val="0"/>
          <w:sz w:val="24"/>
          <w:szCs w:val="24"/>
          <w:vertAlign w:val="superscript"/>
          <w:lang w:eastAsia="en-GB"/>
          <w14:ligatures w14:val="none"/>
        </w:rPr>
        <w:t xml:space="preserve"> </w:t>
      </w:r>
      <w:r>
        <w:rPr>
          <w:sz w:val="24"/>
          <w:szCs w:val="24"/>
          <w:vertAlign w:val="superscript"/>
        </w:rPr>
        <w:t>(3</w:t>
      </w:r>
      <w:r>
        <w:rPr>
          <w:sz w:val="24"/>
          <w:szCs w:val="24"/>
          <w:vertAlign w:val="superscript"/>
        </w:rPr>
        <w:t>5</w:t>
      </w:r>
      <w:r>
        <w:rPr>
          <w:sz w:val="24"/>
          <w:szCs w:val="24"/>
          <w:vertAlign w:val="superscript"/>
        </w:rPr>
        <w:t>)</w:t>
      </w:r>
      <w:r>
        <w:rPr>
          <w:sz w:val="24"/>
          <w:szCs w:val="24"/>
        </w:rPr>
        <w:t>, the contents and context of which have long been dismissed by biblical scholars, if a clear understanding of the first three centuries of Christianity is to be better understood.</w:t>
      </w:r>
      <w:r w:rsidR="00070A94">
        <w:rPr>
          <w:sz w:val="24"/>
          <w:szCs w:val="24"/>
        </w:rPr>
        <w:t xml:space="preserve"> </w:t>
      </w:r>
    </w:p>
    <w:p w:rsidR="00185E44" w:rsidRDefault="00185E44" w:rsidP="00185E44">
      <w:pPr>
        <w:spacing w:line="360" w:lineRule="auto"/>
        <w:rPr>
          <w:rFonts w:cstheme="minorHAnsi"/>
          <w:color w:val="000000" w:themeColor="text1"/>
          <w:sz w:val="24"/>
          <w:szCs w:val="24"/>
        </w:rPr>
      </w:pPr>
      <w:r>
        <w:rPr>
          <w:rFonts w:cstheme="minorHAnsi"/>
          <w:color w:val="000000" w:themeColor="text1"/>
          <w:sz w:val="24"/>
          <w:szCs w:val="24"/>
        </w:rPr>
        <w:t xml:space="preserve">Biblical reception history, </w:t>
      </w:r>
      <w:r w:rsidR="00A3572C">
        <w:rPr>
          <w:rFonts w:cstheme="minorHAnsi"/>
          <w:color w:val="000000" w:themeColor="text1"/>
          <w:sz w:val="24"/>
          <w:szCs w:val="24"/>
        </w:rPr>
        <w:t xml:space="preserve">has already progressed </w:t>
      </w:r>
      <w:r w:rsidR="004D7E6C">
        <w:rPr>
          <w:rFonts w:cstheme="minorHAnsi"/>
          <w:color w:val="000000" w:themeColor="text1"/>
          <w:sz w:val="24"/>
          <w:szCs w:val="24"/>
        </w:rPr>
        <w:t xml:space="preserve">foundational </w:t>
      </w:r>
      <w:r w:rsidR="00A3572C">
        <w:rPr>
          <w:rFonts w:cstheme="minorHAnsi"/>
          <w:color w:val="000000" w:themeColor="text1"/>
          <w:sz w:val="24"/>
          <w:szCs w:val="24"/>
        </w:rPr>
        <w:t>biblical</w:t>
      </w:r>
      <w:r w:rsidR="004D7E6C">
        <w:rPr>
          <w:rFonts w:cstheme="minorHAnsi"/>
          <w:color w:val="000000" w:themeColor="text1"/>
          <w:sz w:val="24"/>
          <w:szCs w:val="24"/>
        </w:rPr>
        <w:t xml:space="preserve"> </w:t>
      </w:r>
      <w:r w:rsidR="00A3572C">
        <w:rPr>
          <w:rFonts w:cstheme="minorHAnsi"/>
          <w:color w:val="000000" w:themeColor="text1"/>
          <w:sz w:val="24"/>
          <w:szCs w:val="24"/>
        </w:rPr>
        <w:t>textual studies from its previous</w:t>
      </w:r>
      <w:r w:rsidR="004D7E6C">
        <w:rPr>
          <w:rFonts w:cstheme="minorHAnsi"/>
          <w:color w:val="000000" w:themeColor="text1"/>
          <w:sz w:val="24"/>
          <w:szCs w:val="24"/>
        </w:rPr>
        <w:t xml:space="preserve"> </w:t>
      </w:r>
      <w:r w:rsidR="00A3572C">
        <w:rPr>
          <w:rFonts w:cstheme="minorHAnsi"/>
          <w:color w:val="000000" w:themeColor="text1"/>
          <w:sz w:val="24"/>
          <w:szCs w:val="24"/>
        </w:rPr>
        <w:t xml:space="preserve">‘stationary’ </w:t>
      </w:r>
      <w:r w:rsidR="00A3572C">
        <w:rPr>
          <w:rFonts w:cstheme="minorHAnsi"/>
          <w:color w:val="000000" w:themeColor="text1"/>
          <w:sz w:val="24"/>
          <w:szCs w:val="24"/>
          <w:vertAlign w:val="superscript"/>
        </w:rPr>
        <w:t>(36)</w:t>
      </w:r>
      <w:r w:rsidR="00A3572C">
        <w:rPr>
          <w:rFonts w:cstheme="minorHAnsi"/>
          <w:color w:val="000000" w:themeColor="text1"/>
          <w:sz w:val="24"/>
          <w:szCs w:val="24"/>
        </w:rPr>
        <w:t xml:space="preserve"> form. It </w:t>
      </w:r>
      <w:r>
        <w:rPr>
          <w:rFonts w:cstheme="minorHAnsi"/>
          <w:color w:val="000000" w:themeColor="text1"/>
          <w:sz w:val="24"/>
          <w:szCs w:val="24"/>
        </w:rPr>
        <w:t>has an enormous contribution to make to the field of biblical studies</w:t>
      </w:r>
      <w:r w:rsidR="00496A51">
        <w:rPr>
          <w:rFonts w:cstheme="minorHAnsi"/>
          <w:color w:val="000000" w:themeColor="text1"/>
          <w:sz w:val="24"/>
          <w:szCs w:val="24"/>
        </w:rPr>
        <w:t>, and can cement its role by incorporating anthropological context besides the historical, to broaden its understanding</w:t>
      </w:r>
      <w:r w:rsidR="00385D27">
        <w:rPr>
          <w:rFonts w:cstheme="minorHAnsi"/>
          <w:color w:val="000000" w:themeColor="text1"/>
          <w:sz w:val="24"/>
          <w:szCs w:val="24"/>
        </w:rPr>
        <w:t>, and as Beal states, move towards a ‘cultural history</w:t>
      </w:r>
      <w:r w:rsidR="00496A51">
        <w:rPr>
          <w:rFonts w:cstheme="minorHAnsi"/>
          <w:color w:val="000000" w:themeColor="text1"/>
          <w:sz w:val="24"/>
          <w:szCs w:val="24"/>
        </w:rPr>
        <w:t>.</w:t>
      </w:r>
      <w:r w:rsidR="00385D27">
        <w:rPr>
          <w:rFonts w:cstheme="minorHAnsi"/>
          <w:color w:val="000000" w:themeColor="text1"/>
          <w:sz w:val="24"/>
          <w:szCs w:val="24"/>
        </w:rPr>
        <w:t xml:space="preserve">’ </w:t>
      </w:r>
      <w:r w:rsidR="00385D27">
        <w:rPr>
          <w:rFonts w:cstheme="minorHAnsi"/>
          <w:color w:val="000000" w:themeColor="text1"/>
          <w:sz w:val="24"/>
          <w:szCs w:val="24"/>
          <w:vertAlign w:val="superscript"/>
        </w:rPr>
        <w:t>(3</w:t>
      </w:r>
      <w:r w:rsidR="00A203E6">
        <w:rPr>
          <w:rFonts w:cstheme="minorHAnsi"/>
          <w:color w:val="000000" w:themeColor="text1"/>
          <w:sz w:val="24"/>
          <w:szCs w:val="24"/>
          <w:vertAlign w:val="superscript"/>
        </w:rPr>
        <w:t>7</w:t>
      </w:r>
      <w:r w:rsidR="00385D27">
        <w:rPr>
          <w:rFonts w:cstheme="minorHAnsi"/>
          <w:color w:val="000000" w:themeColor="text1"/>
          <w:sz w:val="24"/>
          <w:szCs w:val="24"/>
          <w:vertAlign w:val="superscript"/>
        </w:rPr>
        <w:t>)</w:t>
      </w:r>
      <w:r w:rsidR="00496A51">
        <w:rPr>
          <w:rFonts w:cstheme="minorHAnsi"/>
          <w:color w:val="000000" w:themeColor="text1"/>
          <w:sz w:val="24"/>
          <w:szCs w:val="24"/>
        </w:rPr>
        <w:t xml:space="preserve"> It needs to reject the concept of the non-existent ‘original’ canon, and receive all scripture, </w:t>
      </w:r>
      <w:r w:rsidR="00385D27">
        <w:rPr>
          <w:rFonts w:cstheme="minorHAnsi"/>
          <w:color w:val="000000" w:themeColor="text1"/>
          <w:sz w:val="24"/>
          <w:szCs w:val="24"/>
        </w:rPr>
        <w:t xml:space="preserve">wherewith </w:t>
      </w:r>
      <w:r w:rsidR="00496A51">
        <w:rPr>
          <w:rFonts w:cstheme="minorHAnsi"/>
          <w:color w:val="000000" w:themeColor="text1"/>
          <w:sz w:val="24"/>
          <w:szCs w:val="24"/>
        </w:rPr>
        <w:t xml:space="preserve">to fully understand the Judaeo-Christian </w:t>
      </w:r>
      <w:r w:rsidR="00385D27">
        <w:rPr>
          <w:rFonts w:cstheme="minorHAnsi"/>
          <w:color w:val="000000" w:themeColor="text1"/>
          <w:sz w:val="24"/>
          <w:szCs w:val="24"/>
        </w:rPr>
        <w:t>religion. All areas of biblical studies should include some form of reception history due to its ubiquitous nature</w:t>
      </w:r>
      <w:r w:rsidR="00BF27F5">
        <w:rPr>
          <w:rFonts w:cstheme="minorHAnsi"/>
          <w:color w:val="000000" w:themeColor="text1"/>
          <w:sz w:val="24"/>
          <w:szCs w:val="24"/>
        </w:rPr>
        <w:t xml:space="preserve"> and in drawing </w:t>
      </w:r>
      <w:r w:rsidR="00BF27F5">
        <w:t>‘</w:t>
      </w:r>
      <w:r w:rsidR="00BF27F5">
        <w:t>its strength almost wholly from the widespread cultural impact of its subject-matter</w:t>
      </w:r>
      <w:r w:rsidR="00BF27F5">
        <w:t xml:space="preserve">’ </w:t>
      </w:r>
      <w:r w:rsidR="00BF27F5">
        <w:rPr>
          <w:rFonts w:cstheme="minorHAnsi"/>
          <w:color w:val="000000" w:themeColor="text1"/>
          <w:sz w:val="24"/>
          <w:szCs w:val="24"/>
          <w:vertAlign w:val="superscript"/>
        </w:rPr>
        <w:t>(3</w:t>
      </w:r>
      <w:r w:rsidR="00A203E6">
        <w:rPr>
          <w:rFonts w:cstheme="minorHAnsi"/>
          <w:color w:val="000000" w:themeColor="text1"/>
          <w:sz w:val="24"/>
          <w:szCs w:val="24"/>
          <w:vertAlign w:val="superscript"/>
        </w:rPr>
        <w:t>8</w:t>
      </w:r>
      <w:r w:rsidR="00BF27F5">
        <w:rPr>
          <w:rFonts w:cstheme="minorHAnsi"/>
          <w:color w:val="000000" w:themeColor="text1"/>
          <w:sz w:val="24"/>
          <w:szCs w:val="24"/>
          <w:vertAlign w:val="superscript"/>
        </w:rPr>
        <w:t>)</w:t>
      </w:r>
      <w:r w:rsidR="00BF27F5">
        <w:rPr>
          <w:rFonts w:cstheme="minorHAnsi"/>
          <w:color w:val="000000" w:themeColor="text1"/>
          <w:sz w:val="24"/>
          <w:szCs w:val="24"/>
        </w:rPr>
        <w:t xml:space="preserve"> </w:t>
      </w:r>
      <w:r w:rsidR="004D7E6C">
        <w:rPr>
          <w:rFonts w:cstheme="minorHAnsi"/>
          <w:color w:val="000000" w:themeColor="text1"/>
          <w:sz w:val="24"/>
          <w:szCs w:val="24"/>
        </w:rPr>
        <w:t xml:space="preserve">a new horizon of </w:t>
      </w:r>
      <w:r w:rsidR="00BF27F5">
        <w:rPr>
          <w:rFonts w:cstheme="minorHAnsi"/>
          <w:color w:val="000000" w:themeColor="text1"/>
          <w:sz w:val="24"/>
          <w:szCs w:val="24"/>
        </w:rPr>
        <w:t xml:space="preserve">biblical studies </w:t>
      </w:r>
      <w:r w:rsidR="004D7E6C">
        <w:rPr>
          <w:rFonts w:cstheme="minorHAnsi"/>
          <w:color w:val="000000" w:themeColor="text1"/>
          <w:sz w:val="24"/>
          <w:szCs w:val="24"/>
        </w:rPr>
        <w:t>is in view.</w:t>
      </w:r>
      <w:r w:rsidR="00BF27F5">
        <w:rPr>
          <w:rFonts w:cstheme="minorHAnsi"/>
          <w:color w:val="000000" w:themeColor="text1"/>
          <w:sz w:val="24"/>
          <w:szCs w:val="24"/>
        </w:rPr>
        <w:t xml:space="preserve"> </w:t>
      </w:r>
    </w:p>
    <w:p w:rsidR="00055124" w:rsidRDefault="00055124" w:rsidP="00185E44">
      <w:pPr>
        <w:spacing w:line="360" w:lineRule="auto"/>
        <w:rPr>
          <w:rFonts w:cstheme="minorHAnsi"/>
          <w:color w:val="000000" w:themeColor="text1"/>
          <w:sz w:val="24"/>
          <w:szCs w:val="24"/>
        </w:rPr>
      </w:pPr>
    </w:p>
    <w:p w:rsidR="00385D27" w:rsidRPr="00A3572C" w:rsidRDefault="00185E44" w:rsidP="00185E44">
      <w:pPr>
        <w:pStyle w:val="ListParagraph"/>
        <w:numPr>
          <w:ilvl w:val="0"/>
          <w:numId w:val="1"/>
        </w:numPr>
        <w:spacing w:line="360" w:lineRule="auto"/>
        <w:rPr>
          <w:rFonts w:cstheme="minorHAnsi"/>
          <w:color w:val="000000" w:themeColor="text1"/>
          <w:sz w:val="24"/>
          <w:szCs w:val="24"/>
        </w:rPr>
      </w:pPr>
      <w:r w:rsidRPr="00185E44">
        <w:rPr>
          <w:rFonts w:cstheme="minorHAnsi"/>
          <w:color w:val="202122"/>
          <w:sz w:val="24"/>
          <w:szCs w:val="24"/>
          <w:shd w:val="clear" w:color="auto" w:fill="FFFFFF"/>
        </w:rPr>
        <w:t>Nag Hammadi Library</w:t>
      </w:r>
    </w:p>
    <w:p w:rsidR="00A3572C" w:rsidRPr="00A3572C" w:rsidRDefault="00A3572C" w:rsidP="00A3572C">
      <w:pPr>
        <w:pStyle w:val="ListParagraph"/>
        <w:numPr>
          <w:ilvl w:val="0"/>
          <w:numId w:val="1"/>
        </w:numPr>
        <w:spacing w:line="360" w:lineRule="auto"/>
        <w:rPr>
          <w:rFonts w:cstheme="minorHAnsi"/>
          <w:color w:val="000000" w:themeColor="text1"/>
          <w:sz w:val="24"/>
          <w:szCs w:val="24"/>
        </w:rPr>
      </w:pPr>
      <w:r w:rsidRPr="00031B2B">
        <w:rPr>
          <w:rFonts w:cstheme="minorHAnsi"/>
          <w:color w:val="000000" w:themeColor="text1"/>
          <w:sz w:val="24"/>
          <w:szCs w:val="24"/>
        </w:rPr>
        <w:t xml:space="preserve">Breed, Brennan., </w:t>
      </w:r>
      <w:r w:rsidRPr="00031B2B">
        <w:rPr>
          <w:rFonts w:cstheme="minorHAnsi"/>
          <w:i/>
          <w:iCs/>
          <w:color w:val="000000" w:themeColor="text1"/>
          <w:sz w:val="24"/>
          <w:szCs w:val="24"/>
        </w:rPr>
        <w:t xml:space="preserve">‘Biblical Reception History: A Dangerous Supplement’, </w:t>
      </w:r>
      <w:r w:rsidRPr="00031B2B">
        <w:rPr>
          <w:rFonts w:cstheme="minorHAnsi"/>
          <w:color w:val="000000" w:themeColor="text1"/>
          <w:sz w:val="24"/>
          <w:szCs w:val="24"/>
        </w:rPr>
        <w:t>Columbia Theological Seminary, Oct 2014</w:t>
      </w:r>
    </w:p>
    <w:p w:rsidR="00385D27" w:rsidRDefault="00185E44" w:rsidP="00385D27">
      <w:pPr>
        <w:pStyle w:val="ListParagraph"/>
        <w:numPr>
          <w:ilvl w:val="0"/>
          <w:numId w:val="1"/>
        </w:numPr>
        <w:spacing w:line="360" w:lineRule="auto"/>
        <w:rPr>
          <w:sz w:val="24"/>
          <w:szCs w:val="24"/>
        </w:rPr>
      </w:pPr>
      <w:r w:rsidRPr="00185E44">
        <w:rPr>
          <w:rFonts w:cstheme="minorHAnsi"/>
          <w:color w:val="202122"/>
          <w:sz w:val="24"/>
          <w:szCs w:val="24"/>
          <w:shd w:val="clear" w:color="auto" w:fill="FFFFFF"/>
        </w:rPr>
        <w:t> </w:t>
      </w:r>
      <w:r w:rsidR="00385D27" w:rsidRPr="007E715E">
        <w:rPr>
          <w:sz w:val="24"/>
          <w:szCs w:val="24"/>
        </w:rPr>
        <w:t xml:space="preserve">Beal, Timothy., </w:t>
      </w:r>
      <w:r w:rsidR="00385D27" w:rsidRPr="007E715E">
        <w:rPr>
          <w:i/>
          <w:iCs/>
          <w:sz w:val="24"/>
          <w:szCs w:val="24"/>
        </w:rPr>
        <w:t>‘Reception History and Beyond: Toward the Cultural History of Scriptures’</w:t>
      </w:r>
      <w:r w:rsidR="00385D27" w:rsidRPr="007E715E">
        <w:rPr>
          <w:sz w:val="24"/>
          <w:szCs w:val="24"/>
        </w:rPr>
        <w:t>, (Biblical Interpretation 19 2011) p</w:t>
      </w:r>
      <w:r w:rsidR="00385D27">
        <w:rPr>
          <w:sz w:val="24"/>
          <w:szCs w:val="24"/>
        </w:rPr>
        <w:t>gs</w:t>
      </w:r>
      <w:r w:rsidR="00385D27" w:rsidRPr="007E715E">
        <w:rPr>
          <w:sz w:val="24"/>
          <w:szCs w:val="24"/>
        </w:rPr>
        <w:t>. 3</w:t>
      </w:r>
      <w:r w:rsidR="00385D27">
        <w:rPr>
          <w:sz w:val="24"/>
          <w:szCs w:val="24"/>
        </w:rPr>
        <w:t>71</w:t>
      </w:r>
    </w:p>
    <w:p w:rsidR="00185E44" w:rsidRPr="00385D27" w:rsidRDefault="00385D27" w:rsidP="00185E44">
      <w:pPr>
        <w:pStyle w:val="ListParagraph"/>
        <w:numPr>
          <w:ilvl w:val="0"/>
          <w:numId w:val="1"/>
        </w:numPr>
        <w:spacing w:line="360" w:lineRule="auto"/>
        <w:rPr>
          <w:rFonts w:cstheme="minorHAnsi"/>
          <w:color w:val="000000" w:themeColor="text1"/>
          <w:sz w:val="24"/>
          <w:szCs w:val="24"/>
        </w:rPr>
      </w:pPr>
      <w:r w:rsidRPr="00385D27">
        <w:rPr>
          <w:sz w:val="24"/>
          <w:szCs w:val="24"/>
        </w:rPr>
        <w:t>England</w:t>
      </w:r>
      <w:r w:rsidR="00BF27F5">
        <w:rPr>
          <w:sz w:val="24"/>
          <w:szCs w:val="24"/>
        </w:rPr>
        <w:t>, E.</w:t>
      </w:r>
      <w:r w:rsidRPr="00385D27">
        <w:rPr>
          <w:sz w:val="24"/>
          <w:szCs w:val="24"/>
        </w:rPr>
        <w:t xml:space="preserve"> and Lyons</w:t>
      </w:r>
      <w:r w:rsidR="00BF27F5">
        <w:rPr>
          <w:sz w:val="24"/>
          <w:szCs w:val="24"/>
        </w:rPr>
        <w:t>, W. J</w:t>
      </w:r>
      <w:r>
        <w:rPr>
          <w:sz w:val="24"/>
          <w:szCs w:val="24"/>
        </w:rPr>
        <w:t>.</w:t>
      </w:r>
      <w:r w:rsidRPr="00385D27">
        <w:rPr>
          <w:sz w:val="24"/>
          <w:szCs w:val="24"/>
        </w:rPr>
        <w:t xml:space="preserve">, </w:t>
      </w:r>
      <w:r w:rsidRPr="00385D27">
        <w:rPr>
          <w:i/>
          <w:iCs/>
          <w:sz w:val="24"/>
          <w:szCs w:val="24"/>
        </w:rPr>
        <w:t>‘Explorations in Reception History’,</w:t>
      </w:r>
      <w:r w:rsidRPr="00385D27">
        <w:rPr>
          <w:sz w:val="24"/>
          <w:szCs w:val="24"/>
        </w:rPr>
        <w:t xml:space="preserve"> in Lyons and England, Reception History and Biblical Studies, 1-13 (4, fn. 3).</w:t>
      </w:r>
    </w:p>
    <w:p w:rsidR="008479E2" w:rsidRDefault="008479E2" w:rsidP="00F67D26">
      <w:pPr>
        <w:spacing w:after="150" w:line="240" w:lineRule="auto"/>
        <w:rPr>
          <w:rFonts w:ascii="Times New Roman" w:eastAsia="Times New Roman" w:hAnsi="Times New Roman" w:cs="Times New Roman"/>
          <w:kern w:val="0"/>
          <w:sz w:val="24"/>
          <w:szCs w:val="24"/>
          <w:lang w:eastAsia="en-GB"/>
          <w14:ligatures w14:val="none"/>
        </w:rPr>
      </w:pPr>
    </w:p>
    <w:p w:rsidR="00F67D26" w:rsidRDefault="00F67D26" w:rsidP="00F67D26">
      <w:pPr>
        <w:spacing w:after="150" w:line="240" w:lineRule="auto"/>
        <w:rPr>
          <w:rFonts w:ascii="Times New Roman" w:eastAsia="Times New Roman" w:hAnsi="Times New Roman" w:cs="Times New Roman"/>
          <w:kern w:val="0"/>
          <w:sz w:val="24"/>
          <w:szCs w:val="24"/>
          <w:lang w:eastAsia="en-GB"/>
          <w14:ligatures w14:val="none"/>
        </w:rPr>
      </w:pPr>
    </w:p>
    <w:p w:rsidR="00F67D26" w:rsidRDefault="00F67D26" w:rsidP="00F67D26">
      <w:pPr>
        <w:spacing w:after="150" w:line="240" w:lineRule="auto"/>
        <w:rPr>
          <w:rFonts w:ascii="Times New Roman" w:eastAsia="Times New Roman" w:hAnsi="Times New Roman" w:cs="Times New Roman"/>
          <w:kern w:val="0"/>
          <w:sz w:val="24"/>
          <w:szCs w:val="24"/>
          <w:lang w:eastAsia="en-GB"/>
          <w14:ligatures w14:val="none"/>
        </w:rPr>
      </w:pPr>
    </w:p>
    <w:p w:rsidR="00F67D26" w:rsidRPr="00F67D26" w:rsidRDefault="00F67D26" w:rsidP="00F67D26">
      <w:pPr>
        <w:spacing w:after="150" w:line="240" w:lineRule="auto"/>
        <w:rPr>
          <w:rFonts w:ascii="Times New Roman" w:eastAsia="Times New Roman" w:hAnsi="Times New Roman" w:cs="Times New Roman"/>
          <w:kern w:val="0"/>
          <w:sz w:val="24"/>
          <w:szCs w:val="24"/>
          <w:lang w:eastAsia="en-GB"/>
          <w14:ligatures w14:val="none"/>
        </w:rPr>
      </w:pPr>
    </w:p>
    <w:p w:rsidR="003446CA" w:rsidRPr="00975A69" w:rsidRDefault="003446CA" w:rsidP="003446CA">
      <w:pPr>
        <w:spacing w:after="150" w:line="240" w:lineRule="auto"/>
        <w:rPr>
          <w:rFonts w:ascii="Times New Roman" w:eastAsia="Times New Roman" w:hAnsi="Times New Roman" w:cs="Times New Roman"/>
          <w:kern w:val="0"/>
          <w:sz w:val="24"/>
          <w:szCs w:val="24"/>
          <w:lang w:eastAsia="en-GB"/>
          <w14:ligatures w14:val="none"/>
        </w:rPr>
      </w:pPr>
    </w:p>
    <w:p w:rsidR="008017E2" w:rsidRDefault="008017E2">
      <w:pPr>
        <w:rPr>
          <w:rFonts w:ascii="Segoe UI" w:hAnsi="Segoe UI" w:cs="Segoe UI"/>
          <w:color w:val="323130"/>
          <w:sz w:val="21"/>
          <w:szCs w:val="21"/>
        </w:rPr>
      </w:pPr>
    </w:p>
    <w:sectPr w:rsidR="00801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FBA"/>
    <w:multiLevelType w:val="hybridMultilevel"/>
    <w:tmpl w:val="FBD853F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366377"/>
    <w:multiLevelType w:val="hybridMultilevel"/>
    <w:tmpl w:val="3C723F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8C0FBF"/>
    <w:multiLevelType w:val="hybridMultilevel"/>
    <w:tmpl w:val="1358801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53B3132"/>
    <w:multiLevelType w:val="hybridMultilevel"/>
    <w:tmpl w:val="31727246"/>
    <w:lvl w:ilvl="0" w:tplc="3070C71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770417"/>
    <w:multiLevelType w:val="hybridMultilevel"/>
    <w:tmpl w:val="15CC8744"/>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425BB8"/>
    <w:multiLevelType w:val="hybridMultilevel"/>
    <w:tmpl w:val="3A1C8F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9D6E6A"/>
    <w:multiLevelType w:val="hybridMultilevel"/>
    <w:tmpl w:val="4D9E0BB0"/>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2A840F0"/>
    <w:multiLevelType w:val="hybridMultilevel"/>
    <w:tmpl w:val="A0DA681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CE0E5D"/>
    <w:multiLevelType w:val="hybridMultilevel"/>
    <w:tmpl w:val="514A1D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11D2483"/>
    <w:multiLevelType w:val="hybridMultilevel"/>
    <w:tmpl w:val="74E84B4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2811805"/>
    <w:multiLevelType w:val="hybridMultilevel"/>
    <w:tmpl w:val="0B32C7D4"/>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A106716"/>
    <w:multiLevelType w:val="hybridMultilevel"/>
    <w:tmpl w:val="C1CAF1F0"/>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B4F38AC"/>
    <w:multiLevelType w:val="hybridMultilevel"/>
    <w:tmpl w:val="E588211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B516DD8"/>
    <w:multiLevelType w:val="hybridMultilevel"/>
    <w:tmpl w:val="9FE6E19A"/>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BC301CB"/>
    <w:multiLevelType w:val="hybridMultilevel"/>
    <w:tmpl w:val="FA38FC76"/>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FAB7EA1"/>
    <w:multiLevelType w:val="hybridMultilevel"/>
    <w:tmpl w:val="EB8E31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A406F5"/>
    <w:multiLevelType w:val="hybridMultilevel"/>
    <w:tmpl w:val="AD1218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AB0DAC"/>
    <w:multiLevelType w:val="hybridMultilevel"/>
    <w:tmpl w:val="FFAC23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307910"/>
    <w:multiLevelType w:val="hybridMultilevel"/>
    <w:tmpl w:val="BA225ED2"/>
    <w:lvl w:ilvl="0" w:tplc="FFFFFFFF">
      <w:start w:val="1"/>
      <w:numFmt w:val="decimal"/>
      <w:lvlText w:val="%1."/>
      <w:lvlJc w:val="left"/>
      <w:pPr>
        <w:ind w:left="720" w:hanging="360"/>
      </w:pPr>
      <w:rPr>
        <w:rFonts w:asciiTheme="minorHAnsi" w:eastAsiaTheme="minorHAnsi" w:hAnsiTheme="minorHAnsi"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3382295">
    <w:abstractNumId w:val="3"/>
  </w:num>
  <w:num w:numId="2" w16cid:durableId="1818719720">
    <w:abstractNumId w:val="5"/>
  </w:num>
  <w:num w:numId="3" w16cid:durableId="377583562">
    <w:abstractNumId w:val="1"/>
  </w:num>
  <w:num w:numId="4" w16cid:durableId="228809423">
    <w:abstractNumId w:val="16"/>
  </w:num>
  <w:num w:numId="5" w16cid:durableId="1072695715">
    <w:abstractNumId w:val="15"/>
  </w:num>
  <w:num w:numId="6" w16cid:durableId="896549876">
    <w:abstractNumId w:val="8"/>
  </w:num>
  <w:num w:numId="7" w16cid:durableId="854732439">
    <w:abstractNumId w:val="17"/>
  </w:num>
  <w:num w:numId="8" w16cid:durableId="2014140201">
    <w:abstractNumId w:val="9"/>
  </w:num>
  <w:num w:numId="9" w16cid:durableId="781609507">
    <w:abstractNumId w:val="18"/>
  </w:num>
  <w:num w:numId="10" w16cid:durableId="953942582">
    <w:abstractNumId w:val="10"/>
  </w:num>
  <w:num w:numId="11" w16cid:durableId="658770932">
    <w:abstractNumId w:val="4"/>
  </w:num>
  <w:num w:numId="12" w16cid:durableId="1310288212">
    <w:abstractNumId w:val="2"/>
  </w:num>
  <w:num w:numId="13" w16cid:durableId="1155955534">
    <w:abstractNumId w:val="13"/>
  </w:num>
  <w:num w:numId="14" w16cid:durableId="275523191">
    <w:abstractNumId w:val="0"/>
  </w:num>
  <w:num w:numId="15" w16cid:durableId="168375951">
    <w:abstractNumId w:val="7"/>
  </w:num>
  <w:num w:numId="16" w16cid:durableId="1361973556">
    <w:abstractNumId w:val="12"/>
  </w:num>
  <w:num w:numId="17" w16cid:durableId="1798832657">
    <w:abstractNumId w:val="14"/>
  </w:num>
  <w:num w:numId="18" w16cid:durableId="793447282">
    <w:abstractNumId w:val="6"/>
  </w:num>
  <w:num w:numId="19" w16cid:durableId="346192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78C"/>
    <w:rsid w:val="00031B2B"/>
    <w:rsid w:val="00055124"/>
    <w:rsid w:val="00070A94"/>
    <w:rsid w:val="001109D0"/>
    <w:rsid w:val="00170F04"/>
    <w:rsid w:val="00185E44"/>
    <w:rsid w:val="001B25B8"/>
    <w:rsid w:val="001B2792"/>
    <w:rsid w:val="0020233E"/>
    <w:rsid w:val="002043B6"/>
    <w:rsid w:val="00242A79"/>
    <w:rsid w:val="00255C06"/>
    <w:rsid w:val="00265EDC"/>
    <w:rsid w:val="002D0928"/>
    <w:rsid w:val="00327092"/>
    <w:rsid w:val="003446CA"/>
    <w:rsid w:val="00385D27"/>
    <w:rsid w:val="003F06EF"/>
    <w:rsid w:val="00403D72"/>
    <w:rsid w:val="00424B9D"/>
    <w:rsid w:val="004452F3"/>
    <w:rsid w:val="0046718C"/>
    <w:rsid w:val="00491F0C"/>
    <w:rsid w:val="00496A51"/>
    <w:rsid w:val="004D7E6C"/>
    <w:rsid w:val="004E4802"/>
    <w:rsid w:val="00502239"/>
    <w:rsid w:val="00502467"/>
    <w:rsid w:val="00510128"/>
    <w:rsid w:val="005678B5"/>
    <w:rsid w:val="0059338F"/>
    <w:rsid w:val="005C1D80"/>
    <w:rsid w:val="005E549A"/>
    <w:rsid w:val="00675AAD"/>
    <w:rsid w:val="006B27D3"/>
    <w:rsid w:val="006B4DB4"/>
    <w:rsid w:val="006B5117"/>
    <w:rsid w:val="006E28D9"/>
    <w:rsid w:val="006E5873"/>
    <w:rsid w:val="006F48C8"/>
    <w:rsid w:val="006F7929"/>
    <w:rsid w:val="00712356"/>
    <w:rsid w:val="00770497"/>
    <w:rsid w:val="00777A1E"/>
    <w:rsid w:val="007A4FD4"/>
    <w:rsid w:val="007E715E"/>
    <w:rsid w:val="008017E2"/>
    <w:rsid w:val="0080378C"/>
    <w:rsid w:val="00815321"/>
    <w:rsid w:val="00817176"/>
    <w:rsid w:val="00842944"/>
    <w:rsid w:val="00847919"/>
    <w:rsid w:val="008479E2"/>
    <w:rsid w:val="00881874"/>
    <w:rsid w:val="00890824"/>
    <w:rsid w:val="008D3489"/>
    <w:rsid w:val="00907E09"/>
    <w:rsid w:val="00920BF9"/>
    <w:rsid w:val="00944E25"/>
    <w:rsid w:val="009A4A28"/>
    <w:rsid w:val="009A612E"/>
    <w:rsid w:val="009D530F"/>
    <w:rsid w:val="00A203E6"/>
    <w:rsid w:val="00A3572C"/>
    <w:rsid w:val="00A43F01"/>
    <w:rsid w:val="00B24D10"/>
    <w:rsid w:val="00BC1181"/>
    <w:rsid w:val="00BC6D96"/>
    <w:rsid w:val="00BF27F5"/>
    <w:rsid w:val="00C0307F"/>
    <w:rsid w:val="00C66372"/>
    <w:rsid w:val="00C9701B"/>
    <w:rsid w:val="00CA269A"/>
    <w:rsid w:val="00CB03A1"/>
    <w:rsid w:val="00D25333"/>
    <w:rsid w:val="00D42709"/>
    <w:rsid w:val="00D84E9B"/>
    <w:rsid w:val="00DA7757"/>
    <w:rsid w:val="00DC4D02"/>
    <w:rsid w:val="00E47DFF"/>
    <w:rsid w:val="00E619F1"/>
    <w:rsid w:val="00E751A1"/>
    <w:rsid w:val="00EE4C55"/>
    <w:rsid w:val="00EF1F85"/>
    <w:rsid w:val="00F14CAB"/>
    <w:rsid w:val="00F5000E"/>
    <w:rsid w:val="00F53A29"/>
    <w:rsid w:val="00F67D26"/>
    <w:rsid w:val="00F83C09"/>
    <w:rsid w:val="00FF7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69973"/>
  <w15:chartTrackingRefBased/>
  <w15:docId w15:val="{737065B8-3116-4ABF-98B4-48F9FF7C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7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D80"/>
    <w:pPr>
      <w:ind w:left="720"/>
      <w:contextualSpacing/>
    </w:pPr>
  </w:style>
  <w:style w:type="character" w:styleId="Strong">
    <w:name w:val="Strong"/>
    <w:basedOn w:val="DefaultParagraphFont"/>
    <w:uiPriority w:val="22"/>
    <w:qFormat/>
    <w:rsid w:val="00502467"/>
    <w:rPr>
      <w:b/>
      <w:bCs/>
    </w:rPr>
  </w:style>
  <w:style w:type="character" w:styleId="Hyperlink">
    <w:name w:val="Hyperlink"/>
    <w:basedOn w:val="DefaultParagraphFont"/>
    <w:uiPriority w:val="99"/>
    <w:unhideWhenUsed/>
    <w:rsid w:val="00E47DFF"/>
    <w:rPr>
      <w:color w:val="0563C1" w:themeColor="hyperlink"/>
      <w:u w:val="single"/>
    </w:rPr>
  </w:style>
  <w:style w:type="character" w:styleId="UnresolvedMention">
    <w:name w:val="Unresolved Mention"/>
    <w:basedOn w:val="DefaultParagraphFont"/>
    <w:uiPriority w:val="99"/>
    <w:semiHidden/>
    <w:unhideWhenUsed/>
    <w:rsid w:val="00E47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ibleodyssey.org.433/en/bible-basics/what-is-reception-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rcuse.faculty.history.ucsb.edu/receptionhist.htm#quotations" TargetMode="External"/><Relationship Id="rId5" Type="http://schemas.openxmlformats.org/officeDocument/2006/relationships/hyperlink" Target="http://bibleodyssey.org.433/en/bible-basics/what-is-reception-histo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2106</TotalTime>
  <Pages>7</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Steuart Goody</dc:creator>
  <cp:keywords/>
  <dc:description/>
  <cp:lastModifiedBy>Steuart Goody</cp:lastModifiedBy>
  <cp:revision>1</cp:revision>
  <dcterms:created xsi:type="dcterms:W3CDTF">2023-06-24T09:45:00Z</dcterms:created>
  <dcterms:modified xsi:type="dcterms:W3CDTF">2023-06-29T08:58:00Z</dcterms:modified>
</cp:coreProperties>
</file>