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08C" w:rsidRDefault="000D308C">
      <w:r>
        <w:t>Daniel Harrison</w:t>
      </w:r>
    </w:p>
    <w:p w:rsidR="000D308C" w:rsidRDefault="000D308C">
      <w:r>
        <w:t>GWENT PC2214</w:t>
      </w:r>
    </w:p>
    <w:p w:rsidR="000D308C" w:rsidRDefault="000D308C">
      <w:r>
        <w:t>2016265</w:t>
      </w:r>
    </w:p>
    <w:p w:rsidR="000D308C" w:rsidRDefault="000D308C">
      <w:r>
        <w:t xml:space="preserve">Exam 2 </w:t>
      </w:r>
      <w:r w:rsidR="006A6C06">
        <w:t>- 18</w:t>
      </w:r>
      <w:r>
        <w:t>/02/2021</w:t>
      </w:r>
    </w:p>
    <w:p w:rsidR="006A6C06" w:rsidRDefault="006A6C06"/>
    <w:p w:rsidR="006A6C06" w:rsidRDefault="006A6C06"/>
    <w:p w:rsidR="00F02208" w:rsidRDefault="006A6C06">
      <w:r>
        <w:t xml:space="preserve">1 </w:t>
      </w:r>
      <w:r w:rsidR="00172B3B">
        <w:t>–</w:t>
      </w:r>
      <w:r>
        <w:t xml:space="preserve"> </w:t>
      </w:r>
      <w:proofErr w:type="gramStart"/>
      <w:r w:rsidR="00172B3B">
        <w:t>a</w:t>
      </w:r>
      <w:proofErr w:type="gramEnd"/>
      <w:r w:rsidR="00172B3B">
        <w:t xml:space="preserve"> person driving a mechanically propelled vehicle on a road, shall stop on so being required by a constable in uniform or a traffic officer,</w:t>
      </w:r>
    </w:p>
    <w:p w:rsidR="00172B3B" w:rsidRDefault="00172B3B">
      <w:r>
        <w:t xml:space="preserve">A person riding a pedal cycle on a road shall stop on so being required to do so by a constable in uniform or a traffic officer, </w:t>
      </w:r>
    </w:p>
    <w:p w:rsidR="00172B3B" w:rsidRDefault="00172B3B"/>
    <w:p w:rsidR="00172B3B" w:rsidRDefault="00172B3B">
      <w:r>
        <w:t>If a person fails to comply with an instruction to stop, they are guilty of an offence.</w:t>
      </w:r>
    </w:p>
    <w:p w:rsidR="00172B3B" w:rsidRDefault="00172B3B"/>
    <w:p w:rsidR="00172B3B" w:rsidRDefault="00172B3B">
      <w:proofErr w:type="gramStart"/>
      <w:r>
        <w:t>2 – section 6.4 refers to a person who a constable has reasonable grounds to suspect (if in uniform), or reasonable grounds to believe (if not in uniform) that a person has been driving, attempting to drive, or in charge of a mechanically propelled vehicle on a road or other place at a time they are, or have been driving and committed a moving traffic offence to provide a specimen of breath, blood, or urine as a requirement imposed under section 6.</w:t>
      </w:r>
      <w:proofErr w:type="gramEnd"/>
      <w:r>
        <w:t xml:space="preserve"> (</w:t>
      </w:r>
      <w:proofErr w:type="gramStart"/>
      <w:r>
        <w:t>power</w:t>
      </w:r>
      <w:proofErr w:type="gramEnd"/>
      <w:r>
        <w:t xml:space="preserve"> to require a preliminary test)</w:t>
      </w:r>
    </w:p>
    <w:p w:rsidR="00172B3B" w:rsidRDefault="00172B3B"/>
    <w:p w:rsidR="00172B3B" w:rsidRDefault="00172B3B">
      <w:r>
        <w:t xml:space="preserve">3 – </w:t>
      </w:r>
      <w:proofErr w:type="gramStart"/>
      <w:r>
        <w:t>a</w:t>
      </w:r>
      <w:proofErr w:type="gramEnd"/>
      <w:r>
        <w:t xml:space="preserve"> person who is driving a mechanically propelled vehicle on a road, or other public place without due care and attention, or without reasonable consideration for other persons using that road or place is guilty of an offence under section 3 of the road traffic act (careless and inconsiderate driving.)</w:t>
      </w:r>
    </w:p>
    <w:p w:rsidR="00DD6279" w:rsidRDefault="00DD6279"/>
    <w:p w:rsidR="00DD6279" w:rsidRDefault="00DD6279">
      <w:r>
        <w:t xml:space="preserve">4 – </w:t>
      </w:r>
      <w:proofErr w:type="gramStart"/>
      <w:r>
        <w:t>driving</w:t>
      </w:r>
      <w:proofErr w:type="gramEnd"/>
      <w:r>
        <w:t xml:space="preserve"> defences for driving without due care and attention or without reasonable consideration are as follows;</w:t>
      </w:r>
    </w:p>
    <w:p w:rsidR="00DD6279" w:rsidRDefault="00DD6279">
      <w:r>
        <w:t xml:space="preserve">Automatism </w:t>
      </w:r>
      <w:proofErr w:type="gramStart"/>
      <w:r>
        <w:t>( sudden</w:t>
      </w:r>
      <w:proofErr w:type="gramEnd"/>
      <w:r>
        <w:t xml:space="preserve"> response to an unforeseen circumstance)</w:t>
      </w:r>
    </w:p>
    <w:p w:rsidR="00DD6279" w:rsidRDefault="00DD6279">
      <w:r>
        <w:t xml:space="preserve">Sudden illness </w:t>
      </w:r>
      <w:proofErr w:type="gramStart"/>
      <w:r>
        <w:t>or  unconsciousness</w:t>
      </w:r>
      <w:proofErr w:type="gramEnd"/>
    </w:p>
    <w:p w:rsidR="00DD6279" w:rsidRDefault="00DD6279">
      <w:r>
        <w:t>Sudden mechanical defect</w:t>
      </w:r>
    </w:p>
    <w:p w:rsidR="00DD6279" w:rsidRDefault="00DD6279">
      <w:r>
        <w:t xml:space="preserve">Driving whilst under duress (extreme pressure from </w:t>
      </w:r>
      <w:proofErr w:type="gramStart"/>
      <w:r>
        <w:t>a  threat</w:t>
      </w:r>
      <w:proofErr w:type="gramEnd"/>
      <w:r>
        <w:t xml:space="preserve">  of violence)</w:t>
      </w:r>
    </w:p>
    <w:p w:rsidR="00DD6279" w:rsidRDefault="00DD6279">
      <w:r>
        <w:t>Occurs during an authorised motor sporting event</w:t>
      </w:r>
    </w:p>
    <w:p w:rsidR="00DD6279" w:rsidRDefault="00DD6279">
      <w:r>
        <w:t>Whilst assisting with the arrest of offenders.</w:t>
      </w:r>
    </w:p>
    <w:p w:rsidR="00DD6279" w:rsidRDefault="00DD6279"/>
    <w:p w:rsidR="00DD6279" w:rsidRDefault="00DD6279"/>
    <w:p w:rsidR="00DD6279" w:rsidRDefault="00DD6279">
      <w:r>
        <w:lastRenderedPageBreak/>
        <w:t xml:space="preserve">5 – </w:t>
      </w:r>
      <w:proofErr w:type="gramStart"/>
      <w:r>
        <w:t>if</w:t>
      </w:r>
      <w:proofErr w:type="gramEnd"/>
      <w:r>
        <w:t xml:space="preserve"> any of the specified conditions are satisfied;</w:t>
      </w:r>
    </w:p>
    <w:p w:rsidR="00DD6279" w:rsidRDefault="00DD6279">
      <w:proofErr w:type="gramStart"/>
      <w:r>
        <w:t>A constable has reasonable grounds to believe that a person has been driving a motor vehicle on a road without a relevant document of insurance (contravening section 143), or a person is driving a motor vehicle on a road without a licence, or otherwise in accordance with a license (contravening section 87, or a person who fails to stop on being so required by a constable in uniform or a traffic officer (contravening section 163)</w:t>
      </w:r>
      <w:proofErr w:type="gramEnd"/>
    </w:p>
    <w:p w:rsidR="00DD6279" w:rsidRDefault="00DD6279">
      <w:proofErr w:type="gramStart"/>
      <w:r>
        <w:t>if</w:t>
      </w:r>
      <w:proofErr w:type="gramEnd"/>
      <w:r>
        <w:t xml:space="preserve"> any of the  above conditions are met, the vehicle can be seized.</w:t>
      </w:r>
    </w:p>
    <w:p w:rsidR="00DD6279" w:rsidRDefault="00DD6279"/>
    <w:p w:rsidR="00DD6279" w:rsidRDefault="00DD6279">
      <w:r>
        <w:t>6 – Owing to the presence of a mechanically propelled vehicle on a road or other public place, an accident occurs whereby,</w:t>
      </w:r>
    </w:p>
    <w:p w:rsidR="00DD6279" w:rsidRDefault="00DD6279">
      <w:r>
        <w:t>Personal injury is caused to any person (other than the driver of that mechanically propelled vehicle), OR</w:t>
      </w:r>
    </w:p>
    <w:p w:rsidR="00DD6279" w:rsidRDefault="00DD6279">
      <w:r>
        <w:t>Damage is caused to any vehicle (other than that mechanically propelled vehicle and trailer drawn by it, OR,</w:t>
      </w:r>
    </w:p>
    <w:p w:rsidR="00DD6279" w:rsidRDefault="00DD6279">
      <w:r>
        <w:t>Damage is caused to any animal (other than an animal in or on that mechanically propelled vehicle and trailer drawn by it, OR,</w:t>
      </w:r>
    </w:p>
    <w:p w:rsidR="00DD6279" w:rsidRDefault="00DD6279">
      <w:r>
        <w:t>Damage is caused to any property, constructed on, fixed to, growing in, or otherwise forming part of the  land on which the road or other place in question is situated, or land adjacent to such land.</w:t>
      </w:r>
    </w:p>
    <w:p w:rsidR="00DD6279" w:rsidRDefault="00DD6279"/>
    <w:p w:rsidR="00DD6279" w:rsidRDefault="00DD6279">
      <w:r>
        <w:t>7 – A road is any highway and any other road over which the public has access, including bridges over which a road passes.</w:t>
      </w:r>
    </w:p>
    <w:p w:rsidR="00DD6279" w:rsidRDefault="00DD6279">
      <w:r>
        <w:t>A public place is a place to which the public has access by payment or otherwise</w:t>
      </w:r>
    </w:p>
    <w:p w:rsidR="00DD6279" w:rsidRDefault="00DD6279">
      <w:r>
        <w:t>An animal defined under the road traffic act is any Cattle, horse, ass, mule, pig, sheep, dog, or goat.</w:t>
      </w:r>
    </w:p>
    <w:p w:rsidR="00DD6279" w:rsidRDefault="00DD6279"/>
    <w:p w:rsidR="00DD6279" w:rsidRDefault="00DD6279">
      <w:r>
        <w:t xml:space="preserve">8 </w:t>
      </w:r>
      <w:r w:rsidR="009D553A">
        <w:t>–</w:t>
      </w:r>
      <w:r>
        <w:t xml:space="preserve"> </w:t>
      </w:r>
      <w:proofErr w:type="gramStart"/>
      <w:r w:rsidR="009D553A">
        <w:t>section</w:t>
      </w:r>
      <w:proofErr w:type="gramEnd"/>
      <w:r w:rsidR="009D553A">
        <w:t xml:space="preserve"> 170 outlines a reportable road traffic collision, section 170.1 as listed above lists the criteria that must be met to make an RTC reportable.</w:t>
      </w:r>
    </w:p>
    <w:p w:rsidR="009D553A" w:rsidRDefault="009D553A">
      <w:r>
        <w:t xml:space="preserve">Section 170.2 states that a driver must stop and remain at the scene long enough to allow a person who has reasonable grounds to do so to ask for details. </w:t>
      </w:r>
      <w:proofErr w:type="gramStart"/>
      <w:r>
        <w:t>These</w:t>
      </w:r>
      <w:proofErr w:type="gramEnd"/>
      <w:r>
        <w:t xml:space="preserve"> details that must be provided are the names and addresses of both the driver and owner of the vehicle, as well as the vehicle registration number or unique identification number. If personal injury </w:t>
      </w:r>
      <w:proofErr w:type="gramStart"/>
      <w:r>
        <w:t>is caused</w:t>
      </w:r>
      <w:proofErr w:type="gramEnd"/>
      <w:r>
        <w:t xml:space="preserve"> as a result on an RTC then insurance details must be provided.</w:t>
      </w:r>
    </w:p>
    <w:p w:rsidR="009D553A" w:rsidRDefault="009D553A">
      <w:r>
        <w:t>If a person fails to stop to allow a person to ask for details, they commit an offence under section 170.3.</w:t>
      </w:r>
    </w:p>
    <w:p w:rsidR="009D553A" w:rsidRDefault="009D553A">
      <w:r>
        <w:t xml:space="preserve">Section 170.4 states that it is an offence to fail to report an RTC. An RTC </w:t>
      </w:r>
      <w:proofErr w:type="gramStart"/>
      <w:r>
        <w:t>must be reported</w:t>
      </w:r>
      <w:proofErr w:type="gramEnd"/>
      <w:r>
        <w:t xml:space="preserve"> to a police officer or at a police station as soon as reasonably practicable, or in any case within 24 hours.</w:t>
      </w:r>
    </w:p>
    <w:p w:rsidR="009D553A" w:rsidRDefault="009D553A">
      <w:r>
        <w:t>If a person fails to provide any relevant documentation required regarding an RTC they are guilty of an offence under section 170.7 of the road traffic act.</w:t>
      </w:r>
    </w:p>
    <w:p w:rsidR="00357AAA" w:rsidRDefault="009D553A">
      <w:r>
        <w:lastRenderedPageBreak/>
        <w:t xml:space="preserve">9 – Following an RTC, involving personal injury to any person, a constable may enter any premises, using reasonable force if necessary </w:t>
      </w:r>
      <w:r w:rsidR="00357AAA">
        <w:t>in order to</w:t>
      </w:r>
      <w:proofErr w:type="gramStart"/>
      <w:r w:rsidR="00357AAA">
        <w:t>;</w:t>
      </w:r>
      <w:proofErr w:type="gramEnd"/>
    </w:p>
    <w:p w:rsidR="00357AAA" w:rsidRDefault="00357AAA">
      <w:r>
        <w:t>Require a person reasonably believed to have been driving, attempting to drive, or in charge of a vehicle at a time an accident occurred to provide a preliminary breath test, OR</w:t>
      </w:r>
    </w:p>
    <w:p w:rsidR="00357AAA" w:rsidRDefault="00357AAA">
      <w:r>
        <w:t>To arrest a person who has provided a positive preliminary breath test, OR</w:t>
      </w:r>
    </w:p>
    <w:p w:rsidR="00357AAA" w:rsidRDefault="00357AAA">
      <w:r>
        <w:t>To arrest a person who fails to co-operate with one or more preliminary test imposed as a requirement under section 6, and the constable has reasonable grounds to suspect that the person is under the influence of drink or drugs, or has drugs in their system.</w:t>
      </w:r>
    </w:p>
    <w:p w:rsidR="00357AAA" w:rsidRDefault="00357AAA"/>
    <w:p w:rsidR="00357AAA" w:rsidRDefault="00357AAA">
      <w:r>
        <w:t xml:space="preserve">10 </w:t>
      </w:r>
      <w:r w:rsidR="00360A36">
        <w:t>–</w:t>
      </w:r>
      <w:r>
        <w:t xml:space="preserve"> </w:t>
      </w:r>
      <w:r w:rsidR="00360A36">
        <w:t>A person who causes the death of another by driving a mechanically propelled vehicle dangerously on a road or other public place is guilty of an offence.</w:t>
      </w:r>
    </w:p>
    <w:p w:rsidR="00360A36" w:rsidRDefault="00360A36"/>
    <w:p w:rsidR="00360A36" w:rsidRDefault="00360A36">
      <w:r>
        <w:t xml:space="preserve">11 – </w:t>
      </w:r>
      <w:proofErr w:type="gramStart"/>
      <w:r>
        <w:t>the</w:t>
      </w:r>
      <w:proofErr w:type="gramEnd"/>
      <w:r>
        <w:t xml:space="preserve"> national prescribed limits for drink and drug driving are as follows;</w:t>
      </w:r>
    </w:p>
    <w:p w:rsidR="00360A36" w:rsidRDefault="00360A36"/>
    <w:p w:rsidR="00360A36" w:rsidRDefault="00360A36">
      <w:r>
        <w:t xml:space="preserve"> 35 micrograms of alcohol per 100 millilitres of breath</w:t>
      </w:r>
    </w:p>
    <w:p w:rsidR="00360A36" w:rsidRDefault="00360A36">
      <w:r>
        <w:t xml:space="preserve">        80 milligrams of alcohol per 100 millilitres of blood</w:t>
      </w:r>
    </w:p>
    <w:p w:rsidR="00360A36" w:rsidRDefault="00360A36">
      <w:r>
        <w:t xml:space="preserve">        107 milligrams of alcohol per 100 millilitres of urine</w:t>
      </w:r>
    </w:p>
    <w:p w:rsidR="00360A36" w:rsidRDefault="00360A36"/>
    <w:p w:rsidR="00360A36" w:rsidRDefault="00360A36">
      <w:r>
        <w:t>2 micrograms of THC (cannabis) per 1 litre of blood</w:t>
      </w:r>
    </w:p>
    <w:p w:rsidR="00360A36" w:rsidRDefault="00360A36">
      <w:r>
        <w:t>10 micrograms of cocaine per 1 litre of blood</w:t>
      </w:r>
    </w:p>
    <w:p w:rsidR="00360A36" w:rsidRDefault="00360A36">
      <w:r>
        <w:t>250 micrograms of amphetamine per 1 litre of blood.</w:t>
      </w:r>
    </w:p>
    <w:p w:rsidR="00360A36" w:rsidRDefault="00360A36"/>
    <w:p w:rsidR="00360A36" w:rsidRDefault="00360A36">
      <w:r>
        <w:t xml:space="preserve">12 – </w:t>
      </w:r>
      <w:proofErr w:type="gramStart"/>
      <w:r>
        <w:t>there</w:t>
      </w:r>
      <w:proofErr w:type="gramEnd"/>
      <w:r>
        <w:t xml:space="preserve"> are many relevant others that are required during a police interview, one of which is an appropriate adult. These can be used when the interview involves a child under the age of 18, or a person who has a learning or mental disability. The appropriate </w:t>
      </w:r>
      <w:proofErr w:type="gramStart"/>
      <w:r>
        <w:t>adults</w:t>
      </w:r>
      <w:proofErr w:type="gramEnd"/>
      <w:r>
        <w:t xml:space="preserve"> purpose in the interview is purely to provide safeguarding and support the person being interviewed. They cannot answer questions for the person </w:t>
      </w:r>
      <w:proofErr w:type="gramStart"/>
      <w:r>
        <w:t>being interviewed</w:t>
      </w:r>
      <w:proofErr w:type="gramEnd"/>
      <w:r>
        <w:t xml:space="preserve"> but purely act as a means of safeguarding.</w:t>
      </w:r>
    </w:p>
    <w:p w:rsidR="00360A36" w:rsidRDefault="00360A36">
      <w:r>
        <w:t xml:space="preserve">Another relevant other in a police interview would be would be a solicitor. The purpose of the solicitor is to allow the </w:t>
      </w:r>
      <w:proofErr w:type="gramStart"/>
      <w:r>
        <w:t>pre interview disclosure process</w:t>
      </w:r>
      <w:proofErr w:type="gramEnd"/>
      <w:r>
        <w:t xml:space="preserve"> to take place to allow them to know what it is their client is being interviewed regarding, what sort of lines of enquiry you may be exploring, and to ensure their client is treated fairly. They also provide independent legal advice to the person being interviewed, and can intervene if the lines of questioning become hypothetical, or repetitive. Solicitors </w:t>
      </w:r>
      <w:proofErr w:type="gramStart"/>
      <w:r>
        <w:t>can be removed</w:t>
      </w:r>
      <w:proofErr w:type="gramEnd"/>
      <w:r>
        <w:t xml:space="preserve"> in some cases; however, this has to be a last resort.</w:t>
      </w:r>
    </w:p>
    <w:p w:rsidR="00360A36" w:rsidRDefault="00360A36">
      <w:r>
        <w:t xml:space="preserve">Translators and aids to communication are also relevant to others in an interview, if there is a language barrier between the person </w:t>
      </w:r>
      <w:proofErr w:type="gramStart"/>
      <w:r>
        <w:t>being interviewed</w:t>
      </w:r>
      <w:proofErr w:type="gramEnd"/>
      <w:r>
        <w:t xml:space="preserve"> and the interviewer, they can aid by assisting in translating communications between both the person being interviewed and the person </w:t>
      </w:r>
      <w:r>
        <w:lastRenderedPageBreak/>
        <w:t xml:space="preserve">conducting the interview. This allows the person </w:t>
      </w:r>
      <w:proofErr w:type="gramStart"/>
      <w:r>
        <w:t>being interviewed</w:t>
      </w:r>
      <w:proofErr w:type="gramEnd"/>
      <w:r>
        <w:t xml:space="preserve"> to feel like they are being treated fairly and with respect.</w:t>
      </w:r>
    </w:p>
    <w:p w:rsidR="00360A36" w:rsidRDefault="00360A36">
      <w:r>
        <w:t>Another important and relevant other in an interview would be your second interviewer. They are there for the purposes of taking notes and identifying topics to explore that you may not have already identified yourself. They are there for the purpose of summarising information and filling in the gaps in questioning that you may have missed, or failed to explore.</w:t>
      </w:r>
    </w:p>
    <w:p w:rsidR="00360A36" w:rsidRDefault="00360A36"/>
    <w:p w:rsidR="00360A36" w:rsidRDefault="00360A36">
      <w:r>
        <w:t xml:space="preserve">13 – </w:t>
      </w:r>
      <w:proofErr w:type="gramStart"/>
      <w:r>
        <w:t>the</w:t>
      </w:r>
      <w:proofErr w:type="gramEnd"/>
      <w:r>
        <w:t xml:space="preserve"> national police interviewing model is the peace model.</w:t>
      </w:r>
    </w:p>
    <w:p w:rsidR="00360A36" w:rsidRDefault="00360A36">
      <w:r>
        <w:t xml:space="preserve">Planning and preparation is the first phase of the model, this is where you work out mutual arrangements with your clients, figure out the best place for an interview, identify if any additional measures are required such as an appropriate adult, interpreter etc. This phase also ensures you pick an interviewing time that works best for you and your client, taking things such as childcare and how long an interview may take into account… as well as things like the custody clock when it comes to offenders. During this </w:t>
      </w:r>
      <w:proofErr w:type="gramStart"/>
      <w:r>
        <w:t>phase</w:t>
      </w:r>
      <w:proofErr w:type="gramEnd"/>
      <w:r>
        <w:t xml:space="preserve"> you can also carry out your pre interview plan to identify what lines of questioning you want to go down. In the case of a no comment interview, sufficient planning and questioning would be essential to ensuring you </w:t>
      </w:r>
      <w:proofErr w:type="gramStart"/>
      <w:r>
        <w:t>don’t</w:t>
      </w:r>
      <w:proofErr w:type="gramEnd"/>
      <w:r>
        <w:t xml:space="preserve"> leave any stone unturned. Planning and preparation also refers to ensuring the little details are in order, such as a fully charged laptop, pens and paper for any potential exhibit diagrams, as well as MG11 witness statements in the case of technical failure on your laptop.</w:t>
      </w:r>
    </w:p>
    <w:p w:rsidR="00360A36" w:rsidRDefault="00360A36">
      <w:r>
        <w:t xml:space="preserve">The second part of the PEACE model is the engage and explain process, </w:t>
      </w:r>
      <w:proofErr w:type="gramStart"/>
      <w:r>
        <w:t>this is where you do your initial greetings with the person you are interviewing</w:t>
      </w:r>
      <w:proofErr w:type="gramEnd"/>
      <w:r>
        <w:t xml:space="preserve">. You introduce yourself, your colleague, and any persons who may be listening in on the interview for investigative purposes, by greeting the person well you will start to build a rapport with the person which will ultimately  aid the interviewing process and allow you to gain as much information as possible. You must also go through the reason of the interview with the person, including the purpose for it, what you are questioning about, or why they have come in to speak to you. During this phase, you also read out the interview aide memoir. If the person is being interviewed for an offence you must caution them and explain the caution clearly, and ensure they have had enough time to liaise with their solicitor before you begin, and that they can stop at any time for independent legal advice, or a comfort break if needed. The final. You also notify the person of the route map and routine of the interview, what event you will be questioning them on and any significant statements from arrest </w:t>
      </w:r>
      <w:proofErr w:type="gramStart"/>
      <w:r>
        <w:t>must be signed</w:t>
      </w:r>
      <w:proofErr w:type="gramEnd"/>
      <w:r>
        <w:t xml:space="preserve"> for validity before starting the questioning phase.</w:t>
      </w:r>
    </w:p>
    <w:p w:rsidR="00360A36" w:rsidRDefault="00360A36">
      <w:r>
        <w:t xml:space="preserve">The next stage of the interview is the account clarification and challenge phase. You should start this phase with a big opening question such as ‘tell me what happened when’ </w:t>
      </w:r>
      <w:proofErr w:type="gramStart"/>
      <w:r>
        <w:t>this is where you identify key topics about the incident that you can to explore further</w:t>
      </w:r>
      <w:proofErr w:type="gramEnd"/>
      <w:r>
        <w:t xml:space="preserve">. When questioning, it is important that key topics identified such as PEOPLE, LOCATIONS, ACTIONS, AND TIME.  It is important that you do not interrupt the person during this stage, as you want as much information in their free narrative as possible. Once you identify your topics, you can start to ask further opening questions and then probe further to get more information about them using the 5WH questioning method (who, what, when, where, how why?) this will help paint the picture of what happened and also make a person’s recollection of the event more clear. Once you are finished probing into a certain topic, you should start to ask appropriately closed questions to get definitive answers before asking your second interviewer to summarise the topic. If any information is missing during the summary phase, let the </w:t>
      </w:r>
      <w:r>
        <w:lastRenderedPageBreak/>
        <w:t>person know that they can stop you at any time to correct you if you are wrong, or add any further details if necessary.</w:t>
      </w:r>
    </w:p>
    <w:p w:rsidR="00360A36" w:rsidRDefault="00360A36">
      <w:r>
        <w:t>During this phase with a suspect, you should do all of the above and use the MG11 of the witness to identify any anomalies while you are questioning. Once you have identified any anomalies with their recollection of events compared to the witnesses, you continue onto the challenging phase. This phase is where you put to the anomalies to the suspect, and question further to ascertain what actually happened.</w:t>
      </w:r>
    </w:p>
    <w:p w:rsidR="00360A36" w:rsidRDefault="00360A36">
      <w:r>
        <w:t xml:space="preserve">Once you have finished with the account clarification and challenge phase, you move onto your conclusion phase. During this phase you can </w:t>
      </w:r>
      <w:proofErr w:type="gramStart"/>
      <w:r>
        <w:t>ask  a</w:t>
      </w:r>
      <w:proofErr w:type="gramEnd"/>
      <w:r>
        <w:t xml:space="preserve"> person if they have any further questions that they would like to ask you, or if there are any other details they would like to add before the interview concludes that  could help in regards to the investigation that will follow. During this phase, you can exchange contact information and if a person needs safeguarding you can refer them to agencies and provide them a victims of crime leaflet to make them aware of any help they may be entitled </w:t>
      </w:r>
      <w:proofErr w:type="gramStart"/>
      <w:r>
        <w:t>to</w:t>
      </w:r>
      <w:proofErr w:type="gramEnd"/>
      <w:r>
        <w:t>. You can also let them know what lines of enquiry that you are going to pursue going forward.</w:t>
      </w:r>
    </w:p>
    <w:p w:rsidR="00360A36" w:rsidRDefault="00360A36">
      <w:r>
        <w:t>After the conclusion phase, you go into the evaluation phase. This is where you evaluate your own and your second interviewer’s performance. If there any things which you would like to improve on going forward, you identify these things here. The evaluation process is an ongoing process that could last the whole day after conducting the interview, but as a result, it will make you a better officer going forward as it allows you to share best practice and learn from mistakes.</w:t>
      </w:r>
    </w:p>
    <w:p w:rsidR="00360A36" w:rsidRDefault="00360A36"/>
    <w:p w:rsidR="00360A36" w:rsidRDefault="00360A36">
      <w:proofErr w:type="gramStart"/>
      <w:r>
        <w:t>14</w:t>
      </w:r>
      <w:proofErr w:type="gramEnd"/>
      <w:r>
        <w:t xml:space="preserve"> – </w:t>
      </w:r>
    </w:p>
    <w:p w:rsidR="00360A36" w:rsidRDefault="00360A36">
      <w:r>
        <w:t>A person (A) commits an offence if,</w:t>
      </w:r>
    </w:p>
    <w:p w:rsidR="00360A36" w:rsidRDefault="00360A36">
      <w:r>
        <w:t>They continuously and repeatedly engage in behaviour towards another person (b) that is coercive and controlling.</w:t>
      </w:r>
    </w:p>
    <w:p w:rsidR="00360A36" w:rsidRDefault="00360A36">
      <w:r>
        <w:t>At the time of the behaviour, person (a) and (b) are personally connected by means of being or have been in a personal relationship, or are family members</w:t>
      </w:r>
    </w:p>
    <w:p w:rsidR="00360A36" w:rsidRDefault="00360A36">
      <w:r>
        <w:t>The behaviour is having a serious effect on person (b)</w:t>
      </w:r>
    </w:p>
    <w:p w:rsidR="00360A36" w:rsidRDefault="00360A36">
      <w:proofErr w:type="gramStart"/>
      <w:r>
        <w:t>And</w:t>
      </w:r>
      <w:proofErr w:type="gramEnd"/>
      <w:r>
        <w:t xml:space="preserve"> person (a) knows or ought to know that their behaviour is having a serious effect on person (b)</w:t>
      </w:r>
    </w:p>
    <w:p w:rsidR="00360A36" w:rsidRDefault="00360A36"/>
    <w:p w:rsidR="00360A36" w:rsidRDefault="00360A36">
      <w:r>
        <w:t>15 – The offence of coercive and controlling behaviour is so important because behaviour outlined by this offence can happen in a family setting, which people can often be apprehensive about reporting. Coercive and controlling behaviour causes the victim to feel like a subordinate to their abuser, as well as depending on them for simple things such as money and food.</w:t>
      </w:r>
      <w:r w:rsidR="00F6489F">
        <w:t xml:space="preserve"> The offence is also important because the behaviour can make the victim feel like </w:t>
      </w:r>
      <w:proofErr w:type="gramStart"/>
      <w:r w:rsidR="00F6489F">
        <w:t>it’s</w:t>
      </w:r>
      <w:proofErr w:type="gramEnd"/>
      <w:r w:rsidR="00F6489F">
        <w:t xml:space="preserve"> their fault that this is happening, and it links in with abuse, assault, domestic abuse and all sorts of other crimes that are harder to prove without the evidence being provided by a victim.</w:t>
      </w:r>
      <w:r>
        <w:t xml:space="preserve"> Coercion also relates to crimes such as child sexual exploitation, where the abusers take advantage of an imbalance of power that allows them leverage over their victims by financial means, sexual means, and even rank and status. Coercive and controlling behaviour </w:t>
      </w:r>
      <w:proofErr w:type="gramStart"/>
      <w:r>
        <w:t>can also be used</w:t>
      </w:r>
      <w:proofErr w:type="gramEnd"/>
      <w:r>
        <w:t xml:space="preserve"> to isolate victims from their families, and lead them to believe that the only person they can re</w:t>
      </w:r>
      <w:r w:rsidR="00D31EBE">
        <w:t>ly on is their abuser.</w:t>
      </w:r>
      <w:r w:rsidR="00F6489F">
        <w:t xml:space="preserve"> </w:t>
      </w:r>
      <w:r>
        <w:t xml:space="preserve">The offence of coercive and controlling </w:t>
      </w:r>
      <w:r>
        <w:lastRenderedPageBreak/>
        <w:t>behaviour can help bring offenders to justice, and protect the victims of it from becoming repeat victims.</w:t>
      </w:r>
      <w:r w:rsidR="00F6489F">
        <w:t xml:space="preserve"> Victims of coerce and control may also be afraid to report it because of the feeling of not being believed or taken seriously, but with the help of the new offence, and the utilisation of PPN and DVPN / DVPO we can enable extra safeguarding measures to be put in place for the victims who need it.</w:t>
      </w:r>
    </w:p>
    <w:p w:rsidR="00360A36" w:rsidRDefault="00360A36"/>
    <w:p w:rsidR="00360A36" w:rsidRDefault="00360A36">
      <w:r>
        <w:t>16 – The significant harm of a child refers to harm that is affecting, or would affect their physical, and/or psychological development. This can include impairments suffered from seeing or hearing the ill treatment of others. Sometimes a single traumatic experience can constitute significant harm, however it is usually because of a chain of events that interrupt, change, and damage a child’s development.</w:t>
      </w:r>
    </w:p>
    <w:p w:rsidR="00360A36" w:rsidRDefault="00360A36">
      <w:r>
        <w:t>Where a constable has reasonable cause to believe that a child would otherwise suffer significant harm, the constable may</w:t>
      </w:r>
      <w:proofErr w:type="gramStart"/>
      <w:r>
        <w:t>;</w:t>
      </w:r>
      <w:proofErr w:type="gramEnd"/>
    </w:p>
    <w:p w:rsidR="00360A36" w:rsidRDefault="00360A36">
      <w:r>
        <w:t>Remove the child to a suitable accommodation, and keep them there, OR,</w:t>
      </w:r>
    </w:p>
    <w:p w:rsidR="00360A36" w:rsidRDefault="00360A36">
      <w:r>
        <w:t xml:space="preserve">Take all steps that are necessary to ensure a child’s removal from a hospital, or any other place where they </w:t>
      </w:r>
      <w:proofErr w:type="gramStart"/>
      <w:r>
        <w:t>are being accommodated</w:t>
      </w:r>
      <w:proofErr w:type="gramEnd"/>
      <w:r>
        <w:t xml:space="preserve"> is prevented.</w:t>
      </w:r>
    </w:p>
    <w:p w:rsidR="00360A36" w:rsidRDefault="00360A36">
      <w:r>
        <w:t>A suitable accommodation could constitute a number of places, some of which are</w:t>
      </w:r>
      <w:proofErr w:type="gramStart"/>
      <w:r>
        <w:t>;</w:t>
      </w:r>
      <w:proofErr w:type="gramEnd"/>
    </w:p>
    <w:p w:rsidR="00360A36" w:rsidRDefault="00360A36">
      <w:r>
        <w:t>A hospital, Child protection services, close friends or relatives (subject to full DBS and PNC checks being carried out to check for any warning markers), as well as a police station (the stay cannot exceed 72 hours).</w:t>
      </w:r>
    </w:p>
    <w:p w:rsidR="00360A36" w:rsidRDefault="00360A36"/>
    <w:p w:rsidR="00360A36" w:rsidRDefault="00360A36">
      <w:r>
        <w:t>17 – It is an offence for a person over the age of 16, whilst having responsibility of a child under 16 to wilfully, assault, neglect, ill-treat, abandon, or expose them in any way that is likely to cause the child unnecessary suffering, or injury to health.</w:t>
      </w:r>
    </w:p>
    <w:p w:rsidR="00360A36" w:rsidRDefault="00360A36"/>
    <w:p w:rsidR="00360A36" w:rsidRDefault="00360A36">
      <w:r>
        <w:t>18 – THE Domestic abuse, stalking and harassment (including honour based abuse) model seeks to allow front line practitioners to be able to identify and safeguard the vic</w:t>
      </w:r>
      <w:r w:rsidR="002B2DD2">
        <w:t>tims of any DASH related incidents.</w:t>
      </w:r>
    </w:p>
    <w:p w:rsidR="00360A36" w:rsidRDefault="00360A36">
      <w:r>
        <w:t xml:space="preserve">Allow the identification of </w:t>
      </w:r>
      <w:r w:rsidR="005C785E">
        <w:t>high-risk</w:t>
      </w:r>
      <w:r>
        <w:t xml:space="preserve"> offenders, and enable suitable safeguarding measures to be put in place as a result</w:t>
      </w:r>
      <w:r w:rsidR="005C785E">
        <w:t>.</w:t>
      </w:r>
    </w:p>
    <w:p w:rsidR="005C785E" w:rsidRDefault="005C785E">
      <w:r>
        <w:t>In addition, to figure out what cases are referred to MARAC (multi agency risk assessment council)</w:t>
      </w:r>
      <w:proofErr w:type="gramStart"/>
      <w:r>
        <w:t>.</w:t>
      </w:r>
      <w:proofErr w:type="gramEnd"/>
      <w:r>
        <w:t xml:space="preserve"> To allow a higher level of safeguarding for the victims and children that fall victim to DASH incidents.</w:t>
      </w:r>
    </w:p>
    <w:p w:rsidR="00F6489F" w:rsidRDefault="00F6489F">
      <w:r>
        <w:t>Ensures that all officers on a national level are competent and trained to identify the signs and symptoms of dash, to bring the offenders to justice, and provide the necessary help and care for those who fall victim to it.</w:t>
      </w:r>
    </w:p>
    <w:p w:rsidR="00F6489F" w:rsidRDefault="00F6489F"/>
    <w:p w:rsidR="00F6489F" w:rsidRDefault="00F6489F"/>
    <w:p w:rsidR="005C785E" w:rsidRDefault="005C785E"/>
    <w:p w:rsidR="005C785E" w:rsidRDefault="005C785E">
      <w:r>
        <w:lastRenderedPageBreak/>
        <w:t xml:space="preserve">19 – </w:t>
      </w:r>
      <w:proofErr w:type="gramStart"/>
      <w:r>
        <w:t>the</w:t>
      </w:r>
      <w:proofErr w:type="gramEnd"/>
      <w:r>
        <w:t xml:space="preserve"> outlines of a PPN are as follows,</w:t>
      </w:r>
    </w:p>
    <w:p w:rsidR="005C785E" w:rsidRDefault="005C785E">
      <w:r>
        <w:t xml:space="preserve">The Public protection notification is a risk assessment form that </w:t>
      </w:r>
      <w:proofErr w:type="gramStart"/>
      <w:r>
        <w:t>must be filled out</w:t>
      </w:r>
      <w:proofErr w:type="gramEnd"/>
      <w:r>
        <w:t xml:space="preserve"> for every DASH related incident. The PPN allows us to share information with other agencies in relation to </w:t>
      </w:r>
      <w:proofErr w:type="gramStart"/>
      <w:r>
        <w:t>high risk</w:t>
      </w:r>
      <w:proofErr w:type="gramEnd"/>
      <w:r>
        <w:t xml:space="preserve"> offences, and to enable the suitable safeguarding measures put in place for the families and victims of these incidents. The ppn allows us to identify risk and threat, and manage this. The PPN has 29 questions in total, 18 of which are high risk, and all of the questions must be answered in every case. While answering the questions on the PPN, you will have to take into account and additional comments that the victim has told you, and give your own view on the situation in the notes text at the bottom. When filling in the PPN you will to have to risk assess it at a low/medium/high level before sending it to your supervisor and the PPU for a review. IF any information noted on the PPN needs to be shared with outside agencies such as probation, Wisdom, </w:t>
      </w:r>
      <w:proofErr w:type="spellStart"/>
      <w:r>
        <w:t>TechSOS</w:t>
      </w:r>
      <w:proofErr w:type="spellEnd"/>
      <w:r>
        <w:t xml:space="preserve">, </w:t>
      </w:r>
      <w:proofErr w:type="gramStart"/>
      <w:r>
        <w:t>MARAC</w:t>
      </w:r>
      <w:proofErr w:type="gramEnd"/>
      <w:r>
        <w:t xml:space="preserve"> it can be. This will allow additional safeguarding measures for the victims of the DASH </w:t>
      </w:r>
      <w:proofErr w:type="gramStart"/>
      <w:r>
        <w:t>crimes,</w:t>
      </w:r>
      <w:proofErr w:type="gramEnd"/>
      <w:r>
        <w:t xml:space="preserve"> this is known as the PPN referral pathway.</w:t>
      </w:r>
    </w:p>
    <w:p w:rsidR="00F6489F" w:rsidRDefault="00F6489F">
      <w:r>
        <w:t>Low risk – no likelihood of imminent serious harm</w:t>
      </w:r>
    </w:p>
    <w:p w:rsidR="00F6489F" w:rsidRDefault="00F6489F">
      <w:r>
        <w:t>Medium risk – there is a likelihood of serious harm, but only if circumstances change</w:t>
      </w:r>
    </w:p>
    <w:p w:rsidR="00F6489F" w:rsidRDefault="00F6489F">
      <w:r>
        <w:t>High risk – serious harm could happen at any time</w:t>
      </w:r>
    </w:p>
    <w:p w:rsidR="005C785E" w:rsidRDefault="005C785E">
      <w:r>
        <w:t xml:space="preserve">The PPN risk assessment process is always dynamically risk assessed, and constantly under review, ensuring the proper referrals </w:t>
      </w:r>
      <w:proofErr w:type="gramStart"/>
      <w:r>
        <w:t>are being made</w:t>
      </w:r>
      <w:proofErr w:type="gramEnd"/>
      <w:r>
        <w:t xml:space="preserve"> promptly. Once it </w:t>
      </w:r>
      <w:proofErr w:type="gramStart"/>
      <w:r>
        <w:t>has been filled out and sent off,</w:t>
      </w:r>
      <w:proofErr w:type="gramEnd"/>
      <w:r>
        <w:t xml:space="preserve"> you can then identify additional safeguarding measures that you can utilise such as DVPN and DVPO etc… which will provide further safeguarding and allow for a reflection period for the victims.</w:t>
      </w:r>
    </w:p>
    <w:p w:rsidR="005C785E" w:rsidRDefault="005C785E"/>
    <w:p w:rsidR="005C785E" w:rsidRDefault="005C785E">
      <w:r>
        <w:t xml:space="preserve">20 – </w:t>
      </w:r>
      <w:proofErr w:type="gramStart"/>
      <w:r>
        <w:t>the</w:t>
      </w:r>
      <w:proofErr w:type="gramEnd"/>
      <w:r>
        <w:t xml:space="preserve"> process of issuing a DVPN allows for additional safeguarding steps to be put in place for victims and families of domestic abuse incidents.</w:t>
      </w:r>
    </w:p>
    <w:p w:rsidR="005C785E" w:rsidRDefault="005C785E">
      <w:r>
        <w:t>An authorising officer of superintend</w:t>
      </w:r>
      <w:r w:rsidR="00E72C1E">
        <w:t>ent or above must issue the DVPN</w:t>
      </w:r>
      <w:r>
        <w:t xml:space="preserve"> (domestic violence protection notice).</w:t>
      </w:r>
      <w:r w:rsidR="00F6489F">
        <w:t xml:space="preserve"> An offender cannot be detained in custody to serve a DVPN so working quickly is imperative for the </w:t>
      </w:r>
      <w:proofErr w:type="gramStart"/>
      <w:r w:rsidR="00F6489F">
        <w:t>victims</w:t>
      </w:r>
      <w:proofErr w:type="gramEnd"/>
      <w:r w:rsidR="00F6489F">
        <w:t xml:space="preserve"> safety. In order to issue the DVPN</w:t>
      </w:r>
      <w:r>
        <w:t>, the authorising officer must have reasonable grounds to believe that an offence has or has been committed by the offender, and that it is imperative that the DVPN be put in place to prevent further harm of threats to harm of the victim.</w:t>
      </w:r>
      <w:r w:rsidR="005B67F4">
        <w:t xml:space="preserve"> It does not matter if the victim lives with the perpetrator or not, the DVPN </w:t>
      </w:r>
      <w:proofErr w:type="gramStart"/>
      <w:r w:rsidR="005B67F4">
        <w:t>can still be issued</w:t>
      </w:r>
      <w:proofErr w:type="gramEnd"/>
      <w:r w:rsidR="005B67F4">
        <w:t>.</w:t>
      </w:r>
      <w:r>
        <w:t xml:space="preserve"> Things such as children and other vulnerable persons </w:t>
      </w:r>
      <w:proofErr w:type="gramStart"/>
      <w:r>
        <w:t>should also be taken</w:t>
      </w:r>
      <w:proofErr w:type="gramEnd"/>
      <w:r>
        <w:t xml:space="preserve"> into account when issuing a DVPN. The authorising officer should take the feelings of the victim into consideration; </w:t>
      </w:r>
      <w:proofErr w:type="gramStart"/>
      <w:r>
        <w:t>however</w:t>
      </w:r>
      <w:proofErr w:type="gramEnd"/>
      <w:r>
        <w:t xml:space="preserve"> consent is not required to issue the DVPN. The DVPN must have prohibitions listed on it</w:t>
      </w:r>
      <w:r w:rsidR="005B67F4">
        <w:t xml:space="preserve">, and can be issued to </w:t>
      </w:r>
      <w:proofErr w:type="gramStart"/>
      <w:r w:rsidR="005B67F4">
        <w:t>the  perpetrator</w:t>
      </w:r>
      <w:proofErr w:type="gramEnd"/>
      <w:r w:rsidR="005B67F4">
        <w:t xml:space="preserve"> in person and writing</w:t>
      </w:r>
      <w:r>
        <w:t xml:space="preserve">. Once passed by the authorising officer, the case must be he heard by a </w:t>
      </w:r>
      <w:proofErr w:type="gramStart"/>
      <w:r>
        <w:t>magistrates</w:t>
      </w:r>
      <w:proofErr w:type="gramEnd"/>
      <w:r>
        <w:t xml:space="preserve"> court within 48 hours to enable the DVPO to be issued (domestic violence protection order). If the court is </w:t>
      </w:r>
      <w:r w:rsidR="005B67F4">
        <w:t>adjourned</w:t>
      </w:r>
      <w:r>
        <w:t xml:space="preserve"> for any reason</w:t>
      </w:r>
      <w:r w:rsidR="005B67F4">
        <w:t xml:space="preserve">, the offender must be remanded in custody until the court has </w:t>
      </w:r>
      <w:proofErr w:type="gramStart"/>
      <w:r w:rsidR="005B67F4">
        <w:t>concluded,</w:t>
      </w:r>
      <w:proofErr w:type="gramEnd"/>
      <w:r w:rsidR="005B67F4">
        <w:t xml:space="preserve"> the DVPN will stay in full effect during this time. The </w:t>
      </w:r>
      <w:proofErr w:type="gramStart"/>
      <w:r w:rsidR="005B67F4">
        <w:t>period of time</w:t>
      </w:r>
      <w:proofErr w:type="gramEnd"/>
      <w:r w:rsidR="005B67F4">
        <w:t xml:space="preserve"> of 48 hours does not include Sundays or bank holidays. IF the courts issue a DVPO then the prohibitions </w:t>
      </w:r>
      <w:proofErr w:type="gramStart"/>
      <w:r w:rsidR="005B67F4">
        <w:t>are extended</w:t>
      </w:r>
      <w:proofErr w:type="gramEnd"/>
      <w:r w:rsidR="005B67F4">
        <w:t xml:space="preserve"> for 14-28 days. If the victim and the suspect live together, the prohibitions can prohibit the person from entering the home, prevent them from removing the victim from the home, prevent them from coming within a certain distance of the property,</w:t>
      </w:r>
      <w:r w:rsidR="00E72C1E">
        <w:t xml:space="preserve"> prevent further harm and threats of harm,</w:t>
      </w:r>
      <w:bookmarkStart w:id="0" w:name="_GoBack"/>
      <w:bookmarkEnd w:id="0"/>
      <w:r w:rsidR="005B67F4">
        <w:t xml:space="preserve"> and ultimately protect the victim to allow a reflection period to get the help they need from other agency support such as social services or housing etc. If a person breaches a </w:t>
      </w:r>
      <w:proofErr w:type="gramStart"/>
      <w:r w:rsidR="005B67F4">
        <w:t>DVPO</w:t>
      </w:r>
      <w:proofErr w:type="gramEnd"/>
      <w:r w:rsidR="005B67F4">
        <w:t xml:space="preserve"> they can be arrested without warrant, and must be heard in a magistrates court within 24 </w:t>
      </w:r>
      <w:r w:rsidR="005B67F4">
        <w:lastRenderedPageBreak/>
        <w:t xml:space="preserve">hours. If the person breaches the DVPO, they </w:t>
      </w:r>
      <w:proofErr w:type="gramStart"/>
      <w:r w:rsidR="005B67F4">
        <w:t>can be fined</w:t>
      </w:r>
      <w:proofErr w:type="gramEnd"/>
      <w:r w:rsidR="005B67F4">
        <w:t xml:space="preserve"> £50 per day or take a penalty of 2 months imprisonment.</w:t>
      </w:r>
    </w:p>
    <w:p w:rsidR="005B67F4" w:rsidRDefault="005B67F4"/>
    <w:p w:rsidR="005B67F4" w:rsidRDefault="005B67F4">
      <w:r>
        <w:t xml:space="preserve">21 – </w:t>
      </w:r>
      <w:proofErr w:type="gramStart"/>
      <w:r>
        <w:t>child</w:t>
      </w:r>
      <w:proofErr w:type="gramEnd"/>
      <w:r>
        <w:t xml:space="preserve"> sexual exploitation is a crime where a person or group of people use their significant power imbalance , to coerce, persuade</w:t>
      </w:r>
      <w:r w:rsidR="00F6489F">
        <w:t>, groom</w:t>
      </w:r>
      <w:r>
        <w:t xml:space="preserve">, and exploit any children under the age of 18 years old into sexual activity. </w:t>
      </w:r>
    </w:p>
    <w:p w:rsidR="005B67F4" w:rsidRDefault="005B67F4">
      <w:r>
        <w:t xml:space="preserve">They coerce these children by offering them material items such as mobile phones, nice shoes and money in exchange for sexual favours. The abuser will initially coerce the girls into believing that they are in a loving relationship and that they care for them, when the main goal is to exploit the children for the purposes of making money. Even if the sexual activity seems consensual at first, the child can still be exploited. Children targeted for sexual exploitation are predominantly from </w:t>
      </w:r>
      <w:r w:rsidR="00593835">
        <w:t>poor backgrounds, suffer with mental health, or come from a care background</w:t>
      </w:r>
      <w:r w:rsidR="008B43D5">
        <w:t xml:space="preserve">, and </w:t>
      </w:r>
      <w:proofErr w:type="gramStart"/>
      <w:r w:rsidR="008B43D5">
        <w:t>are therefore targeted</w:t>
      </w:r>
      <w:proofErr w:type="gramEnd"/>
      <w:r w:rsidR="008B43D5">
        <w:t xml:space="preserve"> because of this.  Gangs will normally appoint a recruiter who seems charming and loving to recruit victims of CSE. They lead</w:t>
      </w:r>
      <w:r w:rsidR="00593835">
        <w:t xml:space="preserve"> them into believing they are in a loving relationship</w:t>
      </w:r>
      <w:r w:rsidR="008B43D5">
        <w:t xml:space="preserve"> and that they are valued.</w:t>
      </w:r>
      <w:r w:rsidR="00593835">
        <w:t xml:space="preserve"> Abusers start with getting the young children drunk at parties and offering them to friends for money or other material items, then the abuse gets worse and can almost lead to the child get</w:t>
      </w:r>
      <w:r w:rsidR="00F6489F">
        <w:t>ting pimped out by their abuser, and in worst cases being sold to other crime gangs for money and/or drugs.</w:t>
      </w:r>
      <w:r w:rsidR="008B43D5">
        <w:t xml:space="preserve"> All victims want to escape from CSE, but the abusers normally hold something over them to keep them under their control. This could be in the form of having intimate sexual pictures of them that they threaten to show their families if they disobey orders. They even make the children dependant on drugs so that they feel like they cannot leave the situation because of the level of dependency they have on their abuser. </w:t>
      </w:r>
    </w:p>
    <w:p w:rsidR="00593835" w:rsidRDefault="00593835"/>
    <w:p w:rsidR="00593835" w:rsidRDefault="00593835">
      <w:r>
        <w:t>22 – A person (a) commits rape if he intentionally penetrates the anus, vagina, or mouth of another person (b) with his penis, person (b) does not consent to the penetration, and person (a) does not reasonably believe that person (b) consents.</w:t>
      </w:r>
    </w:p>
    <w:p w:rsidR="00593835" w:rsidRDefault="00593835"/>
    <w:p w:rsidR="00593835" w:rsidRDefault="00593835">
      <w:r>
        <w:t xml:space="preserve">23 – </w:t>
      </w:r>
      <w:r w:rsidR="00F6489F">
        <w:t>If the court can prove that beyond all reasonable measure that</w:t>
      </w:r>
      <w:r w:rsidR="001945D9">
        <w:t xml:space="preserve"> the victim did not consent, then then the actions will amount to rape</w:t>
      </w:r>
    </w:p>
    <w:p w:rsidR="001945D9" w:rsidRDefault="001945D9">
      <w:r>
        <w:t>If the person did not take necessary steps to seek or obtain the consent from the victim, then the actions will amount to rape,</w:t>
      </w:r>
    </w:p>
    <w:p w:rsidR="001945D9" w:rsidRDefault="001945D9">
      <w:r>
        <w:t xml:space="preserve">If the person did not have full capacity </w:t>
      </w:r>
      <w:proofErr w:type="gramStart"/>
      <w:r>
        <w:t>to consensually make</w:t>
      </w:r>
      <w:proofErr w:type="gramEnd"/>
      <w:r>
        <w:t xml:space="preserve"> the choice, then the actions will amount to rape.</w:t>
      </w:r>
    </w:p>
    <w:p w:rsidR="001945D9" w:rsidRDefault="001945D9">
      <w:r>
        <w:t xml:space="preserve">If the person was administered a substance with intent to </w:t>
      </w:r>
      <w:r w:rsidR="008B43D5">
        <w:t>stupi</w:t>
      </w:r>
      <w:r>
        <w:t>fy</w:t>
      </w:r>
      <w:r w:rsidR="008B43D5">
        <w:t xml:space="preserve"> or overpower</w:t>
      </w:r>
      <w:r>
        <w:t xml:space="preserve"> that person, then the actions will amount to rape</w:t>
      </w:r>
    </w:p>
    <w:p w:rsidR="001945D9" w:rsidRDefault="001945D9">
      <w:r>
        <w:t>If the person was sleeping / incapacitated and therefore unable to give their consent, then the actions amount to rape.</w:t>
      </w:r>
    </w:p>
    <w:p w:rsidR="008B43D5" w:rsidRDefault="008B43D5"/>
    <w:p w:rsidR="008B43D5" w:rsidRDefault="008B43D5"/>
    <w:p w:rsidR="00593835" w:rsidRDefault="00593835"/>
    <w:p w:rsidR="00593835" w:rsidRDefault="00593835"/>
    <w:p w:rsidR="00593835" w:rsidRDefault="00593835">
      <w:proofErr w:type="gramStart"/>
      <w:r>
        <w:t>24 – A constable may enter and search any premises, that is owned by or under control of a person who in under arrest for an indictable offence, if the constable has reasonable grounds to suspect that they may find evidence, other than items subject to legal privilege, that are related to that offence, or another indictable offence similar to, or connected to that offence.</w:t>
      </w:r>
      <w:proofErr w:type="gramEnd"/>
    </w:p>
    <w:p w:rsidR="00593835" w:rsidRDefault="00593835">
      <w:r>
        <w:t>A section 18 search   warrant must be granted by an inspector, unless in serious cases where the loss of important evidence, or the safety of a child or vulnerable person is in question.</w:t>
      </w:r>
    </w:p>
    <w:p w:rsidR="00593835" w:rsidRDefault="00593835"/>
    <w:p w:rsidR="00593835" w:rsidRDefault="00593835">
      <w:r>
        <w:t xml:space="preserve">25 – </w:t>
      </w:r>
      <w:proofErr w:type="gramStart"/>
      <w:r>
        <w:t>while</w:t>
      </w:r>
      <w:proofErr w:type="gramEnd"/>
      <w:r>
        <w:t xml:space="preserve"> lawfully on any property, a constable can seize any item that;</w:t>
      </w:r>
    </w:p>
    <w:p w:rsidR="00593835" w:rsidRDefault="00593835">
      <w:r>
        <w:t>They have reasonable grounds to believe is evidence of an offence,</w:t>
      </w:r>
    </w:p>
    <w:p w:rsidR="00593835" w:rsidRDefault="00593835">
      <w:r>
        <w:t xml:space="preserve">Any </w:t>
      </w:r>
      <w:proofErr w:type="gramStart"/>
      <w:r>
        <w:t>items which</w:t>
      </w:r>
      <w:proofErr w:type="gramEnd"/>
      <w:r>
        <w:t xml:space="preserve"> have been acquired as a result of the commission of an offence,</w:t>
      </w:r>
    </w:p>
    <w:p w:rsidR="00593835" w:rsidRDefault="00593835">
      <w:r>
        <w:t xml:space="preserve">Any items that </w:t>
      </w:r>
      <w:proofErr w:type="gramStart"/>
      <w:r>
        <w:t>are covered</w:t>
      </w:r>
      <w:proofErr w:type="gramEnd"/>
      <w:r>
        <w:t xml:space="preserve"> by a warrant,</w:t>
      </w:r>
    </w:p>
    <w:p w:rsidR="00593835" w:rsidRDefault="00593835">
      <w:proofErr w:type="gramStart"/>
      <w:r>
        <w:t>And</w:t>
      </w:r>
      <w:proofErr w:type="gramEnd"/>
      <w:r>
        <w:t xml:space="preserve"> it is necessary for these items to be seized to prevent them from being</w:t>
      </w:r>
    </w:p>
    <w:p w:rsidR="00593835" w:rsidRDefault="00593835">
      <w:r>
        <w:t>Concealed, Lost, altered, destroyed, or damaged.</w:t>
      </w:r>
    </w:p>
    <w:p w:rsidR="00593835" w:rsidRDefault="00593835">
      <w:r>
        <w:t xml:space="preserve">Items subject to legal </w:t>
      </w:r>
      <w:proofErr w:type="spellStart"/>
      <w:r>
        <w:t>priviledge</w:t>
      </w:r>
      <w:proofErr w:type="spellEnd"/>
      <w:r>
        <w:t xml:space="preserve"> </w:t>
      </w:r>
      <w:proofErr w:type="gramStart"/>
      <w:r>
        <w:t>cannot be seized</w:t>
      </w:r>
      <w:proofErr w:type="gramEnd"/>
      <w:r>
        <w:t>.</w:t>
      </w:r>
    </w:p>
    <w:p w:rsidR="005C785E" w:rsidRDefault="005C785E"/>
    <w:sectPr w:rsidR="005C78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0123E2"/>
    <w:multiLevelType w:val="multilevel"/>
    <w:tmpl w:val="8946C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08C"/>
    <w:rsid w:val="000D308C"/>
    <w:rsid w:val="00172B3B"/>
    <w:rsid w:val="001945D9"/>
    <w:rsid w:val="002B2DD2"/>
    <w:rsid w:val="00357AAA"/>
    <w:rsid w:val="00360A36"/>
    <w:rsid w:val="00593835"/>
    <w:rsid w:val="005B67F4"/>
    <w:rsid w:val="005C785E"/>
    <w:rsid w:val="006A6C06"/>
    <w:rsid w:val="008B43D5"/>
    <w:rsid w:val="009D553A"/>
    <w:rsid w:val="00D31EBE"/>
    <w:rsid w:val="00D9572F"/>
    <w:rsid w:val="00DD6279"/>
    <w:rsid w:val="00E72C1E"/>
    <w:rsid w:val="00F02208"/>
    <w:rsid w:val="00F64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3A1FC"/>
  <w15:chartTrackingRefBased/>
  <w15:docId w15:val="{F5C88245-6F93-4606-A93E-7D9EE6576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30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97850">
      <w:bodyDiv w:val="1"/>
      <w:marLeft w:val="0"/>
      <w:marRight w:val="0"/>
      <w:marTop w:val="0"/>
      <w:marBottom w:val="0"/>
      <w:divBdr>
        <w:top w:val="none" w:sz="0" w:space="0" w:color="auto"/>
        <w:left w:val="none" w:sz="0" w:space="0" w:color="auto"/>
        <w:bottom w:val="none" w:sz="0" w:space="0" w:color="auto"/>
        <w:right w:val="none" w:sz="0" w:space="0" w:color="auto"/>
      </w:divBdr>
      <w:divsChild>
        <w:div w:id="1253006866">
          <w:marLeft w:val="0"/>
          <w:marRight w:val="0"/>
          <w:marTop w:val="0"/>
          <w:marBottom w:val="0"/>
          <w:divBdr>
            <w:top w:val="none" w:sz="0" w:space="0" w:color="auto"/>
            <w:left w:val="none" w:sz="0" w:space="0" w:color="auto"/>
            <w:bottom w:val="none" w:sz="0" w:space="0" w:color="auto"/>
            <w:right w:val="none" w:sz="0" w:space="0" w:color="auto"/>
          </w:divBdr>
          <w:divsChild>
            <w:div w:id="265429964">
              <w:marLeft w:val="0"/>
              <w:marRight w:val="0"/>
              <w:marTop w:val="0"/>
              <w:marBottom w:val="0"/>
              <w:divBdr>
                <w:top w:val="none" w:sz="0" w:space="0" w:color="auto"/>
                <w:left w:val="none" w:sz="0" w:space="0" w:color="auto"/>
                <w:bottom w:val="none" w:sz="0" w:space="0" w:color="auto"/>
                <w:right w:val="none" w:sz="0" w:space="0" w:color="auto"/>
              </w:divBdr>
              <w:divsChild>
                <w:div w:id="898322188">
                  <w:marLeft w:val="0"/>
                  <w:marRight w:val="0"/>
                  <w:marTop w:val="0"/>
                  <w:marBottom w:val="0"/>
                  <w:divBdr>
                    <w:top w:val="none" w:sz="0" w:space="0" w:color="auto"/>
                    <w:left w:val="none" w:sz="0" w:space="0" w:color="auto"/>
                    <w:bottom w:val="none" w:sz="0" w:space="0" w:color="auto"/>
                    <w:right w:val="none" w:sz="0" w:space="0" w:color="auto"/>
                  </w:divBdr>
                  <w:divsChild>
                    <w:div w:id="1676691119">
                      <w:marLeft w:val="0"/>
                      <w:marRight w:val="0"/>
                      <w:marTop w:val="0"/>
                      <w:marBottom w:val="0"/>
                      <w:divBdr>
                        <w:top w:val="none" w:sz="0" w:space="0" w:color="auto"/>
                        <w:left w:val="none" w:sz="0" w:space="0" w:color="auto"/>
                        <w:bottom w:val="none" w:sz="0" w:space="0" w:color="auto"/>
                        <w:right w:val="none" w:sz="0" w:space="0" w:color="auto"/>
                      </w:divBdr>
                      <w:divsChild>
                        <w:div w:id="1203983278">
                          <w:marLeft w:val="0"/>
                          <w:marRight w:val="0"/>
                          <w:marTop w:val="0"/>
                          <w:marBottom w:val="0"/>
                          <w:divBdr>
                            <w:top w:val="none" w:sz="0" w:space="0" w:color="auto"/>
                            <w:left w:val="none" w:sz="0" w:space="0" w:color="auto"/>
                            <w:bottom w:val="none" w:sz="0" w:space="0" w:color="auto"/>
                            <w:right w:val="none" w:sz="0" w:space="0" w:color="auto"/>
                          </w:divBdr>
                          <w:divsChild>
                            <w:div w:id="1166549887">
                              <w:marLeft w:val="0"/>
                              <w:marRight w:val="0"/>
                              <w:marTop w:val="0"/>
                              <w:marBottom w:val="0"/>
                              <w:divBdr>
                                <w:top w:val="none" w:sz="0" w:space="0" w:color="auto"/>
                                <w:left w:val="none" w:sz="0" w:space="0" w:color="auto"/>
                                <w:bottom w:val="none" w:sz="0" w:space="0" w:color="auto"/>
                                <w:right w:val="none" w:sz="0" w:space="0" w:color="auto"/>
                              </w:divBdr>
                              <w:divsChild>
                                <w:div w:id="1220095198">
                                  <w:marLeft w:val="0"/>
                                  <w:marRight w:val="0"/>
                                  <w:marTop w:val="0"/>
                                  <w:marBottom w:val="0"/>
                                  <w:divBdr>
                                    <w:top w:val="none" w:sz="0" w:space="0" w:color="auto"/>
                                    <w:left w:val="none" w:sz="0" w:space="0" w:color="auto"/>
                                    <w:bottom w:val="none" w:sz="0" w:space="0" w:color="auto"/>
                                    <w:right w:val="none" w:sz="0" w:space="0" w:color="auto"/>
                                  </w:divBdr>
                                  <w:divsChild>
                                    <w:div w:id="152170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9</Pages>
  <Words>3586</Words>
  <Characters>20442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Daniel</dc:creator>
  <cp:keywords/>
  <dc:description/>
  <cp:lastModifiedBy>Harrison, Daniel</cp:lastModifiedBy>
  <cp:revision>11</cp:revision>
  <dcterms:created xsi:type="dcterms:W3CDTF">2021-02-18T09:40:00Z</dcterms:created>
  <dcterms:modified xsi:type="dcterms:W3CDTF">2021-02-18T15:00:00Z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