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8B4E5" w14:textId="020AF82E" w:rsidR="00C8545D" w:rsidRDefault="00C8545D" w:rsidP="00682785">
      <w:pPr>
        <w:jc w:val="center"/>
        <w:rPr>
          <w:noProof/>
        </w:rPr>
      </w:pPr>
    </w:p>
    <w:p w14:paraId="17489E2A" w14:textId="60D1AD95" w:rsidR="00F8510C" w:rsidRDefault="00F8510C" w:rsidP="00F8510C">
      <w:pPr>
        <w:jc w:val="center"/>
        <w:rPr>
          <w:b/>
          <w:bCs/>
          <w:sz w:val="40"/>
          <w:szCs w:val="40"/>
        </w:rPr>
      </w:pPr>
      <w:r>
        <w:rPr>
          <w:noProof/>
        </w:rPr>
        <w:drawing>
          <wp:inline distT="0" distB="0" distL="0" distR="0" wp14:anchorId="66FD0D2F" wp14:editId="0080786F">
            <wp:extent cx="3021496" cy="1678931"/>
            <wp:effectExtent l="0" t="0" r="7620" b="0"/>
            <wp:docPr id="75627224"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2252" cy="1701577"/>
                    </a:xfrm>
                    <a:prstGeom prst="rect">
                      <a:avLst/>
                    </a:prstGeom>
                    <a:noFill/>
                    <a:ln>
                      <a:noFill/>
                    </a:ln>
                  </pic:spPr>
                </pic:pic>
              </a:graphicData>
            </a:graphic>
          </wp:inline>
        </w:drawing>
      </w:r>
    </w:p>
    <w:p w14:paraId="199D447E" w14:textId="77777777" w:rsidR="00DF024B" w:rsidRPr="00DF024B" w:rsidRDefault="00DF024B" w:rsidP="00DF024B">
      <w:pPr>
        <w:jc w:val="center"/>
        <w:rPr>
          <w:b/>
          <w:bCs/>
          <w:sz w:val="40"/>
          <w:szCs w:val="40"/>
        </w:rPr>
      </w:pPr>
      <w:r w:rsidRPr="00DF024B">
        <w:rPr>
          <w:b/>
          <w:bCs/>
          <w:sz w:val="40"/>
          <w:szCs w:val="40"/>
        </w:rPr>
        <w:t>Master of Business Administration</w:t>
      </w:r>
    </w:p>
    <w:p w14:paraId="41594AE6" w14:textId="77777777" w:rsidR="00DF024B" w:rsidRPr="00DF024B" w:rsidRDefault="00DF024B" w:rsidP="00DF024B">
      <w:pPr>
        <w:jc w:val="center"/>
        <w:rPr>
          <w:b/>
          <w:bCs/>
          <w:sz w:val="40"/>
          <w:szCs w:val="40"/>
        </w:rPr>
      </w:pPr>
    </w:p>
    <w:p w14:paraId="199B2B14" w14:textId="66A64FC0" w:rsidR="00DF024B" w:rsidRPr="00DF024B" w:rsidRDefault="00DF024B" w:rsidP="00DF024B">
      <w:pPr>
        <w:jc w:val="center"/>
        <w:rPr>
          <w:b/>
          <w:bCs/>
          <w:sz w:val="40"/>
          <w:szCs w:val="40"/>
        </w:rPr>
      </w:pPr>
      <w:r w:rsidRPr="00DF024B">
        <w:rPr>
          <w:b/>
          <w:bCs/>
          <w:sz w:val="40"/>
          <w:szCs w:val="40"/>
        </w:rPr>
        <w:t xml:space="preserve">Module: </w:t>
      </w:r>
      <w:r w:rsidRPr="00C8545D">
        <w:rPr>
          <w:b/>
          <w:bCs/>
          <w:sz w:val="40"/>
          <w:szCs w:val="40"/>
        </w:rPr>
        <w:t>Financial Management</w:t>
      </w:r>
      <w:r w:rsidRPr="00DF024B">
        <w:rPr>
          <w:b/>
          <w:bCs/>
          <w:sz w:val="40"/>
          <w:szCs w:val="40"/>
        </w:rPr>
        <w:t xml:space="preserve">, </w:t>
      </w:r>
      <w:r w:rsidRPr="00C8545D">
        <w:rPr>
          <w:b/>
          <w:bCs/>
          <w:sz w:val="40"/>
          <w:szCs w:val="40"/>
        </w:rPr>
        <w:t>LCMB7002</w:t>
      </w:r>
    </w:p>
    <w:p w14:paraId="311F44F0" w14:textId="669E1EB1" w:rsidR="00DF024B" w:rsidRDefault="00DF024B" w:rsidP="00257E28">
      <w:pPr>
        <w:jc w:val="center"/>
        <w:rPr>
          <w:b/>
          <w:bCs/>
          <w:sz w:val="40"/>
          <w:szCs w:val="40"/>
        </w:rPr>
      </w:pPr>
      <w:r w:rsidRPr="00DF024B">
        <w:rPr>
          <w:b/>
          <w:bCs/>
          <w:sz w:val="40"/>
          <w:szCs w:val="40"/>
        </w:rPr>
        <w:t xml:space="preserve">Lecturer: </w:t>
      </w:r>
      <w:r>
        <w:rPr>
          <w:b/>
          <w:bCs/>
          <w:sz w:val="40"/>
          <w:szCs w:val="40"/>
        </w:rPr>
        <w:t>Patrick Yeboah</w:t>
      </w:r>
      <w:r w:rsidRPr="00DF024B">
        <w:rPr>
          <w:b/>
          <w:bCs/>
          <w:sz w:val="40"/>
          <w:szCs w:val="40"/>
        </w:rPr>
        <w:t xml:space="preserve"> (Birmingham)</w:t>
      </w:r>
    </w:p>
    <w:p w14:paraId="17A486AD" w14:textId="63C5F8CD" w:rsidR="00DF024B" w:rsidRPr="00DF024B" w:rsidRDefault="00DF024B" w:rsidP="00DF024B">
      <w:pPr>
        <w:jc w:val="center"/>
        <w:rPr>
          <w:b/>
          <w:bCs/>
          <w:sz w:val="40"/>
          <w:szCs w:val="40"/>
        </w:rPr>
      </w:pPr>
      <w:r>
        <w:rPr>
          <w:b/>
          <w:bCs/>
          <w:sz w:val="40"/>
          <w:szCs w:val="40"/>
        </w:rPr>
        <w:t>Assessment component: financial performance and management</w:t>
      </w:r>
    </w:p>
    <w:p w14:paraId="15A53133" w14:textId="77777777" w:rsidR="00DF024B" w:rsidRPr="00DF024B" w:rsidRDefault="00DF024B" w:rsidP="00DF024B">
      <w:pPr>
        <w:jc w:val="center"/>
        <w:rPr>
          <w:b/>
          <w:bCs/>
          <w:sz w:val="40"/>
          <w:szCs w:val="40"/>
        </w:rPr>
      </w:pPr>
      <w:r w:rsidRPr="00DF024B">
        <w:rPr>
          <w:b/>
          <w:bCs/>
          <w:sz w:val="40"/>
          <w:szCs w:val="40"/>
        </w:rPr>
        <w:t xml:space="preserve">Student Name: </w:t>
      </w:r>
      <w:proofErr w:type="spellStart"/>
      <w:r w:rsidRPr="00DF024B">
        <w:rPr>
          <w:b/>
          <w:bCs/>
          <w:sz w:val="40"/>
          <w:szCs w:val="40"/>
        </w:rPr>
        <w:t>Pratikkumar</w:t>
      </w:r>
      <w:proofErr w:type="spellEnd"/>
      <w:r w:rsidRPr="00DF024B">
        <w:rPr>
          <w:b/>
          <w:bCs/>
          <w:sz w:val="40"/>
          <w:szCs w:val="40"/>
        </w:rPr>
        <w:t xml:space="preserve"> </w:t>
      </w:r>
      <w:proofErr w:type="spellStart"/>
      <w:r w:rsidRPr="00DF024B">
        <w:rPr>
          <w:b/>
          <w:bCs/>
          <w:sz w:val="40"/>
          <w:szCs w:val="40"/>
        </w:rPr>
        <w:t>Jagdishbhai</w:t>
      </w:r>
      <w:proofErr w:type="spellEnd"/>
      <w:r w:rsidRPr="00DF024B">
        <w:rPr>
          <w:b/>
          <w:bCs/>
          <w:sz w:val="40"/>
          <w:szCs w:val="40"/>
        </w:rPr>
        <w:t xml:space="preserve"> </w:t>
      </w:r>
      <w:proofErr w:type="spellStart"/>
      <w:r w:rsidRPr="00DF024B">
        <w:rPr>
          <w:b/>
          <w:bCs/>
          <w:sz w:val="40"/>
          <w:szCs w:val="40"/>
        </w:rPr>
        <w:t>Kevadiya</w:t>
      </w:r>
      <w:proofErr w:type="spellEnd"/>
    </w:p>
    <w:p w14:paraId="6B653953" w14:textId="0A28A496" w:rsidR="00DF024B" w:rsidRPr="00DF024B" w:rsidRDefault="00DF024B" w:rsidP="00257E28">
      <w:pPr>
        <w:jc w:val="center"/>
        <w:rPr>
          <w:b/>
          <w:bCs/>
          <w:sz w:val="40"/>
          <w:szCs w:val="40"/>
        </w:rPr>
      </w:pPr>
      <w:r w:rsidRPr="00DF024B">
        <w:rPr>
          <w:b/>
          <w:bCs/>
          <w:sz w:val="40"/>
          <w:szCs w:val="40"/>
        </w:rPr>
        <w:t>Student id: 2435897</w:t>
      </w:r>
    </w:p>
    <w:p w14:paraId="25551C5D" w14:textId="23E5F0E6" w:rsidR="00DF024B" w:rsidRPr="00DF024B" w:rsidRDefault="00DF024B" w:rsidP="00DF024B">
      <w:pPr>
        <w:jc w:val="center"/>
        <w:rPr>
          <w:b/>
          <w:bCs/>
          <w:sz w:val="40"/>
          <w:szCs w:val="40"/>
        </w:rPr>
      </w:pPr>
      <w:r w:rsidRPr="00DF024B">
        <w:rPr>
          <w:b/>
          <w:bCs/>
          <w:sz w:val="40"/>
          <w:szCs w:val="40"/>
        </w:rPr>
        <w:t xml:space="preserve">Word count: </w:t>
      </w:r>
      <w:r>
        <w:rPr>
          <w:b/>
          <w:bCs/>
          <w:sz w:val="40"/>
          <w:szCs w:val="40"/>
        </w:rPr>
        <w:t>4993</w:t>
      </w:r>
    </w:p>
    <w:p w14:paraId="0687DFF1" w14:textId="2E033704" w:rsidR="00DF024B" w:rsidRPr="00DF024B" w:rsidRDefault="00DF024B" w:rsidP="00DF024B">
      <w:pPr>
        <w:jc w:val="center"/>
        <w:rPr>
          <w:b/>
          <w:bCs/>
          <w:sz w:val="40"/>
          <w:szCs w:val="40"/>
        </w:rPr>
      </w:pPr>
      <w:r w:rsidRPr="00DF024B">
        <w:rPr>
          <w:b/>
          <w:bCs/>
          <w:sz w:val="40"/>
          <w:szCs w:val="40"/>
        </w:rPr>
        <w:t xml:space="preserve">Submission date: </w:t>
      </w:r>
      <w:r>
        <w:rPr>
          <w:b/>
          <w:bCs/>
          <w:sz w:val="40"/>
          <w:szCs w:val="40"/>
        </w:rPr>
        <w:t>Monday 24 November</w:t>
      </w:r>
    </w:p>
    <w:p w14:paraId="25A6C6FE" w14:textId="543EC15E" w:rsidR="00DF024B" w:rsidRPr="00DF024B" w:rsidRDefault="00DF024B" w:rsidP="00DF024B">
      <w:pPr>
        <w:jc w:val="center"/>
        <w:rPr>
          <w:b/>
          <w:bCs/>
          <w:sz w:val="40"/>
          <w:szCs w:val="40"/>
        </w:rPr>
      </w:pPr>
    </w:p>
    <w:sdt>
      <w:sdtPr>
        <w:rPr>
          <w:rFonts w:ascii="Times New Roman" w:eastAsia="Times New Roman" w:hAnsi="Times New Roman" w:cs="Times New Roman"/>
          <w:color w:val="auto"/>
          <w:sz w:val="24"/>
          <w:szCs w:val="20"/>
          <w:lang w:val="en-GB" w:eastAsia="en-GB"/>
        </w:rPr>
        <w:id w:val="1320614245"/>
        <w:docPartObj>
          <w:docPartGallery w:val="Table of Contents"/>
          <w:docPartUnique/>
        </w:docPartObj>
      </w:sdtPr>
      <w:sdtEndPr>
        <w:rPr>
          <w:b/>
          <w:bCs/>
          <w:noProof/>
        </w:rPr>
      </w:sdtEndPr>
      <w:sdtContent>
        <w:p w14:paraId="5EEE0F3F" w14:textId="53A94174" w:rsidR="00C8545D" w:rsidRPr="00682785" w:rsidRDefault="00F8510C" w:rsidP="00682785">
          <w:pPr>
            <w:pStyle w:val="TOCHeading"/>
            <w:spacing w:after="240" w:line="360" w:lineRule="auto"/>
            <w:jc w:val="center"/>
            <w:rPr>
              <w:rFonts w:ascii="Times New Roman" w:hAnsi="Times New Roman" w:cs="Times New Roman"/>
              <w:b/>
              <w:bCs/>
              <w:color w:val="auto"/>
              <w:sz w:val="28"/>
              <w:szCs w:val="28"/>
            </w:rPr>
          </w:pPr>
          <w:r w:rsidRPr="00682785">
            <w:rPr>
              <w:rFonts w:ascii="Times New Roman" w:hAnsi="Times New Roman" w:cs="Times New Roman"/>
              <w:b/>
              <w:bCs/>
              <w:color w:val="auto"/>
              <w:sz w:val="28"/>
              <w:szCs w:val="28"/>
            </w:rPr>
            <w:t>TABLE OF CONTENTS</w:t>
          </w:r>
        </w:p>
        <w:p w14:paraId="02C03133" w14:textId="30659BCE" w:rsidR="00682785" w:rsidRDefault="00C8545D">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10505194" w:history="1">
            <w:r w:rsidR="00682785" w:rsidRPr="0072689F">
              <w:rPr>
                <w:rStyle w:val="Hyperlink"/>
                <w:noProof/>
              </w:rPr>
              <w:t>1. Financial Health Check</w:t>
            </w:r>
            <w:r w:rsidR="00682785">
              <w:rPr>
                <w:noProof/>
                <w:webHidden/>
              </w:rPr>
              <w:tab/>
            </w:r>
            <w:r w:rsidR="00682785">
              <w:rPr>
                <w:noProof/>
                <w:webHidden/>
              </w:rPr>
              <w:fldChar w:fldCharType="begin"/>
            </w:r>
            <w:r w:rsidR="00682785">
              <w:rPr>
                <w:noProof/>
                <w:webHidden/>
              </w:rPr>
              <w:instrText xml:space="preserve"> PAGEREF _Toc210505194 \h </w:instrText>
            </w:r>
            <w:r w:rsidR="00682785">
              <w:rPr>
                <w:noProof/>
                <w:webHidden/>
              </w:rPr>
            </w:r>
            <w:r w:rsidR="00682785">
              <w:rPr>
                <w:noProof/>
                <w:webHidden/>
              </w:rPr>
              <w:fldChar w:fldCharType="separate"/>
            </w:r>
            <w:r w:rsidR="00682785">
              <w:rPr>
                <w:noProof/>
                <w:webHidden/>
              </w:rPr>
              <w:t>4</w:t>
            </w:r>
            <w:r w:rsidR="00682785">
              <w:rPr>
                <w:noProof/>
                <w:webHidden/>
              </w:rPr>
              <w:fldChar w:fldCharType="end"/>
            </w:r>
          </w:hyperlink>
        </w:p>
        <w:p w14:paraId="222C1CEA" w14:textId="1B5E19C3"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195" w:history="1">
            <w:r w:rsidRPr="0072689F">
              <w:rPr>
                <w:rStyle w:val="Hyperlink"/>
                <w:noProof/>
              </w:rPr>
              <w:t>1.1 Financial Statement Analysis</w:t>
            </w:r>
            <w:r>
              <w:rPr>
                <w:noProof/>
                <w:webHidden/>
              </w:rPr>
              <w:tab/>
            </w:r>
            <w:r>
              <w:rPr>
                <w:noProof/>
                <w:webHidden/>
              </w:rPr>
              <w:fldChar w:fldCharType="begin"/>
            </w:r>
            <w:r>
              <w:rPr>
                <w:noProof/>
                <w:webHidden/>
              </w:rPr>
              <w:instrText xml:space="preserve"> PAGEREF _Toc210505195 \h </w:instrText>
            </w:r>
            <w:r>
              <w:rPr>
                <w:noProof/>
                <w:webHidden/>
              </w:rPr>
            </w:r>
            <w:r>
              <w:rPr>
                <w:noProof/>
                <w:webHidden/>
              </w:rPr>
              <w:fldChar w:fldCharType="separate"/>
            </w:r>
            <w:r>
              <w:rPr>
                <w:noProof/>
                <w:webHidden/>
              </w:rPr>
              <w:t>4</w:t>
            </w:r>
            <w:r>
              <w:rPr>
                <w:noProof/>
                <w:webHidden/>
              </w:rPr>
              <w:fldChar w:fldCharType="end"/>
            </w:r>
          </w:hyperlink>
        </w:p>
        <w:p w14:paraId="115DF702" w14:textId="4F05AE59"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196" w:history="1">
            <w:r w:rsidRPr="0072689F">
              <w:rPr>
                <w:rStyle w:val="Hyperlink"/>
                <w:noProof/>
              </w:rPr>
              <w:t>1.2 Ratio Analysis</w:t>
            </w:r>
            <w:r>
              <w:rPr>
                <w:noProof/>
                <w:webHidden/>
              </w:rPr>
              <w:tab/>
            </w:r>
            <w:r>
              <w:rPr>
                <w:noProof/>
                <w:webHidden/>
              </w:rPr>
              <w:fldChar w:fldCharType="begin"/>
            </w:r>
            <w:r>
              <w:rPr>
                <w:noProof/>
                <w:webHidden/>
              </w:rPr>
              <w:instrText xml:space="preserve"> PAGEREF _Toc210505196 \h </w:instrText>
            </w:r>
            <w:r>
              <w:rPr>
                <w:noProof/>
                <w:webHidden/>
              </w:rPr>
            </w:r>
            <w:r>
              <w:rPr>
                <w:noProof/>
                <w:webHidden/>
              </w:rPr>
              <w:fldChar w:fldCharType="separate"/>
            </w:r>
            <w:r>
              <w:rPr>
                <w:noProof/>
                <w:webHidden/>
              </w:rPr>
              <w:t>9</w:t>
            </w:r>
            <w:r>
              <w:rPr>
                <w:noProof/>
                <w:webHidden/>
              </w:rPr>
              <w:fldChar w:fldCharType="end"/>
            </w:r>
          </w:hyperlink>
        </w:p>
        <w:p w14:paraId="5CD9C278" w14:textId="64E7A00F"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197" w:history="1">
            <w:r w:rsidRPr="0072689F">
              <w:rPr>
                <w:rStyle w:val="Hyperlink"/>
                <w:noProof/>
              </w:rPr>
              <w:t>1.3 Trend, Strengths, and Threats</w:t>
            </w:r>
            <w:r>
              <w:rPr>
                <w:noProof/>
                <w:webHidden/>
              </w:rPr>
              <w:tab/>
            </w:r>
            <w:r>
              <w:rPr>
                <w:noProof/>
                <w:webHidden/>
              </w:rPr>
              <w:fldChar w:fldCharType="begin"/>
            </w:r>
            <w:r>
              <w:rPr>
                <w:noProof/>
                <w:webHidden/>
              </w:rPr>
              <w:instrText xml:space="preserve"> PAGEREF _Toc210505197 \h </w:instrText>
            </w:r>
            <w:r>
              <w:rPr>
                <w:noProof/>
                <w:webHidden/>
              </w:rPr>
            </w:r>
            <w:r>
              <w:rPr>
                <w:noProof/>
                <w:webHidden/>
              </w:rPr>
              <w:fldChar w:fldCharType="separate"/>
            </w:r>
            <w:r>
              <w:rPr>
                <w:noProof/>
                <w:webHidden/>
              </w:rPr>
              <w:t>15</w:t>
            </w:r>
            <w:r>
              <w:rPr>
                <w:noProof/>
                <w:webHidden/>
              </w:rPr>
              <w:fldChar w:fldCharType="end"/>
            </w:r>
          </w:hyperlink>
        </w:p>
        <w:p w14:paraId="29065F05" w14:textId="4DDB3D47"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198" w:history="1">
            <w:r w:rsidRPr="0072689F">
              <w:rPr>
                <w:rStyle w:val="Hyperlink"/>
                <w:noProof/>
              </w:rPr>
              <w:t>1.4 Application of the Altman Z-Score model as a corporate failure prediction framework</w:t>
            </w:r>
            <w:r>
              <w:rPr>
                <w:noProof/>
                <w:webHidden/>
              </w:rPr>
              <w:tab/>
            </w:r>
            <w:r>
              <w:rPr>
                <w:noProof/>
                <w:webHidden/>
              </w:rPr>
              <w:fldChar w:fldCharType="begin"/>
            </w:r>
            <w:r>
              <w:rPr>
                <w:noProof/>
                <w:webHidden/>
              </w:rPr>
              <w:instrText xml:space="preserve"> PAGEREF _Toc210505198 \h </w:instrText>
            </w:r>
            <w:r>
              <w:rPr>
                <w:noProof/>
                <w:webHidden/>
              </w:rPr>
            </w:r>
            <w:r>
              <w:rPr>
                <w:noProof/>
                <w:webHidden/>
              </w:rPr>
              <w:fldChar w:fldCharType="separate"/>
            </w:r>
            <w:r>
              <w:rPr>
                <w:noProof/>
                <w:webHidden/>
              </w:rPr>
              <w:t>16</w:t>
            </w:r>
            <w:r>
              <w:rPr>
                <w:noProof/>
                <w:webHidden/>
              </w:rPr>
              <w:fldChar w:fldCharType="end"/>
            </w:r>
          </w:hyperlink>
        </w:p>
        <w:p w14:paraId="74780C18" w14:textId="72D9DED1" w:rsidR="00682785" w:rsidRDefault="00682785">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199" w:history="1">
            <w:r w:rsidRPr="0072689F">
              <w:rPr>
                <w:rStyle w:val="Hyperlink"/>
                <w:noProof/>
              </w:rPr>
              <w:t>2. Working Capital Management Analysis</w:t>
            </w:r>
            <w:r>
              <w:rPr>
                <w:noProof/>
                <w:webHidden/>
              </w:rPr>
              <w:tab/>
            </w:r>
            <w:r>
              <w:rPr>
                <w:noProof/>
                <w:webHidden/>
              </w:rPr>
              <w:fldChar w:fldCharType="begin"/>
            </w:r>
            <w:r>
              <w:rPr>
                <w:noProof/>
                <w:webHidden/>
              </w:rPr>
              <w:instrText xml:space="preserve"> PAGEREF _Toc210505199 \h </w:instrText>
            </w:r>
            <w:r>
              <w:rPr>
                <w:noProof/>
                <w:webHidden/>
              </w:rPr>
            </w:r>
            <w:r>
              <w:rPr>
                <w:noProof/>
                <w:webHidden/>
              </w:rPr>
              <w:fldChar w:fldCharType="separate"/>
            </w:r>
            <w:r>
              <w:rPr>
                <w:noProof/>
                <w:webHidden/>
              </w:rPr>
              <w:t>18</w:t>
            </w:r>
            <w:r>
              <w:rPr>
                <w:noProof/>
                <w:webHidden/>
              </w:rPr>
              <w:fldChar w:fldCharType="end"/>
            </w:r>
          </w:hyperlink>
        </w:p>
        <w:p w14:paraId="3C74E749" w14:textId="365E1AF6"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0" w:history="1">
            <w:r w:rsidRPr="0072689F">
              <w:rPr>
                <w:rStyle w:val="Hyperlink"/>
                <w:noProof/>
              </w:rPr>
              <w:t>2.1 Cash Operating Cycle</w:t>
            </w:r>
            <w:r>
              <w:rPr>
                <w:noProof/>
                <w:webHidden/>
              </w:rPr>
              <w:tab/>
            </w:r>
            <w:r>
              <w:rPr>
                <w:noProof/>
                <w:webHidden/>
              </w:rPr>
              <w:fldChar w:fldCharType="begin"/>
            </w:r>
            <w:r>
              <w:rPr>
                <w:noProof/>
                <w:webHidden/>
              </w:rPr>
              <w:instrText xml:space="preserve"> PAGEREF _Toc210505200 \h </w:instrText>
            </w:r>
            <w:r>
              <w:rPr>
                <w:noProof/>
                <w:webHidden/>
              </w:rPr>
            </w:r>
            <w:r>
              <w:rPr>
                <w:noProof/>
                <w:webHidden/>
              </w:rPr>
              <w:fldChar w:fldCharType="separate"/>
            </w:r>
            <w:r>
              <w:rPr>
                <w:noProof/>
                <w:webHidden/>
              </w:rPr>
              <w:t>18</w:t>
            </w:r>
            <w:r>
              <w:rPr>
                <w:noProof/>
                <w:webHidden/>
              </w:rPr>
              <w:fldChar w:fldCharType="end"/>
            </w:r>
          </w:hyperlink>
        </w:p>
        <w:p w14:paraId="6BD9AB04" w14:textId="69A8275A"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1" w:history="1">
            <w:r w:rsidRPr="0072689F">
              <w:rPr>
                <w:rStyle w:val="Hyperlink"/>
                <w:noProof/>
              </w:rPr>
              <w:t>2.2 Liquidity-Enhancing Strategies Using Working Capital Reforms</w:t>
            </w:r>
            <w:r>
              <w:rPr>
                <w:noProof/>
                <w:webHidden/>
              </w:rPr>
              <w:tab/>
            </w:r>
            <w:r>
              <w:rPr>
                <w:noProof/>
                <w:webHidden/>
              </w:rPr>
              <w:fldChar w:fldCharType="begin"/>
            </w:r>
            <w:r>
              <w:rPr>
                <w:noProof/>
                <w:webHidden/>
              </w:rPr>
              <w:instrText xml:space="preserve"> PAGEREF _Toc210505201 \h </w:instrText>
            </w:r>
            <w:r>
              <w:rPr>
                <w:noProof/>
                <w:webHidden/>
              </w:rPr>
            </w:r>
            <w:r>
              <w:rPr>
                <w:noProof/>
                <w:webHidden/>
              </w:rPr>
              <w:fldChar w:fldCharType="separate"/>
            </w:r>
            <w:r>
              <w:rPr>
                <w:noProof/>
                <w:webHidden/>
              </w:rPr>
              <w:t>19</w:t>
            </w:r>
            <w:r>
              <w:rPr>
                <w:noProof/>
                <w:webHidden/>
              </w:rPr>
              <w:fldChar w:fldCharType="end"/>
            </w:r>
          </w:hyperlink>
        </w:p>
        <w:p w14:paraId="1882ADF2" w14:textId="0FCF505E"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2" w:history="1">
            <w:r w:rsidRPr="0072689F">
              <w:rPr>
                <w:rStyle w:val="Hyperlink"/>
                <w:noProof/>
              </w:rPr>
              <w:t>2.3 Short-term vs. long-term financing</w:t>
            </w:r>
            <w:r>
              <w:rPr>
                <w:noProof/>
                <w:webHidden/>
              </w:rPr>
              <w:tab/>
            </w:r>
            <w:r>
              <w:rPr>
                <w:noProof/>
                <w:webHidden/>
              </w:rPr>
              <w:fldChar w:fldCharType="begin"/>
            </w:r>
            <w:r>
              <w:rPr>
                <w:noProof/>
                <w:webHidden/>
              </w:rPr>
              <w:instrText xml:space="preserve"> PAGEREF _Toc210505202 \h </w:instrText>
            </w:r>
            <w:r>
              <w:rPr>
                <w:noProof/>
                <w:webHidden/>
              </w:rPr>
            </w:r>
            <w:r>
              <w:rPr>
                <w:noProof/>
                <w:webHidden/>
              </w:rPr>
              <w:fldChar w:fldCharType="separate"/>
            </w:r>
            <w:r>
              <w:rPr>
                <w:noProof/>
                <w:webHidden/>
              </w:rPr>
              <w:t>19</w:t>
            </w:r>
            <w:r>
              <w:rPr>
                <w:noProof/>
                <w:webHidden/>
              </w:rPr>
              <w:fldChar w:fldCharType="end"/>
            </w:r>
          </w:hyperlink>
        </w:p>
        <w:p w14:paraId="6857C932" w14:textId="153564AE" w:rsidR="00682785" w:rsidRDefault="00682785">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3" w:history="1">
            <w:r w:rsidRPr="0072689F">
              <w:rPr>
                <w:rStyle w:val="Hyperlink"/>
                <w:noProof/>
              </w:rPr>
              <w:t>3. Strategic Financial Restructuring Plan</w:t>
            </w:r>
            <w:r>
              <w:rPr>
                <w:noProof/>
                <w:webHidden/>
              </w:rPr>
              <w:tab/>
            </w:r>
            <w:r>
              <w:rPr>
                <w:noProof/>
                <w:webHidden/>
              </w:rPr>
              <w:fldChar w:fldCharType="begin"/>
            </w:r>
            <w:r>
              <w:rPr>
                <w:noProof/>
                <w:webHidden/>
              </w:rPr>
              <w:instrText xml:space="preserve"> PAGEREF _Toc210505203 \h </w:instrText>
            </w:r>
            <w:r>
              <w:rPr>
                <w:noProof/>
                <w:webHidden/>
              </w:rPr>
            </w:r>
            <w:r>
              <w:rPr>
                <w:noProof/>
                <w:webHidden/>
              </w:rPr>
              <w:fldChar w:fldCharType="separate"/>
            </w:r>
            <w:r>
              <w:rPr>
                <w:noProof/>
                <w:webHidden/>
              </w:rPr>
              <w:t>20</w:t>
            </w:r>
            <w:r>
              <w:rPr>
                <w:noProof/>
                <w:webHidden/>
              </w:rPr>
              <w:fldChar w:fldCharType="end"/>
            </w:r>
          </w:hyperlink>
        </w:p>
        <w:p w14:paraId="0ACE6A6B" w14:textId="689715A4"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4" w:history="1">
            <w:r w:rsidRPr="0072689F">
              <w:rPr>
                <w:rStyle w:val="Hyperlink"/>
                <w:noProof/>
              </w:rPr>
              <w:t>3.1 Recommended Financial Restructuring Options</w:t>
            </w:r>
            <w:r>
              <w:rPr>
                <w:noProof/>
                <w:webHidden/>
              </w:rPr>
              <w:tab/>
            </w:r>
            <w:r>
              <w:rPr>
                <w:noProof/>
                <w:webHidden/>
              </w:rPr>
              <w:fldChar w:fldCharType="begin"/>
            </w:r>
            <w:r>
              <w:rPr>
                <w:noProof/>
                <w:webHidden/>
              </w:rPr>
              <w:instrText xml:space="preserve"> PAGEREF _Toc210505204 \h </w:instrText>
            </w:r>
            <w:r>
              <w:rPr>
                <w:noProof/>
                <w:webHidden/>
              </w:rPr>
            </w:r>
            <w:r>
              <w:rPr>
                <w:noProof/>
                <w:webHidden/>
              </w:rPr>
              <w:fldChar w:fldCharType="separate"/>
            </w:r>
            <w:r>
              <w:rPr>
                <w:noProof/>
                <w:webHidden/>
              </w:rPr>
              <w:t>20</w:t>
            </w:r>
            <w:r>
              <w:rPr>
                <w:noProof/>
                <w:webHidden/>
              </w:rPr>
              <w:fldChar w:fldCharType="end"/>
            </w:r>
          </w:hyperlink>
        </w:p>
        <w:p w14:paraId="2BD549E3" w14:textId="5C3D16EF"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5" w:history="1">
            <w:r w:rsidRPr="0072689F">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_Toc210505205 \h </w:instrText>
            </w:r>
            <w:r>
              <w:rPr>
                <w:noProof/>
                <w:webHidden/>
              </w:rPr>
            </w:r>
            <w:r>
              <w:rPr>
                <w:noProof/>
                <w:webHidden/>
              </w:rPr>
              <w:fldChar w:fldCharType="separate"/>
            </w:r>
            <w:r>
              <w:rPr>
                <w:noProof/>
                <w:webHidden/>
              </w:rPr>
              <w:t>22</w:t>
            </w:r>
            <w:r>
              <w:rPr>
                <w:noProof/>
                <w:webHidden/>
              </w:rPr>
              <w:fldChar w:fldCharType="end"/>
            </w:r>
          </w:hyperlink>
        </w:p>
        <w:p w14:paraId="30805A17" w14:textId="286623D7"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6" w:history="1">
            <w:r w:rsidRPr="0072689F">
              <w:rPr>
                <w:rStyle w:val="Hyperlink"/>
                <w:noProof/>
              </w:rPr>
              <w:t>3.3 International and Ethical Considerations</w:t>
            </w:r>
            <w:r>
              <w:rPr>
                <w:noProof/>
                <w:webHidden/>
              </w:rPr>
              <w:tab/>
            </w:r>
            <w:r>
              <w:rPr>
                <w:noProof/>
                <w:webHidden/>
              </w:rPr>
              <w:fldChar w:fldCharType="begin"/>
            </w:r>
            <w:r>
              <w:rPr>
                <w:noProof/>
                <w:webHidden/>
              </w:rPr>
              <w:instrText xml:space="preserve"> PAGEREF _Toc210505206 \h </w:instrText>
            </w:r>
            <w:r>
              <w:rPr>
                <w:noProof/>
                <w:webHidden/>
              </w:rPr>
            </w:r>
            <w:r>
              <w:rPr>
                <w:noProof/>
                <w:webHidden/>
              </w:rPr>
              <w:fldChar w:fldCharType="separate"/>
            </w:r>
            <w:r>
              <w:rPr>
                <w:noProof/>
                <w:webHidden/>
              </w:rPr>
              <w:t>23</w:t>
            </w:r>
            <w:r>
              <w:rPr>
                <w:noProof/>
                <w:webHidden/>
              </w:rPr>
              <w:fldChar w:fldCharType="end"/>
            </w:r>
          </w:hyperlink>
        </w:p>
        <w:p w14:paraId="470CE8EA" w14:textId="64FFA189" w:rsidR="00682785" w:rsidRDefault="00682785">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7" w:history="1">
            <w:r w:rsidRPr="0072689F">
              <w:rPr>
                <w:rStyle w:val="Hyperlink"/>
                <w:noProof/>
              </w:rPr>
              <w:t>4. Investment Appraisal and Capital Budgeting</w:t>
            </w:r>
            <w:r>
              <w:rPr>
                <w:noProof/>
                <w:webHidden/>
              </w:rPr>
              <w:tab/>
            </w:r>
            <w:r>
              <w:rPr>
                <w:noProof/>
                <w:webHidden/>
              </w:rPr>
              <w:fldChar w:fldCharType="begin"/>
            </w:r>
            <w:r>
              <w:rPr>
                <w:noProof/>
                <w:webHidden/>
              </w:rPr>
              <w:instrText xml:space="preserve"> PAGEREF _Toc210505207 \h </w:instrText>
            </w:r>
            <w:r>
              <w:rPr>
                <w:noProof/>
                <w:webHidden/>
              </w:rPr>
            </w:r>
            <w:r>
              <w:rPr>
                <w:noProof/>
                <w:webHidden/>
              </w:rPr>
              <w:fldChar w:fldCharType="separate"/>
            </w:r>
            <w:r>
              <w:rPr>
                <w:noProof/>
                <w:webHidden/>
              </w:rPr>
              <w:t>25</w:t>
            </w:r>
            <w:r>
              <w:rPr>
                <w:noProof/>
                <w:webHidden/>
              </w:rPr>
              <w:fldChar w:fldCharType="end"/>
            </w:r>
          </w:hyperlink>
        </w:p>
        <w:p w14:paraId="55503A90" w14:textId="15221FF6"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8" w:history="1">
            <w:r w:rsidRPr="0072689F">
              <w:rPr>
                <w:rStyle w:val="Hyperlink"/>
                <w:noProof/>
              </w:rPr>
              <w:t>4.1 Investment Appraisal Methods in Analysis of Project Proposals</w:t>
            </w:r>
            <w:r>
              <w:rPr>
                <w:noProof/>
                <w:webHidden/>
              </w:rPr>
              <w:tab/>
            </w:r>
            <w:r>
              <w:rPr>
                <w:noProof/>
                <w:webHidden/>
              </w:rPr>
              <w:fldChar w:fldCharType="begin"/>
            </w:r>
            <w:r>
              <w:rPr>
                <w:noProof/>
                <w:webHidden/>
              </w:rPr>
              <w:instrText xml:space="preserve"> PAGEREF _Toc210505208 \h </w:instrText>
            </w:r>
            <w:r>
              <w:rPr>
                <w:noProof/>
                <w:webHidden/>
              </w:rPr>
            </w:r>
            <w:r>
              <w:rPr>
                <w:noProof/>
                <w:webHidden/>
              </w:rPr>
              <w:fldChar w:fldCharType="separate"/>
            </w:r>
            <w:r>
              <w:rPr>
                <w:noProof/>
                <w:webHidden/>
              </w:rPr>
              <w:t>25</w:t>
            </w:r>
            <w:r>
              <w:rPr>
                <w:noProof/>
                <w:webHidden/>
              </w:rPr>
              <w:fldChar w:fldCharType="end"/>
            </w:r>
          </w:hyperlink>
        </w:p>
        <w:p w14:paraId="01E39330" w14:textId="421C0D0E"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09" w:history="1">
            <w:r w:rsidRPr="0072689F">
              <w:rPr>
                <w:rStyle w:val="Hyperlink"/>
                <w:noProof/>
              </w:rPr>
              <w:t>4.2 Final Investment Recommendation Assuming Capital Rationing</w:t>
            </w:r>
            <w:r>
              <w:rPr>
                <w:noProof/>
                <w:webHidden/>
              </w:rPr>
              <w:tab/>
            </w:r>
            <w:r>
              <w:rPr>
                <w:noProof/>
                <w:webHidden/>
              </w:rPr>
              <w:fldChar w:fldCharType="begin"/>
            </w:r>
            <w:r>
              <w:rPr>
                <w:noProof/>
                <w:webHidden/>
              </w:rPr>
              <w:instrText xml:space="preserve"> PAGEREF _Toc210505209 \h </w:instrText>
            </w:r>
            <w:r>
              <w:rPr>
                <w:noProof/>
                <w:webHidden/>
              </w:rPr>
            </w:r>
            <w:r>
              <w:rPr>
                <w:noProof/>
                <w:webHidden/>
              </w:rPr>
              <w:fldChar w:fldCharType="separate"/>
            </w:r>
            <w:r>
              <w:rPr>
                <w:noProof/>
                <w:webHidden/>
              </w:rPr>
              <w:t>29</w:t>
            </w:r>
            <w:r>
              <w:rPr>
                <w:noProof/>
                <w:webHidden/>
              </w:rPr>
              <w:fldChar w:fldCharType="end"/>
            </w:r>
          </w:hyperlink>
        </w:p>
        <w:p w14:paraId="129248FE" w14:textId="75EA8EA2"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10" w:history="1">
            <w:r w:rsidRPr="0072689F">
              <w:rPr>
                <w:rStyle w:val="Hyperlink"/>
                <w:noProof/>
              </w:rPr>
              <w:t>4.3 Justification in reference to Financial Performance and Project Risk characteristics</w:t>
            </w:r>
            <w:r>
              <w:rPr>
                <w:noProof/>
                <w:webHidden/>
              </w:rPr>
              <w:tab/>
            </w:r>
            <w:r>
              <w:rPr>
                <w:noProof/>
                <w:webHidden/>
              </w:rPr>
              <w:fldChar w:fldCharType="begin"/>
            </w:r>
            <w:r>
              <w:rPr>
                <w:noProof/>
                <w:webHidden/>
              </w:rPr>
              <w:instrText xml:space="preserve"> PAGEREF _Toc210505210 \h </w:instrText>
            </w:r>
            <w:r>
              <w:rPr>
                <w:noProof/>
                <w:webHidden/>
              </w:rPr>
            </w:r>
            <w:r>
              <w:rPr>
                <w:noProof/>
                <w:webHidden/>
              </w:rPr>
              <w:fldChar w:fldCharType="separate"/>
            </w:r>
            <w:r>
              <w:rPr>
                <w:noProof/>
                <w:webHidden/>
              </w:rPr>
              <w:t>29</w:t>
            </w:r>
            <w:r>
              <w:rPr>
                <w:noProof/>
                <w:webHidden/>
              </w:rPr>
              <w:fldChar w:fldCharType="end"/>
            </w:r>
          </w:hyperlink>
        </w:p>
        <w:p w14:paraId="110706BB" w14:textId="2F1B16C1" w:rsidR="00682785" w:rsidRDefault="00682785">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11" w:history="1">
            <w:r w:rsidRPr="0072689F">
              <w:rPr>
                <w:rStyle w:val="Hyperlink"/>
                <w:noProof/>
              </w:rPr>
              <w:t>Reference List</w:t>
            </w:r>
            <w:r>
              <w:rPr>
                <w:noProof/>
                <w:webHidden/>
              </w:rPr>
              <w:tab/>
            </w:r>
            <w:r>
              <w:rPr>
                <w:noProof/>
                <w:webHidden/>
              </w:rPr>
              <w:fldChar w:fldCharType="begin"/>
            </w:r>
            <w:r>
              <w:rPr>
                <w:noProof/>
                <w:webHidden/>
              </w:rPr>
              <w:instrText xml:space="preserve"> PAGEREF _Toc210505211 \h </w:instrText>
            </w:r>
            <w:r>
              <w:rPr>
                <w:noProof/>
                <w:webHidden/>
              </w:rPr>
            </w:r>
            <w:r>
              <w:rPr>
                <w:noProof/>
                <w:webHidden/>
              </w:rPr>
              <w:fldChar w:fldCharType="separate"/>
            </w:r>
            <w:r>
              <w:rPr>
                <w:noProof/>
                <w:webHidden/>
              </w:rPr>
              <w:t>31</w:t>
            </w:r>
            <w:r>
              <w:rPr>
                <w:noProof/>
                <w:webHidden/>
              </w:rPr>
              <w:fldChar w:fldCharType="end"/>
            </w:r>
          </w:hyperlink>
        </w:p>
        <w:p w14:paraId="5599DEDE" w14:textId="0D5E5005" w:rsidR="00682785" w:rsidRDefault="00682785">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12" w:history="1">
            <w:r w:rsidRPr="0072689F">
              <w:rPr>
                <w:rStyle w:val="Hyperlink"/>
                <w:noProof/>
              </w:rPr>
              <w:t>Appendices</w:t>
            </w:r>
            <w:r>
              <w:rPr>
                <w:noProof/>
                <w:webHidden/>
              </w:rPr>
              <w:tab/>
            </w:r>
            <w:r>
              <w:rPr>
                <w:noProof/>
                <w:webHidden/>
              </w:rPr>
              <w:fldChar w:fldCharType="begin"/>
            </w:r>
            <w:r>
              <w:rPr>
                <w:noProof/>
                <w:webHidden/>
              </w:rPr>
              <w:instrText xml:space="preserve"> PAGEREF _Toc210505212 \h </w:instrText>
            </w:r>
            <w:r>
              <w:rPr>
                <w:noProof/>
                <w:webHidden/>
              </w:rPr>
            </w:r>
            <w:r>
              <w:rPr>
                <w:noProof/>
                <w:webHidden/>
              </w:rPr>
              <w:fldChar w:fldCharType="separate"/>
            </w:r>
            <w:r>
              <w:rPr>
                <w:noProof/>
                <w:webHidden/>
              </w:rPr>
              <w:t>38</w:t>
            </w:r>
            <w:r>
              <w:rPr>
                <w:noProof/>
                <w:webHidden/>
              </w:rPr>
              <w:fldChar w:fldCharType="end"/>
            </w:r>
          </w:hyperlink>
        </w:p>
        <w:p w14:paraId="0B07C790" w14:textId="409F2999"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13" w:history="1">
            <w:r w:rsidRPr="0072689F">
              <w:rPr>
                <w:rStyle w:val="Hyperlink"/>
                <w:noProof/>
              </w:rPr>
              <w:t>Ratio Calculations</w:t>
            </w:r>
            <w:r>
              <w:rPr>
                <w:noProof/>
                <w:webHidden/>
              </w:rPr>
              <w:tab/>
            </w:r>
            <w:r>
              <w:rPr>
                <w:noProof/>
                <w:webHidden/>
              </w:rPr>
              <w:fldChar w:fldCharType="begin"/>
            </w:r>
            <w:r>
              <w:rPr>
                <w:noProof/>
                <w:webHidden/>
              </w:rPr>
              <w:instrText xml:space="preserve"> PAGEREF _Toc210505213 \h </w:instrText>
            </w:r>
            <w:r>
              <w:rPr>
                <w:noProof/>
                <w:webHidden/>
              </w:rPr>
            </w:r>
            <w:r>
              <w:rPr>
                <w:noProof/>
                <w:webHidden/>
              </w:rPr>
              <w:fldChar w:fldCharType="separate"/>
            </w:r>
            <w:r>
              <w:rPr>
                <w:noProof/>
                <w:webHidden/>
              </w:rPr>
              <w:t>38</w:t>
            </w:r>
            <w:r>
              <w:rPr>
                <w:noProof/>
                <w:webHidden/>
              </w:rPr>
              <w:fldChar w:fldCharType="end"/>
            </w:r>
          </w:hyperlink>
        </w:p>
        <w:p w14:paraId="447F9BC8" w14:textId="18CEE058" w:rsidR="00682785" w:rsidRDefault="00682785">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10505214" w:history="1">
            <w:r w:rsidRPr="0072689F">
              <w:rPr>
                <w:rStyle w:val="Hyperlink"/>
                <w:noProof/>
              </w:rPr>
              <w:t>Investment Appraisal Calculations</w:t>
            </w:r>
            <w:r>
              <w:rPr>
                <w:noProof/>
                <w:webHidden/>
              </w:rPr>
              <w:tab/>
            </w:r>
            <w:r>
              <w:rPr>
                <w:noProof/>
                <w:webHidden/>
              </w:rPr>
              <w:fldChar w:fldCharType="begin"/>
            </w:r>
            <w:r>
              <w:rPr>
                <w:noProof/>
                <w:webHidden/>
              </w:rPr>
              <w:instrText xml:space="preserve"> PAGEREF _Toc210505214 \h </w:instrText>
            </w:r>
            <w:r>
              <w:rPr>
                <w:noProof/>
                <w:webHidden/>
              </w:rPr>
            </w:r>
            <w:r>
              <w:rPr>
                <w:noProof/>
                <w:webHidden/>
              </w:rPr>
              <w:fldChar w:fldCharType="separate"/>
            </w:r>
            <w:r>
              <w:rPr>
                <w:noProof/>
                <w:webHidden/>
              </w:rPr>
              <w:t>39</w:t>
            </w:r>
            <w:r>
              <w:rPr>
                <w:noProof/>
                <w:webHidden/>
              </w:rPr>
              <w:fldChar w:fldCharType="end"/>
            </w:r>
          </w:hyperlink>
        </w:p>
        <w:p w14:paraId="602AC7AE" w14:textId="63443FE3" w:rsidR="00C8545D" w:rsidRPr="00EC4AD4" w:rsidRDefault="00C8545D" w:rsidP="00EC4AD4">
          <w:r>
            <w:rPr>
              <w:b/>
              <w:bCs/>
              <w:noProof/>
            </w:rPr>
            <w:fldChar w:fldCharType="end"/>
          </w:r>
        </w:p>
      </w:sdtContent>
    </w:sdt>
    <w:p w14:paraId="1052A85B" w14:textId="77777777" w:rsidR="00682785" w:rsidRPr="005A4B26" w:rsidRDefault="00C8545D" w:rsidP="00682785">
      <w:pPr>
        <w:pStyle w:val="Heading1"/>
      </w:pPr>
      <w:r>
        <w:br w:type="page"/>
      </w:r>
      <w:bookmarkStart w:id="0" w:name="_Toc210505194"/>
      <w:r w:rsidR="00682785" w:rsidRPr="005A4B26">
        <w:lastRenderedPageBreak/>
        <w:t>1. Financial Health Check</w:t>
      </w:r>
      <w:bookmarkEnd w:id="0"/>
    </w:p>
    <w:p w14:paraId="4E1154F1" w14:textId="77777777" w:rsidR="00682785" w:rsidRPr="005A4B26" w:rsidRDefault="00682785" w:rsidP="00682785">
      <w:pPr>
        <w:pStyle w:val="Heading2"/>
      </w:pPr>
      <w:bookmarkStart w:id="1" w:name="_gubljhf6qda1" w:colFirst="0" w:colLast="0"/>
      <w:bookmarkStart w:id="2" w:name="_Toc210505195"/>
      <w:bookmarkEnd w:id="1"/>
      <w:r w:rsidRPr="005A4B26">
        <w:t>1.1 Financial Statement Analysis</w:t>
      </w:r>
      <w:bookmarkEnd w:id="2"/>
      <w:r w:rsidRPr="005A4B26">
        <w:t xml:space="preserve"> </w:t>
      </w:r>
    </w:p>
    <w:p w14:paraId="09F49000" w14:textId="77777777" w:rsidR="00682785" w:rsidRPr="005A4B26" w:rsidRDefault="00682785" w:rsidP="00682785">
      <w:r w:rsidRPr="005A4B26">
        <w:t xml:space="preserve">In the analysis of financial statements to interpret the fiscal health and performance of General Electronics, the income statement, statement of financial position, and cash flow statement have been assessed. In the overview of the last five years’ financial performance, the decline of revenue in 2024 to £394,879m from £614,680m in 2020 indicates the affected profitability. Moreover, the operating expenses of the business reached highest of £182,861m, driving a net loss of £98,238m in 2023, which further recorded an extended loss of £24,029m in 2024.  </w:t>
      </w:r>
    </w:p>
    <w:p w14:paraId="0644F970" w14:textId="16F0A5A1" w:rsidR="00682785" w:rsidRPr="005A4B26" w:rsidRDefault="00682785" w:rsidP="00682785">
      <w:pPr>
        <w:rPr>
          <w:b/>
          <w:bCs/>
          <w:u w:val="single"/>
        </w:rPr>
      </w:pPr>
      <w:r w:rsidRPr="005A4B26">
        <w:rPr>
          <w:b/>
          <w:bCs/>
          <w:u w:val="single"/>
        </w:rPr>
        <w:t>Income Statement</w:t>
      </w:r>
    </w:p>
    <w:p w14:paraId="1F220253" w14:textId="77777777" w:rsidR="00682785" w:rsidRPr="005A4B26" w:rsidRDefault="00682785" w:rsidP="00682785">
      <w:pPr>
        <w:jc w:val="center"/>
        <w:rPr>
          <w:b/>
        </w:rPr>
      </w:pPr>
      <w:r w:rsidRPr="005A4B26">
        <w:rPr>
          <w:b/>
          <w:noProof/>
        </w:rPr>
        <w:drawing>
          <wp:inline distT="114300" distB="114300" distL="114300" distR="114300" wp14:anchorId="019E35F5" wp14:editId="2D88AACF">
            <wp:extent cx="5943600" cy="360680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18" name="image5.png"/>
                    <pic:cNvPicPr/>
                  </pic:nvPicPr>
                  <pic:blipFill>
                    <a:blip r:embed="rId9"/>
                    <a:stretch>
                      <a:fillRect/>
                    </a:stretch>
                  </pic:blipFill>
                  <pic:spPr>
                    <a:xfrm>
                      <a:off x="0" y="0"/>
                      <a:ext cx="5943600" cy="3606800"/>
                    </a:xfrm>
                    <a:prstGeom prst="rect">
                      <a:avLst/>
                    </a:prstGeom>
                  </pic:spPr>
                </pic:pic>
              </a:graphicData>
            </a:graphic>
          </wp:inline>
        </w:drawing>
      </w:r>
    </w:p>
    <w:p w14:paraId="76BFEC50" w14:textId="23722227" w:rsidR="00682785" w:rsidRPr="005A4B26" w:rsidRDefault="00682785" w:rsidP="00682785">
      <w:pPr>
        <w:jc w:val="center"/>
        <w:rPr>
          <w:b/>
        </w:rPr>
      </w:pPr>
      <w:r w:rsidRPr="005A4B26">
        <w:rPr>
          <w:b/>
        </w:rPr>
        <w:t>Figure</w:t>
      </w:r>
      <w:r>
        <w:rPr>
          <w:b/>
        </w:rPr>
        <w:t xml:space="preserve"> 1</w:t>
      </w:r>
      <w:r w:rsidRPr="005A4B26">
        <w:rPr>
          <w:b/>
        </w:rPr>
        <w:t>: Consolidated Income Statement (£m)</w:t>
      </w:r>
    </w:p>
    <w:p w14:paraId="3BD9A1D0" w14:textId="77777777" w:rsidR="00682785" w:rsidRPr="005A4B26" w:rsidRDefault="00682785" w:rsidP="00682785">
      <w:pPr>
        <w:jc w:val="center"/>
      </w:pPr>
      <w:r w:rsidRPr="005A4B26">
        <w:t>(Source: Given)</w:t>
      </w:r>
    </w:p>
    <w:p w14:paraId="4B387F3A" w14:textId="290EDB4B" w:rsidR="00682785" w:rsidRPr="005A4B26" w:rsidRDefault="00682785" w:rsidP="00682785">
      <w:r w:rsidRPr="005A4B26">
        <w:t xml:space="preserve">This financial outcome signifies ineffective strategic management and poor controlling of costs. The reduced revenue is affected by increasing market competitiveness. According to Okeke, </w:t>
      </w:r>
      <w:r w:rsidRPr="005A4B26">
        <w:lastRenderedPageBreak/>
        <w:t xml:space="preserve">Bakare, and </w:t>
      </w:r>
      <w:proofErr w:type="spellStart"/>
      <w:r w:rsidRPr="005A4B26">
        <w:t>Achumie</w:t>
      </w:r>
      <w:proofErr w:type="spellEnd"/>
      <w:r w:rsidRPr="005A4B26">
        <w:t xml:space="preserve"> (2024), the stability of revenue and proactive cost management play a crucial role in embedding successful turnover management strategies.</w:t>
      </w:r>
      <w:r w:rsidRPr="005A4B26">
        <w:br w:type="page"/>
      </w:r>
    </w:p>
    <w:p w14:paraId="5175BE3E" w14:textId="6FC268D9" w:rsidR="00682785" w:rsidRPr="005A4B26" w:rsidRDefault="00682785" w:rsidP="00682785">
      <w:pPr>
        <w:rPr>
          <w:b/>
          <w:bCs/>
          <w:u w:val="single"/>
        </w:rPr>
      </w:pPr>
      <w:r w:rsidRPr="005A4B26">
        <w:rPr>
          <w:b/>
          <w:bCs/>
          <w:u w:val="single"/>
        </w:rPr>
        <w:lastRenderedPageBreak/>
        <w:t>Balance Sheet</w:t>
      </w:r>
    </w:p>
    <w:p w14:paraId="2D103920" w14:textId="77777777" w:rsidR="00682785" w:rsidRPr="005A4B26" w:rsidRDefault="00682785" w:rsidP="00682785">
      <w:pPr>
        <w:jc w:val="center"/>
      </w:pPr>
      <w:r w:rsidRPr="005A4B26">
        <w:rPr>
          <w:noProof/>
        </w:rPr>
        <w:drawing>
          <wp:inline distT="114300" distB="114300" distL="114300" distR="114300" wp14:anchorId="6F0D8085" wp14:editId="740851EE">
            <wp:extent cx="5943600" cy="759460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16" name="image10.png"/>
                    <pic:cNvPicPr/>
                  </pic:nvPicPr>
                  <pic:blipFill>
                    <a:blip r:embed="rId10"/>
                    <a:stretch>
                      <a:fillRect/>
                    </a:stretch>
                  </pic:blipFill>
                  <pic:spPr>
                    <a:xfrm>
                      <a:off x="0" y="0"/>
                      <a:ext cx="5943600" cy="7594600"/>
                    </a:xfrm>
                    <a:prstGeom prst="rect">
                      <a:avLst/>
                    </a:prstGeom>
                  </pic:spPr>
                </pic:pic>
              </a:graphicData>
            </a:graphic>
          </wp:inline>
        </w:drawing>
      </w:r>
    </w:p>
    <w:p w14:paraId="626C49FA" w14:textId="79539155" w:rsidR="00682785" w:rsidRPr="005A4B26" w:rsidRDefault="00682785" w:rsidP="00682785">
      <w:pPr>
        <w:jc w:val="center"/>
        <w:rPr>
          <w:b/>
        </w:rPr>
      </w:pPr>
      <w:r w:rsidRPr="005A4B26">
        <w:rPr>
          <w:b/>
        </w:rPr>
        <w:lastRenderedPageBreak/>
        <w:t>Figure</w:t>
      </w:r>
      <w:r>
        <w:rPr>
          <w:b/>
        </w:rPr>
        <w:t xml:space="preserve"> 2</w:t>
      </w:r>
      <w:r w:rsidRPr="005A4B26">
        <w:rPr>
          <w:b/>
        </w:rPr>
        <w:t>: Consolidated Financial Position (£m)</w:t>
      </w:r>
    </w:p>
    <w:p w14:paraId="6F5EF55A" w14:textId="77777777" w:rsidR="00682785" w:rsidRPr="005A4B26" w:rsidRDefault="00682785" w:rsidP="00682785">
      <w:pPr>
        <w:jc w:val="center"/>
      </w:pPr>
      <w:r w:rsidRPr="005A4B26">
        <w:t>(Source: Given)</w:t>
      </w:r>
    </w:p>
    <w:p w14:paraId="37780B64" w14:textId="103D3150" w:rsidR="00682785" w:rsidRPr="005A4B26" w:rsidRDefault="00682785" w:rsidP="00682785">
      <w:r w:rsidRPr="005A4B26">
        <w:t>General Electronics' balance sheet displays significant contraction, as total assets have decreased from £510,290m in 2020 to £323,354m in the year 2024, largely attributed to decreases in inventories, property and property, plant and equipment. While current assets remain substantial at £242,494m in 2024, liquidity pressures are severe as cash reserves have halved since 2022. Total liabilities have modestly decreased to £170,249m in 2024 from £196,989m in 2020, and total equity has deteriorated from £313,301m to £153,105m due to accrued losses and treasury stock. This decline indicates decreased solvency and deteriorated shareholder value that must be rectified through capital restructuring. As reflected by Mansour et al. (2022), declining equity clearly indicates governance and performance problems that need attention for strategic reform as soon as practically possible.</w:t>
      </w:r>
      <w:r w:rsidRPr="005A4B26">
        <w:br w:type="page"/>
      </w:r>
    </w:p>
    <w:p w14:paraId="1359D58B" w14:textId="1FF443A5" w:rsidR="00682785" w:rsidRPr="005A4B26" w:rsidRDefault="00682785" w:rsidP="00682785">
      <w:pPr>
        <w:rPr>
          <w:b/>
          <w:bCs/>
          <w:u w:val="single"/>
        </w:rPr>
      </w:pPr>
      <w:r w:rsidRPr="005A4B26">
        <w:rPr>
          <w:b/>
          <w:bCs/>
          <w:u w:val="single"/>
        </w:rPr>
        <w:lastRenderedPageBreak/>
        <w:t>Cash Flow Statement</w:t>
      </w:r>
    </w:p>
    <w:p w14:paraId="786203A5" w14:textId="77777777" w:rsidR="00682785" w:rsidRPr="005A4B26" w:rsidRDefault="00682785" w:rsidP="00682785">
      <w:pPr>
        <w:jc w:val="center"/>
        <w:rPr>
          <w:b/>
        </w:rPr>
      </w:pPr>
      <w:r w:rsidRPr="005A4B26">
        <w:rPr>
          <w:b/>
          <w:noProof/>
        </w:rPr>
        <w:drawing>
          <wp:inline distT="114300" distB="114300" distL="114300" distR="114300" wp14:anchorId="7E3C175C" wp14:editId="62592705">
            <wp:extent cx="4551045" cy="6290310"/>
            <wp:effectExtent l="0" t="0" r="1905" b="0"/>
            <wp:docPr id="3" name="image13.png"/>
            <wp:cNvGraphicFramePr/>
            <a:graphic xmlns:a="http://schemas.openxmlformats.org/drawingml/2006/main">
              <a:graphicData uri="http://schemas.openxmlformats.org/drawingml/2006/picture">
                <pic:pic xmlns:pic="http://schemas.openxmlformats.org/drawingml/2006/picture">
                  <pic:nvPicPr>
                    <pic:cNvPr id="3" name="image13.png"/>
                    <pic:cNvPicPr/>
                  </pic:nvPicPr>
                  <pic:blipFill>
                    <a:blip r:embed="rId11"/>
                    <a:stretch>
                      <a:fillRect/>
                    </a:stretch>
                  </pic:blipFill>
                  <pic:spPr>
                    <a:xfrm>
                      <a:off x="0" y="0"/>
                      <a:ext cx="4551045" cy="6290310"/>
                    </a:xfrm>
                    <a:prstGeom prst="rect">
                      <a:avLst/>
                    </a:prstGeom>
                  </pic:spPr>
                </pic:pic>
              </a:graphicData>
            </a:graphic>
          </wp:inline>
        </w:drawing>
      </w:r>
    </w:p>
    <w:p w14:paraId="6332BC16" w14:textId="6794CB38" w:rsidR="00682785" w:rsidRPr="005A4B26" w:rsidRDefault="00682785" w:rsidP="00682785">
      <w:pPr>
        <w:jc w:val="center"/>
        <w:rPr>
          <w:b/>
        </w:rPr>
      </w:pPr>
      <w:r w:rsidRPr="005A4B26">
        <w:rPr>
          <w:b/>
        </w:rPr>
        <w:t>Figure</w:t>
      </w:r>
      <w:r>
        <w:rPr>
          <w:b/>
        </w:rPr>
        <w:t xml:space="preserve"> 3</w:t>
      </w:r>
      <w:r w:rsidRPr="005A4B26">
        <w:rPr>
          <w:b/>
        </w:rPr>
        <w:t>: Consolidated Cash Flow Statement (£m)</w:t>
      </w:r>
    </w:p>
    <w:p w14:paraId="2C668E9B" w14:textId="77777777" w:rsidR="00682785" w:rsidRPr="005A4B26" w:rsidRDefault="00682785" w:rsidP="00682785">
      <w:pPr>
        <w:jc w:val="center"/>
      </w:pPr>
      <w:r w:rsidRPr="005A4B26">
        <w:t>(Source: Given)</w:t>
      </w:r>
    </w:p>
    <w:p w14:paraId="75799863" w14:textId="77777777" w:rsidR="00682785" w:rsidRPr="005A4B26" w:rsidRDefault="00682785" w:rsidP="00682785">
      <w:r w:rsidRPr="005A4B26">
        <w:t xml:space="preserve">A cash flow analysis indicates declining cash flow resilience in General Electronics. Operating cash flows have declined from £73,392m in 2020 to £14,822m in 2024, indicating deteriorating </w:t>
      </w:r>
      <w:r w:rsidRPr="005A4B26">
        <w:lastRenderedPageBreak/>
        <w:t>profitability, but are supported through non-cash adjustments. Cash flows from investing activities continue to produce outflows, albeit lower at £8,428m in 2024 from incurred capital expenditures in 2022, indicating further contraction rather than growth. Cash flows from financing provide evidence that General Electronics depends on short-term credit, as demonstrated by cash flows used for repayment and treasury stock purchases. Therefore, cash reserves have declined from £57,153m in 2020 to £26,783m in 2024. According to the indication of Isibor et al. (2022), sustainable cash generation is at the core of financial flexibility and the viability of corporate turnarounds.</w:t>
      </w:r>
    </w:p>
    <w:p w14:paraId="54D80420" w14:textId="77777777" w:rsidR="00682785" w:rsidRPr="005A4B26" w:rsidRDefault="00682785" w:rsidP="00682785">
      <w:pPr>
        <w:pStyle w:val="Heading2"/>
      </w:pPr>
      <w:bookmarkStart w:id="3" w:name="_l8k46m2k0gnq" w:colFirst="0" w:colLast="0"/>
      <w:bookmarkStart w:id="4" w:name="_Toc210505196"/>
      <w:bookmarkEnd w:id="3"/>
      <w:r w:rsidRPr="005A4B26">
        <w:t>1.2 Ratio Analysis</w:t>
      </w:r>
      <w:bookmarkEnd w:id="4"/>
    </w:p>
    <w:p w14:paraId="7E232AB2" w14:textId="77777777" w:rsidR="00682785" w:rsidRPr="00F8510C" w:rsidRDefault="00682785" w:rsidP="00682785">
      <w:pPr>
        <w:rPr>
          <w:b/>
          <w:i/>
          <w:u w:val="single"/>
        </w:rPr>
      </w:pPr>
      <w:r w:rsidRPr="00F8510C">
        <w:rPr>
          <w:b/>
          <w:i/>
          <w:u w:val="single"/>
        </w:rPr>
        <w:t xml:space="preserve">Profitability Ratios </w:t>
      </w:r>
    </w:p>
    <w:p w14:paraId="2629DE29" w14:textId="77777777" w:rsidR="00682785" w:rsidRPr="005A4B26" w:rsidRDefault="00682785" w:rsidP="00682785">
      <w:r w:rsidRPr="005A4B26">
        <w:t xml:space="preserve">Profit margins continued to hover at approximately 28% excluding 2023, indicating ongoing product-level cost management. However, operating and net profit margins plunged from positive margins in 2020–2022 to large negative margins in 2023–2024. It reflects an operating loss of -20.3% margin in the year 2023, which furtherly reported a negative of -3.9% in the next year 2024, while the net profit loss stood at -6.09% in 2024. </w:t>
      </w:r>
    </w:p>
    <w:p w14:paraId="2F3C8929" w14:textId="77777777" w:rsidR="00682785" w:rsidRPr="005A4B26" w:rsidRDefault="00682785" w:rsidP="00682785">
      <w:pPr>
        <w:jc w:val="center"/>
        <w:rPr>
          <w:b/>
        </w:rPr>
      </w:pPr>
      <w:r w:rsidRPr="005A4B26">
        <w:rPr>
          <w:b/>
          <w:noProof/>
        </w:rPr>
        <w:drawing>
          <wp:inline distT="114300" distB="114300" distL="114300" distR="114300" wp14:anchorId="113ADBBD" wp14:editId="1A0C8AE0">
            <wp:extent cx="5943600" cy="34671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2"/>
                    <a:stretch>
                      <a:fillRect/>
                    </a:stretch>
                  </pic:blipFill>
                  <pic:spPr>
                    <a:xfrm>
                      <a:off x="0" y="0"/>
                      <a:ext cx="5943600" cy="3467100"/>
                    </a:xfrm>
                    <a:prstGeom prst="rect">
                      <a:avLst/>
                    </a:prstGeom>
                  </pic:spPr>
                </pic:pic>
              </a:graphicData>
            </a:graphic>
          </wp:inline>
        </w:drawing>
      </w:r>
    </w:p>
    <w:p w14:paraId="4066C190" w14:textId="4168E3EB" w:rsidR="00682785" w:rsidRPr="005A4B26" w:rsidRDefault="00682785" w:rsidP="00682785">
      <w:pPr>
        <w:jc w:val="center"/>
        <w:rPr>
          <w:b/>
        </w:rPr>
      </w:pPr>
      <w:r w:rsidRPr="005A4B26">
        <w:rPr>
          <w:b/>
        </w:rPr>
        <w:lastRenderedPageBreak/>
        <w:t>Figure</w:t>
      </w:r>
      <w:r>
        <w:rPr>
          <w:b/>
        </w:rPr>
        <w:t xml:space="preserve"> 4</w:t>
      </w:r>
      <w:r w:rsidRPr="005A4B26">
        <w:rPr>
          <w:b/>
        </w:rPr>
        <w:t xml:space="preserve">: Profitability Ratios </w:t>
      </w:r>
    </w:p>
    <w:p w14:paraId="411C78B8" w14:textId="77777777" w:rsidR="00682785" w:rsidRPr="005A4B26" w:rsidRDefault="00682785" w:rsidP="00682785">
      <w:pPr>
        <w:jc w:val="center"/>
      </w:pPr>
      <w:r w:rsidRPr="005A4B26">
        <w:t>(Source: Excel Worksheet)</w:t>
      </w:r>
    </w:p>
    <w:p w14:paraId="7C5008A7" w14:textId="77777777" w:rsidR="00682785" w:rsidRPr="005A4B26" w:rsidRDefault="00682785" w:rsidP="00682785">
      <w:r w:rsidRPr="005A4B26">
        <w:t xml:space="preserve">The drivers of these poor margins appear to be the rising operating expenses, especially in 2023, with a notable spike, along with impairments and increased interest and other losses, which would have swamped operating income. The continued stable gross profit margin and declining operating profit margin indicate that while costs of goods may not be a problem, there are systemic issues with the cost structure or managing selling, general, and administrative expenses. Corrective action should focus on control of overhead first and structural cost reductions (Ramesh and Sumitra, 2024). </w:t>
      </w:r>
    </w:p>
    <w:p w14:paraId="2568D865" w14:textId="77777777" w:rsidR="00682785" w:rsidRPr="00F8510C" w:rsidRDefault="00682785" w:rsidP="00682785">
      <w:pPr>
        <w:rPr>
          <w:u w:val="single"/>
        </w:rPr>
      </w:pPr>
      <w:r w:rsidRPr="00F8510C">
        <w:rPr>
          <w:b/>
          <w:i/>
          <w:u w:val="single"/>
        </w:rPr>
        <w:t xml:space="preserve">Liquidity Ratios </w:t>
      </w:r>
    </w:p>
    <w:p w14:paraId="4242598E" w14:textId="77777777" w:rsidR="00682785" w:rsidRPr="005A4B26" w:rsidRDefault="00682785" w:rsidP="00682785">
      <w:r w:rsidRPr="005A4B26">
        <w:t xml:space="preserve">Current and quick ratios at 1.5 and 1.0, respectively, in 2024 suggest borderline short-term coverage. The liquidity position has weakened from a cash position of £66.7bn in 2022 to £26.8bn in 2024, while current liabilities are still at a hefty £158.3bn. </w:t>
      </w:r>
    </w:p>
    <w:p w14:paraId="067285A4" w14:textId="77777777" w:rsidR="00682785" w:rsidRPr="005A4B26" w:rsidRDefault="00682785" w:rsidP="00F8510C">
      <w:pPr>
        <w:jc w:val="center"/>
      </w:pPr>
      <w:r w:rsidRPr="005A4B26">
        <w:rPr>
          <w:noProof/>
        </w:rPr>
        <w:drawing>
          <wp:inline distT="114300" distB="114300" distL="114300" distR="114300" wp14:anchorId="6E38631A" wp14:editId="63D9E700">
            <wp:extent cx="5852160" cy="2687541"/>
            <wp:effectExtent l="0" t="0" r="0" b="0"/>
            <wp:docPr id="1" name="image18.png"/>
            <wp:cNvGraphicFramePr/>
            <a:graphic xmlns:a="http://schemas.openxmlformats.org/drawingml/2006/main">
              <a:graphicData uri="http://schemas.openxmlformats.org/drawingml/2006/picture">
                <pic:pic xmlns:pic="http://schemas.openxmlformats.org/drawingml/2006/picture">
                  <pic:nvPicPr>
                    <pic:cNvPr id="1" name="image18.png"/>
                    <pic:cNvPicPr/>
                  </pic:nvPicPr>
                  <pic:blipFill>
                    <a:blip r:embed="rId13"/>
                    <a:stretch>
                      <a:fillRect/>
                    </a:stretch>
                  </pic:blipFill>
                  <pic:spPr>
                    <a:xfrm>
                      <a:off x="0" y="0"/>
                      <a:ext cx="5866115" cy="2693950"/>
                    </a:xfrm>
                    <a:prstGeom prst="rect">
                      <a:avLst/>
                    </a:prstGeom>
                  </pic:spPr>
                </pic:pic>
              </a:graphicData>
            </a:graphic>
          </wp:inline>
        </w:drawing>
      </w:r>
    </w:p>
    <w:p w14:paraId="727D8B03" w14:textId="47CB5CBA" w:rsidR="00682785" w:rsidRPr="005A4B26" w:rsidRDefault="00682785" w:rsidP="00682785">
      <w:pPr>
        <w:jc w:val="center"/>
        <w:rPr>
          <w:b/>
        </w:rPr>
      </w:pPr>
      <w:r w:rsidRPr="005A4B26">
        <w:rPr>
          <w:b/>
        </w:rPr>
        <w:t>Figure</w:t>
      </w:r>
      <w:r>
        <w:rPr>
          <w:b/>
        </w:rPr>
        <w:t xml:space="preserve"> 5</w:t>
      </w:r>
      <w:r w:rsidRPr="005A4B26">
        <w:rPr>
          <w:b/>
        </w:rPr>
        <w:t xml:space="preserve">: Liquidity Ratios </w:t>
      </w:r>
    </w:p>
    <w:p w14:paraId="554AF942" w14:textId="77777777" w:rsidR="00682785" w:rsidRPr="005A4B26" w:rsidRDefault="00682785" w:rsidP="00682785">
      <w:pPr>
        <w:jc w:val="center"/>
      </w:pPr>
      <w:r w:rsidRPr="005A4B26">
        <w:t>(Source: Excel Worksheet)</w:t>
      </w:r>
    </w:p>
    <w:p w14:paraId="38494CE4" w14:textId="77777777" w:rsidR="00682785" w:rsidRPr="005A4B26" w:rsidRDefault="00682785" w:rsidP="00682785">
      <w:r w:rsidRPr="005A4B26">
        <w:lastRenderedPageBreak/>
        <w:t xml:space="preserve">Growing lines of credit swings and working capital based on inventory and receivables movement have stressed the liquidity position of the company. The company is still able to meet near obligations, but there is little margin or cushion left, and any shocks to liquidity may need the company to shut down long-term financing for expensive short-term borrowing. The company should build cash buffers, tighten receivables and control inventories, and negotiate longer tenor facilities to minimise future rollover risk (Yanney, 2021). </w:t>
      </w:r>
    </w:p>
    <w:p w14:paraId="6F17A097" w14:textId="77777777" w:rsidR="00682785" w:rsidRPr="00F8510C" w:rsidRDefault="00682785" w:rsidP="00682785">
      <w:pPr>
        <w:rPr>
          <w:b/>
          <w:i/>
          <w:iCs/>
          <w:u w:val="single"/>
        </w:rPr>
      </w:pPr>
      <w:r w:rsidRPr="00F8510C">
        <w:rPr>
          <w:b/>
          <w:i/>
          <w:iCs/>
          <w:u w:val="single"/>
        </w:rPr>
        <w:t xml:space="preserve">Efficiency Ratios </w:t>
      </w:r>
    </w:p>
    <w:p w14:paraId="7878B1EB" w14:textId="77777777" w:rsidR="00682785" w:rsidRPr="005A4B26" w:rsidRDefault="00682785" w:rsidP="00682785">
      <w:r w:rsidRPr="005A4B26">
        <w:t xml:space="preserve">Inventory days sharply grew to 128 to 129 days in 2022–2023, and improved to approximately 109 days in 2024, which suggests earlier stockpiling or slowing sales to subsequently mild destocking. </w:t>
      </w:r>
    </w:p>
    <w:p w14:paraId="494E8852" w14:textId="77777777" w:rsidR="00682785" w:rsidRPr="005A4B26" w:rsidRDefault="00682785" w:rsidP="00F8510C">
      <w:pPr>
        <w:jc w:val="center"/>
      </w:pPr>
      <w:r w:rsidRPr="005A4B26">
        <w:rPr>
          <w:noProof/>
        </w:rPr>
        <w:drawing>
          <wp:inline distT="114300" distB="114300" distL="114300" distR="114300" wp14:anchorId="78F19180" wp14:editId="39778ED1">
            <wp:extent cx="5716988" cy="2870421"/>
            <wp:effectExtent l="0" t="0" r="0" b="6350"/>
            <wp:docPr id="10" name="image7.png"/>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14"/>
                    <a:stretch>
                      <a:fillRect/>
                    </a:stretch>
                  </pic:blipFill>
                  <pic:spPr>
                    <a:xfrm>
                      <a:off x="0" y="0"/>
                      <a:ext cx="5727226" cy="2875561"/>
                    </a:xfrm>
                    <a:prstGeom prst="rect">
                      <a:avLst/>
                    </a:prstGeom>
                  </pic:spPr>
                </pic:pic>
              </a:graphicData>
            </a:graphic>
          </wp:inline>
        </w:drawing>
      </w:r>
    </w:p>
    <w:p w14:paraId="64D086AE" w14:textId="2970C4C4" w:rsidR="00682785" w:rsidRPr="005A4B26" w:rsidRDefault="00682785" w:rsidP="00682785">
      <w:pPr>
        <w:jc w:val="center"/>
        <w:rPr>
          <w:b/>
        </w:rPr>
      </w:pPr>
      <w:r w:rsidRPr="005A4B26">
        <w:rPr>
          <w:b/>
        </w:rPr>
        <w:t>Figure</w:t>
      </w:r>
      <w:r>
        <w:rPr>
          <w:b/>
        </w:rPr>
        <w:t xml:space="preserve"> 6</w:t>
      </w:r>
      <w:r w:rsidRPr="005A4B26">
        <w:rPr>
          <w:b/>
        </w:rPr>
        <w:t xml:space="preserve">: Inventory Days </w:t>
      </w:r>
    </w:p>
    <w:p w14:paraId="2ECBB9B2" w14:textId="77777777" w:rsidR="00682785" w:rsidRPr="005A4B26" w:rsidRDefault="00682785" w:rsidP="00682785">
      <w:pPr>
        <w:jc w:val="center"/>
      </w:pPr>
      <w:r w:rsidRPr="005A4B26">
        <w:t>(Source: Excel Worksheet)</w:t>
      </w:r>
    </w:p>
    <w:p w14:paraId="589FBE80" w14:textId="77777777" w:rsidR="00682785" w:rsidRPr="005A4B26" w:rsidRDefault="00682785" w:rsidP="00682785">
      <w:r w:rsidRPr="005A4B26">
        <w:t xml:space="preserve">Asset turnover declined from 1.20 in 2020 to roughly 0.97 in 2023 and then slightly improved to 1.05 in 2024, which indicates lower sales relative to the asset base, a degree of revenue degradation. </w:t>
      </w:r>
    </w:p>
    <w:p w14:paraId="035C105E" w14:textId="77777777" w:rsidR="00682785" w:rsidRPr="005A4B26" w:rsidRDefault="00682785" w:rsidP="00F8510C">
      <w:pPr>
        <w:jc w:val="center"/>
      </w:pPr>
      <w:r w:rsidRPr="005A4B26">
        <w:rPr>
          <w:noProof/>
        </w:rPr>
        <w:lastRenderedPageBreak/>
        <w:drawing>
          <wp:inline distT="114300" distB="114300" distL="114300" distR="114300" wp14:anchorId="3A97EC60" wp14:editId="27999684">
            <wp:extent cx="5868063" cy="2949934"/>
            <wp:effectExtent l="0" t="0" r="0" b="3175"/>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15"/>
                    <a:stretch>
                      <a:fillRect/>
                    </a:stretch>
                  </pic:blipFill>
                  <pic:spPr>
                    <a:xfrm>
                      <a:off x="0" y="0"/>
                      <a:ext cx="5872822" cy="2952326"/>
                    </a:xfrm>
                    <a:prstGeom prst="rect">
                      <a:avLst/>
                    </a:prstGeom>
                  </pic:spPr>
                </pic:pic>
              </a:graphicData>
            </a:graphic>
          </wp:inline>
        </w:drawing>
      </w:r>
    </w:p>
    <w:p w14:paraId="7DEC8DC8" w14:textId="43B19553" w:rsidR="00682785" w:rsidRPr="005A4B26" w:rsidRDefault="00682785" w:rsidP="00682785">
      <w:pPr>
        <w:jc w:val="center"/>
        <w:rPr>
          <w:b/>
        </w:rPr>
      </w:pPr>
      <w:r w:rsidRPr="005A4B26">
        <w:rPr>
          <w:b/>
        </w:rPr>
        <w:t>Figure</w:t>
      </w:r>
      <w:r>
        <w:rPr>
          <w:b/>
        </w:rPr>
        <w:t xml:space="preserve"> 7</w:t>
      </w:r>
      <w:r w:rsidRPr="005A4B26">
        <w:rPr>
          <w:b/>
        </w:rPr>
        <w:t>: Asset Turnover Ratio</w:t>
      </w:r>
    </w:p>
    <w:p w14:paraId="7708353A" w14:textId="77777777" w:rsidR="00682785" w:rsidRPr="005A4B26" w:rsidRDefault="00682785" w:rsidP="00682785">
      <w:pPr>
        <w:jc w:val="center"/>
      </w:pPr>
      <w:r w:rsidRPr="005A4B26">
        <w:t>(Source: Excel Worksheet)</w:t>
      </w:r>
    </w:p>
    <w:p w14:paraId="10EEF0C7" w14:textId="77777777" w:rsidR="00682785" w:rsidRPr="005A4B26" w:rsidRDefault="00682785" w:rsidP="00682785">
      <w:r w:rsidRPr="005A4B26">
        <w:t xml:space="preserve">The interrelated causes have been declining demand, excess capacity, and lower working capital turns. Thus, potential efficiency improvements should include demand-led inventory policies; SKU rationalisation; and redeploying or disposing of under-utilised assets to improve asset turnover as per Dang (2022). </w:t>
      </w:r>
    </w:p>
    <w:p w14:paraId="3997BBC4" w14:textId="77777777" w:rsidR="00682785" w:rsidRPr="00F8510C" w:rsidRDefault="00682785" w:rsidP="00682785">
      <w:pPr>
        <w:rPr>
          <w:b/>
          <w:i/>
          <w:iCs/>
          <w:u w:val="single"/>
        </w:rPr>
      </w:pPr>
      <w:r w:rsidRPr="00F8510C">
        <w:rPr>
          <w:b/>
          <w:i/>
          <w:iCs/>
          <w:u w:val="single"/>
        </w:rPr>
        <w:t xml:space="preserve">Gearing Ratios </w:t>
      </w:r>
    </w:p>
    <w:p w14:paraId="0D0B0DE5" w14:textId="77777777" w:rsidR="00682785" w:rsidRPr="005A4B26" w:rsidRDefault="00682785" w:rsidP="00682785">
      <w:r w:rsidRPr="005A4B26">
        <w:t xml:space="preserve">Debt/equity has risen to 1.11 in 2024 from 0.63 in 2020, signalling more leverage and increasing financial risk. Net-debt/EBITDA numbers are unstable and volatile as it has reported a very high positive in 2022 and then negative in 2023–2024 since EBITDA became negative, which makes this metric less informative and an earnings distress indicator. </w:t>
      </w:r>
    </w:p>
    <w:p w14:paraId="7C20CCCD" w14:textId="77777777" w:rsidR="00682785" w:rsidRPr="005A4B26" w:rsidRDefault="00682785" w:rsidP="00F8510C">
      <w:pPr>
        <w:jc w:val="center"/>
      </w:pPr>
      <w:r w:rsidRPr="005A4B26">
        <w:rPr>
          <w:noProof/>
        </w:rPr>
        <w:lastRenderedPageBreak/>
        <w:drawing>
          <wp:inline distT="114300" distB="114300" distL="114300" distR="114300" wp14:anchorId="3CA77F98" wp14:editId="545A9A85">
            <wp:extent cx="5772647" cy="3053301"/>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13" name="image12.png"/>
                    <pic:cNvPicPr/>
                  </pic:nvPicPr>
                  <pic:blipFill>
                    <a:blip r:embed="rId16"/>
                    <a:stretch>
                      <a:fillRect/>
                    </a:stretch>
                  </pic:blipFill>
                  <pic:spPr>
                    <a:xfrm>
                      <a:off x="0" y="0"/>
                      <a:ext cx="5783414" cy="3058996"/>
                    </a:xfrm>
                    <a:prstGeom prst="rect">
                      <a:avLst/>
                    </a:prstGeom>
                  </pic:spPr>
                </pic:pic>
              </a:graphicData>
            </a:graphic>
          </wp:inline>
        </w:drawing>
      </w:r>
    </w:p>
    <w:p w14:paraId="115DC0AC" w14:textId="66B2938E" w:rsidR="00682785" w:rsidRPr="005A4B26" w:rsidRDefault="00682785" w:rsidP="00682785">
      <w:pPr>
        <w:jc w:val="center"/>
        <w:rPr>
          <w:b/>
        </w:rPr>
      </w:pPr>
      <w:r w:rsidRPr="005A4B26">
        <w:rPr>
          <w:b/>
        </w:rPr>
        <w:t>Figure</w:t>
      </w:r>
      <w:r>
        <w:rPr>
          <w:b/>
        </w:rPr>
        <w:t xml:space="preserve"> 8</w:t>
      </w:r>
      <w:r w:rsidRPr="005A4B26">
        <w:rPr>
          <w:b/>
        </w:rPr>
        <w:t>: Gearing Ratios</w:t>
      </w:r>
    </w:p>
    <w:p w14:paraId="54B5450C" w14:textId="77777777" w:rsidR="00682785" w:rsidRPr="005A4B26" w:rsidRDefault="00682785" w:rsidP="00682785">
      <w:pPr>
        <w:jc w:val="center"/>
      </w:pPr>
      <w:r w:rsidRPr="005A4B26">
        <w:t>(Source: Excel Worksheet)</w:t>
      </w:r>
    </w:p>
    <w:p w14:paraId="4926D0E6" w14:textId="77777777" w:rsidR="00682785" w:rsidRPr="005A4B26" w:rsidRDefault="00682785" w:rsidP="00682785">
      <w:r w:rsidRPr="005A4B26">
        <w:t>Growing borrowings, coupled with ongoing treasury stock purchases like share buybacks, have weakened equity and increased leverage. Higher leverage decreases flexibility and raises the cost of capital according to Khan et al. (2021). A prudent deleverage effort would cease the stock buybacks and preferably manage debt repayment and take some equity raise opportunity if feasible.</w:t>
      </w:r>
    </w:p>
    <w:p w14:paraId="7128E4D6" w14:textId="77777777" w:rsidR="00682785" w:rsidRPr="00F8510C" w:rsidRDefault="00682785" w:rsidP="00682785">
      <w:pPr>
        <w:rPr>
          <w:b/>
          <w:i/>
          <w:iCs/>
          <w:u w:val="single"/>
        </w:rPr>
      </w:pPr>
      <w:r w:rsidRPr="00F8510C">
        <w:rPr>
          <w:b/>
          <w:i/>
          <w:iCs/>
          <w:u w:val="single"/>
        </w:rPr>
        <w:t xml:space="preserve">Investment Ratio </w:t>
      </w:r>
    </w:p>
    <w:p w14:paraId="48DFEB6A" w14:textId="77777777" w:rsidR="00682785" w:rsidRPr="005A4B26" w:rsidRDefault="00682785" w:rsidP="00682785">
      <w:r w:rsidRPr="005A4B26">
        <w:rPr>
          <w:rFonts w:eastAsia="Gungsuh"/>
        </w:rPr>
        <w:t xml:space="preserve">EPS fell dramatically to −1.85 in the FY 2024 from 2.78 in 2020, indicating net losses and demonstrating the dilution to shareholder value, despite treasury stock repurchases. Repeated buybacks of treasury stock reduced shares outstanding, but were all nullified by periodic large losses and erosion of retained earnings. Low or negative EPS chips away at investor confidence, valuation multiples, and increases the cost of raising equity, as per </w:t>
      </w:r>
      <w:proofErr w:type="spellStart"/>
      <w:r w:rsidRPr="005A4B26">
        <w:rPr>
          <w:rFonts w:eastAsia="Gungsuh"/>
        </w:rPr>
        <w:t>Sohdi</w:t>
      </w:r>
      <w:proofErr w:type="spellEnd"/>
      <w:r w:rsidRPr="005A4B26">
        <w:rPr>
          <w:rFonts w:eastAsia="Gungsuh"/>
        </w:rPr>
        <w:t xml:space="preserve"> (2024). </w:t>
      </w:r>
    </w:p>
    <w:p w14:paraId="51571D25" w14:textId="77777777" w:rsidR="00682785" w:rsidRPr="005A4B26" w:rsidRDefault="00682785" w:rsidP="00F8510C">
      <w:pPr>
        <w:jc w:val="center"/>
      </w:pPr>
      <w:r w:rsidRPr="005A4B26">
        <w:rPr>
          <w:noProof/>
        </w:rPr>
        <w:lastRenderedPageBreak/>
        <w:drawing>
          <wp:inline distT="114300" distB="114300" distL="114300" distR="114300" wp14:anchorId="4935103E" wp14:editId="5FA67C2A">
            <wp:extent cx="5764696" cy="3045350"/>
            <wp:effectExtent l="0" t="0" r="7620" b="3175"/>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7"/>
                    <a:stretch>
                      <a:fillRect/>
                    </a:stretch>
                  </pic:blipFill>
                  <pic:spPr>
                    <a:xfrm>
                      <a:off x="0" y="0"/>
                      <a:ext cx="5771006" cy="3048684"/>
                    </a:xfrm>
                    <a:prstGeom prst="rect">
                      <a:avLst/>
                    </a:prstGeom>
                  </pic:spPr>
                </pic:pic>
              </a:graphicData>
            </a:graphic>
          </wp:inline>
        </w:drawing>
      </w:r>
    </w:p>
    <w:p w14:paraId="1605F3E7" w14:textId="2F9DF2D2" w:rsidR="00682785" w:rsidRPr="005A4B26" w:rsidRDefault="00682785" w:rsidP="00682785">
      <w:pPr>
        <w:jc w:val="center"/>
        <w:rPr>
          <w:b/>
        </w:rPr>
      </w:pPr>
      <w:r w:rsidRPr="005A4B26">
        <w:rPr>
          <w:b/>
        </w:rPr>
        <w:t>Figure</w:t>
      </w:r>
      <w:r>
        <w:rPr>
          <w:b/>
        </w:rPr>
        <w:t xml:space="preserve"> 9</w:t>
      </w:r>
      <w:r w:rsidRPr="005A4B26">
        <w:rPr>
          <w:b/>
        </w:rPr>
        <w:t>: Investment Ratio</w:t>
      </w:r>
    </w:p>
    <w:p w14:paraId="7D6AA820" w14:textId="77777777" w:rsidR="00682785" w:rsidRPr="005A4B26" w:rsidRDefault="00682785" w:rsidP="00682785">
      <w:pPr>
        <w:jc w:val="center"/>
      </w:pPr>
      <w:r w:rsidRPr="005A4B26">
        <w:t>(Source: Excel Worksheet)</w:t>
      </w:r>
    </w:p>
    <w:p w14:paraId="7FC0D134" w14:textId="77777777" w:rsidR="00682785" w:rsidRPr="005A4B26" w:rsidRDefault="00682785" w:rsidP="00682785">
      <w:r w:rsidRPr="005A4B26">
        <w:t xml:space="preserve">As a general investment strategy, the discretionary buybacks should be curtailed, while prioritising high-return capex or research and development, subject to group-approved strict hurdle rates, and sharing with investors a transparent intention with targets related to capital allocation strategies in order to start rebuilding credibility with investors. </w:t>
      </w:r>
    </w:p>
    <w:p w14:paraId="2326A237" w14:textId="77777777" w:rsidR="00682785" w:rsidRPr="005A4B26" w:rsidRDefault="00682785" w:rsidP="00682785">
      <w:pPr>
        <w:rPr>
          <w:b/>
          <w:u w:val="single"/>
        </w:rPr>
      </w:pPr>
      <w:r w:rsidRPr="005A4B26">
        <w:rPr>
          <w:b/>
          <w:u w:val="single"/>
        </w:rPr>
        <w:t xml:space="preserve">Cash Flow Ratio </w:t>
      </w:r>
    </w:p>
    <w:p w14:paraId="1C29E83B" w14:textId="77777777" w:rsidR="00682785" w:rsidRPr="005A4B26" w:rsidRDefault="00682785" w:rsidP="00682785">
      <w:r w:rsidRPr="005A4B26">
        <w:t xml:space="preserve">Operating cash flow ratio decreased to 0.09 in the annual period 2024 from 0.41 in 2020, which is indicative of declining cash generation from operations. Even with non-cash add-backs like depreciation or stock-based compensation, the net income was depressing. The drain on working capital and impairment charges, and treasury stock purchases resulted in a dramatic drop in cash. </w:t>
      </w:r>
    </w:p>
    <w:p w14:paraId="0EBEE785" w14:textId="77777777" w:rsidR="00682785" w:rsidRPr="005A4B26" w:rsidRDefault="00682785" w:rsidP="00682785">
      <w:r w:rsidRPr="005A4B26">
        <w:rPr>
          <w:noProof/>
        </w:rPr>
        <w:lastRenderedPageBreak/>
        <w:drawing>
          <wp:inline distT="114300" distB="114300" distL="114300" distR="114300" wp14:anchorId="5444E1EB" wp14:editId="719BDA6C">
            <wp:extent cx="5943600" cy="355600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17" name="image16.png"/>
                    <pic:cNvPicPr/>
                  </pic:nvPicPr>
                  <pic:blipFill>
                    <a:blip r:embed="rId18"/>
                    <a:stretch>
                      <a:fillRect/>
                    </a:stretch>
                  </pic:blipFill>
                  <pic:spPr>
                    <a:xfrm>
                      <a:off x="0" y="0"/>
                      <a:ext cx="5943600" cy="3556000"/>
                    </a:xfrm>
                    <a:prstGeom prst="rect">
                      <a:avLst/>
                    </a:prstGeom>
                  </pic:spPr>
                </pic:pic>
              </a:graphicData>
            </a:graphic>
          </wp:inline>
        </w:drawing>
      </w:r>
    </w:p>
    <w:p w14:paraId="4CC482C0" w14:textId="4ED073A5" w:rsidR="00682785" w:rsidRPr="005A4B26" w:rsidRDefault="00682785" w:rsidP="00682785">
      <w:pPr>
        <w:jc w:val="center"/>
        <w:rPr>
          <w:b/>
        </w:rPr>
      </w:pPr>
      <w:r w:rsidRPr="005A4B26">
        <w:rPr>
          <w:b/>
        </w:rPr>
        <w:t>Figure</w:t>
      </w:r>
      <w:r>
        <w:rPr>
          <w:b/>
        </w:rPr>
        <w:t xml:space="preserve"> 10</w:t>
      </w:r>
      <w:r w:rsidRPr="005A4B26">
        <w:rPr>
          <w:b/>
        </w:rPr>
        <w:t>: Cash Flow Ratio</w:t>
      </w:r>
    </w:p>
    <w:p w14:paraId="29D8EAC0" w14:textId="77777777" w:rsidR="00682785" w:rsidRPr="005A4B26" w:rsidRDefault="00682785" w:rsidP="00682785">
      <w:pPr>
        <w:jc w:val="center"/>
      </w:pPr>
      <w:r w:rsidRPr="005A4B26">
        <w:t>(Source: Excel Worksheet)</w:t>
      </w:r>
    </w:p>
    <w:p w14:paraId="01B289EA" w14:textId="77777777" w:rsidR="00682785" w:rsidRPr="005A4B26" w:rsidRDefault="00682785" w:rsidP="00682785">
      <w:r w:rsidRPr="005A4B26">
        <w:t xml:space="preserve">Net cash continues to decline despite reducing capex in 2024; net financing shows large line-of-credit activity and net repayments to lessors. The company needs to restore free cash flow by controlling spending, optimising working capital, and limiting discretionary payouts (Hofmann, </w:t>
      </w:r>
      <w:proofErr w:type="spellStart"/>
      <w:r w:rsidRPr="005A4B26">
        <w:t>Töyli</w:t>
      </w:r>
      <w:proofErr w:type="spellEnd"/>
      <w:r w:rsidRPr="005A4B26">
        <w:t xml:space="preserve">, and </w:t>
      </w:r>
      <w:proofErr w:type="spellStart"/>
      <w:r w:rsidRPr="005A4B26">
        <w:t>Solakivi</w:t>
      </w:r>
      <w:proofErr w:type="spellEnd"/>
      <w:r w:rsidRPr="005A4B26">
        <w:t>, 2022). To create a sustainable turnaround, accounting improvements should be converted to real cash, as opined by Hamzat (2023).</w:t>
      </w:r>
    </w:p>
    <w:p w14:paraId="39619865" w14:textId="77777777" w:rsidR="00682785" w:rsidRPr="005A4B26" w:rsidRDefault="00682785" w:rsidP="00682785">
      <w:pPr>
        <w:pStyle w:val="Heading2"/>
      </w:pPr>
      <w:bookmarkStart w:id="5" w:name="_wwhmmdizxl8l" w:colFirst="0" w:colLast="0"/>
      <w:bookmarkStart w:id="6" w:name="_Toc210505197"/>
      <w:bookmarkEnd w:id="5"/>
      <w:r w:rsidRPr="005A4B26">
        <w:t>1.3 Trend, Strengths, and Threats</w:t>
      </w:r>
      <w:bookmarkEnd w:id="6"/>
    </w:p>
    <w:tbl>
      <w:tblPr>
        <w:tblStyle w:val="a"/>
        <w:tblW w:w="945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350"/>
        <w:gridCol w:w="3375"/>
        <w:gridCol w:w="4725"/>
      </w:tblGrid>
      <w:tr w:rsidR="00682785" w14:paraId="2A41B7AB" w14:textId="77777777" w:rsidTr="00682785">
        <w:trPr>
          <w:trHeight w:val="285"/>
        </w:trPr>
        <w:tc>
          <w:tcPr>
            <w:tcW w:w="1350" w:type="dxa"/>
            <w:shd w:val="clear" w:color="auto" w:fill="FFFFFF"/>
            <w:tcMar>
              <w:top w:w="0" w:type="dxa"/>
              <w:left w:w="100" w:type="dxa"/>
              <w:bottom w:w="0" w:type="dxa"/>
              <w:right w:w="100" w:type="dxa"/>
            </w:tcMar>
          </w:tcPr>
          <w:p w14:paraId="702031FC" w14:textId="77777777" w:rsidR="00682785" w:rsidRPr="005A4B26" w:rsidRDefault="00682785" w:rsidP="00682785">
            <w:pPr>
              <w:rPr>
                <w:highlight w:val="none"/>
              </w:rPr>
            </w:pPr>
            <w:r w:rsidRPr="005A4B26">
              <w:rPr>
                <w:highlight w:val="none"/>
              </w:rPr>
              <w:t>Category</w:t>
            </w:r>
          </w:p>
        </w:tc>
        <w:tc>
          <w:tcPr>
            <w:tcW w:w="3375" w:type="dxa"/>
            <w:shd w:val="clear" w:color="auto" w:fill="FFFFFF"/>
            <w:tcMar>
              <w:top w:w="0" w:type="dxa"/>
              <w:left w:w="100" w:type="dxa"/>
              <w:bottom w:w="0" w:type="dxa"/>
              <w:right w:w="100" w:type="dxa"/>
            </w:tcMar>
          </w:tcPr>
          <w:p w14:paraId="1E2A727B" w14:textId="77777777" w:rsidR="00682785" w:rsidRPr="005A4B26" w:rsidRDefault="00682785" w:rsidP="00682785">
            <w:pPr>
              <w:rPr>
                <w:highlight w:val="none"/>
              </w:rPr>
            </w:pPr>
            <w:r w:rsidRPr="005A4B26">
              <w:rPr>
                <w:highlight w:val="none"/>
              </w:rPr>
              <w:t>Observations</w:t>
            </w:r>
          </w:p>
        </w:tc>
        <w:tc>
          <w:tcPr>
            <w:tcW w:w="4725" w:type="dxa"/>
            <w:shd w:val="clear" w:color="auto" w:fill="FFFFFF"/>
            <w:tcMar>
              <w:top w:w="0" w:type="dxa"/>
              <w:left w:w="100" w:type="dxa"/>
              <w:bottom w:w="0" w:type="dxa"/>
              <w:right w:w="100" w:type="dxa"/>
            </w:tcMar>
          </w:tcPr>
          <w:p w14:paraId="5D769BBE" w14:textId="77777777" w:rsidR="00682785" w:rsidRPr="005A4B26" w:rsidRDefault="00682785" w:rsidP="00682785">
            <w:pPr>
              <w:rPr>
                <w:highlight w:val="none"/>
              </w:rPr>
            </w:pPr>
            <w:r w:rsidRPr="005A4B26">
              <w:rPr>
                <w:highlight w:val="none"/>
              </w:rPr>
              <w:t>Implications</w:t>
            </w:r>
          </w:p>
        </w:tc>
      </w:tr>
      <w:tr w:rsidR="00682785" w14:paraId="72FE2F80" w14:textId="77777777" w:rsidTr="00682785">
        <w:trPr>
          <w:trHeight w:val="1665"/>
        </w:trPr>
        <w:tc>
          <w:tcPr>
            <w:tcW w:w="1350" w:type="dxa"/>
            <w:shd w:val="clear" w:color="auto" w:fill="FFFFFF"/>
            <w:tcMar>
              <w:top w:w="0" w:type="dxa"/>
              <w:left w:w="100" w:type="dxa"/>
              <w:bottom w:w="0" w:type="dxa"/>
              <w:right w:w="100" w:type="dxa"/>
            </w:tcMar>
          </w:tcPr>
          <w:p w14:paraId="362FE753" w14:textId="77777777" w:rsidR="00682785" w:rsidRPr="005A4B26" w:rsidRDefault="00682785" w:rsidP="00682785">
            <w:pPr>
              <w:rPr>
                <w:highlight w:val="none"/>
              </w:rPr>
            </w:pPr>
            <w:r w:rsidRPr="005A4B26">
              <w:rPr>
                <w:highlight w:val="none"/>
              </w:rPr>
              <w:t>Trends</w:t>
            </w:r>
          </w:p>
        </w:tc>
        <w:tc>
          <w:tcPr>
            <w:tcW w:w="3375" w:type="dxa"/>
            <w:shd w:val="clear" w:color="auto" w:fill="F2F2F2"/>
            <w:tcMar>
              <w:top w:w="0" w:type="dxa"/>
              <w:left w:w="100" w:type="dxa"/>
              <w:bottom w:w="0" w:type="dxa"/>
              <w:right w:w="100" w:type="dxa"/>
            </w:tcMar>
          </w:tcPr>
          <w:p w14:paraId="66CA2A93" w14:textId="77777777" w:rsidR="00682785" w:rsidRPr="005A4B26" w:rsidRDefault="00682785" w:rsidP="00682785">
            <w:pPr>
              <w:rPr>
                <w:highlight w:val="none"/>
              </w:rPr>
            </w:pPr>
            <w:r w:rsidRPr="005A4B26">
              <w:rPr>
                <w:highlight w:val="none"/>
              </w:rPr>
              <w:t xml:space="preserve">Revenue declined from £614.7bn (2020) to £394.9bn (2024). Gross margin is stable at around 28% </w:t>
            </w:r>
            <w:r w:rsidRPr="005A4B26">
              <w:rPr>
                <w:highlight w:val="none"/>
              </w:rPr>
              <w:lastRenderedPageBreak/>
              <w:t>but operating/net margins fell into losses.</w:t>
            </w:r>
          </w:p>
        </w:tc>
        <w:tc>
          <w:tcPr>
            <w:tcW w:w="4725" w:type="dxa"/>
            <w:shd w:val="clear" w:color="auto" w:fill="F2F2F2"/>
            <w:tcMar>
              <w:top w:w="0" w:type="dxa"/>
              <w:left w:w="100" w:type="dxa"/>
              <w:bottom w:w="0" w:type="dxa"/>
              <w:right w:w="100" w:type="dxa"/>
            </w:tcMar>
          </w:tcPr>
          <w:p w14:paraId="74D037EB" w14:textId="77777777" w:rsidR="00682785" w:rsidRPr="005A4B26" w:rsidRDefault="00682785" w:rsidP="00682785">
            <w:pPr>
              <w:rPr>
                <w:highlight w:val="none"/>
              </w:rPr>
            </w:pPr>
            <w:r w:rsidRPr="005A4B26">
              <w:rPr>
                <w:highlight w:val="none"/>
              </w:rPr>
              <w:lastRenderedPageBreak/>
              <w:t xml:space="preserve">It signals shrinking market share and weak cost control despite steady product-level profitability. Majka (2024) noted that declining </w:t>
            </w:r>
            <w:r w:rsidRPr="005A4B26">
              <w:rPr>
                <w:highlight w:val="none"/>
              </w:rPr>
              <w:lastRenderedPageBreak/>
              <w:t>margins with stable gross profit indicate overhead inefficiency.</w:t>
            </w:r>
          </w:p>
        </w:tc>
      </w:tr>
      <w:tr w:rsidR="00682785" w14:paraId="113149E1" w14:textId="77777777" w:rsidTr="00682785">
        <w:trPr>
          <w:trHeight w:val="1650"/>
        </w:trPr>
        <w:tc>
          <w:tcPr>
            <w:tcW w:w="1350" w:type="dxa"/>
            <w:shd w:val="clear" w:color="auto" w:fill="FFFFFF"/>
            <w:tcMar>
              <w:top w:w="0" w:type="dxa"/>
              <w:left w:w="100" w:type="dxa"/>
              <w:bottom w:w="0" w:type="dxa"/>
              <w:right w:w="100" w:type="dxa"/>
            </w:tcMar>
          </w:tcPr>
          <w:p w14:paraId="1C712887" w14:textId="77777777" w:rsidR="00682785" w:rsidRPr="005A4B26" w:rsidRDefault="00682785" w:rsidP="00682785">
            <w:pPr>
              <w:rPr>
                <w:highlight w:val="none"/>
              </w:rPr>
            </w:pPr>
            <w:r w:rsidRPr="005A4B26">
              <w:rPr>
                <w:highlight w:val="none"/>
              </w:rPr>
              <w:t>Strengths</w:t>
            </w:r>
          </w:p>
        </w:tc>
        <w:tc>
          <w:tcPr>
            <w:tcW w:w="3375" w:type="dxa"/>
            <w:tcMar>
              <w:top w:w="0" w:type="dxa"/>
              <w:left w:w="100" w:type="dxa"/>
              <w:bottom w:w="0" w:type="dxa"/>
              <w:right w:w="100" w:type="dxa"/>
            </w:tcMar>
          </w:tcPr>
          <w:p w14:paraId="3C2C9397" w14:textId="77777777" w:rsidR="00682785" w:rsidRPr="005A4B26" w:rsidRDefault="00682785" w:rsidP="00682785">
            <w:pPr>
              <w:rPr>
                <w:highlight w:val="none"/>
              </w:rPr>
            </w:pPr>
            <w:r w:rsidRPr="005A4B26">
              <w:rPr>
                <w:highlight w:val="none"/>
              </w:rPr>
              <w:t>Strong cash generation in earlier years, as reported by £73.4bn in 2020 OCF, liquidity ratios more than 1.0, and resilient gross margins.</w:t>
            </w:r>
          </w:p>
        </w:tc>
        <w:tc>
          <w:tcPr>
            <w:tcW w:w="4725" w:type="dxa"/>
            <w:tcMar>
              <w:top w:w="0" w:type="dxa"/>
              <w:left w:w="100" w:type="dxa"/>
              <w:bottom w:w="0" w:type="dxa"/>
              <w:right w:w="100" w:type="dxa"/>
            </w:tcMar>
          </w:tcPr>
          <w:p w14:paraId="1526EBD0" w14:textId="77777777" w:rsidR="00682785" w:rsidRPr="005A4B26" w:rsidRDefault="00682785" w:rsidP="00682785">
            <w:pPr>
              <w:rPr>
                <w:highlight w:val="none"/>
              </w:rPr>
            </w:pPr>
            <w:r w:rsidRPr="005A4B26">
              <w:rPr>
                <w:highlight w:val="none"/>
              </w:rPr>
              <w:t xml:space="preserve">It indicates core product competitiveness and short-term solvency despite profit collapse. </w:t>
            </w:r>
            <w:proofErr w:type="spellStart"/>
            <w:r w:rsidRPr="005A4B26">
              <w:rPr>
                <w:highlight w:val="none"/>
              </w:rPr>
              <w:t>Asiani</w:t>
            </w:r>
            <w:proofErr w:type="spellEnd"/>
            <w:r w:rsidRPr="005A4B26">
              <w:rPr>
                <w:highlight w:val="none"/>
              </w:rPr>
              <w:t xml:space="preserve"> and Rahayu (2024) highlighted liquidity and gross margins as stabilising anchors in downturns.</w:t>
            </w:r>
          </w:p>
        </w:tc>
      </w:tr>
      <w:tr w:rsidR="00682785" w14:paraId="4702E72A" w14:textId="77777777" w:rsidTr="00682785">
        <w:trPr>
          <w:trHeight w:val="1665"/>
        </w:trPr>
        <w:tc>
          <w:tcPr>
            <w:tcW w:w="1350" w:type="dxa"/>
            <w:shd w:val="clear" w:color="auto" w:fill="FFFFFF"/>
            <w:tcMar>
              <w:top w:w="0" w:type="dxa"/>
              <w:left w:w="100" w:type="dxa"/>
              <w:bottom w:w="0" w:type="dxa"/>
              <w:right w:w="100" w:type="dxa"/>
            </w:tcMar>
          </w:tcPr>
          <w:p w14:paraId="2AEC02DF" w14:textId="77777777" w:rsidR="00682785" w:rsidRPr="005A4B26" w:rsidRDefault="00682785" w:rsidP="00682785">
            <w:pPr>
              <w:rPr>
                <w:highlight w:val="none"/>
              </w:rPr>
            </w:pPr>
            <w:r w:rsidRPr="005A4B26">
              <w:rPr>
                <w:highlight w:val="none"/>
              </w:rPr>
              <w:t>Threats</w:t>
            </w:r>
          </w:p>
        </w:tc>
        <w:tc>
          <w:tcPr>
            <w:tcW w:w="3375" w:type="dxa"/>
            <w:shd w:val="clear" w:color="auto" w:fill="F2F2F2"/>
            <w:tcMar>
              <w:top w:w="0" w:type="dxa"/>
              <w:left w:w="100" w:type="dxa"/>
              <w:bottom w:w="0" w:type="dxa"/>
              <w:right w:w="100" w:type="dxa"/>
            </w:tcMar>
          </w:tcPr>
          <w:p w14:paraId="3B36FF73" w14:textId="77777777" w:rsidR="00682785" w:rsidRPr="005A4B26" w:rsidRDefault="00682785" w:rsidP="00682785">
            <w:pPr>
              <w:rPr>
                <w:highlight w:val="none"/>
              </w:rPr>
            </w:pPr>
            <w:r w:rsidRPr="005A4B26">
              <w:rPr>
                <w:highlight w:val="none"/>
              </w:rPr>
              <w:t>Rising leverage based on D/E from 0.63 to 1.11, collapsing EPS from 2.78 in 2020 to –1.85 in 2024, inventory build-up, and heavy buybacks draining equity.</w:t>
            </w:r>
          </w:p>
        </w:tc>
        <w:tc>
          <w:tcPr>
            <w:tcW w:w="4725" w:type="dxa"/>
            <w:shd w:val="clear" w:color="auto" w:fill="F2F2F2"/>
            <w:tcMar>
              <w:top w:w="0" w:type="dxa"/>
              <w:left w:w="100" w:type="dxa"/>
              <w:bottom w:w="0" w:type="dxa"/>
              <w:right w:w="100" w:type="dxa"/>
            </w:tcMar>
          </w:tcPr>
          <w:p w14:paraId="47F2C1D5" w14:textId="77777777" w:rsidR="00682785" w:rsidRPr="005A4B26" w:rsidRDefault="00682785" w:rsidP="00682785">
            <w:pPr>
              <w:rPr>
                <w:highlight w:val="none"/>
              </w:rPr>
            </w:pPr>
            <w:r w:rsidRPr="005A4B26">
              <w:rPr>
                <w:highlight w:val="none"/>
              </w:rPr>
              <w:t xml:space="preserve">This creates solvency risk, shareholder value erosion, and financing challenges for turnaround. </w:t>
            </w:r>
            <w:proofErr w:type="spellStart"/>
            <w:r w:rsidRPr="005A4B26">
              <w:rPr>
                <w:highlight w:val="none"/>
              </w:rPr>
              <w:t>Umam</w:t>
            </w:r>
            <w:proofErr w:type="spellEnd"/>
            <w:r w:rsidRPr="005A4B26">
              <w:rPr>
                <w:highlight w:val="none"/>
              </w:rPr>
              <w:t xml:space="preserve"> and Yusuf (2024) mentioned high leverage and negative earnings as critical risks to recovery.</w:t>
            </w:r>
          </w:p>
        </w:tc>
      </w:tr>
    </w:tbl>
    <w:p w14:paraId="556B077B" w14:textId="3F5868F2" w:rsidR="00682785" w:rsidRPr="005A4B26" w:rsidRDefault="00682785" w:rsidP="00682785">
      <w:pPr>
        <w:jc w:val="center"/>
        <w:rPr>
          <w:b/>
        </w:rPr>
      </w:pPr>
      <w:r w:rsidRPr="005A4B26">
        <w:rPr>
          <w:b/>
        </w:rPr>
        <w:t>Table</w:t>
      </w:r>
      <w:r>
        <w:rPr>
          <w:b/>
        </w:rPr>
        <w:t xml:space="preserve"> 1</w:t>
      </w:r>
      <w:r w:rsidRPr="005A4B26">
        <w:rPr>
          <w:b/>
        </w:rPr>
        <w:t xml:space="preserve">: Analysis of Trends, strengths, and threats </w:t>
      </w:r>
    </w:p>
    <w:p w14:paraId="060ACFA1" w14:textId="77777777" w:rsidR="00682785" w:rsidRPr="005A4B26" w:rsidRDefault="00682785" w:rsidP="00682785">
      <w:pPr>
        <w:pStyle w:val="Heading2"/>
      </w:pPr>
      <w:bookmarkStart w:id="7" w:name="_f3gasq5sfn9b" w:colFirst="0" w:colLast="0"/>
      <w:bookmarkStart w:id="8" w:name="_Toc210505198"/>
      <w:bookmarkEnd w:id="7"/>
      <w:r w:rsidRPr="005A4B26">
        <w:t>1.4 Application of the Altman Z-Score model as a corporate failure prediction framework</w:t>
      </w:r>
      <w:bookmarkEnd w:id="8"/>
      <w:r w:rsidRPr="005A4B26">
        <w:t xml:space="preserve"> </w:t>
      </w:r>
    </w:p>
    <w:p w14:paraId="67CC1413" w14:textId="77777777" w:rsidR="00682785" w:rsidRPr="005A4B26" w:rsidRDefault="00682785" w:rsidP="00682785">
      <w:r w:rsidRPr="005A4B26">
        <w:t xml:space="preserve">Altman Z-score for General Electronics shows changing default risk. A score above 3.0 is considered safe, as revealed by </w:t>
      </w:r>
      <w:proofErr w:type="spellStart"/>
      <w:r w:rsidRPr="005A4B26">
        <w:t>Spulbar</w:t>
      </w:r>
      <w:proofErr w:type="spellEnd"/>
      <w:r w:rsidRPr="005A4B26">
        <w:t xml:space="preserve"> et al. (2025). General Electronics' scores were above 3.0 in both 2020, with a score of 4.18, and 2021, with a score of 3.66. The scores suggest relative stability, yet in 2022 General Electronics scored 3.14, indicating a decline, which aligns closely with annual profits of breakeven.</w:t>
      </w:r>
    </w:p>
    <w:p w14:paraId="1B2B0CC6" w14:textId="77777777" w:rsidR="00682785" w:rsidRPr="005A4B26" w:rsidRDefault="00682785" w:rsidP="00682785">
      <w:pPr>
        <w:jc w:val="center"/>
        <w:rPr>
          <w:b/>
        </w:rPr>
      </w:pPr>
      <w:r w:rsidRPr="005A4B26">
        <w:rPr>
          <w:b/>
          <w:noProof/>
        </w:rPr>
        <w:lastRenderedPageBreak/>
        <w:drawing>
          <wp:inline distT="114300" distB="114300" distL="114300" distR="114300" wp14:anchorId="03174A37" wp14:editId="2F86BF87">
            <wp:extent cx="5943600" cy="3987800"/>
            <wp:effectExtent l="0" t="0" r="0" b="0"/>
            <wp:docPr id="5" name="image17.png"/>
            <wp:cNvGraphicFramePr/>
            <a:graphic xmlns:a="http://schemas.openxmlformats.org/drawingml/2006/main">
              <a:graphicData uri="http://schemas.openxmlformats.org/drawingml/2006/picture">
                <pic:pic xmlns:pic="http://schemas.openxmlformats.org/drawingml/2006/picture">
                  <pic:nvPicPr>
                    <pic:cNvPr id="5" name="image17.png"/>
                    <pic:cNvPicPr/>
                  </pic:nvPicPr>
                  <pic:blipFill>
                    <a:blip r:embed="rId19"/>
                    <a:stretch>
                      <a:fillRect/>
                    </a:stretch>
                  </pic:blipFill>
                  <pic:spPr>
                    <a:xfrm>
                      <a:off x="0" y="0"/>
                      <a:ext cx="5943600" cy="3987800"/>
                    </a:xfrm>
                    <a:prstGeom prst="rect">
                      <a:avLst/>
                    </a:prstGeom>
                  </pic:spPr>
                </pic:pic>
              </a:graphicData>
            </a:graphic>
          </wp:inline>
        </w:drawing>
      </w:r>
    </w:p>
    <w:p w14:paraId="5D95C2AC" w14:textId="665685A9" w:rsidR="00682785" w:rsidRPr="005A4B26" w:rsidRDefault="00682785" w:rsidP="00682785">
      <w:pPr>
        <w:jc w:val="center"/>
        <w:rPr>
          <w:b/>
        </w:rPr>
      </w:pPr>
      <w:r w:rsidRPr="005A4B26">
        <w:rPr>
          <w:b/>
        </w:rPr>
        <w:t>Figure</w:t>
      </w:r>
      <w:r>
        <w:rPr>
          <w:b/>
        </w:rPr>
        <w:t xml:space="preserve"> 11</w:t>
      </w:r>
      <w:r w:rsidRPr="005A4B26">
        <w:rPr>
          <w:b/>
        </w:rPr>
        <w:t xml:space="preserve">: Computed Altman Z-Score of General Electronics </w:t>
      </w:r>
    </w:p>
    <w:p w14:paraId="555A29E8" w14:textId="77777777" w:rsidR="00682785" w:rsidRPr="005A4B26" w:rsidRDefault="00682785" w:rsidP="00682785">
      <w:pPr>
        <w:jc w:val="center"/>
      </w:pPr>
      <w:r w:rsidRPr="005A4B26">
        <w:t>(Source: Excel Worksheet)</w:t>
      </w:r>
    </w:p>
    <w:p w14:paraId="7F0698EC" w14:textId="77777777" w:rsidR="00682785" w:rsidRPr="005A4B26" w:rsidRDefault="00682785" w:rsidP="00682785">
      <w:r w:rsidRPr="005A4B26">
        <w:t xml:space="preserve">The Altman Z-score increased sharply in 2023 (4.78) and 2024 (9.04) as a result of elevated market equity valuations, even with operating losses. On the one hand, when equity is inflated, there is very little risk of near-term bankruptcy, but recently reported losses raise questions about the long-term viability of the business. </w:t>
      </w:r>
    </w:p>
    <w:p w14:paraId="4E944CDD" w14:textId="57A754E4" w:rsidR="00C8545D" w:rsidRPr="00682785" w:rsidRDefault="00682785" w:rsidP="00682785">
      <w:bookmarkStart w:id="9" w:name="_ybqezf6s0ugf" w:colFirst="0" w:colLast="0"/>
      <w:bookmarkEnd w:id="9"/>
      <w:r w:rsidRPr="005A4B26">
        <w:br w:type="page"/>
      </w:r>
    </w:p>
    <w:p w14:paraId="6B760F9C" w14:textId="6CC443CE" w:rsidR="005F3587" w:rsidRDefault="005F3587" w:rsidP="00682785">
      <w:pPr>
        <w:pStyle w:val="Heading1"/>
      </w:pPr>
      <w:bookmarkStart w:id="10" w:name="_Toc210505199"/>
      <w:r>
        <w:lastRenderedPageBreak/>
        <w:t>2</w:t>
      </w:r>
      <w:r w:rsidRPr="005F3587">
        <w:t>. Working Capital Management Analysis</w:t>
      </w:r>
      <w:bookmarkEnd w:id="10"/>
    </w:p>
    <w:p w14:paraId="360E5258" w14:textId="2063ED05" w:rsidR="00433869" w:rsidRDefault="005F3587" w:rsidP="00682785">
      <w:pPr>
        <w:pStyle w:val="Heading2"/>
      </w:pPr>
      <w:bookmarkStart w:id="11" w:name="_Toc210505200"/>
      <w:r>
        <w:t>2</w:t>
      </w:r>
      <w:r w:rsidR="00433869">
        <w:t xml:space="preserve">.1 Cash </w:t>
      </w:r>
      <w:r w:rsidR="00433869" w:rsidRPr="00C8545D">
        <w:t>Operating</w:t>
      </w:r>
      <w:r w:rsidR="00433869">
        <w:t xml:space="preserve"> Cycle</w:t>
      </w:r>
      <w:bookmarkEnd w:id="11"/>
      <w:r w:rsidR="00433869">
        <w:t xml:space="preserve"> </w:t>
      </w:r>
    </w:p>
    <w:p w14:paraId="1EE0F0A6" w14:textId="3BB25186" w:rsidR="0042107F" w:rsidRDefault="00433869" w:rsidP="00682785">
      <w:r>
        <w:t>The cash operating cycle is used to gauge the delay between cash expenditures on buying inventory and cash revenues from sales.</w:t>
      </w:r>
    </w:p>
    <w:p w14:paraId="34E57943" w14:textId="77777777" w:rsidR="0042107F" w:rsidRDefault="0042107F" w:rsidP="00682785">
      <w:r w:rsidRPr="0042107F">
        <w:rPr>
          <w:noProof/>
          <w:lang w:val="en-US"/>
        </w:rPr>
        <w:drawing>
          <wp:inline distT="0" distB="0" distL="0" distR="0" wp14:anchorId="5EE9B3FA" wp14:editId="24064BCE">
            <wp:extent cx="5943600" cy="479502"/>
            <wp:effectExtent l="0" t="0" r="0" b="0"/>
            <wp:docPr id="8265816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83569" cy="482727"/>
                    </a:xfrm>
                    <a:prstGeom prst="rect">
                      <a:avLst/>
                    </a:prstGeom>
                    <a:noFill/>
                    <a:ln>
                      <a:noFill/>
                    </a:ln>
                  </pic:spPr>
                </pic:pic>
              </a:graphicData>
            </a:graphic>
          </wp:inline>
        </w:drawing>
      </w:r>
    </w:p>
    <w:p w14:paraId="133C84DB" w14:textId="20529098" w:rsidR="0042107F" w:rsidRPr="0042107F" w:rsidRDefault="0042107F" w:rsidP="00682785">
      <w:pPr>
        <w:jc w:val="center"/>
        <w:rPr>
          <w:b/>
          <w:bCs/>
        </w:rPr>
      </w:pPr>
      <w:r w:rsidRPr="0042107F">
        <w:rPr>
          <w:b/>
          <w:bCs/>
        </w:rPr>
        <w:t>Figure 1</w:t>
      </w:r>
      <w:r w:rsidR="00682785">
        <w:rPr>
          <w:b/>
          <w:bCs/>
        </w:rPr>
        <w:t>2</w:t>
      </w:r>
      <w:r w:rsidRPr="0042107F">
        <w:rPr>
          <w:b/>
          <w:bCs/>
        </w:rPr>
        <w:t>: Cash Flow Ratio</w:t>
      </w:r>
    </w:p>
    <w:p w14:paraId="7FB7A6AA" w14:textId="36C47508" w:rsidR="0042107F" w:rsidRDefault="0042107F" w:rsidP="00682785">
      <w:pPr>
        <w:jc w:val="center"/>
      </w:pPr>
      <w:r>
        <w:t>(Source: Self-created)</w:t>
      </w:r>
    </w:p>
    <w:p w14:paraId="43407428" w14:textId="562A92BD" w:rsidR="00104D5E" w:rsidRDefault="00104D5E" w:rsidP="00104D5E">
      <w:r w:rsidRPr="00104D5E">
        <w:t>The table indicates the Operating Cash Flow Ratio (OCFR) which is used to determine how an organization can meet its short-term liabilities through cash available in the course of its operation. The formula is = operating cash flow/current liability. When the ratio is greater, it implies that the company is in good liquidity position whereas a reduced ratio implies that the company may find it difficult to settle its debt without resorting to third-party funding. The OCFR falls in the period of 2020-2024: the values decrease to 0.41 in 2020, decrease sharply to 0.05 and then 0.16 in 2022 and 2023 respectively. It means that the company lost the capacity to produce the needed operating cash to meet the current liabilities significantly (Panigrahi, 2023). It exhibits poor coverage with the fall in 2022 and 2024 which is a sign of liquidity stress. On a broader scale, the discussion implies that the company will have to rely even more on either outside capital, or more effective funding mechanisms, to cover the short-run requirements and remain viable.</w:t>
      </w:r>
    </w:p>
    <w:p w14:paraId="57096BA8" w14:textId="772737A5" w:rsidR="00433869" w:rsidRDefault="005F3587" w:rsidP="00682785">
      <w:pPr>
        <w:pStyle w:val="Heading2"/>
      </w:pPr>
      <w:bookmarkStart w:id="12" w:name="_Toc210505201"/>
      <w:r>
        <w:t>2</w:t>
      </w:r>
      <w:r w:rsidR="00433869">
        <w:t xml:space="preserve">.2 </w:t>
      </w:r>
      <w:r w:rsidR="00433869" w:rsidRPr="00C8545D">
        <w:t>Liquidity</w:t>
      </w:r>
      <w:r w:rsidR="00433869">
        <w:t>-Enhancing Strategies Using Working Capital Reforms</w:t>
      </w:r>
      <w:bookmarkEnd w:id="12"/>
      <w:r w:rsidR="00433869">
        <w:t xml:space="preserve"> </w:t>
      </w:r>
    </w:p>
    <w:p w14:paraId="68C6A4F0" w14:textId="1E9D1FAA" w:rsidR="00433869" w:rsidRDefault="00E06295" w:rsidP="00682785">
      <w:r>
        <w:t>It</w:t>
      </w:r>
      <w:r w:rsidR="00433869">
        <w:t xml:space="preserve"> is necessary to reform the working capital management policies to unleash the stagnant money and improve the predictability of cash flows</w:t>
      </w:r>
      <w:r>
        <w:t xml:space="preserve"> to make GE liquid</w:t>
      </w:r>
      <w:r w:rsidR="00433869">
        <w:t xml:space="preserve">. </w:t>
      </w:r>
      <w:r>
        <w:t xml:space="preserve">There </w:t>
      </w:r>
      <w:r w:rsidR="00433869">
        <w:t>should be a focus on inventory optimisation using advanced demand forecasting, Just-in-Time (JIT) systems, and supply chain analytics that use digital technology</w:t>
      </w:r>
      <w:r w:rsidR="00F87396">
        <w:t xml:space="preserve"> (</w:t>
      </w:r>
      <w:r w:rsidR="00F87396" w:rsidRPr="0042107F">
        <w:t>Czerwonka</w:t>
      </w:r>
      <w:r w:rsidR="00F87396">
        <w:t xml:space="preserve"> </w:t>
      </w:r>
      <w:r w:rsidR="00F87396" w:rsidRPr="0042107F">
        <w:t>and Jaworski, 2023</w:t>
      </w:r>
      <w:r w:rsidR="00F87396">
        <w:t>)</w:t>
      </w:r>
      <w:r w:rsidR="00F87396" w:rsidRPr="0042107F">
        <w:t xml:space="preserve">. </w:t>
      </w:r>
      <w:r w:rsidR="00433869">
        <w:t xml:space="preserve">By embracing models such as Economic order quantity and ABC classification of inventory, it is possible to strike a balance between holding costs and stockout risks. As an illustration, the build-to-order </w:t>
      </w:r>
      <w:r w:rsidR="00433869">
        <w:lastRenderedPageBreak/>
        <w:t>model of Dell Technologies reduced its inventory days by a significant number and enhanced cash flows. GE needs to improve receivables management through imposing tougher credit conditions, providing early payment discounts, and introducing automated billing and collection. The international customer credit scoring framework has the potential of reducing bad debts, and factoring receivables to financial institutions can speed up the cash flows without raising debt levels.</w:t>
      </w:r>
    </w:p>
    <w:p w14:paraId="5D896251" w14:textId="1CA1C407" w:rsidR="00433869" w:rsidRDefault="00433869" w:rsidP="00682785">
      <w:r>
        <w:t>GE should strategically lengthen its payables by bargaining for superior credit terms with its suppliers around the world</w:t>
      </w:r>
      <w:r w:rsidR="00F87396">
        <w:t xml:space="preserve"> (</w:t>
      </w:r>
      <w:r w:rsidR="00F87396" w:rsidRPr="0042107F">
        <w:t>Alvarez</w:t>
      </w:r>
      <w:r w:rsidR="00F87396">
        <w:t xml:space="preserve"> et al., </w:t>
      </w:r>
      <w:r w:rsidR="00F87396" w:rsidRPr="0042107F">
        <w:t>2021</w:t>
      </w:r>
      <w:r w:rsidR="00F87396">
        <w:t>)</w:t>
      </w:r>
      <w:r w:rsidR="00F87396" w:rsidRPr="0042107F">
        <w:t xml:space="preserve">. </w:t>
      </w:r>
      <w:r>
        <w:t>Vendors can also be worked with through collaboration on supply chain financing programs so that suppliers can be paid on time as GE keeps afloat. Unilever and Procter and Gamble have successfully managed to employ this model. Lastly, the introduction of cash flow forecasting and central treasury management shall be useful in keeping a check on the liquidity of subsidiaries globally, to reduce the exposure of idle cash and currency</w:t>
      </w:r>
      <w:r w:rsidR="00F87396">
        <w:t xml:space="preserve"> (</w:t>
      </w:r>
      <w:r w:rsidR="00F87396" w:rsidRPr="0042107F">
        <w:t>Kim and Park, 2021</w:t>
      </w:r>
      <w:r w:rsidR="00F87396">
        <w:t>)</w:t>
      </w:r>
      <w:r w:rsidR="00F87396" w:rsidRPr="0042107F">
        <w:t xml:space="preserve">. </w:t>
      </w:r>
      <w:r>
        <w:t>Combined, these would reduce GE to less than 90 days and liberate a large amount of cash, lessen its dependence on external borrowing, and increase its financial strength in its turnaround period.</w:t>
      </w:r>
    </w:p>
    <w:p w14:paraId="286BF549" w14:textId="1BAE3F6E" w:rsidR="00433869" w:rsidRDefault="005F3587" w:rsidP="00682785">
      <w:pPr>
        <w:pStyle w:val="Heading2"/>
      </w:pPr>
      <w:bookmarkStart w:id="13" w:name="_Toc210505202"/>
      <w:r>
        <w:t>2</w:t>
      </w:r>
      <w:r w:rsidR="00433869">
        <w:t xml:space="preserve">.3 </w:t>
      </w:r>
      <w:r w:rsidR="00E06295">
        <w:t>S</w:t>
      </w:r>
      <w:r w:rsidR="00433869">
        <w:t xml:space="preserve">hort-term vs. long-term </w:t>
      </w:r>
      <w:r w:rsidR="00433869" w:rsidRPr="00C8545D">
        <w:t>financing</w:t>
      </w:r>
      <w:bookmarkEnd w:id="13"/>
      <w:r w:rsidR="00433869">
        <w:t xml:space="preserve"> </w:t>
      </w:r>
    </w:p>
    <w:p w14:paraId="50ADBF5F" w14:textId="77777777" w:rsidR="00433869" w:rsidRDefault="00433869" w:rsidP="00682785">
      <w:r>
        <w:t>Turnaround financing needs to be well-balanced short-term and long-term financing, which is aligned with the liquidity requirements and the strategic objectives.</w:t>
      </w:r>
    </w:p>
    <w:p w14:paraId="34936EC9" w14:textId="7C6BD44A" w:rsidR="00433869" w:rsidRPr="00E06295" w:rsidRDefault="0043465F" w:rsidP="00682785">
      <w:pPr>
        <w:rPr>
          <w:b/>
          <w:bCs/>
          <w:i/>
          <w:iCs/>
          <w:u w:val="single"/>
        </w:rPr>
      </w:pPr>
      <w:r>
        <w:rPr>
          <w:b/>
          <w:bCs/>
          <w:i/>
          <w:iCs/>
          <w:u w:val="single"/>
        </w:rPr>
        <w:t>Short-Term</w:t>
      </w:r>
      <w:r w:rsidR="00E06295" w:rsidRPr="00E06295">
        <w:rPr>
          <w:b/>
          <w:bCs/>
          <w:i/>
          <w:iCs/>
          <w:u w:val="single"/>
        </w:rPr>
        <w:t xml:space="preserve"> Financing</w:t>
      </w:r>
    </w:p>
    <w:p w14:paraId="170DF59B" w14:textId="76C1F956" w:rsidR="00433869" w:rsidRDefault="00433869" w:rsidP="00682785">
      <w:r>
        <w:t>Short-term financing sources, including overdrafts, trade credit, commercial papers and invoice discounting, can provide the required liquidity to finance operational needs and cover working capital needs</w:t>
      </w:r>
      <w:r w:rsidR="00F87396">
        <w:t xml:space="preserve"> (</w:t>
      </w:r>
      <w:r w:rsidR="00F87396" w:rsidRPr="0042107F">
        <w:t>Edmans</w:t>
      </w:r>
      <w:r w:rsidR="00F87396">
        <w:t xml:space="preserve"> et al., </w:t>
      </w:r>
      <w:r w:rsidR="00F87396" w:rsidRPr="0042107F">
        <w:t>2022</w:t>
      </w:r>
      <w:r w:rsidR="00F87396">
        <w:t>)</w:t>
      </w:r>
      <w:r w:rsidR="00F87396" w:rsidRPr="0042107F">
        <w:t xml:space="preserve">. </w:t>
      </w:r>
      <w:r>
        <w:t xml:space="preserve"> They have benefits such as flexibility, low cost of arrangement and speedy access. Their dependency</w:t>
      </w:r>
      <w:r w:rsidR="00E06295">
        <w:t xml:space="preserve"> </w:t>
      </w:r>
      <w:r>
        <w:t xml:space="preserve">leads to escalated refinancing risks and fluctuation in interest. In the case of GE, the day-to-day operations can be </w:t>
      </w:r>
      <w:r w:rsidR="00E06295">
        <w:t>stabilised</w:t>
      </w:r>
      <w:r>
        <w:t xml:space="preserve"> in the short term by using short-term funding such as supplier credit extension and receivables factoring. As an example, LG Electronics was able to maintain liquidity in 2019 through financing facilities with its suppliers as part of its restructuring.</w:t>
      </w:r>
    </w:p>
    <w:p w14:paraId="0D93F3F5" w14:textId="3BFFECB7" w:rsidR="00433869" w:rsidRPr="00E06295" w:rsidRDefault="0043465F" w:rsidP="00682785">
      <w:pPr>
        <w:rPr>
          <w:b/>
          <w:bCs/>
          <w:i/>
          <w:iCs/>
          <w:u w:val="single"/>
        </w:rPr>
      </w:pPr>
      <w:r>
        <w:rPr>
          <w:b/>
          <w:bCs/>
          <w:i/>
          <w:iCs/>
          <w:u w:val="single"/>
        </w:rPr>
        <w:t>Long-Term</w:t>
      </w:r>
      <w:r w:rsidR="00E06295" w:rsidRPr="00E06295">
        <w:rPr>
          <w:b/>
          <w:bCs/>
          <w:i/>
          <w:iCs/>
          <w:u w:val="single"/>
        </w:rPr>
        <w:t xml:space="preserve"> Financing</w:t>
      </w:r>
    </w:p>
    <w:p w14:paraId="0436F826" w14:textId="61449BCF" w:rsidR="00433869" w:rsidRDefault="00F87396" w:rsidP="00682785">
      <w:r>
        <w:lastRenderedPageBreak/>
        <w:t xml:space="preserve">As per </w:t>
      </w:r>
      <w:r w:rsidRPr="0042107F">
        <w:t>Qin</w:t>
      </w:r>
      <w:r>
        <w:t xml:space="preserve"> et al. (</w:t>
      </w:r>
      <w:r w:rsidRPr="0042107F">
        <w:t>2023</w:t>
      </w:r>
      <w:r>
        <w:t>),</w:t>
      </w:r>
      <w:r w:rsidRPr="0042107F">
        <w:t xml:space="preserve"> </w:t>
      </w:r>
      <w:r w:rsidR="00433869">
        <w:t xml:space="preserve">Long-term investment, such as equity capital, long-term bank lending, corporate bonds and retained earnings, </w:t>
      </w:r>
      <w:r w:rsidR="00E06295">
        <w:t>is</w:t>
      </w:r>
      <w:r w:rsidR="00433869">
        <w:t xml:space="preserve"> used to provide stability in investment in restructuring, innovation and market expansion. </w:t>
      </w:r>
      <w:r w:rsidR="00E06295">
        <w:t>Despite</w:t>
      </w:r>
      <w:r w:rsidR="00433869">
        <w:t xml:space="preserve"> the increased cost of issuance, long-term financing is consistent with strategic renewal efforts, like R&amp;D, and international diversification. Debt restructuring- Turning </w:t>
      </w:r>
      <w:r w:rsidR="00E06295">
        <w:t>short-term</w:t>
      </w:r>
      <w:r w:rsidR="00433869">
        <w:t xml:space="preserve"> debts into </w:t>
      </w:r>
      <w:r w:rsidR="00E06295">
        <w:t>long-term</w:t>
      </w:r>
      <w:r w:rsidR="00433869">
        <w:t xml:space="preserve"> loans or bonds- solvency is not </w:t>
      </w:r>
      <w:r w:rsidR="00B005F9">
        <w:t>affect solvency</w:t>
      </w:r>
      <w:r w:rsidR="00E06295">
        <w:t>,</w:t>
      </w:r>
      <w:r w:rsidR="00433869">
        <w:t xml:space="preserve"> and immediate cash pressure is reduced. As an example, in 2014</w:t>
      </w:r>
      <w:r w:rsidR="00E06295">
        <w:t>,</w:t>
      </w:r>
      <w:r w:rsidR="00433869">
        <w:t xml:space="preserve"> Sony used long-term debt refinancing and asset sales to finance the development of new products and enhance the flexibility of its balance sheet.</w:t>
      </w:r>
    </w:p>
    <w:p w14:paraId="4BDA8B85" w14:textId="77777777" w:rsidR="00433869" w:rsidRDefault="00433869" w:rsidP="00682785">
      <w:r>
        <w:t>The hybrid solution is suggested in the case of GE:</w:t>
      </w:r>
    </w:p>
    <w:p w14:paraId="1FD5369D" w14:textId="6E21389C" w:rsidR="00433869" w:rsidRDefault="00433869" w:rsidP="00682785">
      <w:pPr>
        <w:pStyle w:val="ListParagraph"/>
        <w:numPr>
          <w:ilvl w:val="0"/>
          <w:numId w:val="10"/>
        </w:numPr>
      </w:pPr>
      <w:r>
        <w:t>Leverag</w:t>
      </w:r>
      <w:r w:rsidR="00E06295">
        <w:t>ing</w:t>
      </w:r>
      <w:r>
        <w:t xml:space="preserve"> the use of short-term debt to control the situation with liquidity and </w:t>
      </w:r>
      <w:r w:rsidR="00E06295">
        <w:t xml:space="preserve">stabilise </w:t>
      </w:r>
      <w:r>
        <w:t>the operations.</w:t>
      </w:r>
    </w:p>
    <w:p w14:paraId="0CCE415D" w14:textId="6A844CC1" w:rsidR="00433869" w:rsidRDefault="00433869" w:rsidP="00682785">
      <w:pPr>
        <w:pStyle w:val="ListParagraph"/>
        <w:numPr>
          <w:ilvl w:val="0"/>
          <w:numId w:val="10"/>
        </w:numPr>
      </w:pPr>
      <w:r>
        <w:t>Us</w:t>
      </w:r>
      <w:r w:rsidR="00E06295">
        <w:t>ing</w:t>
      </w:r>
      <w:r>
        <w:t xml:space="preserve"> </w:t>
      </w:r>
      <w:r w:rsidR="00E06295">
        <w:t>long-term</w:t>
      </w:r>
      <w:r>
        <w:t xml:space="preserve"> equity or bond </w:t>
      </w:r>
      <w:r w:rsidR="00E06295">
        <w:t>issues</w:t>
      </w:r>
      <w:r>
        <w:t xml:space="preserve"> to finance restructuring and technological change.</w:t>
      </w:r>
    </w:p>
    <w:p w14:paraId="3BF24FDB" w14:textId="38A3A247" w:rsidR="00433869" w:rsidRDefault="00433869" w:rsidP="00682785">
      <w:pPr>
        <w:pStyle w:val="ListParagraph"/>
        <w:numPr>
          <w:ilvl w:val="0"/>
          <w:numId w:val="10"/>
        </w:numPr>
      </w:pPr>
      <w:r>
        <w:t>Maintain</w:t>
      </w:r>
      <w:r w:rsidR="00E06295">
        <w:t xml:space="preserve">ing </w:t>
      </w:r>
      <w:r>
        <w:t xml:space="preserve">an optimal </w:t>
      </w:r>
      <w:r w:rsidR="00E06295">
        <w:t>debt-to-equity</w:t>
      </w:r>
      <w:r>
        <w:t xml:space="preserve"> ratio </w:t>
      </w:r>
      <w:r w:rsidR="00E06295">
        <w:t>to</w:t>
      </w:r>
      <w:r>
        <w:t xml:space="preserve"> be creditworthy and investor confident.</w:t>
      </w:r>
    </w:p>
    <w:p w14:paraId="2C2E2D34" w14:textId="5F7B1774" w:rsidR="00B005F9" w:rsidRDefault="00827D3E" w:rsidP="00682785">
      <w:pPr>
        <w:pStyle w:val="Heading1"/>
      </w:pPr>
      <w:bookmarkStart w:id="14" w:name="_Toc210505203"/>
      <w:r>
        <w:t>3</w:t>
      </w:r>
      <w:r w:rsidR="00B005F9" w:rsidRPr="00B005F9">
        <w:t>. Strategic Financial Restructuring Plan</w:t>
      </w:r>
      <w:bookmarkEnd w:id="14"/>
    </w:p>
    <w:p w14:paraId="4D37CD48" w14:textId="756A0C01" w:rsidR="005F3587" w:rsidRDefault="00827D3E" w:rsidP="00682785">
      <w:pPr>
        <w:pStyle w:val="Heading2"/>
      </w:pPr>
      <w:bookmarkStart w:id="15" w:name="_Toc210505204"/>
      <w:r>
        <w:t>3</w:t>
      </w:r>
      <w:r w:rsidR="005F3587" w:rsidRPr="005F3587">
        <w:t xml:space="preserve">.1 </w:t>
      </w:r>
      <w:r w:rsidR="005F3587" w:rsidRPr="00C8545D">
        <w:t>Recommended</w:t>
      </w:r>
      <w:r w:rsidR="005F3587" w:rsidRPr="005F3587">
        <w:t xml:space="preserve"> Financial Restructuring Options</w:t>
      </w:r>
      <w:bookmarkEnd w:id="15"/>
      <w:r w:rsidR="005F3587" w:rsidRPr="005F3587">
        <w:t xml:space="preserve"> </w:t>
      </w:r>
      <w:r w:rsidR="005F3587">
        <w:t xml:space="preserve"> </w:t>
      </w:r>
    </w:p>
    <w:p w14:paraId="677FF787" w14:textId="638ACBA6" w:rsidR="00FE0BA7" w:rsidRDefault="00FE0BA7" w:rsidP="00682785">
      <w:r>
        <w:t>General Electric needs a thorough restructuring approach to recover financial well-being and international competitiveness. It is done through reduction of debt, improvement in operations and injection of capital. Three financial restructuring alternatives are proposed to be interdependent:</w:t>
      </w:r>
    </w:p>
    <w:p w14:paraId="0A977434" w14:textId="3C27FD26" w:rsidR="00FE0BA7" w:rsidRPr="00FE0BA7" w:rsidRDefault="00FE0BA7" w:rsidP="00682785">
      <w:pPr>
        <w:rPr>
          <w:b/>
          <w:bCs/>
          <w:i/>
          <w:iCs/>
          <w:u w:val="single"/>
        </w:rPr>
      </w:pPr>
      <w:r w:rsidRPr="00FE0BA7">
        <w:rPr>
          <w:b/>
          <w:bCs/>
          <w:i/>
          <w:iCs/>
          <w:u w:val="single"/>
        </w:rPr>
        <w:t>Divestiture of Non-Core Assets:</w:t>
      </w:r>
    </w:p>
    <w:p w14:paraId="65DF18AF" w14:textId="16D56498" w:rsidR="00FE0BA7" w:rsidRDefault="00FE0BA7" w:rsidP="00682785">
      <w:r>
        <w:t>GE can divest non-strategic or poor-performing business segments that might include low-margin product lines</w:t>
      </w:r>
      <w:r w:rsidR="00F87396">
        <w:t>,</w:t>
      </w:r>
      <w:r>
        <w:t xml:space="preserve"> such as small household appliances</w:t>
      </w:r>
      <w:r w:rsidR="00F87396">
        <w:t xml:space="preserve"> </w:t>
      </w:r>
      <w:r>
        <w:t>and unnecessary overseas subsidiaries. The proceeds of the divestiture could be invested in the high-growth areas like smart devices, renewable energy, electronics and IoT-enabled consumer products</w:t>
      </w:r>
      <w:r w:rsidR="00827D3E">
        <w:t xml:space="preserve"> (</w:t>
      </w:r>
      <w:proofErr w:type="spellStart"/>
      <w:r w:rsidR="00827D3E" w:rsidRPr="00827D3E">
        <w:t>Mavlutova</w:t>
      </w:r>
      <w:proofErr w:type="spellEnd"/>
      <w:r w:rsidR="00827D3E">
        <w:t xml:space="preserve"> et al., </w:t>
      </w:r>
      <w:r w:rsidR="00827D3E" w:rsidRPr="00827D3E">
        <w:t>2021</w:t>
      </w:r>
      <w:r w:rsidR="00827D3E">
        <w:t>)</w:t>
      </w:r>
      <w:r w:rsidR="00827D3E" w:rsidRPr="00827D3E">
        <w:t xml:space="preserve">. </w:t>
      </w:r>
      <w:r>
        <w:t xml:space="preserve"> This will not only produce instant liquidity but will also sharpen the strategic focus of the firm. An example of an effective precedent that achieved success is the decision of Philips to sell its lighting business and become a healthcare technology-focused company that could enjoy better profit margins and market capitalisation.</w:t>
      </w:r>
    </w:p>
    <w:p w14:paraId="61834AD4" w14:textId="56DB81AF" w:rsidR="00FE0BA7" w:rsidRPr="00FE0BA7" w:rsidRDefault="00FE0BA7" w:rsidP="00682785">
      <w:pPr>
        <w:rPr>
          <w:b/>
          <w:bCs/>
          <w:i/>
          <w:iCs/>
          <w:u w:val="single"/>
        </w:rPr>
      </w:pPr>
      <w:r w:rsidRPr="00FE0BA7">
        <w:rPr>
          <w:b/>
          <w:bCs/>
          <w:i/>
          <w:iCs/>
          <w:u w:val="single"/>
        </w:rPr>
        <w:lastRenderedPageBreak/>
        <w:t>Debt Restructuring and Refinancing:</w:t>
      </w:r>
    </w:p>
    <w:p w14:paraId="5045C3EF" w14:textId="02E231D9" w:rsidR="00FE0BA7" w:rsidRDefault="00FE0BA7" w:rsidP="00682785">
      <w:r>
        <w:t>Converting short-term debt into long-term instruments will allow refinancing risk to be minimised, and cash flows can be stabilised. Also, debt-equity swaps could reduce leverage and retain liquidity</w:t>
      </w:r>
      <w:r w:rsidR="00827D3E">
        <w:t xml:space="preserve"> (</w:t>
      </w:r>
      <w:r w:rsidR="00827D3E" w:rsidRPr="00827D3E">
        <w:t>Grundy</w:t>
      </w:r>
      <w:r w:rsidR="00827D3E">
        <w:t xml:space="preserve"> et al., </w:t>
      </w:r>
      <w:r w:rsidR="00827D3E" w:rsidRPr="00827D3E">
        <w:t>2022</w:t>
      </w:r>
      <w:r w:rsidR="00827D3E">
        <w:t>)</w:t>
      </w:r>
      <w:r w:rsidR="00827D3E" w:rsidRPr="00827D3E">
        <w:t xml:space="preserve">. </w:t>
      </w:r>
      <w:r>
        <w:t>The conversion of the bonds or restructuring of the already existing loans on good terms permits the firm to obtain capital without any dilution. The restructuring of Sony in 2013-2014 is an example of how debt refinancing can be effective in lowering the interest payments and returning the company to solvency in a turnaround.</w:t>
      </w:r>
    </w:p>
    <w:p w14:paraId="1F7A815E" w14:textId="1FDD9509" w:rsidR="00FE0BA7" w:rsidRPr="00FE0BA7" w:rsidRDefault="00FE0BA7" w:rsidP="00682785">
      <w:pPr>
        <w:rPr>
          <w:b/>
          <w:bCs/>
          <w:i/>
          <w:iCs/>
          <w:u w:val="single"/>
        </w:rPr>
      </w:pPr>
      <w:r w:rsidRPr="00FE0BA7">
        <w:rPr>
          <w:b/>
          <w:bCs/>
          <w:i/>
          <w:iCs/>
          <w:u w:val="single"/>
        </w:rPr>
        <w:t>Equity Injections and Strategic Partnerships:</w:t>
      </w:r>
    </w:p>
    <w:p w14:paraId="557B35C9" w14:textId="1883256A" w:rsidR="00FE0BA7" w:rsidRDefault="00FE0BA7" w:rsidP="00682785">
      <w:r>
        <w:t>The financial base and technologic capabilities of GE can be reinforced by a capital injection via private placements or rights issues, or partnerships with other international technology firms</w:t>
      </w:r>
      <w:r w:rsidR="00827D3E">
        <w:t xml:space="preserve"> (</w:t>
      </w:r>
      <w:proofErr w:type="spellStart"/>
      <w:r w:rsidR="00827D3E" w:rsidRPr="00827D3E">
        <w:t>Zaramella</w:t>
      </w:r>
      <w:proofErr w:type="spellEnd"/>
      <w:r w:rsidR="00827D3E" w:rsidRPr="00827D3E">
        <w:t>, 2023</w:t>
      </w:r>
      <w:r w:rsidR="00827D3E">
        <w:t>)</w:t>
      </w:r>
      <w:r w:rsidR="00827D3E" w:rsidRPr="00827D3E">
        <w:t xml:space="preserve">. </w:t>
      </w:r>
      <w:r>
        <w:t xml:space="preserve"> As an example, engaging companies such as Lenovo or Huawei would not only lead to equity but also access to the global supply chain and insight pipelines. The strategic alliance of Sharp Corporation with Foxconn is a good example of how equity partnerships can finance technological upgrades, operational efficiency and expansion in the market at the same time.</w:t>
      </w:r>
    </w:p>
    <w:p w14:paraId="006924A8" w14:textId="36627DDF" w:rsidR="00FE0BA7" w:rsidRDefault="00FE0BA7" w:rsidP="00682785">
      <w:r>
        <w:t xml:space="preserve">GE </w:t>
      </w:r>
      <w:r w:rsidR="00B005F9">
        <w:t>can</w:t>
      </w:r>
      <w:r>
        <w:t xml:space="preserve"> combine the three possible approaches in asset divestment, debt </w:t>
      </w:r>
      <w:r w:rsidR="00B005F9">
        <w:t>rationalisation</w:t>
      </w:r>
      <w:r>
        <w:t>, and equity improvement</w:t>
      </w:r>
      <w:r w:rsidR="00B005F9">
        <w:t>. The</w:t>
      </w:r>
      <w:r>
        <w:t xml:space="preserve"> leverage would decrease by about 25</w:t>
      </w:r>
      <w:r w:rsidR="00B005F9">
        <w:t>,</w:t>
      </w:r>
      <w:r>
        <w:t xml:space="preserve"> and the liquidity would also be enhanced</w:t>
      </w:r>
      <w:r w:rsidR="00B005F9">
        <w:t>,</w:t>
      </w:r>
      <w:r>
        <w:t xml:space="preserve"> and the capital would then be reinvested into innovative, globally scalable operations. The multi-pronged strategy places the company in a strategic position of sustainable growth and removes financial risk.</w:t>
      </w:r>
    </w:p>
    <w:p w14:paraId="2551D679" w14:textId="4FF7DA14" w:rsidR="005F3587" w:rsidRDefault="00827D3E" w:rsidP="00682785">
      <w:pPr>
        <w:pStyle w:val="Heading2"/>
        <w:ind w:left="384" w:hanging="384"/>
      </w:pPr>
      <w:bookmarkStart w:id="16" w:name="_Toc210505205"/>
      <w:r>
        <w:t>3</w:t>
      </w:r>
      <w:r w:rsidR="005F3587" w:rsidRPr="005F3587">
        <w:t>.2 Impact on Shareholder Value, Debt Structure, and Operational Flexibility</w:t>
      </w:r>
      <w:bookmarkEnd w:id="16"/>
      <w:r w:rsidR="005F3587">
        <w:t xml:space="preserve"> </w:t>
      </w:r>
    </w:p>
    <w:p w14:paraId="5B91FB23" w14:textId="24E67B94" w:rsidR="00B005F9" w:rsidRDefault="00B005F9" w:rsidP="00682785">
      <w:r>
        <w:t>The financial restructuring of General Electronics that is proposed will have tremendous effects on shareholder value, debt structure, and operational flexibility.</w:t>
      </w:r>
    </w:p>
    <w:p w14:paraId="0A5C50EC" w14:textId="77777777" w:rsidR="00B005F9" w:rsidRPr="00B005F9" w:rsidRDefault="00B005F9" w:rsidP="00682785">
      <w:pPr>
        <w:rPr>
          <w:b/>
          <w:bCs/>
          <w:i/>
          <w:iCs/>
          <w:u w:val="single"/>
        </w:rPr>
      </w:pPr>
      <w:r w:rsidRPr="00B005F9">
        <w:rPr>
          <w:b/>
          <w:bCs/>
          <w:i/>
          <w:iCs/>
          <w:u w:val="single"/>
        </w:rPr>
        <w:t>Impact on Shareholder Value:</w:t>
      </w:r>
    </w:p>
    <w:p w14:paraId="1A7045B4" w14:textId="6E84419D" w:rsidR="00B005F9" w:rsidRDefault="00B005F9" w:rsidP="00682785">
      <w:r>
        <w:t xml:space="preserve">The initial impacts of divestitures and equity injections are that they result in the dilution of ownership, but in the long term, they are likely to increase shareholder wealth due to increased </w:t>
      </w:r>
      <w:r>
        <w:lastRenderedPageBreak/>
        <w:t>profitability and stability of cash flows</w:t>
      </w:r>
      <w:r w:rsidR="00827D3E">
        <w:t xml:space="preserve"> (</w:t>
      </w:r>
      <w:proofErr w:type="spellStart"/>
      <w:r w:rsidR="00827D3E" w:rsidRPr="00827D3E">
        <w:t>Colliard</w:t>
      </w:r>
      <w:proofErr w:type="spellEnd"/>
      <w:r w:rsidR="00827D3E">
        <w:t xml:space="preserve"> </w:t>
      </w:r>
      <w:r w:rsidR="00827D3E" w:rsidRPr="00827D3E">
        <w:t xml:space="preserve">and </w:t>
      </w:r>
      <w:proofErr w:type="spellStart"/>
      <w:r w:rsidR="00827D3E" w:rsidRPr="00827D3E">
        <w:t>Gromb</w:t>
      </w:r>
      <w:proofErr w:type="spellEnd"/>
      <w:r w:rsidR="00827D3E" w:rsidRPr="00827D3E">
        <w:t>, 2025</w:t>
      </w:r>
      <w:r w:rsidR="00827D3E">
        <w:t>)</w:t>
      </w:r>
      <w:r w:rsidR="00827D3E" w:rsidRPr="00827D3E">
        <w:t xml:space="preserve">. </w:t>
      </w:r>
      <w:r>
        <w:t>The sale of the non-core, low-margin assets concentrate the resources on the high-growth areas, smart electronics and renewable technology with better returns. History has shown that strategic rationalisation of assets can rebuild confidence in the market and lead to share price revival, as in the case of Philips, which sold off its lighting business. In addition, leverage and interest payments can also be minimised, improving net income, the return on equity (ROE), and overall market valuation, which is important to lure institutional and long-term investors.</w:t>
      </w:r>
    </w:p>
    <w:p w14:paraId="602EBAB8" w14:textId="77777777" w:rsidR="00B005F9" w:rsidRPr="00B005F9" w:rsidRDefault="00B005F9" w:rsidP="00682785">
      <w:pPr>
        <w:rPr>
          <w:b/>
          <w:bCs/>
          <w:i/>
          <w:iCs/>
          <w:u w:val="single"/>
        </w:rPr>
      </w:pPr>
      <w:r w:rsidRPr="00B005F9">
        <w:rPr>
          <w:b/>
          <w:bCs/>
          <w:i/>
          <w:iCs/>
          <w:u w:val="single"/>
        </w:rPr>
        <w:t>Impact on Debt Structure:</w:t>
      </w:r>
    </w:p>
    <w:p w14:paraId="43C926C5" w14:textId="7734E365" w:rsidR="00B005F9" w:rsidRDefault="00B005F9" w:rsidP="00682785">
      <w:r>
        <w:t>Refinancing of debt and debt-for-equity swaps will turn the capital structure of GE to a lower leverage and will decrease the financial risk</w:t>
      </w:r>
      <w:r w:rsidR="00827D3E">
        <w:t xml:space="preserve"> (</w:t>
      </w:r>
      <w:r w:rsidR="00827D3E" w:rsidRPr="00827D3E">
        <w:t>Al-Filali</w:t>
      </w:r>
      <w:r w:rsidR="00827D3E">
        <w:t xml:space="preserve"> et al., </w:t>
      </w:r>
      <w:r w:rsidR="00827D3E" w:rsidRPr="00827D3E">
        <w:t>2024</w:t>
      </w:r>
      <w:r w:rsidR="00827D3E">
        <w:t>)</w:t>
      </w:r>
      <w:r w:rsidR="00827D3E" w:rsidRPr="00827D3E">
        <w:t xml:space="preserve">. </w:t>
      </w:r>
      <w:r>
        <w:t xml:space="preserve">The short-term debt is going to be converted to the long-term instruments, which will relieve the pressure on liquidity and lower the amount of interest paid. This will help increase credit ratings and decrease the likelihood of </w:t>
      </w:r>
      <w:r w:rsidR="00EC4AD4">
        <w:t>default but</w:t>
      </w:r>
      <w:r>
        <w:t xml:space="preserve"> still have enough debt to earn some tax benefits. Maintaining a ratio of </w:t>
      </w:r>
      <w:r w:rsidR="009017B6">
        <w:t>debt and equity for an amount of</w:t>
      </w:r>
      <w:r>
        <w:t xml:space="preserve"> 1:1 </w:t>
      </w:r>
      <w:r w:rsidR="009017B6">
        <w:t xml:space="preserve">can be helpful in this regard. </w:t>
      </w:r>
      <w:r w:rsidR="001B4D07" w:rsidRPr="001B4D07">
        <w:t>With this option, the financial environment would have been sufficiently maintained to maintain solvency and increased capital to raise for strategic undertakings. As with Sony restructuring in 2013, the rationalisation of debt stabilises cash flows for investment towards growth.</w:t>
      </w:r>
    </w:p>
    <w:p w14:paraId="16E1387F" w14:textId="77777777" w:rsidR="00B005F9" w:rsidRPr="00B005F9" w:rsidRDefault="00B005F9" w:rsidP="00682785">
      <w:pPr>
        <w:rPr>
          <w:b/>
          <w:bCs/>
          <w:i/>
          <w:iCs/>
          <w:u w:val="single"/>
        </w:rPr>
      </w:pPr>
      <w:r w:rsidRPr="00B005F9">
        <w:rPr>
          <w:b/>
          <w:bCs/>
          <w:i/>
          <w:iCs/>
          <w:u w:val="single"/>
        </w:rPr>
        <w:t>Effect on Operational Flexibility:</w:t>
      </w:r>
    </w:p>
    <w:p w14:paraId="0DCCB5C7" w14:textId="479DE792" w:rsidR="00B005F9" w:rsidRDefault="00EC4AD4" w:rsidP="00682785">
      <w:r>
        <w:t>T</w:t>
      </w:r>
      <w:r w:rsidR="00B005F9">
        <w:t>he transitory risks like staff resistance, culture shock, and modifications in the supply chain should be dealt with cautiously</w:t>
      </w:r>
      <w:r w:rsidR="00827D3E">
        <w:t xml:space="preserve"> (</w:t>
      </w:r>
      <w:proofErr w:type="spellStart"/>
      <w:r w:rsidR="00827D3E" w:rsidRPr="00827D3E">
        <w:t>Aniebonam</w:t>
      </w:r>
      <w:proofErr w:type="spellEnd"/>
      <w:r w:rsidR="00827D3E" w:rsidRPr="00827D3E">
        <w:t>,</w:t>
      </w:r>
      <w:r w:rsidR="00827D3E">
        <w:t xml:space="preserve"> </w:t>
      </w:r>
      <w:r w:rsidR="00827D3E" w:rsidRPr="00827D3E">
        <w:t>2024</w:t>
      </w:r>
      <w:r w:rsidR="00827D3E">
        <w:t>)</w:t>
      </w:r>
      <w:r w:rsidR="00827D3E" w:rsidRPr="00827D3E">
        <w:t>.</w:t>
      </w:r>
      <w:r w:rsidR="00827D3E">
        <w:t xml:space="preserve"> </w:t>
      </w:r>
      <w:r w:rsidR="00B005F9">
        <w:t>Clear communication, change management programs, and performance-based rewards are some of the mitigation measures.</w:t>
      </w:r>
    </w:p>
    <w:p w14:paraId="2372A7FD" w14:textId="343FB9B6" w:rsidR="00B005F9" w:rsidRDefault="00827D3E" w:rsidP="00682785">
      <w:pPr>
        <w:pStyle w:val="Heading2"/>
      </w:pPr>
      <w:bookmarkStart w:id="17" w:name="_Toc210505206"/>
      <w:r>
        <w:t>3</w:t>
      </w:r>
      <w:r w:rsidR="00B005F9" w:rsidRPr="00B005F9">
        <w:t>.3 International and Ethical Considerations</w:t>
      </w:r>
      <w:bookmarkEnd w:id="17"/>
    </w:p>
    <w:p w14:paraId="028DA863" w14:textId="55959E93" w:rsidR="00B005F9" w:rsidRDefault="00B005F9" w:rsidP="00682785">
      <w:r>
        <w:t>In the case of General Electronics (GE), effective turnaround should involve the incorporation of international financial forces and ethical governance to guarantee sustainable competitiveness at the global level.</w:t>
      </w:r>
    </w:p>
    <w:p w14:paraId="0F81908A" w14:textId="77777777" w:rsidR="00B005F9" w:rsidRPr="00B005F9" w:rsidRDefault="00B005F9" w:rsidP="00682785">
      <w:pPr>
        <w:rPr>
          <w:b/>
          <w:bCs/>
          <w:i/>
          <w:iCs/>
          <w:u w:val="single"/>
        </w:rPr>
      </w:pPr>
      <w:r w:rsidRPr="00B005F9">
        <w:rPr>
          <w:b/>
          <w:bCs/>
          <w:i/>
          <w:iCs/>
          <w:u w:val="single"/>
        </w:rPr>
        <w:t>Taxation and Regulatory Compliance:</w:t>
      </w:r>
    </w:p>
    <w:p w14:paraId="2F54D723" w14:textId="79D6B4FE" w:rsidR="00B005F9" w:rsidRDefault="00B005F9" w:rsidP="00682785">
      <w:r>
        <w:lastRenderedPageBreak/>
        <w:t>GE must operate in various jurisdictions which present it with complex tax and regulatory environments</w:t>
      </w:r>
      <w:r w:rsidR="00827D3E">
        <w:t xml:space="preserve"> (</w:t>
      </w:r>
      <w:r w:rsidR="00827D3E" w:rsidRPr="00827D3E">
        <w:t>Grundy</w:t>
      </w:r>
      <w:r w:rsidR="00827D3E">
        <w:t xml:space="preserve"> et al., </w:t>
      </w:r>
      <w:r w:rsidR="00827D3E" w:rsidRPr="00827D3E">
        <w:t>2022</w:t>
      </w:r>
      <w:r w:rsidR="00827D3E">
        <w:t>)</w:t>
      </w:r>
      <w:r w:rsidR="00827D3E" w:rsidRPr="00827D3E">
        <w:t xml:space="preserve">. </w:t>
      </w:r>
      <w:r>
        <w:t xml:space="preserve"> Ethical tax management plays a very crucial role in remaining credible and avoiding punishment. Some of the legitimate strategies that must be embraced by GE include alignment of transfer pricing, treaties of double taxation and planning of repatriation of profits regionally. The reputation of the firm is safeguarded, and the investors are encouraged to invest in the firm by avoiding aggressive tax avoidance schemes. Companies such as Unilever have the example of responsible global tax policies, which are both economically efficient and ethical. Moreover, any form of restructuring, whether it is the divestiture and equity partnership, </w:t>
      </w:r>
      <w:r w:rsidR="00F87396">
        <w:t>must</w:t>
      </w:r>
      <w:r>
        <w:t xml:space="preserve"> be in line with the local corporate law and financial reporting standards to avoid regulatory risks.</w:t>
      </w:r>
    </w:p>
    <w:p w14:paraId="64CE3427" w14:textId="77777777" w:rsidR="00B005F9" w:rsidRPr="00CF4BF0" w:rsidRDefault="00B005F9" w:rsidP="00682785">
      <w:pPr>
        <w:rPr>
          <w:b/>
          <w:bCs/>
          <w:i/>
          <w:iCs/>
          <w:u w:val="single"/>
        </w:rPr>
      </w:pPr>
      <w:r w:rsidRPr="00CF4BF0">
        <w:rPr>
          <w:b/>
          <w:bCs/>
          <w:i/>
          <w:iCs/>
          <w:u w:val="single"/>
        </w:rPr>
        <w:t>Currency Risk/Inflation Management:</w:t>
      </w:r>
    </w:p>
    <w:p w14:paraId="66F02C7D" w14:textId="407652CC" w:rsidR="00B005F9" w:rsidRDefault="00B005F9" w:rsidP="00682785">
      <w:r>
        <w:t>GE is vulnerable to currency fluctuations and inflation because of its activities in various markets</w:t>
      </w:r>
      <w:r w:rsidR="00827D3E">
        <w:t xml:space="preserve"> (</w:t>
      </w:r>
      <w:r w:rsidR="00827D3E" w:rsidRPr="00827D3E">
        <w:t>Grundy</w:t>
      </w:r>
      <w:r w:rsidR="00827D3E">
        <w:t xml:space="preserve"> et al., </w:t>
      </w:r>
      <w:r w:rsidR="00827D3E" w:rsidRPr="00827D3E">
        <w:t>2022</w:t>
      </w:r>
      <w:r w:rsidR="00827D3E">
        <w:t>)</w:t>
      </w:r>
      <w:r w:rsidR="00827D3E" w:rsidRPr="00827D3E">
        <w:t xml:space="preserve">. </w:t>
      </w:r>
      <w:r>
        <w:t xml:space="preserve">These management strategies involve hedging, which </w:t>
      </w:r>
      <w:r w:rsidR="00CF4BF0">
        <w:t>includes</w:t>
      </w:r>
      <w:r>
        <w:t xml:space="preserve"> forward contracts, currency swaps, and natural hedging, which involves matching a cost to revenue within the same currency. Regional pricing changes should be made to reduce the impact of inflation, without affecting margins. As one case study, Samsung Electronics has used the </w:t>
      </w:r>
      <w:r w:rsidR="00CF4BF0">
        <w:t>centralised</w:t>
      </w:r>
      <w:r>
        <w:t xml:space="preserve"> treasury functions to track and hedge currency risks in its worldwide subsidiaries, which have guaranteed financial stability.</w:t>
      </w:r>
    </w:p>
    <w:p w14:paraId="26E7AEFF" w14:textId="77777777" w:rsidR="00B005F9" w:rsidRPr="00CF4BF0" w:rsidRDefault="00B005F9" w:rsidP="00682785">
      <w:pPr>
        <w:rPr>
          <w:b/>
          <w:bCs/>
          <w:i/>
          <w:iCs/>
          <w:u w:val="single"/>
        </w:rPr>
      </w:pPr>
      <w:r w:rsidRPr="00CF4BF0">
        <w:rPr>
          <w:b/>
          <w:bCs/>
          <w:i/>
          <w:iCs/>
          <w:u w:val="single"/>
        </w:rPr>
        <w:t>Corporate Social Responsibility (CSR), Ethical Governance:</w:t>
      </w:r>
    </w:p>
    <w:p w14:paraId="79D40EB7" w14:textId="37A0DB19" w:rsidR="00B005F9" w:rsidRDefault="00B005F9" w:rsidP="00682785">
      <w:r>
        <w:t>Ethical treatment of stakeholders should be the first concern of financial restructuring. The divestitures and possible layoffs must be accompanied by fair severance, retraining and open communication</w:t>
      </w:r>
      <w:r w:rsidR="00827D3E">
        <w:t xml:space="preserve"> (</w:t>
      </w:r>
      <w:proofErr w:type="spellStart"/>
      <w:r w:rsidR="00827D3E" w:rsidRPr="00827D3E">
        <w:t>Alsharari</w:t>
      </w:r>
      <w:proofErr w:type="spellEnd"/>
      <w:r w:rsidR="00827D3E" w:rsidRPr="00827D3E">
        <w:t>, 2024</w:t>
      </w:r>
      <w:r w:rsidR="00827D3E">
        <w:t>)</w:t>
      </w:r>
      <w:r w:rsidR="00827D3E" w:rsidRPr="00827D3E">
        <w:t xml:space="preserve">. </w:t>
      </w:r>
      <w:r>
        <w:t xml:space="preserve">There is also a need to keep investing in </w:t>
      </w:r>
      <w:r w:rsidR="00485D80">
        <w:t>environmentally friendly</w:t>
      </w:r>
      <w:r>
        <w:t xml:space="preserve"> products and manufacturing that is energy-efficient, which is a part of the ESG standards. Credibility and trust in the global markets are enhanced by ethical supply chain practices, anti-corruption policies </w:t>
      </w:r>
      <w:r w:rsidR="00CF4BF0">
        <w:t xml:space="preserve">and </w:t>
      </w:r>
      <w:r>
        <w:t>compliance with the OECD guidelines on multinational enterprises.</w:t>
      </w:r>
    </w:p>
    <w:p w14:paraId="57457259" w14:textId="77777777" w:rsidR="00B005F9" w:rsidRPr="00CF4BF0" w:rsidRDefault="00B005F9" w:rsidP="00682785">
      <w:pPr>
        <w:rPr>
          <w:b/>
          <w:bCs/>
          <w:i/>
          <w:iCs/>
          <w:u w:val="single"/>
        </w:rPr>
      </w:pPr>
      <w:r w:rsidRPr="00CF4BF0">
        <w:rPr>
          <w:b/>
          <w:bCs/>
          <w:i/>
          <w:iCs/>
          <w:u w:val="single"/>
        </w:rPr>
        <w:t>Global Strategic Alignment:</w:t>
      </w:r>
    </w:p>
    <w:p w14:paraId="37C4EB96" w14:textId="397FE163" w:rsidR="00682785" w:rsidRDefault="00B005F9" w:rsidP="00F8510C">
      <w:r>
        <w:t>Considering these factors makes it such that financial and operational decisions will be sustainable across borders</w:t>
      </w:r>
      <w:r w:rsidR="00827D3E">
        <w:t xml:space="preserve"> (</w:t>
      </w:r>
      <w:r w:rsidR="00827D3E" w:rsidRPr="00827D3E">
        <w:t>Grundy</w:t>
      </w:r>
      <w:r w:rsidR="00827D3E">
        <w:t xml:space="preserve"> et al., </w:t>
      </w:r>
      <w:r w:rsidR="00827D3E" w:rsidRPr="00827D3E">
        <w:t>2022</w:t>
      </w:r>
      <w:r w:rsidR="00827D3E">
        <w:t>)</w:t>
      </w:r>
      <w:r w:rsidR="00827D3E" w:rsidRPr="00827D3E">
        <w:t>.</w:t>
      </w:r>
      <w:r w:rsidR="00827D3E">
        <w:t xml:space="preserve"> </w:t>
      </w:r>
      <w:r>
        <w:t xml:space="preserve">Clearly, ethical, transparent and socially responsible </w:t>
      </w:r>
      <w:r>
        <w:lastRenderedPageBreak/>
        <w:t>operations enhance contact with investors, regulators and consumers as well as reducing reputational risk. The application of the Integrated Reporting (IR) frameworks will enable GE to report financial performance and non-financial effects to increase the confidence of stakeholders.</w:t>
      </w:r>
      <w:r w:rsidR="00682785">
        <w:br w:type="page"/>
      </w:r>
    </w:p>
    <w:p w14:paraId="188EBC40" w14:textId="77777777" w:rsidR="00682785" w:rsidRPr="005A4B26" w:rsidRDefault="00682785" w:rsidP="00682785">
      <w:pPr>
        <w:pStyle w:val="Heading1"/>
      </w:pPr>
      <w:bookmarkStart w:id="18" w:name="_Toc210505207"/>
      <w:r w:rsidRPr="005A4B26">
        <w:lastRenderedPageBreak/>
        <w:t>4. Investment Appraisal and Capital Budgeting</w:t>
      </w:r>
      <w:bookmarkEnd w:id="18"/>
    </w:p>
    <w:p w14:paraId="36D8A629" w14:textId="77777777" w:rsidR="00682785" w:rsidRPr="005A4B26" w:rsidRDefault="00682785" w:rsidP="00682785">
      <w:pPr>
        <w:pStyle w:val="Heading2"/>
      </w:pPr>
      <w:bookmarkStart w:id="19" w:name="_n1au9t616hjz" w:colFirst="0" w:colLast="0"/>
      <w:bookmarkStart w:id="20" w:name="_Toc210505208"/>
      <w:bookmarkEnd w:id="19"/>
      <w:r w:rsidRPr="005A4B26">
        <w:t>4.1 Investment Appraisal Methods in Analysis of Project Proposals</w:t>
      </w:r>
      <w:bookmarkEnd w:id="20"/>
      <w:r w:rsidRPr="005A4B26">
        <w:t xml:space="preserve"> </w:t>
      </w:r>
    </w:p>
    <w:p w14:paraId="306B549A" w14:textId="77777777" w:rsidR="00682785" w:rsidRPr="005A4B26" w:rsidRDefault="00682785" w:rsidP="00682785">
      <w:pPr>
        <w:rPr>
          <w:b/>
          <w:u w:val="single"/>
        </w:rPr>
      </w:pPr>
      <w:r w:rsidRPr="005A4B26">
        <w:rPr>
          <w:b/>
          <w:u w:val="single"/>
        </w:rPr>
        <w:t>Payback Period (PBP)</w:t>
      </w:r>
    </w:p>
    <w:p w14:paraId="20996C64" w14:textId="4E13533D" w:rsidR="00682785" w:rsidRPr="005A4B26" w:rsidRDefault="00682785" w:rsidP="00682785">
      <w:r w:rsidRPr="005A4B26">
        <w:t>The Payback Period (PBP) gauges how long it takes for a project to recover its upfront investment with net cash inflows, according to Farran (2023). In this case, Project A has a payback period of 4 years and 5 months, Project B would not be able to pay back within the project lifecycle of 5 years since net cash flows are the same as the cash outflows every year, and Project C pays back at 4 years and 7 months. The PBP calculation is straightforward and emphasises liquidity; however, it does not capture the time value of money or inflows after the cut-off date (</w:t>
      </w:r>
      <w:proofErr w:type="spellStart"/>
      <w:r w:rsidRPr="005A4B26">
        <w:t>Imteaz</w:t>
      </w:r>
      <w:proofErr w:type="spellEnd"/>
      <w:r w:rsidRPr="005A4B26">
        <w:t xml:space="preserve">, </w:t>
      </w:r>
      <w:proofErr w:type="spellStart"/>
      <w:r w:rsidRPr="005A4B26">
        <w:t>Bayatvarkeshi</w:t>
      </w:r>
      <w:proofErr w:type="spellEnd"/>
      <w:r w:rsidRPr="005A4B26">
        <w:t xml:space="preserve">, and Karim, 2021). From this perspective, Project B appears to be the best investment due to immediate payback, but in this case, the cash inflows remain static and become trapped without generating a revenue stream. Relying solely on the payback period indicator may result in incorrect decisions. Projects A and C have </w:t>
      </w:r>
      <w:r w:rsidR="00485D80" w:rsidRPr="005A4B26">
        <w:t>delays but</w:t>
      </w:r>
      <w:r w:rsidRPr="005A4B26">
        <w:t xml:space="preserve"> are factors in the cash flow generating potential outcome pattern.</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4478"/>
        <w:gridCol w:w="4870"/>
      </w:tblGrid>
      <w:tr w:rsidR="00682785" w14:paraId="2145EDEE" w14:textId="77777777" w:rsidTr="005F1A14">
        <w:trPr>
          <w:trHeight w:val="330"/>
        </w:trPr>
        <w:tc>
          <w:tcPr>
            <w:tcW w:w="2395" w:type="pct"/>
            <w:tcBorders>
              <w:top w:val="single" w:sz="5" w:space="0" w:color="000000"/>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38E00701" w14:textId="77777777" w:rsidR="00682785" w:rsidRPr="005A4B26" w:rsidRDefault="00682785" w:rsidP="00682785">
            <w:pPr>
              <w:jc w:val="center"/>
              <w:rPr>
                <w:b/>
                <w:i/>
                <w:highlight w:val="none"/>
              </w:rPr>
            </w:pPr>
            <w:r w:rsidRPr="005A4B26">
              <w:rPr>
                <w:b/>
                <w:i/>
                <w:highlight w:val="none"/>
              </w:rPr>
              <w:t>Payback Period of A</w:t>
            </w:r>
          </w:p>
        </w:tc>
        <w:tc>
          <w:tcPr>
            <w:tcW w:w="2605" w:type="pct"/>
            <w:tcBorders>
              <w:top w:val="single" w:sz="5" w:space="0" w:color="000000"/>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05798091" w14:textId="77777777" w:rsidR="00682785" w:rsidRPr="005A4B26" w:rsidRDefault="00682785" w:rsidP="00682785">
            <w:pPr>
              <w:jc w:val="center"/>
              <w:rPr>
                <w:b/>
                <w:i/>
                <w:highlight w:val="none"/>
              </w:rPr>
            </w:pPr>
            <w:r w:rsidRPr="005A4B26">
              <w:rPr>
                <w:b/>
                <w:i/>
                <w:highlight w:val="none"/>
              </w:rPr>
              <w:t>4 years 5 months</w:t>
            </w:r>
          </w:p>
        </w:tc>
      </w:tr>
      <w:tr w:rsidR="00682785" w14:paraId="32D969C1" w14:textId="77777777" w:rsidTr="005F1A14">
        <w:trPr>
          <w:trHeight w:val="330"/>
        </w:trPr>
        <w:tc>
          <w:tcPr>
            <w:tcW w:w="2395"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12C5803B" w14:textId="77777777" w:rsidR="00682785" w:rsidRPr="005A4B26" w:rsidRDefault="00682785" w:rsidP="00682785">
            <w:pPr>
              <w:jc w:val="center"/>
              <w:rPr>
                <w:b/>
                <w:i/>
                <w:highlight w:val="none"/>
              </w:rPr>
            </w:pPr>
            <w:r w:rsidRPr="005A4B26">
              <w:rPr>
                <w:b/>
                <w:i/>
                <w:highlight w:val="none"/>
              </w:rPr>
              <w:t>Payback Period of B</w:t>
            </w:r>
          </w:p>
        </w:tc>
        <w:tc>
          <w:tcPr>
            <w:tcW w:w="2605"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3DD516D3" w14:textId="77777777" w:rsidR="00682785" w:rsidRPr="005A4B26" w:rsidRDefault="00682785" w:rsidP="00682785">
            <w:pPr>
              <w:jc w:val="center"/>
              <w:rPr>
                <w:b/>
                <w:i/>
                <w:highlight w:val="none"/>
              </w:rPr>
            </w:pPr>
            <w:r w:rsidRPr="005A4B26">
              <w:rPr>
                <w:b/>
                <w:i/>
                <w:highlight w:val="none"/>
              </w:rPr>
              <w:t>0 years</w:t>
            </w:r>
          </w:p>
        </w:tc>
      </w:tr>
      <w:tr w:rsidR="00682785" w14:paraId="1A2BB998" w14:textId="77777777" w:rsidTr="005F1A14">
        <w:trPr>
          <w:trHeight w:val="330"/>
        </w:trPr>
        <w:tc>
          <w:tcPr>
            <w:tcW w:w="2395"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59BAE76E" w14:textId="77777777" w:rsidR="00682785" w:rsidRPr="005A4B26" w:rsidRDefault="00682785" w:rsidP="00682785">
            <w:pPr>
              <w:jc w:val="center"/>
              <w:rPr>
                <w:b/>
                <w:i/>
                <w:highlight w:val="none"/>
              </w:rPr>
            </w:pPr>
            <w:r w:rsidRPr="005A4B26">
              <w:rPr>
                <w:b/>
                <w:i/>
                <w:highlight w:val="none"/>
              </w:rPr>
              <w:t>Payback Period of C</w:t>
            </w:r>
          </w:p>
        </w:tc>
        <w:tc>
          <w:tcPr>
            <w:tcW w:w="2605"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724D4A63" w14:textId="77777777" w:rsidR="00682785" w:rsidRPr="005A4B26" w:rsidRDefault="00682785" w:rsidP="00682785">
            <w:pPr>
              <w:jc w:val="center"/>
              <w:rPr>
                <w:b/>
                <w:i/>
                <w:highlight w:val="none"/>
              </w:rPr>
            </w:pPr>
            <w:r w:rsidRPr="005A4B26">
              <w:rPr>
                <w:b/>
                <w:i/>
                <w:highlight w:val="none"/>
              </w:rPr>
              <w:t>4 years 7 months</w:t>
            </w:r>
          </w:p>
        </w:tc>
      </w:tr>
    </w:tbl>
    <w:p w14:paraId="1A7BB8FD" w14:textId="3455445A" w:rsidR="00682785" w:rsidRPr="005A4B26" w:rsidRDefault="00682785" w:rsidP="00682785">
      <w:pPr>
        <w:jc w:val="center"/>
        <w:rPr>
          <w:b/>
        </w:rPr>
      </w:pPr>
      <w:r>
        <w:rPr>
          <w:b/>
        </w:rPr>
        <w:t>Table 2</w:t>
      </w:r>
      <w:r w:rsidRPr="005A4B26">
        <w:rPr>
          <w:b/>
        </w:rPr>
        <w:t>: Comparative Projection of Three Projects’ Payback Period (PBP)</w:t>
      </w:r>
    </w:p>
    <w:p w14:paraId="1774814D" w14:textId="77777777" w:rsidR="00682785" w:rsidRPr="005A4B26" w:rsidRDefault="00682785" w:rsidP="00682785">
      <w:pPr>
        <w:jc w:val="center"/>
      </w:pPr>
      <w:r w:rsidRPr="005A4B26">
        <w:t>(Source: Excel Worksheet)</w:t>
      </w:r>
    </w:p>
    <w:p w14:paraId="6B913412" w14:textId="77777777" w:rsidR="00682785" w:rsidRPr="005A4B26" w:rsidRDefault="00682785" w:rsidP="00682785">
      <w:pPr>
        <w:rPr>
          <w:b/>
          <w:u w:val="single"/>
        </w:rPr>
      </w:pPr>
      <w:r w:rsidRPr="005A4B26">
        <w:rPr>
          <w:b/>
          <w:u w:val="single"/>
        </w:rPr>
        <w:t xml:space="preserve">Accounting Rate of Return (ARR) </w:t>
      </w:r>
    </w:p>
    <w:p w14:paraId="3C879338" w14:textId="7DAD6D06" w:rsidR="00682785" w:rsidRPr="005A4B26" w:rsidRDefault="00682785" w:rsidP="00682785">
      <w:r w:rsidRPr="005A4B26">
        <w:t xml:space="preserve">According to Chaudhary (2023), ARR assesses profitability through average accounting income in relation to investment. Project A has an ARR of 14%, Project B produces an ARR of 0%, and Project C has a very strong ARR of 20%, demonstrating the best accounting return. ARR does not </w:t>
      </w:r>
      <w:r w:rsidRPr="005A4B26">
        <w:lastRenderedPageBreak/>
        <w:t xml:space="preserve">take the time value of money into account in the manner discounted measures </w:t>
      </w:r>
      <w:r w:rsidR="00F8510C" w:rsidRPr="005A4B26">
        <w:t>would but</w:t>
      </w:r>
      <w:r w:rsidRPr="005A4B26">
        <w:t xml:space="preserve"> can be useful to compare profitability against a target or cost of capital (Kadam and Singh, 2021). </w:t>
      </w:r>
    </w:p>
    <w:p w14:paraId="3827AEC6" w14:textId="77777777" w:rsidR="00682785" w:rsidRPr="005A4B26" w:rsidRDefault="00682785" w:rsidP="00682785">
      <w:r w:rsidRPr="005A4B26">
        <w:t>The applied formula for ARR is -</w:t>
      </w:r>
    </w:p>
    <w:p w14:paraId="6568BD31" w14:textId="77777777" w:rsidR="00682785" w:rsidRPr="005A4B26" w:rsidRDefault="00682785" w:rsidP="00682785">
      <w:pPr>
        <w:jc w:val="center"/>
      </w:pPr>
      <w:r w:rsidRPr="005A4B26">
        <w:rPr>
          <w:i/>
        </w:rPr>
        <w:t>Lower Discount Rate + [{</w:t>
      </w:r>
      <w:proofErr w:type="spellStart"/>
      <w:r w:rsidRPr="005A4B26">
        <w:rPr>
          <w:i/>
        </w:rPr>
        <w:t>NPVa</w:t>
      </w:r>
      <w:proofErr w:type="spellEnd"/>
      <w:r w:rsidRPr="005A4B26">
        <w:rPr>
          <w:i/>
        </w:rPr>
        <w:t xml:space="preserve"> ÷ (</w:t>
      </w:r>
      <w:proofErr w:type="spellStart"/>
      <w:r w:rsidRPr="005A4B26">
        <w:rPr>
          <w:i/>
        </w:rPr>
        <w:t>NPVa</w:t>
      </w:r>
      <w:proofErr w:type="spellEnd"/>
      <w:r w:rsidRPr="005A4B26">
        <w:rPr>
          <w:i/>
        </w:rPr>
        <w:t xml:space="preserve"> + </w:t>
      </w:r>
      <w:proofErr w:type="spellStart"/>
      <w:r w:rsidRPr="005A4B26">
        <w:rPr>
          <w:i/>
        </w:rPr>
        <w:t>NPVb</w:t>
      </w:r>
      <w:proofErr w:type="spellEnd"/>
      <w:r w:rsidRPr="005A4B26">
        <w:rPr>
          <w:i/>
        </w:rPr>
        <w:t xml:space="preserve">)} × (Higher Discount Rate - Lower Discount rate)] </w:t>
      </w:r>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4508"/>
        <w:gridCol w:w="4840"/>
      </w:tblGrid>
      <w:tr w:rsidR="00682785" w14:paraId="61F3C24C" w14:textId="77777777" w:rsidTr="005F1A14">
        <w:trPr>
          <w:trHeight w:val="330"/>
        </w:trPr>
        <w:tc>
          <w:tcPr>
            <w:tcW w:w="2411" w:type="pct"/>
            <w:tcBorders>
              <w:top w:val="single" w:sz="5" w:space="0" w:color="000000"/>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7E2EE3C7" w14:textId="77777777" w:rsidR="00682785" w:rsidRPr="005A4B26" w:rsidRDefault="00682785" w:rsidP="00682785">
            <w:pPr>
              <w:jc w:val="center"/>
              <w:rPr>
                <w:b/>
                <w:i/>
                <w:highlight w:val="none"/>
              </w:rPr>
            </w:pPr>
            <w:r w:rsidRPr="005A4B26">
              <w:rPr>
                <w:b/>
                <w:i/>
                <w:highlight w:val="none"/>
              </w:rPr>
              <w:t>ARR of Project A</w:t>
            </w:r>
          </w:p>
        </w:tc>
        <w:tc>
          <w:tcPr>
            <w:tcW w:w="2589" w:type="pct"/>
            <w:tcBorders>
              <w:top w:val="single" w:sz="5" w:space="0" w:color="000000"/>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67E54778" w14:textId="77777777" w:rsidR="00682785" w:rsidRPr="005A4B26" w:rsidRDefault="00682785" w:rsidP="00682785">
            <w:pPr>
              <w:jc w:val="center"/>
              <w:rPr>
                <w:b/>
                <w:i/>
                <w:highlight w:val="none"/>
              </w:rPr>
            </w:pPr>
            <w:r w:rsidRPr="005A4B26">
              <w:rPr>
                <w:b/>
                <w:i/>
                <w:highlight w:val="none"/>
              </w:rPr>
              <w:t>14%</w:t>
            </w:r>
          </w:p>
        </w:tc>
      </w:tr>
      <w:tr w:rsidR="00682785" w14:paraId="5780B16B" w14:textId="77777777" w:rsidTr="005F1A14">
        <w:trPr>
          <w:trHeight w:val="330"/>
        </w:trPr>
        <w:tc>
          <w:tcPr>
            <w:tcW w:w="2411"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5F71D98A" w14:textId="77777777" w:rsidR="00682785" w:rsidRPr="005A4B26" w:rsidRDefault="00682785" w:rsidP="00682785">
            <w:pPr>
              <w:jc w:val="center"/>
              <w:rPr>
                <w:b/>
                <w:i/>
                <w:highlight w:val="none"/>
              </w:rPr>
            </w:pPr>
            <w:r w:rsidRPr="005A4B26">
              <w:rPr>
                <w:b/>
                <w:i/>
                <w:highlight w:val="none"/>
              </w:rPr>
              <w:t>ARR of Project B</w:t>
            </w:r>
          </w:p>
        </w:tc>
        <w:tc>
          <w:tcPr>
            <w:tcW w:w="2589"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2DB36D9B" w14:textId="77777777" w:rsidR="00682785" w:rsidRPr="005A4B26" w:rsidRDefault="00682785" w:rsidP="00682785">
            <w:pPr>
              <w:jc w:val="center"/>
              <w:rPr>
                <w:b/>
                <w:i/>
                <w:highlight w:val="none"/>
              </w:rPr>
            </w:pPr>
            <w:r w:rsidRPr="005A4B26">
              <w:rPr>
                <w:b/>
                <w:i/>
                <w:highlight w:val="none"/>
              </w:rPr>
              <w:t>0%</w:t>
            </w:r>
          </w:p>
        </w:tc>
      </w:tr>
      <w:tr w:rsidR="00682785" w14:paraId="4D46290D" w14:textId="77777777" w:rsidTr="005F1A14">
        <w:trPr>
          <w:trHeight w:val="330"/>
        </w:trPr>
        <w:tc>
          <w:tcPr>
            <w:tcW w:w="2411"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7F23351A" w14:textId="77777777" w:rsidR="00682785" w:rsidRPr="005A4B26" w:rsidRDefault="00682785" w:rsidP="00682785">
            <w:pPr>
              <w:jc w:val="center"/>
              <w:rPr>
                <w:b/>
                <w:i/>
                <w:highlight w:val="none"/>
              </w:rPr>
            </w:pPr>
            <w:r w:rsidRPr="005A4B26">
              <w:rPr>
                <w:b/>
                <w:i/>
                <w:highlight w:val="none"/>
              </w:rPr>
              <w:t>ARR of Project C</w:t>
            </w:r>
          </w:p>
        </w:tc>
        <w:tc>
          <w:tcPr>
            <w:tcW w:w="2589"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04B9217B" w14:textId="77777777" w:rsidR="00682785" w:rsidRPr="005A4B26" w:rsidRDefault="00682785" w:rsidP="00682785">
            <w:pPr>
              <w:jc w:val="center"/>
              <w:rPr>
                <w:b/>
                <w:i/>
                <w:highlight w:val="none"/>
              </w:rPr>
            </w:pPr>
            <w:r w:rsidRPr="005A4B26">
              <w:rPr>
                <w:b/>
                <w:i/>
                <w:highlight w:val="none"/>
              </w:rPr>
              <w:t>20%</w:t>
            </w:r>
          </w:p>
        </w:tc>
      </w:tr>
    </w:tbl>
    <w:p w14:paraId="17A1A880" w14:textId="1159272E" w:rsidR="00682785" w:rsidRPr="005A4B26" w:rsidRDefault="00682785" w:rsidP="00682785">
      <w:pPr>
        <w:jc w:val="center"/>
        <w:rPr>
          <w:b/>
        </w:rPr>
      </w:pPr>
      <w:r>
        <w:rPr>
          <w:b/>
        </w:rPr>
        <w:t>Table 3</w:t>
      </w:r>
      <w:r w:rsidRPr="005A4B26">
        <w:rPr>
          <w:b/>
        </w:rPr>
        <w:t>: Comparative Projection of Three Projects’ ARR</w:t>
      </w:r>
    </w:p>
    <w:p w14:paraId="2FC9E2A2" w14:textId="77777777" w:rsidR="00682785" w:rsidRPr="005A4B26" w:rsidRDefault="00682785" w:rsidP="00682785">
      <w:pPr>
        <w:jc w:val="center"/>
      </w:pPr>
      <w:r w:rsidRPr="005A4B26">
        <w:t>(Source: Excel Worksheet)</w:t>
      </w:r>
    </w:p>
    <w:p w14:paraId="6F083A2A" w14:textId="77777777" w:rsidR="00682785" w:rsidRPr="005A4B26" w:rsidRDefault="00682785" w:rsidP="00682785">
      <w:r w:rsidRPr="005A4B26">
        <w:t>Project C's higher ARR indicates the investment capital was better utilised, given that it achieved higher inflows later in the project. Project B's 0% indicates weak financial viability. ARR is a simple measure and clearly identifies Project C as the most attractive, reinforcing the need to focus on profitability over long-term periods, rather than having only short-term profit or stagnant returns.</w:t>
      </w:r>
    </w:p>
    <w:p w14:paraId="29AC4AE1" w14:textId="77777777" w:rsidR="00682785" w:rsidRPr="005A4B26" w:rsidRDefault="00682785" w:rsidP="00682785">
      <w:pPr>
        <w:rPr>
          <w:b/>
          <w:u w:val="single"/>
        </w:rPr>
      </w:pPr>
      <w:r w:rsidRPr="005A4B26">
        <w:rPr>
          <w:b/>
          <w:u w:val="single"/>
        </w:rPr>
        <w:t xml:space="preserve">Net Present Value (NPV) </w:t>
      </w:r>
    </w:p>
    <w:p w14:paraId="51C169B0" w14:textId="77777777" w:rsidR="00682785" w:rsidRPr="005A4B26" w:rsidRDefault="00682785" w:rsidP="00682785">
      <w:r w:rsidRPr="005A4B26">
        <w:rPr>
          <w:rFonts w:eastAsia="Gungsuh"/>
        </w:rPr>
        <w:t xml:space="preserve">NPV looks at discounted cash flows based on the cost of capital and can highlight whether value has been added for shareholders as identified by Dobrowolski and Drozdowski (2022). At a discount rate of 10%, Project A would produce £1.32m, Project B would produce −£7.26m, and Project C would produce £4.23m. If NPV is positive, the investment will create wealth for shareholders, and if NPV is negative will negatively affect investment and wealth as per Oladeji (2021). Accordingly, Project B should be rejected regardless of its immediate payback calculation, as it minimises shareholders' value. </w:t>
      </w:r>
    </w:p>
    <w:tbl>
      <w:tblPr>
        <w:tblStyle w:val="a2"/>
        <w:tblW w:w="5000" w:type="pct"/>
        <w:tblInd w:w="0" w:type="dxa"/>
        <w:tblBorders>
          <w:top w:val="nil"/>
          <w:left w:val="nil"/>
          <w:bottom w:val="nil"/>
          <w:right w:val="nil"/>
          <w:insideH w:val="nil"/>
          <w:insideV w:val="nil"/>
        </w:tblBorders>
        <w:tblLook w:val="0600" w:firstRow="0" w:lastRow="0" w:firstColumn="0" w:lastColumn="0" w:noHBand="1" w:noVBand="1"/>
      </w:tblPr>
      <w:tblGrid>
        <w:gridCol w:w="6258"/>
        <w:gridCol w:w="3090"/>
      </w:tblGrid>
      <w:tr w:rsidR="00682785" w14:paraId="10E2C2BB" w14:textId="77777777" w:rsidTr="005F1A14">
        <w:trPr>
          <w:trHeight w:val="330"/>
        </w:trPr>
        <w:tc>
          <w:tcPr>
            <w:tcW w:w="3347" w:type="pct"/>
            <w:tcBorders>
              <w:top w:val="single" w:sz="5" w:space="0" w:color="000000"/>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04005783" w14:textId="77777777" w:rsidR="00682785" w:rsidRPr="005A4B26" w:rsidRDefault="00682785" w:rsidP="00682785">
            <w:pPr>
              <w:jc w:val="center"/>
              <w:rPr>
                <w:b/>
                <w:i/>
                <w:highlight w:val="none"/>
              </w:rPr>
            </w:pPr>
            <w:r w:rsidRPr="005A4B26">
              <w:rPr>
                <w:b/>
                <w:i/>
                <w:highlight w:val="none"/>
              </w:rPr>
              <w:lastRenderedPageBreak/>
              <w:t>Net Present Value for Project A</w:t>
            </w:r>
          </w:p>
        </w:tc>
        <w:tc>
          <w:tcPr>
            <w:tcW w:w="1653" w:type="pct"/>
            <w:tcBorders>
              <w:top w:val="single" w:sz="5" w:space="0" w:color="000000"/>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1C29F683" w14:textId="77777777" w:rsidR="00682785" w:rsidRPr="005A4B26" w:rsidRDefault="00682785" w:rsidP="00682785">
            <w:pPr>
              <w:jc w:val="center"/>
              <w:rPr>
                <w:b/>
                <w:i/>
                <w:highlight w:val="none"/>
              </w:rPr>
            </w:pPr>
            <w:r w:rsidRPr="005A4B26">
              <w:rPr>
                <w:b/>
                <w:i/>
                <w:highlight w:val="none"/>
              </w:rPr>
              <w:t>£1.32m</w:t>
            </w:r>
          </w:p>
        </w:tc>
      </w:tr>
      <w:tr w:rsidR="00682785" w14:paraId="5AD07D4F" w14:textId="77777777" w:rsidTr="005F1A14">
        <w:trPr>
          <w:trHeight w:val="330"/>
        </w:trPr>
        <w:tc>
          <w:tcPr>
            <w:tcW w:w="3347"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665529D1" w14:textId="77777777" w:rsidR="00682785" w:rsidRPr="005A4B26" w:rsidRDefault="00682785" w:rsidP="00682785">
            <w:pPr>
              <w:jc w:val="center"/>
              <w:rPr>
                <w:b/>
                <w:i/>
                <w:highlight w:val="none"/>
              </w:rPr>
            </w:pPr>
            <w:r w:rsidRPr="005A4B26">
              <w:rPr>
                <w:b/>
                <w:i/>
                <w:highlight w:val="none"/>
              </w:rPr>
              <w:t>Net Present Value for Project B</w:t>
            </w:r>
          </w:p>
        </w:tc>
        <w:tc>
          <w:tcPr>
            <w:tcW w:w="1653"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6C32255E" w14:textId="77777777" w:rsidR="00682785" w:rsidRPr="005A4B26" w:rsidRDefault="00682785" w:rsidP="00682785">
            <w:pPr>
              <w:jc w:val="center"/>
              <w:rPr>
                <w:b/>
                <w:i/>
                <w:highlight w:val="none"/>
              </w:rPr>
            </w:pPr>
            <w:r w:rsidRPr="005A4B26">
              <w:rPr>
                <w:b/>
                <w:i/>
                <w:highlight w:val="none"/>
              </w:rPr>
              <w:t>£-7.26</w:t>
            </w:r>
          </w:p>
        </w:tc>
      </w:tr>
      <w:tr w:rsidR="00682785" w14:paraId="01809F15" w14:textId="77777777" w:rsidTr="005F1A14">
        <w:trPr>
          <w:trHeight w:val="330"/>
        </w:trPr>
        <w:tc>
          <w:tcPr>
            <w:tcW w:w="3347"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0B642AC6" w14:textId="77777777" w:rsidR="00682785" w:rsidRPr="005A4B26" w:rsidRDefault="00682785" w:rsidP="00682785">
            <w:pPr>
              <w:jc w:val="center"/>
              <w:rPr>
                <w:b/>
                <w:i/>
                <w:highlight w:val="none"/>
              </w:rPr>
            </w:pPr>
            <w:r w:rsidRPr="005A4B26">
              <w:rPr>
                <w:b/>
                <w:i/>
                <w:highlight w:val="none"/>
              </w:rPr>
              <w:t>Net Present Value for Project C</w:t>
            </w:r>
          </w:p>
        </w:tc>
        <w:tc>
          <w:tcPr>
            <w:tcW w:w="1653"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1CC9B710" w14:textId="77777777" w:rsidR="00682785" w:rsidRPr="005A4B26" w:rsidRDefault="00682785" w:rsidP="00682785">
            <w:pPr>
              <w:jc w:val="center"/>
              <w:rPr>
                <w:b/>
                <w:i/>
                <w:highlight w:val="none"/>
              </w:rPr>
            </w:pPr>
            <w:r w:rsidRPr="005A4B26">
              <w:rPr>
                <w:b/>
                <w:i/>
                <w:highlight w:val="none"/>
              </w:rPr>
              <w:t>£4.23</w:t>
            </w:r>
          </w:p>
        </w:tc>
      </w:tr>
    </w:tbl>
    <w:p w14:paraId="3E6399EF" w14:textId="6DC8C5D3" w:rsidR="00682785" w:rsidRPr="005A4B26" w:rsidRDefault="00682785" w:rsidP="00682785">
      <w:pPr>
        <w:jc w:val="center"/>
        <w:rPr>
          <w:b/>
        </w:rPr>
      </w:pPr>
      <w:r>
        <w:rPr>
          <w:b/>
        </w:rPr>
        <w:t>Table 4</w:t>
      </w:r>
      <w:r w:rsidRPr="005A4B26">
        <w:rPr>
          <w:b/>
        </w:rPr>
        <w:t>: Comparative projection of three projects’ NPV</w:t>
      </w:r>
    </w:p>
    <w:p w14:paraId="0E152D3C" w14:textId="77777777" w:rsidR="00682785" w:rsidRPr="005A4B26" w:rsidRDefault="00682785" w:rsidP="00682785">
      <w:pPr>
        <w:jc w:val="center"/>
      </w:pPr>
      <w:r w:rsidRPr="005A4B26">
        <w:t>(Source: Excel Worksheet)</w:t>
      </w:r>
    </w:p>
    <w:p w14:paraId="5D7519B5" w14:textId="77777777" w:rsidR="00682785" w:rsidRPr="005A4B26" w:rsidRDefault="00682785" w:rsidP="00682785">
      <w:r w:rsidRPr="005A4B26">
        <w:t>Project C clearly produces the greatest NPV, supporting the previously established conclusion that Project C has superior long-term returns in comparison with other project options. Project A is acceptable, but marginal values suggest no additional wealth created. Hence, NPV analysis prioritises Project C, as it delivers the greatest return, which is consistent with capital budgeting principles to maximise shareholder value.</w:t>
      </w:r>
    </w:p>
    <w:p w14:paraId="70681675" w14:textId="77777777" w:rsidR="00682785" w:rsidRPr="005A4B26" w:rsidRDefault="00682785" w:rsidP="00682785">
      <w:pPr>
        <w:rPr>
          <w:b/>
          <w:u w:val="single"/>
        </w:rPr>
      </w:pPr>
      <w:r w:rsidRPr="005A4B26">
        <w:rPr>
          <w:b/>
          <w:u w:val="single"/>
        </w:rPr>
        <w:t>Profitability Index (PI)</w:t>
      </w:r>
    </w:p>
    <w:p w14:paraId="6432814F" w14:textId="77777777" w:rsidR="00682785" w:rsidRPr="005A4B26" w:rsidRDefault="00682785" w:rsidP="00682785">
      <w:r w:rsidRPr="005A4B26">
        <w:t xml:space="preserve">The Profitability Index is a relative measure of value creation per dollar invested, with Project A at 1.0331, Project B at 0.7582, and Project C at 1.0845. Any ratio above 1.0 indicates a viable project, while a value below 1.0 suggests elimination by indicating negative NPV as revealed by </w:t>
      </w:r>
      <w:proofErr w:type="spellStart"/>
      <w:r w:rsidRPr="005A4B26">
        <w:t>Trianto</w:t>
      </w:r>
      <w:proofErr w:type="spellEnd"/>
      <w:r w:rsidRPr="005A4B26">
        <w:t xml:space="preserve"> (2025). Therefore, Project B should be excluded, while both Project A and C would be acceptable. Furthermore, Project C has a better PI than Project A, which underscores the fact that it is generating the most value received in relation to each dollar invested. </w:t>
      </w:r>
    </w:p>
    <w:tbl>
      <w:tblPr>
        <w:tblStyle w:val="a3"/>
        <w:tblW w:w="5000" w:type="pct"/>
        <w:tblInd w:w="0" w:type="dxa"/>
        <w:tblBorders>
          <w:top w:val="nil"/>
          <w:left w:val="nil"/>
          <w:bottom w:val="nil"/>
          <w:right w:val="nil"/>
          <w:insideH w:val="nil"/>
          <w:insideV w:val="nil"/>
        </w:tblBorders>
        <w:tblLook w:val="0600" w:firstRow="0" w:lastRow="0" w:firstColumn="0" w:lastColumn="0" w:noHBand="1" w:noVBand="1"/>
      </w:tblPr>
      <w:tblGrid>
        <w:gridCol w:w="4508"/>
        <w:gridCol w:w="4840"/>
      </w:tblGrid>
      <w:tr w:rsidR="00682785" w14:paraId="4866206E" w14:textId="77777777" w:rsidTr="005F1A14">
        <w:trPr>
          <w:trHeight w:val="330"/>
        </w:trPr>
        <w:tc>
          <w:tcPr>
            <w:tcW w:w="2411" w:type="pct"/>
            <w:tcBorders>
              <w:top w:val="single" w:sz="5" w:space="0" w:color="000000"/>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0097A8D1" w14:textId="77777777" w:rsidR="00682785" w:rsidRPr="005A4B26" w:rsidRDefault="00682785" w:rsidP="00682785">
            <w:pPr>
              <w:jc w:val="center"/>
              <w:rPr>
                <w:b/>
                <w:i/>
                <w:highlight w:val="none"/>
              </w:rPr>
            </w:pPr>
            <w:r w:rsidRPr="005A4B26">
              <w:rPr>
                <w:b/>
                <w:i/>
                <w:highlight w:val="none"/>
              </w:rPr>
              <w:t>Profitability Index (PI)</w:t>
            </w:r>
          </w:p>
        </w:tc>
        <w:tc>
          <w:tcPr>
            <w:tcW w:w="2589" w:type="pct"/>
            <w:tcBorders>
              <w:top w:val="single" w:sz="5" w:space="0" w:color="000000"/>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553409BB" w14:textId="77777777" w:rsidR="00682785" w:rsidRPr="005A4B26" w:rsidRDefault="00682785" w:rsidP="00682785">
            <w:pPr>
              <w:jc w:val="center"/>
              <w:rPr>
                <w:b/>
                <w:i/>
                <w:highlight w:val="none"/>
              </w:rPr>
            </w:pPr>
            <w:r w:rsidRPr="005A4B26">
              <w:rPr>
                <w:b/>
                <w:i/>
                <w:highlight w:val="none"/>
              </w:rPr>
              <w:t>1.0331</w:t>
            </w:r>
          </w:p>
        </w:tc>
      </w:tr>
      <w:tr w:rsidR="00682785" w14:paraId="4CE3C0FA" w14:textId="77777777" w:rsidTr="005F1A14">
        <w:trPr>
          <w:trHeight w:val="330"/>
        </w:trPr>
        <w:tc>
          <w:tcPr>
            <w:tcW w:w="2411"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10F6E492" w14:textId="77777777" w:rsidR="00682785" w:rsidRPr="005A4B26" w:rsidRDefault="00682785" w:rsidP="00682785">
            <w:pPr>
              <w:jc w:val="center"/>
              <w:rPr>
                <w:b/>
                <w:i/>
                <w:highlight w:val="none"/>
              </w:rPr>
            </w:pPr>
            <w:r w:rsidRPr="005A4B26">
              <w:rPr>
                <w:b/>
                <w:i/>
                <w:highlight w:val="none"/>
              </w:rPr>
              <w:t>Profitability Index (PI)</w:t>
            </w:r>
          </w:p>
        </w:tc>
        <w:tc>
          <w:tcPr>
            <w:tcW w:w="2589"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6AAB68E3" w14:textId="77777777" w:rsidR="00682785" w:rsidRPr="005A4B26" w:rsidRDefault="00682785" w:rsidP="00682785">
            <w:pPr>
              <w:jc w:val="center"/>
              <w:rPr>
                <w:b/>
                <w:i/>
                <w:highlight w:val="none"/>
              </w:rPr>
            </w:pPr>
            <w:r w:rsidRPr="005A4B26">
              <w:rPr>
                <w:b/>
                <w:i/>
                <w:highlight w:val="none"/>
              </w:rPr>
              <w:t>0.7582</w:t>
            </w:r>
          </w:p>
        </w:tc>
      </w:tr>
      <w:tr w:rsidR="00682785" w14:paraId="00F5F350" w14:textId="77777777" w:rsidTr="005F1A14">
        <w:trPr>
          <w:trHeight w:val="330"/>
        </w:trPr>
        <w:tc>
          <w:tcPr>
            <w:tcW w:w="2411"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586F21F7" w14:textId="77777777" w:rsidR="00682785" w:rsidRPr="005A4B26" w:rsidRDefault="00682785" w:rsidP="00682785">
            <w:pPr>
              <w:jc w:val="center"/>
              <w:rPr>
                <w:b/>
                <w:i/>
                <w:highlight w:val="none"/>
              </w:rPr>
            </w:pPr>
            <w:r w:rsidRPr="005A4B26">
              <w:rPr>
                <w:b/>
                <w:i/>
                <w:highlight w:val="none"/>
              </w:rPr>
              <w:t>Profitability Index (PI)</w:t>
            </w:r>
          </w:p>
        </w:tc>
        <w:tc>
          <w:tcPr>
            <w:tcW w:w="2589"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3A76F731" w14:textId="77777777" w:rsidR="00682785" w:rsidRPr="005A4B26" w:rsidRDefault="00682785" w:rsidP="00682785">
            <w:pPr>
              <w:jc w:val="center"/>
              <w:rPr>
                <w:b/>
                <w:i/>
                <w:highlight w:val="none"/>
              </w:rPr>
            </w:pPr>
            <w:r w:rsidRPr="005A4B26">
              <w:rPr>
                <w:b/>
                <w:i/>
                <w:highlight w:val="none"/>
              </w:rPr>
              <w:t>1.0845</w:t>
            </w:r>
          </w:p>
        </w:tc>
      </w:tr>
    </w:tbl>
    <w:p w14:paraId="7683F5BD" w14:textId="502A929E" w:rsidR="00682785" w:rsidRPr="005A4B26" w:rsidRDefault="00682785" w:rsidP="00682785">
      <w:pPr>
        <w:jc w:val="center"/>
        <w:rPr>
          <w:b/>
        </w:rPr>
      </w:pPr>
      <w:r>
        <w:rPr>
          <w:b/>
        </w:rPr>
        <w:lastRenderedPageBreak/>
        <w:t>Table 5</w:t>
      </w:r>
      <w:r w:rsidRPr="005A4B26">
        <w:rPr>
          <w:b/>
        </w:rPr>
        <w:t>: Comparative Projection of Three Projects’ Profitability Index (PI)</w:t>
      </w:r>
    </w:p>
    <w:p w14:paraId="3F773DE9" w14:textId="77777777" w:rsidR="00682785" w:rsidRPr="005A4B26" w:rsidRDefault="00682785" w:rsidP="00682785">
      <w:pPr>
        <w:jc w:val="center"/>
      </w:pPr>
      <w:r w:rsidRPr="005A4B26">
        <w:t>(Source: Excel Worksheet)</w:t>
      </w:r>
    </w:p>
    <w:p w14:paraId="5C8EE863" w14:textId="287EDF2E" w:rsidR="00682785" w:rsidRPr="005A4B26" w:rsidRDefault="00682785" w:rsidP="00682785">
      <w:r w:rsidRPr="005A4B26">
        <w:t>In a resource-constrained environment, this supports the rational allocation of capital. The Profitability Index complements the NPV as a project ranking method but comes in handy particularly when capital rationing is necessary. Again, under this measure, Project C dominates, with Project A on the verge of being viable.</w:t>
      </w:r>
    </w:p>
    <w:p w14:paraId="71760883" w14:textId="77777777" w:rsidR="00682785" w:rsidRPr="005A4B26" w:rsidRDefault="00682785" w:rsidP="00682785">
      <w:pPr>
        <w:rPr>
          <w:b/>
          <w:u w:val="single"/>
        </w:rPr>
      </w:pPr>
      <w:r w:rsidRPr="005A4B26">
        <w:rPr>
          <w:b/>
          <w:u w:val="single"/>
        </w:rPr>
        <w:t>Internal Rate of Return (IRR)</w:t>
      </w:r>
    </w:p>
    <w:p w14:paraId="58316EAB" w14:textId="32142E39" w:rsidR="00682785" w:rsidRPr="005A4B26" w:rsidRDefault="00682785" w:rsidP="00682785">
      <w:pPr>
        <w:rPr>
          <w:b/>
        </w:rPr>
      </w:pPr>
      <w:r w:rsidRPr="005A4B26">
        <w:t>IRR is a way to identify the discount rate at which the NPV is equal to zero and ultimately measure the project's returns as a yield to communicate attractiveness as per Sinaga et al. (2023). Project A yielded 13%, Project B yielded 10%, while Project C yielded 12% in returns. Considering the hurdle rate of 10%, all three projects meet the requirements</w:t>
      </w:r>
      <w:r>
        <w:t>,</w:t>
      </w:r>
      <w:r w:rsidRPr="005A4B26">
        <w:t xml:space="preserve"> however, Project B scrapes by only breaking even with no margin of safety. </w:t>
      </w:r>
    </w:p>
    <w:tbl>
      <w:tblPr>
        <w:tblStyle w:val="a4"/>
        <w:tblW w:w="5000" w:type="pct"/>
        <w:tblInd w:w="0" w:type="dxa"/>
        <w:tblBorders>
          <w:top w:val="nil"/>
          <w:left w:val="nil"/>
          <w:bottom w:val="nil"/>
          <w:right w:val="nil"/>
          <w:insideH w:val="nil"/>
          <w:insideV w:val="nil"/>
        </w:tblBorders>
        <w:tblLook w:val="0600" w:firstRow="0" w:lastRow="0" w:firstColumn="0" w:lastColumn="0" w:noHBand="1" w:noVBand="1"/>
      </w:tblPr>
      <w:tblGrid>
        <w:gridCol w:w="4730"/>
        <w:gridCol w:w="4618"/>
      </w:tblGrid>
      <w:tr w:rsidR="00682785" w14:paraId="1D79850F" w14:textId="77777777" w:rsidTr="005F1A14">
        <w:trPr>
          <w:trHeight w:val="330"/>
        </w:trPr>
        <w:tc>
          <w:tcPr>
            <w:tcW w:w="2530" w:type="pct"/>
            <w:tcBorders>
              <w:top w:val="single" w:sz="5" w:space="0" w:color="000000"/>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7B6F714E" w14:textId="77777777" w:rsidR="00682785" w:rsidRPr="005A4B26" w:rsidRDefault="00682785" w:rsidP="00682785">
            <w:pPr>
              <w:jc w:val="center"/>
              <w:rPr>
                <w:b/>
                <w:i/>
                <w:highlight w:val="none"/>
              </w:rPr>
            </w:pPr>
            <w:r w:rsidRPr="005A4B26">
              <w:rPr>
                <w:b/>
                <w:i/>
                <w:sz w:val="22"/>
                <w:szCs w:val="22"/>
                <w:highlight w:val="none"/>
              </w:rPr>
              <w:t xml:space="preserve">IRR </w:t>
            </w:r>
            <w:r w:rsidRPr="005A4B26">
              <w:rPr>
                <w:b/>
                <w:i/>
                <w:highlight w:val="none"/>
              </w:rPr>
              <w:t>of Project A</w:t>
            </w:r>
          </w:p>
        </w:tc>
        <w:tc>
          <w:tcPr>
            <w:tcW w:w="2470" w:type="pct"/>
            <w:tcBorders>
              <w:top w:val="single" w:sz="5" w:space="0" w:color="000000"/>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7D5ABFB5" w14:textId="77777777" w:rsidR="00682785" w:rsidRPr="005A4B26" w:rsidRDefault="00682785" w:rsidP="00682785">
            <w:pPr>
              <w:jc w:val="center"/>
              <w:rPr>
                <w:b/>
                <w:i/>
                <w:highlight w:val="none"/>
              </w:rPr>
            </w:pPr>
            <w:r w:rsidRPr="005A4B26">
              <w:rPr>
                <w:b/>
                <w:i/>
                <w:highlight w:val="none"/>
              </w:rPr>
              <w:t>13%</w:t>
            </w:r>
          </w:p>
        </w:tc>
      </w:tr>
      <w:tr w:rsidR="00682785" w14:paraId="0E6A61F5" w14:textId="77777777" w:rsidTr="005F1A14">
        <w:trPr>
          <w:trHeight w:val="330"/>
        </w:trPr>
        <w:tc>
          <w:tcPr>
            <w:tcW w:w="2530"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59F23F21" w14:textId="77777777" w:rsidR="00682785" w:rsidRPr="005A4B26" w:rsidRDefault="00682785" w:rsidP="00682785">
            <w:pPr>
              <w:jc w:val="center"/>
              <w:rPr>
                <w:b/>
                <w:i/>
                <w:highlight w:val="none"/>
              </w:rPr>
            </w:pPr>
            <w:r w:rsidRPr="005A4B26">
              <w:rPr>
                <w:b/>
                <w:i/>
                <w:sz w:val="22"/>
                <w:szCs w:val="22"/>
                <w:highlight w:val="none"/>
              </w:rPr>
              <w:t>IRR</w:t>
            </w:r>
            <w:r w:rsidRPr="005A4B26">
              <w:rPr>
                <w:b/>
                <w:i/>
                <w:highlight w:val="none"/>
              </w:rPr>
              <w:t xml:space="preserve"> of Project B</w:t>
            </w:r>
          </w:p>
        </w:tc>
        <w:tc>
          <w:tcPr>
            <w:tcW w:w="2470"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3D6CB50C" w14:textId="77777777" w:rsidR="00682785" w:rsidRPr="005A4B26" w:rsidRDefault="00682785" w:rsidP="00682785">
            <w:pPr>
              <w:jc w:val="center"/>
              <w:rPr>
                <w:b/>
                <w:i/>
                <w:highlight w:val="none"/>
              </w:rPr>
            </w:pPr>
            <w:r w:rsidRPr="005A4B26">
              <w:rPr>
                <w:b/>
                <w:i/>
                <w:highlight w:val="none"/>
              </w:rPr>
              <w:t>10%</w:t>
            </w:r>
          </w:p>
        </w:tc>
      </w:tr>
      <w:tr w:rsidR="00682785" w14:paraId="4B0C2967" w14:textId="77777777" w:rsidTr="005F1A14">
        <w:trPr>
          <w:trHeight w:val="330"/>
        </w:trPr>
        <w:tc>
          <w:tcPr>
            <w:tcW w:w="2530" w:type="pct"/>
            <w:tcBorders>
              <w:top w:val="nil"/>
              <w:left w:val="single" w:sz="5" w:space="0" w:color="000000"/>
              <w:bottom w:val="single" w:sz="5" w:space="0" w:color="000000"/>
              <w:right w:val="single" w:sz="5" w:space="0" w:color="000000"/>
            </w:tcBorders>
            <w:shd w:val="clear" w:color="auto" w:fill="E8E8E8"/>
            <w:tcMar>
              <w:top w:w="0" w:type="dxa"/>
              <w:left w:w="100" w:type="dxa"/>
              <w:bottom w:w="0" w:type="dxa"/>
              <w:right w:w="100" w:type="dxa"/>
            </w:tcMar>
            <w:vAlign w:val="bottom"/>
          </w:tcPr>
          <w:p w14:paraId="223CAA41" w14:textId="77777777" w:rsidR="00682785" w:rsidRPr="005A4B26" w:rsidRDefault="00682785" w:rsidP="00682785">
            <w:pPr>
              <w:jc w:val="center"/>
              <w:rPr>
                <w:b/>
                <w:i/>
                <w:highlight w:val="none"/>
              </w:rPr>
            </w:pPr>
            <w:r w:rsidRPr="005A4B26">
              <w:rPr>
                <w:b/>
                <w:i/>
                <w:sz w:val="22"/>
                <w:szCs w:val="22"/>
                <w:highlight w:val="none"/>
              </w:rPr>
              <w:t>IRR</w:t>
            </w:r>
            <w:r w:rsidRPr="005A4B26">
              <w:rPr>
                <w:b/>
                <w:i/>
                <w:highlight w:val="none"/>
              </w:rPr>
              <w:t xml:space="preserve"> of Project C</w:t>
            </w:r>
          </w:p>
        </w:tc>
        <w:tc>
          <w:tcPr>
            <w:tcW w:w="2470" w:type="pct"/>
            <w:tcBorders>
              <w:top w:val="nil"/>
              <w:left w:val="nil"/>
              <w:bottom w:val="single" w:sz="5" w:space="0" w:color="000000"/>
              <w:right w:val="single" w:sz="5" w:space="0" w:color="000000"/>
            </w:tcBorders>
            <w:shd w:val="clear" w:color="auto" w:fill="E8E8E8"/>
            <w:tcMar>
              <w:top w:w="0" w:type="dxa"/>
              <w:left w:w="100" w:type="dxa"/>
              <w:bottom w:w="0" w:type="dxa"/>
              <w:right w:w="100" w:type="dxa"/>
            </w:tcMar>
            <w:vAlign w:val="bottom"/>
          </w:tcPr>
          <w:p w14:paraId="0C5C4693" w14:textId="77777777" w:rsidR="00682785" w:rsidRPr="005A4B26" w:rsidRDefault="00682785" w:rsidP="00682785">
            <w:pPr>
              <w:jc w:val="center"/>
              <w:rPr>
                <w:b/>
                <w:i/>
                <w:highlight w:val="none"/>
              </w:rPr>
            </w:pPr>
            <w:r w:rsidRPr="005A4B26">
              <w:rPr>
                <w:b/>
                <w:i/>
                <w:highlight w:val="none"/>
              </w:rPr>
              <w:t>12%</w:t>
            </w:r>
          </w:p>
        </w:tc>
      </w:tr>
    </w:tbl>
    <w:p w14:paraId="2C9D3082" w14:textId="15020EBA" w:rsidR="00682785" w:rsidRPr="005A4B26" w:rsidRDefault="00682785" w:rsidP="00682785">
      <w:pPr>
        <w:jc w:val="center"/>
        <w:rPr>
          <w:b/>
        </w:rPr>
      </w:pPr>
      <w:r>
        <w:rPr>
          <w:b/>
        </w:rPr>
        <w:t>Table 6</w:t>
      </w:r>
      <w:r w:rsidRPr="005A4B26">
        <w:rPr>
          <w:b/>
        </w:rPr>
        <w:t>: Comparative Projection of Three Projects’ ARR</w:t>
      </w:r>
    </w:p>
    <w:p w14:paraId="255AA7C5" w14:textId="77777777" w:rsidR="00682785" w:rsidRPr="005A4B26" w:rsidRDefault="00682785" w:rsidP="00682785">
      <w:pPr>
        <w:jc w:val="center"/>
      </w:pPr>
      <w:r w:rsidRPr="005A4B26">
        <w:t>(Source: Excel Worksheet)</w:t>
      </w:r>
    </w:p>
    <w:p w14:paraId="21E3016B" w14:textId="77777777" w:rsidR="00682785" w:rsidRPr="005A4B26" w:rsidRDefault="00682785" w:rsidP="00682785">
      <w:r w:rsidRPr="005A4B26">
        <w:t>Project A is justifiable with a 13% return, while Project C remains competitive at 12%, especially because it also generates the highest NPV. Ultimately, the IRR does face limitations as it may rank projects differently from the NPV when cash flows are unconventional; again, Projects A and C both surpass Project B regardless of the IRR, and again, Project C aligned the best with overall wealth creation.</w:t>
      </w:r>
    </w:p>
    <w:p w14:paraId="1CBA18FA" w14:textId="77777777" w:rsidR="00682785" w:rsidRPr="005A4B26" w:rsidRDefault="00682785" w:rsidP="00682785">
      <w:pPr>
        <w:pStyle w:val="Heading2"/>
      </w:pPr>
      <w:bookmarkStart w:id="21" w:name="_qm75oxufrhel" w:colFirst="0" w:colLast="0"/>
      <w:bookmarkStart w:id="22" w:name="_Toc210505209"/>
      <w:bookmarkEnd w:id="21"/>
      <w:r w:rsidRPr="005A4B26">
        <w:lastRenderedPageBreak/>
        <w:t>4.2 Final Investment Recommendation Assuming Capital Rationing</w:t>
      </w:r>
      <w:bookmarkEnd w:id="22"/>
      <w:r w:rsidRPr="005A4B26">
        <w:t xml:space="preserve"> </w:t>
      </w:r>
    </w:p>
    <w:p w14:paraId="2A5CDDA7" w14:textId="77777777" w:rsidR="00682785" w:rsidRPr="005A4B26" w:rsidRDefault="00682785" w:rsidP="00682785">
      <w:r w:rsidRPr="005A4B26">
        <w:rPr>
          <w:rFonts w:eastAsia="Gungsuh"/>
        </w:rPr>
        <w:t>When faced with capital rationing constraints of a maximum investment size up to £60m, it is crucial to ensure optimal project choice to maximise shareholder value and efficiency in allocating capital. As per the assessment of the three projects for which to invest, we can immediately exclude Project B. Project B generates a negative NPV of −£7.26m and a PI below 1.0, which is indicative of value destruction (Hollis, Daryanto, and Zulkifli, 2022).</w:t>
      </w:r>
    </w:p>
    <w:p w14:paraId="47B0174D" w14:textId="77777777" w:rsidR="00682785" w:rsidRPr="005A4B26" w:rsidRDefault="00682785" w:rsidP="00682785">
      <w:r w:rsidRPr="005A4B26">
        <w:t xml:space="preserve">Thus, between the remaining Projects A (£40m) and C (£50m), Project C generates the highest NPV value of £4.23m, as well as highest ARR of 20% with PI scoring 1.084 even though Project C requires £50m of capital that only leaves £10m of capital unused and does not have any other revenue project to fund with that £10m of spare capital. Project A requires only £40m value with a positive NPV of £1.32m and PI of 1.0331. However, the £20m of extra capital would be wasted and serve no purpose while there is no other investment worthwhile of funding with £20m. </w:t>
      </w:r>
    </w:p>
    <w:p w14:paraId="497AB153" w14:textId="77777777" w:rsidR="00682785" w:rsidRPr="005A4B26" w:rsidRDefault="00682785" w:rsidP="00682785">
      <w:r w:rsidRPr="005A4B26">
        <w:t xml:space="preserve">Under the given constraint, a mixed portfolio is not possible since the total of Projects A and C (£90m) exceeds the limit. In this scenario, capital rationing principles would suggest selecting the project with the highest profitability index since it depicts value being generated per £ invested as discovered within the research by Singh (2024). Henceforth, it is suggested to make a capital </w:t>
      </w:r>
      <w:r w:rsidRPr="005A4B26">
        <w:rPr>
          <w:b/>
          <w:bCs/>
          <w:i/>
          <w:iCs/>
        </w:rPr>
        <w:t>investment of £50 million on the proposed Project C</w:t>
      </w:r>
      <w:r w:rsidRPr="005A4B26">
        <w:t>, which presents higher return potential compared to the other two alternatives.</w:t>
      </w:r>
    </w:p>
    <w:p w14:paraId="02F19A84" w14:textId="77777777" w:rsidR="00682785" w:rsidRPr="005A4B26" w:rsidRDefault="00682785" w:rsidP="00682785">
      <w:pPr>
        <w:pStyle w:val="Heading2"/>
      </w:pPr>
      <w:bookmarkStart w:id="23" w:name="_97v5394v8lka" w:colFirst="0" w:colLast="0"/>
      <w:bookmarkStart w:id="24" w:name="_Toc210505210"/>
      <w:bookmarkEnd w:id="23"/>
      <w:r w:rsidRPr="005A4B26">
        <w:t>4.3 Justification in reference to Financial Performance and Project Risk characteristics</w:t>
      </w:r>
      <w:bookmarkEnd w:id="24"/>
      <w:r w:rsidRPr="005A4B26">
        <w:t xml:space="preserve">  </w:t>
      </w:r>
    </w:p>
    <w:p w14:paraId="09C179DF" w14:textId="77777777" w:rsidR="00682785" w:rsidRPr="005A4B26" w:rsidRDefault="00682785" w:rsidP="00682785">
      <w:r w:rsidRPr="005A4B26">
        <w:rPr>
          <w:rFonts w:eastAsia="Gungsuh"/>
        </w:rPr>
        <w:t xml:space="preserve"> In the context of the financial performance, it has been noted that the net profit margin of the organisation dropped to a net loss of −6.09% at the end of 2024, signifying economic stress based on the poor performance. The position of liquidity has also downturned, reporting 1.53x in the FY 2024, down from 1.82x. It reflects poor management of working capital. Along with this, the financial leveraging power has been affected, while the solvency risk increased with the rising debt-to-equity ratio in 2024 compared to the preceding years. Hence, the investment decision must be aligned with the focus of improving and achieving higher returns with the financial power of leveraging risk. </w:t>
      </w:r>
    </w:p>
    <w:p w14:paraId="5E6D112A" w14:textId="77777777" w:rsidR="00682785" w:rsidRPr="005A4B26" w:rsidRDefault="00682785" w:rsidP="00682785">
      <w:r w:rsidRPr="005A4B26">
        <w:rPr>
          <w:rFonts w:eastAsia="Gungsuh"/>
        </w:rPr>
        <w:lastRenderedPageBreak/>
        <w:t xml:space="preserve">While Project C is requesting a larger cash outlay of £50m, there is a stronger financial rationale with respect to horizons of NPV, ARR, and PI with respect to any alternative investment, like Project A. It has an NPV of £4.23m, an ARR in the mid−high 20% range, and a PI of 1.0845; collectively, it also flags superior creation of future long-term value. It can be emphasised that Project C also generated a diversified cash flow, improving from £5m in Year 1 to £25m at the end of Year 4, which would mitigate the liquidity woes associated with upfront returns of lagging projects, or pleasingly a shorter upstream return. While it may need 4 years and about 7 months in total payback, a slightly longer timeline for capital recovery of cost is preferred compared with the project's gradual utility in yield and noted softer returns on the ratio of profit. </w:t>
      </w:r>
    </w:p>
    <w:p w14:paraId="20FB74E3" w14:textId="013C6935" w:rsidR="0042107F" w:rsidRDefault="00682785" w:rsidP="00F8510C">
      <w:r w:rsidRPr="005A4B26">
        <w:t>Due to the company's weak profitability and balance sheet, it cannot afford to allocate capital to value-eroding investment deals. Since Project B has a negative NPV, it would damage the financial recovery. Project A, on the other hand, has lower incremental returns. Therefore, Project C has the best mix of value-created, risk-adjusted returns and supports the turnaround purpose.</w:t>
      </w:r>
      <w:r w:rsidR="0042107F">
        <w:br w:type="page"/>
      </w:r>
    </w:p>
    <w:p w14:paraId="47EA029F" w14:textId="0C36AC1B" w:rsidR="00B005F9" w:rsidRDefault="0042107F" w:rsidP="00682785">
      <w:pPr>
        <w:pStyle w:val="Heading1"/>
      </w:pPr>
      <w:bookmarkStart w:id="25" w:name="_Toc210505211"/>
      <w:r>
        <w:lastRenderedPageBreak/>
        <w:t>Reference List</w:t>
      </w:r>
      <w:bookmarkEnd w:id="25"/>
    </w:p>
    <w:p w14:paraId="07D63CD7" w14:textId="77777777" w:rsidR="00682785" w:rsidRDefault="00682785" w:rsidP="00682785">
      <w:r w:rsidRPr="00827D3E">
        <w:t xml:space="preserve">Al-Filali, I.Y., </w:t>
      </w:r>
      <w:proofErr w:type="spellStart"/>
      <w:r w:rsidRPr="00827D3E">
        <w:t>Abdulaal</w:t>
      </w:r>
      <w:proofErr w:type="spellEnd"/>
      <w:r w:rsidRPr="00827D3E">
        <w:t xml:space="preserve">, R.M., Alawi, S.M. and Makki, A.A., </w:t>
      </w:r>
      <w:r>
        <w:t>(</w:t>
      </w:r>
      <w:r w:rsidRPr="00827D3E">
        <w:t>2024</w:t>
      </w:r>
      <w:r>
        <w:t>)</w:t>
      </w:r>
      <w:r w:rsidRPr="00827D3E">
        <w:t>. Modification of strategic planning tools for planning financial sustainability in‎ higher education institutions. </w:t>
      </w:r>
      <w:r w:rsidRPr="00827D3E">
        <w:rPr>
          <w:i/>
          <w:iCs/>
        </w:rPr>
        <w:t>Journal of Engineering Research</w:t>
      </w:r>
      <w:r w:rsidRPr="00827D3E">
        <w:t>, </w:t>
      </w:r>
      <w:r w:rsidRPr="00827D3E">
        <w:rPr>
          <w:i/>
          <w:iCs/>
        </w:rPr>
        <w:t>12</w:t>
      </w:r>
      <w:r w:rsidRPr="00827D3E">
        <w:t>(1), pp.192-203.</w:t>
      </w:r>
      <w:r>
        <w:t xml:space="preserve"> </w:t>
      </w:r>
      <w:hyperlink r:id="rId21" w:history="1">
        <w:r w:rsidRPr="00DD22F8">
          <w:rPr>
            <w:rStyle w:val="Hyperlink"/>
          </w:rPr>
          <w:t>https://www.sciencedirect.com/science/article/pii/S2307187723003206</w:t>
        </w:r>
      </w:hyperlink>
    </w:p>
    <w:p w14:paraId="40E8C777" w14:textId="77777777" w:rsidR="00682785" w:rsidRDefault="00682785" w:rsidP="00682785">
      <w:proofErr w:type="spellStart"/>
      <w:r w:rsidRPr="00827D3E">
        <w:t>Alsharari</w:t>
      </w:r>
      <w:proofErr w:type="spellEnd"/>
      <w:r w:rsidRPr="00827D3E">
        <w:t xml:space="preserve">, N.M., </w:t>
      </w:r>
      <w:r>
        <w:t>(</w:t>
      </w:r>
      <w:r w:rsidRPr="00827D3E">
        <w:t>2024</w:t>
      </w:r>
      <w:r>
        <w:t>)</w:t>
      </w:r>
      <w:r w:rsidRPr="00827D3E">
        <w:t>. The interplay of strategic management accounting, business strategy and organizational change: as influenced by a configurational theory. </w:t>
      </w:r>
      <w:r w:rsidRPr="00827D3E">
        <w:rPr>
          <w:i/>
          <w:iCs/>
        </w:rPr>
        <w:t>Journal of Accounting &amp; Organizational Change</w:t>
      </w:r>
      <w:r w:rsidRPr="00827D3E">
        <w:t>, </w:t>
      </w:r>
      <w:r w:rsidRPr="00827D3E">
        <w:rPr>
          <w:i/>
          <w:iCs/>
        </w:rPr>
        <w:t>20</w:t>
      </w:r>
      <w:r w:rsidRPr="00827D3E">
        <w:t>(1), pp.153-176.</w:t>
      </w:r>
      <w:r>
        <w:t xml:space="preserve"> </w:t>
      </w:r>
      <w:hyperlink r:id="rId22" w:history="1">
        <w:r w:rsidRPr="00DD22F8">
          <w:rPr>
            <w:rStyle w:val="Hyperlink"/>
          </w:rPr>
          <w:t>https://www.emerald.com/insight/content/doi/10.1108/jaoc-09-2021-0130/full/html</w:t>
        </w:r>
      </w:hyperlink>
    </w:p>
    <w:p w14:paraId="3D390562" w14:textId="77777777" w:rsidR="00682785" w:rsidRDefault="00682785" w:rsidP="00682785">
      <w:r w:rsidRPr="0042107F">
        <w:t xml:space="preserve">Alvarez, T., Sensini, L. and Vazquez, M., </w:t>
      </w:r>
      <w:r>
        <w:t>(</w:t>
      </w:r>
      <w:r w:rsidRPr="0042107F">
        <w:t>2021</w:t>
      </w:r>
      <w:r>
        <w:t>)</w:t>
      </w:r>
      <w:r w:rsidRPr="0042107F">
        <w:t>. Working capital management and profitability: Evidence from an emergent economy. </w:t>
      </w:r>
      <w:r w:rsidRPr="0042107F">
        <w:rPr>
          <w:i/>
          <w:iCs/>
        </w:rPr>
        <w:t>International Journal of Advances in Management and Economics</w:t>
      </w:r>
      <w:r w:rsidRPr="0042107F">
        <w:t>, </w:t>
      </w:r>
      <w:r w:rsidRPr="0042107F">
        <w:rPr>
          <w:i/>
          <w:iCs/>
        </w:rPr>
        <w:t>11</w:t>
      </w:r>
      <w:r w:rsidRPr="0042107F">
        <w:t>(1), pp.32-39.</w:t>
      </w:r>
      <w:r>
        <w:t xml:space="preserve"> </w:t>
      </w:r>
      <w:hyperlink r:id="rId23" w:history="1">
        <w:r w:rsidRPr="001C75C9">
          <w:rPr>
            <w:rStyle w:val="Hyperlink"/>
          </w:rPr>
          <w:t>https://www.researchgate.net/profile/Maria-Vazquez-5/publication/348944860_Working_Capital_Management_and_Profitability_Evidence_from_an_Emergent_Economy/links/60185e8d45851517ef31da0b/Working-Capital-Management-and-Profitability-Evidence-from-an-Emergent-Economy.pdf</w:t>
        </w:r>
      </w:hyperlink>
    </w:p>
    <w:p w14:paraId="4F9062AF" w14:textId="77777777" w:rsidR="00682785" w:rsidRDefault="00682785" w:rsidP="00682785">
      <w:proofErr w:type="spellStart"/>
      <w:r w:rsidRPr="00827D3E">
        <w:t>Aniebonam</w:t>
      </w:r>
      <w:proofErr w:type="spellEnd"/>
      <w:r w:rsidRPr="00827D3E">
        <w:t xml:space="preserve">, E.E., </w:t>
      </w:r>
      <w:r>
        <w:t>(</w:t>
      </w:r>
      <w:r w:rsidRPr="00827D3E">
        <w:t>2024</w:t>
      </w:r>
      <w:r>
        <w:t>)</w:t>
      </w:r>
      <w:r w:rsidRPr="00827D3E">
        <w:t>. Strategic management in turbulent markets: A case study of the USA. </w:t>
      </w:r>
      <w:r w:rsidRPr="00827D3E">
        <w:rPr>
          <w:i/>
          <w:iCs/>
        </w:rPr>
        <w:t>International Journal of Modern Science and Research Technology</w:t>
      </w:r>
      <w:r w:rsidRPr="00827D3E">
        <w:t>, </w:t>
      </w:r>
      <w:r w:rsidRPr="00827D3E">
        <w:rPr>
          <w:i/>
          <w:iCs/>
        </w:rPr>
        <w:t>1</w:t>
      </w:r>
      <w:r w:rsidRPr="00827D3E">
        <w:t>(8), pp.35-43.</w:t>
      </w:r>
      <w:r>
        <w:t xml:space="preserve"> </w:t>
      </w:r>
      <w:hyperlink r:id="rId24" w:history="1">
        <w:r w:rsidRPr="00DD22F8">
          <w:rPr>
            <w:rStyle w:val="Hyperlink"/>
          </w:rPr>
          <w:t>https://www.academia.edu/download/118399063/Ebuka_s_paper.pdf</w:t>
        </w:r>
      </w:hyperlink>
    </w:p>
    <w:p w14:paraId="7126A47E" w14:textId="77777777" w:rsidR="00682785" w:rsidRPr="005A4B26" w:rsidRDefault="00682785" w:rsidP="00682785">
      <w:proofErr w:type="spellStart"/>
      <w:r w:rsidRPr="005A4B26">
        <w:t>Asiani</w:t>
      </w:r>
      <w:proofErr w:type="spellEnd"/>
      <w:r w:rsidRPr="005A4B26">
        <w:t xml:space="preserve">, N. T., and Rahayu, N. P. W. (2024). Analysis of liquidity ratios and profitability ratios to assess financial performance. International Journal of Accounting, Management, Economics and Social Sciences (IJAMESC), 2(4), 1385-1401. </w:t>
      </w:r>
      <w:hyperlink r:id="rId25">
        <w:r w:rsidRPr="005A4B26">
          <w:rPr>
            <w:color w:val="1155CC"/>
            <w:u w:val="single"/>
          </w:rPr>
          <w:t>https://ijamesc.com/index.php/go/article/download/312/203</w:t>
        </w:r>
      </w:hyperlink>
      <w:r w:rsidRPr="005A4B26">
        <w:t xml:space="preserve"> </w:t>
      </w:r>
    </w:p>
    <w:p w14:paraId="72817C91" w14:textId="77777777" w:rsidR="00682785" w:rsidRPr="005A4B26" w:rsidRDefault="00682785" w:rsidP="00682785">
      <w:r w:rsidRPr="005A4B26">
        <w:t xml:space="preserve">Chaudhary, S. (2023). A review of evaluation methodologies and techniques in construction engineering projects. International Journal of Construction Engineering and Management, 12(2), 35-42. </w:t>
      </w:r>
      <w:hyperlink r:id="rId26">
        <w:r w:rsidRPr="005A4B26">
          <w:rPr>
            <w:color w:val="1155CC"/>
            <w:u w:val="single"/>
          </w:rPr>
          <w:t>https://www.researchgate.net/profile/Suresh-Chaudhary-4/publication/369438141_A_Review_of_Evaluation_Methodologies_and_Techniques_in_Constr</w:t>
        </w:r>
        <w:r w:rsidRPr="005A4B26">
          <w:rPr>
            <w:color w:val="1155CC"/>
            <w:u w:val="single"/>
          </w:rPr>
          <w:lastRenderedPageBreak/>
          <w:t>uction_Engineering_Projects/links/6561ccf6b1398a779db4a31b/A-Review-of-Evaluation-Methodologies-and-Techniques-in-Construction-Engineering-Projects.pdf</w:t>
        </w:r>
      </w:hyperlink>
      <w:r w:rsidRPr="005A4B26">
        <w:t xml:space="preserve"> </w:t>
      </w:r>
    </w:p>
    <w:p w14:paraId="6C94BE2F" w14:textId="77777777" w:rsidR="00682785" w:rsidRDefault="00682785" w:rsidP="00682785">
      <w:proofErr w:type="spellStart"/>
      <w:r w:rsidRPr="00827D3E">
        <w:t>Colliard</w:t>
      </w:r>
      <w:proofErr w:type="spellEnd"/>
      <w:r w:rsidRPr="00827D3E">
        <w:t xml:space="preserve">, J.E. and </w:t>
      </w:r>
      <w:proofErr w:type="spellStart"/>
      <w:r w:rsidRPr="00827D3E">
        <w:t>Gromb</w:t>
      </w:r>
      <w:proofErr w:type="spellEnd"/>
      <w:r w:rsidRPr="00827D3E">
        <w:t xml:space="preserve">, D., </w:t>
      </w:r>
      <w:r>
        <w:t>(</w:t>
      </w:r>
      <w:r w:rsidRPr="00827D3E">
        <w:t>2025</w:t>
      </w:r>
      <w:r>
        <w:t>)</w:t>
      </w:r>
      <w:r w:rsidRPr="00827D3E">
        <w:t>. Financial restructuring and resolution of banks. </w:t>
      </w:r>
      <w:r w:rsidRPr="00827D3E">
        <w:rPr>
          <w:i/>
          <w:iCs/>
        </w:rPr>
        <w:t>HEC Paris Research Paper No. FIN-2018-1272</w:t>
      </w:r>
      <w:r w:rsidRPr="00827D3E">
        <w:t>.</w:t>
      </w:r>
      <w:r>
        <w:t xml:space="preserve"> </w:t>
      </w:r>
      <w:hyperlink r:id="rId27" w:history="1">
        <w:r w:rsidRPr="00DD22F8">
          <w:rPr>
            <w:rStyle w:val="Hyperlink"/>
          </w:rPr>
          <w:t>https://papers.ssrn.com/sol3/papers.cfm?abstract_id=3183777</w:t>
        </w:r>
      </w:hyperlink>
    </w:p>
    <w:p w14:paraId="2151067D" w14:textId="77777777" w:rsidR="00682785" w:rsidRDefault="00682785" w:rsidP="00682785">
      <w:r w:rsidRPr="0042107F">
        <w:t xml:space="preserve">Czerwonka, L. and Jaworski, J., </w:t>
      </w:r>
      <w:r>
        <w:t>(</w:t>
      </w:r>
      <w:r w:rsidRPr="0042107F">
        <w:t>2023</w:t>
      </w:r>
      <w:r>
        <w:t>)</w:t>
      </w:r>
      <w:r w:rsidRPr="0042107F">
        <w:t>. Determinants of working capital management in small and medium enterprises: Evidence from Central and Eastern Europe. </w:t>
      </w:r>
      <w:r w:rsidRPr="0042107F">
        <w:rPr>
          <w:i/>
          <w:iCs/>
        </w:rPr>
        <w:t>Journal of International Studies</w:t>
      </w:r>
      <w:r w:rsidRPr="0042107F">
        <w:t>, </w:t>
      </w:r>
      <w:r w:rsidRPr="0042107F">
        <w:rPr>
          <w:i/>
          <w:iCs/>
        </w:rPr>
        <w:t>16</w:t>
      </w:r>
      <w:r w:rsidRPr="0042107F">
        <w:t>(2).</w:t>
      </w:r>
      <w:r>
        <w:t xml:space="preserve"> </w:t>
      </w:r>
      <w:hyperlink r:id="rId28" w:history="1">
        <w:r w:rsidRPr="001C75C9">
          <w:rPr>
            <w:rStyle w:val="Hyperlink"/>
          </w:rPr>
          <w:t>https://www.ceeol.com/search/article-detail?id=1172376</w:t>
        </w:r>
      </w:hyperlink>
    </w:p>
    <w:p w14:paraId="3C72B52A" w14:textId="77777777" w:rsidR="00682785" w:rsidRPr="005A4B26" w:rsidRDefault="00682785" w:rsidP="00682785">
      <w:r w:rsidRPr="005A4B26">
        <w:t xml:space="preserve">Dang, H. Q. (2022). Demand Prioritisation and Replenishment During Fulfilment. </w:t>
      </w:r>
      <w:hyperlink r:id="rId29">
        <w:r w:rsidRPr="005A4B26">
          <w:rPr>
            <w:color w:val="1155CC"/>
            <w:u w:val="single"/>
          </w:rPr>
          <w:t>https://www.academia.edu/download/118356617/Demand_Prioritization_and_Replenishment_During_Fulfilment.pdf</w:t>
        </w:r>
      </w:hyperlink>
      <w:r w:rsidRPr="005A4B26">
        <w:t xml:space="preserve"> </w:t>
      </w:r>
    </w:p>
    <w:p w14:paraId="179CD83D" w14:textId="77777777" w:rsidR="00682785" w:rsidRPr="005A4B26" w:rsidRDefault="00682785" w:rsidP="00682785">
      <w:r w:rsidRPr="005A4B26">
        <w:t xml:space="preserve">Dobrowolski, Z., and Drozdowski, G. (2022). Does the net present value as a financial metric fit investment in green energy security?. Energies, 15(1), 353. </w:t>
      </w:r>
      <w:hyperlink r:id="rId30">
        <w:r w:rsidRPr="005A4B26">
          <w:rPr>
            <w:color w:val="1155CC"/>
            <w:u w:val="single"/>
          </w:rPr>
          <w:t>https://www.mdpi.com/1996-1073/15/1/353</w:t>
        </w:r>
      </w:hyperlink>
      <w:r w:rsidRPr="005A4B26">
        <w:t xml:space="preserve"> </w:t>
      </w:r>
    </w:p>
    <w:p w14:paraId="772056AD" w14:textId="77777777" w:rsidR="00682785" w:rsidRDefault="00682785" w:rsidP="00682785">
      <w:r w:rsidRPr="0042107F">
        <w:t xml:space="preserve">Edmans, A., Fang, V.W. and Huang, A.H., </w:t>
      </w:r>
      <w:r>
        <w:t>(</w:t>
      </w:r>
      <w:r w:rsidRPr="0042107F">
        <w:t>2022</w:t>
      </w:r>
      <w:r>
        <w:t>)</w:t>
      </w:r>
      <w:r w:rsidRPr="0042107F">
        <w:t>. The long‐term consequences of short‐term incentives. </w:t>
      </w:r>
      <w:r w:rsidRPr="0042107F">
        <w:rPr>
          <w:i/>
          <w:iCs/>
        </w:rPr>
        <w:t>Journal of Accounting Research</w:t>
      </w:r>
      <w:r w:rsidRPr="0042107F">
        <w:t>, </w:t>
      </w:r>
      <w:r w:rsidRPr="0042107F">
        <w:rPr>
          <w:i/>
          <w:iCs/>
        </w:rPr>
        <w:t>60</w:t>
      </w:r>
      <w:r w:rsidRPr="0042107F">
        <w:t>(3), pp.1007-1046.</w:t>
      </w:r>
      <w:r>
        <w:t xml:space="preserve"> </w:t>
      </w:r>
      <w:hyperlink r:id="rId31" w:history="1">
        <w:r w:rsidRPr="001C75C9">
          <w:rPr>
            <w:rStyle w:val="Hyperlink"/>
          </w:rPr>
          <w:t>https://onlinelibrary.wiley.com/doi/abs/10.1111/1475-679X.12410</w:t>
        </w:r>
      </w:hyperlink>
    </w:p>
    <w:p w14:paraId="2EAA25BB" w14:textId="77777777" w:rsidR="00682785" w:rsidRPr="005A4B26" w:rsidRDefault="00682785" w:rsidP="00682785">
      <w:r w:rsidRPr="005A4B26">
        <w:t xml:space="preserve">Farran, I. H. (2023). Risk Analysis and Capital Budgeting usage in Small and Medium-sized Enterprises in Lebanon (Doctoral dissertation, University of Nicosia). </w:t>
      </w:r>
      <w:hyperlink r:id="rId32">
        <w:r w:rsidRPr="005A4B26">
          <w:rPr>
            <w:color w:val="1155CC"/>
            <w:u w:val="single"/>
          </w:rPr>
          <w:t>https://repository.unic.ac.cy/archive/download/5dbd6c45-1b43-4223-b555-1bb0bc6eacc4.pdf</w:t>
        </w:r>
      </w:hyperlink>
      <w:r w:rsidRPr="005A4B26">
        <w:t xml:space="preserve"> </w:t>
      </w:r>
    </w:p>
    <w:p w14:paraId="50764C93" w14:textId="77777777" w:rsidR="00682785" w:rsidRDefault="00682785" w:rsidP="00682785">
      <w:r w:rsidRPr="00827D3E">
        <w:t xml:space="preserve">Grundy, T., Johnson, G. and Scholes, K., </w:t>
      </w:r>
      <w:r>
        <w:t>(</w:t>
      </w:r>
      <w:r w:rsidRPr="00827D3E">
        <w:t>2022</w:t>
      </w:r>
      <w:r>
        <w:t>)</w:t>
      </w:r>
      <w:r w:rsidRPr="00827D3E">
        <w:t>. Strategic Financial Management. </w:t>
      </w:r>
      <w:r w:rsidRPr="00827D3E">
        <w:rPr>
          <w:i/>
          <w:iCs/>
        </w:rPr>
        <w:t>Bachelor of Business Administration Programme Code: BBA Duration–3 Years Full Time</w:t>
      </w:r>
      <w:r w:rsidRPr="00827D3E">
        <w:t>, </w:t>
      </w:r>
      <w:r w:rsidRPr="00827D3E">
        <w:rPr>
          <w:i/>
          <w:iCs/>
        </w:rPr>
        <w:t>2</w:t>
      </w:r>
      <w:r w:rsidRPr="00827D3E">
        <w:t>(1), pp.1-575.</w:t>
      </w:r>
      <w:r>
        <w:t xml:space="preserve"> </w:t>
      </w:r>
      <w:hyperlink r:id="rId33" w:anchor="page=529" w:history="1">
        <w:r w:rsidRPr="00DD22F8">
          <w:rPr>
            <w:rStyle w:val="Hyperlink"/>
          </w:rPr>
          <w:t>https://www.amity.edu/gwalior/naac/1_1_3/syllabus/1.1.3%20abs%20new.pdf#page=529</w:t>
        </w:r>
      </w:hyperlink>
    </w:p>
    <w:p w14:paraId="656494D8" w14:textId="77777777" w:rsidR="00682785" w:rsidRPr="005A4B26" w:rsidRDefault="00682785" w:rsidP="00682785">
      <w:r w:rsidRPr="005A4B26">
        <w:t xml:space="preserve">Hamzat, L. (2023). Real-Time Financial Resilience and Debt Optimization for Entrepreneurs: Tackling Debt Management as a Financial Health Pandemic and Empowering Small Business Growth Through Early Detection of Financial Distress and Effortless Capital Management. </w:t>
      </w:r>
      <w:hyperlink r:id="rId34">
        <w:r w:rsidRPr="005A4B26">
          <w:rPr>
            <w:color w:val="1155CC"/>
            <w:u w:val="single"/>
          </w:rPr>
          <w:t>https://www.researchgate.net/profile/Lolade-Hamzat/publication/391776111_Real-</w:t>
        </w:r>
        <w:r w:rsidRPr="005A4B26">
          <w:rPr>
            <w:color w:val="1155CC"/>
            <w:u w:val="single"/>
          </w:rPr>
          <w:lastRenderedPageBreak/>
          <w:t>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w:t>
        </w:r>
      </w:hyperlink>
      <w:r w:rsidRPr="005A4B26">
        <w:t xml:space="preserve"> </w:t>
      </w:r>
    </w:p>
    <w:p w14:paraId="5EAEFC75" w14:textId="77777777" w:rsidR="00682785" w:rsidRPr="005A4B26" w:rsidRDefault="00682785" w:rsidP="00682785">
      <w:r w:rsidRPr="005A4B26">
        <w:t xml:space="preserve">Hofmann, E., </w:t>
      </w:r>
      <w:proofErr w:type="spellStart"/>
      <w:r w:rsidRPr="005A4B26">
        <w:t>Töyli</w:t>
      </w:r>
      <w:proofErr w:type="spellEnd"/>
      <w:r w:rsidRPr="005A4B26">
        <w:t xml:space="preserve">, J., and </w:t>
      </w:r>
      <w:proofErr w:type="spellStart"/>
      <w:r w:rsidRPr="005A4B26">
        <w:t>Solakivi</w:t>
      </w:r>
      <w:proofErr w:type="spellEnd"/>
      <w:r w:rsidRPr="005A4B26">
        <w:t xml:space="preserve">, T. (2022). Working capital </w:t>
      </w:r>
      <w:proofErr w:type="spellStart"/>
      <w:r w:rsidRPr="005A4B26">
        <w:t>behavior</w:t>
      </w:r>
      <w:proofErr w:type="spellEnd"/>
      <w:r w:rsidRPr="005A4B26">
        <w:t xml:space="preserve"> of firms during an economic downturn: An analysis of the financial crisis era. International Journal of Financial Studies, 10(3), 55. </w:t>
      </w:r>
      <w:hyperlink r:id="rId35">
        <w:r w:rsidRPr="005A4B26">
          <w:rPr>
            <w:color w:val="1155CC"/>
            <w:u w:val="single"/>
          </w:rPr>
          <w:t>https://www.mdpi.com/2227-7072/10/3/55</w:t>
        </w:r>
      </w:hyperlink>
      <w:r w:rsidRPr="005A4B26">
        <w:t xml:space="preserve"> </w:t>
      </w:r>
    </w:p>
    <w:p w14:paraId="7A17F41C" w14:textId="77777777" w:rsidR="00682785" w:rsidRPr="005A4B26" w:rsidRDefault="00682785" w:rsidP="00682785">
      <w:r w:rsidRPr="005A4B26">
        <w:t xml:space="preserve">Hollis, M., Daryanto, W. M., and Zulkifli, M. (2022). Strategic acquisition of automated stacking machine for built core production: A case study of PT </w:t>
      </w:r>
      <w:proofErr w:type="spellStart"/>
      <w:r w:rsidRPr="005A4B26">
        <w:t>Trafcomp</w:t>
      </w:r>
      <w:proofErr w:type="spellEnd"/>
      <w:r w:rsidRPr="005A4B26">
        <w:t xml:space="preserve"> </w:t>
      </w:r>
      <w:proofErr w:type="spellStart"/>
      <w:r w:rsidRPr="005A4B26">
        <w:t>Indonesiaperkasa</w:t>
      </w:r>
      <w:proofErr w:type="spellEnd"/>
      <w:r w:rsidRPr="005A4B26">
        <w:t xml:space="preserve">. International Journal of Business, Economics and Law, 28(1), 191-203. </w:t>
      </w:r>
      <w:hyperlink r:id="rId36">
        <w:r w:rsidRPr="005A4B26">
          <w:rPr>
            <w:color w:val="1155CC"/>
            <w:u w:val="single"/>
          </w:rPr>
          <w:t>https://repository.ipmi.ac.id/1657/1/IJBEL28.ISU-1_560.pdf</w:t>
        </w:r>
      </w:hyperlink>
      <w:r w:rsidRPr="005A4B26">
        <w:t xml:space="preserve"> </w:t>
      </w:r>
    </w:p>
    <w:p w14:paraId="146B81A0" w14:textId="77777777" w:rsidR="00682785" w:rsidRPr="005A4B26" w:rsidRDefault="00682785" w:rsidP="00682785">
      <w:proofErr w:type="spellStart"/>
      <w:r w:rsidRPr="005A4B26">
        <w:t>Imteaz</w:t>
      </w:r>
      <w:proofErr w:type="spellEnd"/>
      <w:r w:rsidRPr="005A4B26">
        <w:t xml:space="preserve">, M. A., </w:t>
      </w:r>
      <w:proofErr w:type="spellStart"/>
      <w:r w:rsidRPr="005A4B26">
        <w:t>Bayatvarkeshi</w:t>
      </w:r>
      <w:proofErr w:type="spellEnd"/>
      <w:r w:rsidRPr="005A4B26">
        <w:t xml:space="preserve">, M., and Karim, M. R. (2021). Developing generalised equation for the calculation of payback period for rainwater harvesting systems. Sustainability, 13(8), 4266. </w:t>
      </w:r>
      <w:hyperlink r:id="rId37">
        <w:r w:rsidRPr="005A4B26">
          <w:rPr>
            <w:color w:val="1155CC"/>
            <w:u w:val="single"/>
          </w:rPr>
          <w:t>https://www.mdpi.com/2071-1050/13/8/4266</w:t>
        </w:r>
      </w:hyperlink>
      <w:r w:rsidRPr="005A4B26">
        <w:t xml:space="preserve"> </w:t>
      </w:r>
    </w:p>
    <w:p w14:paraId="7B58A2CD" w14:textId="77777777" w:rsidR="00682785" w:rsidRPr="005A4B26" w:rsidRDefault="00682785" w:rsidP="00682785">
      <w:r w:rsidRPr="005A4B26">
        <w:t xml:space="preserve">Isibor, N. J., Ibeh, A. I., </w:t>
      </w:r>
      <w:proofErr w:type="spellStart"/>
      <w:r w:rsidRPr="005A4B26">
        <w:t>Ewim</w:t>
      </w:r>
      <w:proofErr w:type="spellEnd"/>
      <w:r w:rsidRPr="005A4B26">
        <w:t xml:space="preserve">, C. P. M., Sam-Bulya, N. J., and Martha, E. (2022). A financial control and performance management framework for SMEs: Strengthening budgeting, risk mitigation, and profitability. International Journal of Multidisciplinary Research and Growth Evaluation, 3(1), 761-768. </w:t>
      </w:r>
      <w:hyperlink r:id="rId38">
        <w:r w:rsidRPr="005A4B26">
          <w:rPr>
            <w:color w:val="1155CC"/>
            <w:u w:val="single"/>
          </w:rPr>
          <w:t>https://www.researchgate.net/profile/Anfo-Pub-2/publication/390270782_A_Financial_Control_and_Performance_Management_Framework_for_SMEs_Strengthening_Budgeting_Risk_Mitigation_and_Profitability/links/67e69c6c49e91c0feac15d6c/A-Financial-Control-and-Performance-Management-Framework-for-SMEs-Strengthening-Budgeting-Risk-Mitigation-and-Profitability.pdf</w:t>
        </w:r>
      </w:hyperlink>
      <w:r w:rsidRPr="005A4B26">
        <w:t xml:space="preserve"> </w:t>
      </w:r>
    </w:p>
    <w:p w14:paraId="126A7DD9" w14:textId="77777777" w:rsidR="00682785" w:rsidRPr="005A4B26" w:rsidRDefault="00682785" w:rsidP="00682785">
      <w:r w:rsidRPr="005A4B26">
        <w:t xml:space="preserve">Kadam, M., and Singh, N. A (2021). Study of Identification of Capital Budgeting Tools applied in Investment Decision. </w:t>
      </w:r>
      <w:hyperlink r:id="rId39">
        <w:r w:rsidRPr="005A4B26">
          <w:rPr>
            <w:color w:val="1155CC"/>
            <w:u w:val="single"/>
          </w:rPr>
          <w:t>https://www.researchgate.net/profile/Madhuri-Kadam-2/publication/390561020_A_Study_of_Identification_of_Capital_Budgeting_Tools_applied_in_</w:t>
        </w:r>
        <w:r w:rsidRPr="005A4B26">
          <w:rPr>
            <w:color w:val="1155CC"/>
            <w:u w:val="single"/>
          </w:rPr>
          <w:lastRenderedPageBreak/>
          <w:t>Investment_Decision/links/68621f87e4632b045dc87e5d/A-Study-of-Identification-of-Capital-Budgeting-Tools-applied-in-Investment-Decision.pdf</w:t>
        </w:r>
      </w:hyperlink>
      <w:r w:rsidRPr="005A4B26">
        <w:t xml:space="preserve"> </w:t>
      </w:r>
    </w:p>
    <w:p w14:paraId="1A6AAC8D" w14:textId="77777777" w:rsidR="00682785" w:rsidRPr="005A4B26" w:rsidRDefault="00682785" w:rsidP="00682785">
      <w:r w:rsidRPr="005A4B26">
        <w:t xml:space="preserve">Khan, K. I., Qadeer, F., Mata, M. N., </w:t>
      </w:r>
      <w:proofErr w:type="spellStart"/>
      <w:r w:rsidRPr="005A4B26">
        <w:t>Chavaglia</w:t>
      </w:r>
      <w:proofErr w:type="spellEnd"/>
      <w:r w:rsidRPr="005A4B26">
        <w:t xml:space="preserve"> Neto, J., Sabir, Q. U. A., Martins, J. N., &amp; Filipe, J. A. (2021). Core predictors of debt specialisation: A new insight to optimal capital structure. Mathematics, 9(9), 975. </w:t>
      </w:r>
      <w:hyperlink r:id="rId40">
        <w:r w:rsidRPr="005A4B26">
          <w:rPr>
            <w:color w:val="1155CC"/>
            <w:u w:val="single"/>
          </w:rPr>
          <w:t>https://www.mdpi.com/2227-7390/9/9/975</w:t>
        </w:r>
      </w:hyperlink>
      <w:r w:rsidRPr="005A4B26">
        <w:t xml:space="preserve"> </w:t>
      </w:r>
    </w:p>
    <w:p w14:paraId="096A51FA" w14:textId="77777777" w:rsidR="00682785" w:rsidRDefault="00682785" w:rsidP="00682785">
      <w:r w:rsidRPr="0042107F">
        <w:t xml:space="preserve">Kim, J. and Park, K., </w:t>
      </w:r>
      <w:r>
        <w:t>(</w:t>
      </w:r>
      <w:r w:rsidRPr="0042107F">
        <w:t>2021</w:t>
      </w:r>
      <w:r>
        <w:t>)</w:t>
      </w:r>
      <w:r w:rsidRPr="0042107F">
        <w:t>. Improving liquidity in emission trading schemes. </w:t>
      </w:r>
      <w:r w:rsidRPr="0042107F">
        <w:rPr>
          <w:i/>
          <w:iCs/>
        </w:rPr>
        <w:t>Journal of Futures Markets</w:t>
      </w:r>
      <w:r w:rsidRPr="0042107F">
        <w:t>, </w:t>
      </w:r>
      <w:r w:rsidRPr="0042107F">
        <w:rPr>
          <w:i/>
          <w:iCs/>
        </w:rPr>
        <w:t>41</w:t>
      </w:r>
      <w:r w:rsidRPr="0042107F">
        <w:t>(9), pp.1397-1411.</w:t>
      </w:r>
      <w:r>
        <w:t xml:space="preserve"> </w:t>
      </w:r>
      <w:hyperlink r:id="rId41" w:history="1">
        <w:r w:rsidRPr="001C75C9">
          <w:rPr>
            <w:rStyle w:val="Hyperlink"/>
          </w:rPr>
          <w:t>https://onlinelibrary.wiley.com/doi/abs/10.1002/fut.22220</w:t>
        </w:r>
      </w:hyperlink>
    </w:p>
    <w:p w14:paraId="4ED79280" w14:textId="77777777" w:rsidR="00682785" w:rsidRPr="005A4B26" w:rsidRDefault="00682785" w:rsidP="00682785">
      <w:r w:rsidRPr="005A4B26">
        <w:t xml:space="preserve">Majka, M. (2024). Understanding Profit Margin. </w:t>
      </w:r>
      <w:hyperlink r:id="rId42">
        <w:r w:rsidRPr="005A4B26">
          <w:rPr>
            <w:color w:val="1155CC"/>
            <w:u w:val="single"/>
          </w:rPr>
          <w:t>https://www.researchgate.net/profile/Marcin-Majka-2/publication/381402426_Understanding_Profit_Margin/links/666b659685a4ee7261c0e00d/Understanding-Profit-Margin.pdf</w:t>
        </w:r>
      </w:hyperlink>
      <w:r w:rsidRPr="005A4B26">
        <w:t xml:space="preserve"> </w:t>
      </w:r>
    </w:p>
    <w:p w14:paraId="3F1C188F" w14:textId="77777777" w:rsidR="00682785" w:rsidRPr="005A4B26" w:rsidRDefault="00682785" w:rsidP="00682785">
      <w:r w:rsidRPr="005A4B26">
        <w:t xml:space="preserve">Mansour, M., Al Amosh, H., </w:t>
      </w:r>
      <w:proofErr w:type="spellStart"/>
      <w:r w:rsidRPr="005A4B26">
        <w:t>Alodat</w:t>
      </w:r>
      <w:proofErr w:type="spellEnd"/>
      <w:r w:rsidRPr="005A4B26">
        <w:t xml:space="preserve">, A. Y., Khatib, S. F., and Saleh, M. W. (2022). The relationship between corporate governance quality and firm performance: The moderating role of capital structure. Sustainability, 14(17), 10525. </w:t>
      </w:r>
      <w:hyperlink r:id="rId43">
        <w:r w:rsidRPr="005A4B26">
          <w:rPr>
            <w:color w:val="1155CC"/>
            <w:u w:val="single"/>
          </w:rPr>
          <w:t>https://www.mdpi.com/2071-1050/14/17/10525</w:t>
        </w:r>
      </w:hyperlink>
      <w:r w:rsidRPr="005A4B26">
        <w:t xml:space="preserve"> </w:t>
      </w:r>
    </w:p>
    <w:p w14:paraId="33E6FA8B" w14:textId="77777777" w:rsidR="00682785" w:rsidRDefault="00682785" w:rsidP="00682785">
      <w:proofErr w:type="spellStart"/>
      <w:r w:rsidRPr="00827D3E">
        <w:t>Mavlutova</w:t>
      </w:r>
      <w:proofErr w:type="spellEnd"/>
      <w:r w:rsidRPr="00827D3E">
        <w:t xml:space="preserve">, I., Babenko, V., Dykan, V., Prokopenko, N., </w:t>
      </w:r>
      <w:proofErr w:type="spellStart"/>
      <w:r w:rsidRPr="00827D3E">
        <w:t>Kalinichenko</w:t>
      </w:r>
      <w:proofErr w:type="spellEnd"/>
      <w:r w:rsidRPr="00827D3E">
        <w:t xml:space="preserve">, S. and </w:t>
      </w:r>
      <w:proofErr w:type="spellStart"/>
      <w:r w:rsidRPr="00827D3E">
        <w:t>Tokmakova</w:t>
      </w:r>
      <w:proofErr w:type="spellEnd"/>
      <w:r w:rsidRPr="00827D3E">
        <w:t xml:space="preserve">, I., </w:t>
      </w:r>
      <w:r>
        <w:t>(</w:t>
      </w:r>
      <w:r w:rsidRPr="00827D3E">
        <w:t>2021</w:t>
      </w:r>
      <w:r>
        <w:t>)</w:t>
      </w:r>
      <w:r w:rsidRPr="00827D3E">
        <w:t xml:space="preserve">. Business restructuring as a method of </w:t>
      </w:r>
      <w:proofErr w:type="spellStart"/>
      <w:r w:rsidRPr="00827D3E">
        <w:t>strengtening</w:t>
      </w:r>
      <w:proofErr w:type="spellEnd"/>
      <w:r w:rsidRPr="00827D3E">
        <w:t xml:space="preserve"> company’s financial position. </w:t>
      </w:r>
      <w:r w:rsidRPr="00827D3E">
        <w:rPr>
          <w:i/>
          <w:iCs/>
        </w:rPr>
        <w:t>Journal of Optimization in Industrial Engineering</w:t>
      </w:r>
      <w:r w:rsidRPr="00827D3E">
        <w:t>, </w:t>
      </w:r>
      <w:r w:rsidRPr="00827D3E">
        <w:rPr>
          <w:i/>
          <w:iCs/>
        </w:rPr>
        <w:t>14</w:t>
      </w:r>
      <w:r w:rsidRPr="00827D3E">
        <w:t>(1), pp.129-139.</w:t>
      </w:r>
      <w:r>
        <w:t xml:space="preserve"> </w:t>
      </w:r>
      <w:hyperlink r:id="rId44" w:history="1">
        <w:r w:rsidRPr="00DD22F8">
          <w:rPr>
            <w:rStyle w:val="Hyperlink"/>
          </w:rPr>
          <w:t>https://www.academia.edu/download/81063588/article_677839_cd06f5c50b09f28acf4802268302e8ba.pdf</w:t>
        </w:r>
      </w:hyperlink>
    </w:p>
    <w:p w14:paraId="3F26831C" w14:textId="77777777" w:rsidR="00682785" w:rsidRPr="005A4B26" w:rsidRDefault="00682785" w:rsidP="00682785">
      <w:r w:rsidRPr="005A4B26">
        <w:t xml:space="preserve">Okeke, N. I., Bakare, O. A., and </w:t>
      </w:r>
      <w:proofErr w:type="spellStart"/>
      <w:r w:rsidRPr="005A4B26">
        <w:t>Achumie</w:t>
      </w:r>
      <w:proofErr w:type="spellEnd"/>
      <w:r w:rsidRPr="005A4B26">
        <w:t xml:space="preserve">, G. O. (2024). Forecasting financial stability in SMEs: A comprehensive analysis of strategic budgeting and revenue management. Open Access Research Journal of Multidisciplinary Studies, 8(1), 139-149. </w:t>
      </w:r>
      <w:hyperlink r:id="rId45">
        <w:r w:rsidRPr="005A4B26">
          <w:rPr>
            <w:color w:val="1155CC"/>
            <w:u w:val="single"/>
          </w:rPr>
          <w:t>https://www.researchgate.net/profile/Njideka-Okeke/publication/384543440_Forecasting_financial_stability_in_SMEs_A_comprehensive_analysis_of_strategic_budgeting_and_revenue_management/links/673bc9b6b94c451c11607070/Forecasting-financial-stability-in-SMEs-A-comprehensive-analysis-of-strategic-budgeting-and-revenue-management.pdf</w:t>
        </w:r>
      </w:hyperlink>
      <w:r w:rsidRPr="005A4B26">
        <w:t xml:space="preserve"> </w:t>
      </w:r>
    </w:p>
    <w:p w14:paraId="43809021" w14:textId="77777777" w:rsidR="00682785" w:rsidRPr="005A4B26" w:rsidRDefault="00682785" w:rsidP="00682785">
      <w:r w:rsidRPr="005A4B26">
        <w:lastRenderedPageBreak/>
        <w:t xml:space="preserve">Oladeji, O. E. (2021). AGENCY COST AND SHAREHOLDER’S RETURN ON CAPITAL: EMPIRICAL EVIDENCE FROM LISTED FIRMS IN NIGERIA. </w:t>
      </w:r>
      <w:hyperlink r:id="rId46">
        <w:r w:rsidRPr="005A4B26">
          <w:rPr>
            <w:color w:val="1155CC"/>
            <w:u w:val="single"/>
          </w:rPr>
          <w:t>https://taamsjournal.org/download/8caf55e3-6fb9-4578-883c-944dadedb869.pdf</w:t>
        </w:r>
      </w:hyperlink>
      <w:r w:rsidRPr="005A4B26">
        <w:t xml:space="preserve"> </w:t>
      </w:r>
    </w:p>
    <w:p w14:paraId="36261C5A" w14:textId="77777777" w:rsidR="00682785" w:rsidRDefault="00682785" w:rsidP="00682785">
      <w:proofErr w:type="spellStart"/>
      <w:r w:rsidRPr="00827D3E">
        <w:t>Oyeyipo</w:t>
      </w:r>
      <w:proofErr w:type="spellEnd"/>
      <w:r w:rsidRPr="00827D3E">
        <w:t xml:space="preserve">, I., Attipoe, V., Mayienga, B.A., </w:t>
      </w:r>
      <w:proofErr w:type="spellStart"/>
      <w:r w:rsidRPr="00827D3E">
        <w:t>Onwuzulike</w:t>
      </w:r>
      <w:proofErr w:type="spellEnd"/>
      <w:r w:rsidRPr="00827D3E">
        <w:t xml:space="preserve">, O.C., Ayodeji, D.C., </w:t>
      </w:r>
      <w:proofErr w:type="spellStart"/>
      <w:r w:rsidRPr="00827D3E">
        <w:t>Nwaozomudoh</w:t>
      </w:r>
      <w:proofErr w:type="spellEnd"/>
      <w:r w:rsidRPr="00827D3E">
        <w:t xml:space="preserve">, M.O., Isibor, N.J. and Ahmadu, J., </w:t>
      </w:r>
      <w:r>
        <w:t>(</w:t>
      </w:r>
      <w:r w:rsidRPr="00827D3E">
        <w:t>2023</w:t>
      </w:r>
      <w:r>
        <w:t>)</w:t>
      </w:r>
      <w:r w:rsidRPr="00827D3E">
        <w:t>. A conceptual framework for transforming corporate finance through strategic growth, profitability, and risk optimization. </w:t>
      </w:r>
      <w:r w:rsidRPr="00827D3E">
        <w:rPr>
          <w:i/>
          <w:iCs/>
        </w:rPr>
        <w:t>International Journal of Advanced Multidisciplinary Research and Studies</w:t>
      </w:r>
      <w:r w:rsidRPr="00827D3E">
        <w:t>, </w:t>
      </w:r>
      <w:r w:rsidRPr="00827D3E">
        <w:rPr>
          <w:i/>
          <w:iCs/>
        </w:rPr>
        <w:t>3</w:t>
      </w:r>
      <w:r w:rsidRPr="00827D3E">
        <w:t>(5), pp.1527-1538.</w:t>
      </w:r>
      <w:r>
        <w:t xml:space="preserve"> </w:t>
      </w:r>
      <w:hyperlink r:id="rId47" w:history="1">
        <w:r w:rsidRPr="00DD22F8">
          <w:rPr>
            <w:rStyle w:val="Hyperlink"/>
          </w:rPr>
          <w:t>https://www.multiresearchjournal.com/admin/uploads/archives/archive-1742807323.pdf</w:t>
        </w:r>
      </w:hyperlink>
    </w:p>
    <w:p w14:paraId="6F1A84C8" w14:textId="77777777" w:rsidR="00682785" w:rsidRDefault="00682785" w:rsidP="00682785">
      <w:r w:rsidRPr="0042107F">
        <w:t xml:space="preserve">Panigrahi, A., </w:t>
      </w:r>
      <w:r>
        <w:t>(</w:t>
      </w:r>
      <w:r w:rsidRPr="0042107F">
        <w:t>2023</w:t>
      </w:r>
      <w:r>
        <w:t>)</w:t>
      </w:r>
      <w:r w:rsidRPr="0042107F">
        <w:t>. Working capital management strategies and financial performance: A cause-and-effect analysis.</w:t>
      </w:r>
      <w:r>
        <w:t xml:space="preserve"> </w:t>
      </w:r>
      <w:hyperlink r:id="rId48" w:history="1">
        <w:r w:rsidRPr="001C75C9">
          <w:rPr>
            <w:rStyle w:val="Hyperlink"/>
          </w:rPr>
          <w:t>https://www.preprints.org/frontend/manuscript/260f444b3b51d3b045e641ef2f95ba4b/download_pub</w:t>
        </w:r>
      </w:hyperlink>
    </w:p>
    <w:p w14:paraId="6764CF8F" w14:textId="77777777" w:rsidR="00682785" w:rsidRDefault="00682785" w:rsidP="00682785">
      <w:r w:rsidRPr="0042107F">
        <w:t xml:space="preserve">Qin, Z., Zhou, S., Wang, L., Duan, J., Hua, G. and Tang, W., </w:t>
      </w:r>
      <w:r>
        <w:t>(</w:t>
      </w:r>
      <w:r w:rsidRPr="0042107F">
        <w:t>2023</w:t>
      </w:r>
      <w:r>
        <w:t>)</w:t>
      </w:r>
      <w:r w:rsidRPr="0042107F">
        <w:t xml:space="preserve">. </w:t>
      </w:r>
      <w:proofErr w:type="spellStart"/>
      <w:r w:rsidRPr="0042107F">
        <w:t>Motiontrack</w:t>
      </w:r>
      <w:proofErr w:type="spellEnd"/>
      <w:r w:rsidRPr="0042107F">
        <w:t>: Learning robust short-term and long-term motions for multi-object tracking. In </w:t>
      </w:r>
      <w:r w:rsidRPr="0042107F">
        <w:rPr>
          <w:i/>
          <w:iCs/>
        </w:rPr>
        <w:t>Proceedings of the IEEE/CVF conference on computer vision and pattern recognition</w:t>
      </w:r>
      <w:r w:rsidRPr="0042107F">
        <w:t> (pp. 17939-17948).</w:t>
      </w:r>
      <w:r>
        <w:t xml:space="preserve"> </w:t>
      </w:r>
      <w:hyperlink r:id="rId49" w:history="1">
        <w:r w:rsidRPr="001C75C9">
          <w:rPr>
            <w:rStyle w:val="Hyperlink"/>
          </w:rPr>
          <w:t>http://openaccess.thecvf.com/content/CVPR2023/html/Qin_MotionTrack_Learning_Robust_Short-Term_and_Long-Term_Motions_for_Multi-Object_Tracking_CVPR_2023_paper.html</w:t>
        </w:r>
      </w:hyperlink>
    </w:p>
    <w:p w14:paraId="217B982A" w14:textId="77777777" w:rsidR="00682785" w:rsidRPr="005A4B26" w:rsidRDefault="00682785" w:rsidP="00682785">
      <w:r w:rsidRPr="005A4B26">
        <w:t xml:space="preserve">Ramesh, P. K., and Sumitra, K. (2024). Cost Drivers-An Influencing Attribute in Profitability and Strategic Cost Management Decision Making. Humanities, 11(S2), 115-19. </w:t>
      </w:r>
      <w:hyperlink r:id="rId50">
        <w:r w:rsidRPr="005A4B26">
          <w:rPr>
            <w:color w:val="1155CC"/>
            <w:u w:val="single"/>
          </w:rPr>
          <w:t>https://www.researchgate.net/profile/Ramesh-Krishnamurthy-4/publication/379962027_Cost_Drivers_-_An_Influencing_Attribute_in_Profitability_and_Strategic_Cost_Management_Decision_Making/links/670e21dd77bab74415a18e0f/Cost-Drivers-An-Influencing-Attribute-in-Profitability-and-Strategic-Cost-Management-Decision-Making.pdf</w:t>
        </w:r>
      </w:hyperlink>
      <w:r w:rsidRPr="005A4B26">
        <w:t xml:space="preserve"> </w:t>
      </w:r>
    </w:p>
    <w:p w14:paraId="1D89365D" w14:textId="77777777" w:rsidR="00682785" w:rsidRPr="005A4B26" w:rsidRDefault="00682785" w:rsidP="00682785">
      <w:r w:rsidRPr="005A4B26">
        <w:t xml:space="preserve">Sinaga, A. S., Sari, M. M., </w:t>
      </w:r>
      <w:proofErr w:type="spellStart"/>
      <w:r w:rsidRPr="005A4B26">
        <w:t>Hutasuhut</w:t>
      </w:r>
      <w:proofErr w:type="spellEnd"/>
      <w:r w:rsidRPr="005A4B26">
        <w:t xml:space="preserve">, A. A., Zahara, S. T., Amanda, A., Fitri, A., and Caesario, M. A. (2023). Comparison of capital budgeting methods: NPV, IRR, PAYBACK period. World Journal of Advanced Research and Reviews, 19(2), 1078-1081. </w:t>
      </w:r>
      <w:hyperlink r:id="rId51">
        <w:r w:rsidRPr="005A4B26">
          <w:rPr>
            <w:color w:val="1155CC"/>
            <w:u w:val="single"/>
          </w:rPr>
          <w:t>https://pdfs.semanticscholar.org/35f5/923a958b071288b38d4e960e8268477ec19a.pdf</w:t>
        </w:r>
      </w:hyperlink>
      <w:r w:rsidRPr="005A4B26">
        <w:t xml:space="preserve"> </w:t>
      </w:r>
    </w:p>
    <w:p w14:paraId="33F73C9E" w14:textId="77777777" w:rsidR="00682785" w:rsidRDefault="00682785" w:rsidP="00682785">
      <w:r w:rsidRPr="005A4B26">
        <w:lastRenderedPageBreak/>
        <w:t xml:space="preserve">Singh, S. (2024). Corporate Finance. </w:t>
      </w:r>
      <w:hyperlink r:id="rId52">
        <w:r w:rsidRPr="005A4B26">
          <w:rPr>
            <w:color w:val="1155CC"/>
            <w:u w:val="single"/>
          </w:rPr>
          <w:t>http://biitm.dspaces.org/bitstream/123456789/1234/1/CORPORATE%20FINANCE%20%282024%29.pdf</w:t>
        </w:r>
      </w:hyperlink>
      <w:r w:rsidRPr="005A4B26">
        <w:t xml:space="preserve"> </w:t>
      </w:r>
    </w:p>
    <w:p w14:paraId="2EDD4108" w14:textId="77777777" w:rsidR="00682785" w:rsidRPr="005A4B26" w:rsidRDefault="00682785" w:rsidP="00682785">
      <w:proofErr w:type="spellStart"/>
      <w:r w:rsidRPr="005A4B26">
        <w:t>Sohdi</w:t>
      </w:r>
      <w:proofErr w:type="spellEnd"/>
      <w:r w:rsidRPr="005A4B26">
        <w:t xml:space="preserve">, L. R. (2024). The Influence of Growth Rate, Profitability, Liquidity, and Company Valuation on Stock Price. </w:t>
      </w:r>
      <w:proofErr w:type="spellStart"/>
      <w:r w:rsidRPr="005A4B26">
        <w:t>Jurnal</w:t>
      </w:r>
      <w:proofErr w:type="spellEnd"/>
      <w:r w:rsidRPr="005A4B26">
        <w:t xml:space="preserve"> Riset </w:t>
      </w:r>
      <w:proofErr w:type="spellStart"/>
      <w:r w:rsidRPr="005A4B26">
        <w:t>Akuntansi</w:t>
      </w:r>
      <w:proofErr w:type="spellEnd"/>
      <w:r w:rsidRPr="005A4B26">
        <w:t xml:space="preserve"> dan </w:t>
      </w:r>
      <w:proofErr w:type="spellStart"/>
      <w:r w:rsidRPr="005A4B26">
        <w:t>Bisnis</w:t>
      </w:r>
      <w:proofErr w:type="spellEnd"/>
      <w:r w:rsidRPr="005A4B26">
        <w:t xml:space="preserve"> Airlangga Vol, 9(1), 974-991. </w:t>
      </w:r>
      <w:hyperlink r:id="rId53">
        <w:r w:rsidRPr="005A4B26">
          <w:rPr>
            <w:color w:val="1155CC"/>
            <w:u w:val="single"/>
          </w:rPr>
          <w:t>https://e-journal.unair.ac.id/jraba/article/download/56477/28943</w:t>
        </w:r>
      </w:hyperlink>
      <w:r w:rsidRPr="005A4B26">
        <w:t xml:space="preserve"> </w:t>
      </w:r>
    </w:p>
    <w:p w14:paraId="79149C41" w14:textId="77777777" w:rsidR="00682785" w:rsidRPr="005A4B26" w:rsidRDefault="00682785" w:rsidP="00682785">
      <w:proofErr w:type="spellStart"/>
      <w:r w:rsidRPr="005A4B26">
        <w:t>Spulbar</w:t>
      </w:r>
      <w:proofErr w:type="spellEnd"/>
      <w:r w:rsidRPr="005A4B26">
        <w:t xml:space="preserve">, C., </w:t>
      </w:r>
      <w:proofErr w:type="spellStart"/>
      <w:r w:rsidRPr="005A4B26">
        <w:t>Cinciulescu</w:t>
      </w:r>
      <w:proofErr w:type="spellEnd"/>
      <w:r w:rsidRPr="005A4B26">
        <w:t xml:space="preserve">, D., Ene, C. C., and </w:t>
      </w:r>
      <w:proofErr w:type="spellStart"/>
      <w:r w:rsidRPr="005A4B26">
        <w:t>Spulbar</w:t>
      </w:r>
      <w:proofErr w:type="spellEnd"/>
      <w:r w:rsidRPr="005A4B26">
        <w:t xml:space="preserve">, L. F. (2025). Altman Z-Score </w:t>
      </w:r>
      <w:proofErr w:type="spellStart"/>
      <w:r w:rsidRPr="005A4B26">
        <w:t>Modeling</w:t>
      </w:r>
      <w:proofErr w:type="spellEnd"/>
      <w:r w:rsidRPr="005A4B26">
        <w:t xml:space="preserve"> and Financial Risk analysis: An Empirical Study on Companies Listed on the Bucharest Stock Exchange. Studies in Business and Economics, 20(2), 314-340. </w:t>
      </w:r>
      <w:hyperlink r:id="rId54">
        <w:r w:rsidRPr="005A4B26">
          <w:rPr>
            <w:color w:val="1155CC"/>
            <w:u w:val="single"/>
          </w:rPr>
          <w:t>https://sciendo.com/2/v2/download/article/10.2478/sbe-2025-0037.pdf</w:t>
        </w:r>
      </w:hyperlink>
      <w:r w:rsidRPr="005A4B26">
        <w:t xml:space="preserve"> </w:t>
      </w:r>
    </w:p>
    <w:p w14:paraId="26BB6D57" w14:textId="77777777" w:rsidR="00682785" w:rsidRPr="005A4B26" w:rsidRDefault="00682785" w:rsidP="00682785">
      <w:proofErr w:type="spellStart"/>
      <w:r w:rsidRPr="005A4B26">
        <w:t>Trianto</w:t>
      </w:r>
      <w:proofErr w:type="spellEnd"/>
      <w:r w:rsidRPr="005A4B26">
        <w:t xml:space="preserve">, A. (2025). STRATEGIC INVESTMENT DECISION AND EVALUATION TO ACQUIRE 1,000 TON LAUNCHER GANTRY FOR TOLL ROAD HARBOUR ROAD PROJECT OF PT WIJAYA KARYA (PERSERO), TBK. INDONESIA (Doctoral dissertation, institute </w:t>
      </w:r>
      <w:proofErr w:type="spellStart"/>
      <w:r w:rsidRPr="005A4B26">
        <w:t>ipmi</w:t>
      </w:r>
      <w:proofErr w:type="spellEnd"/>
      <w:r w:rsidRPr="005A4B26">
        <w:t xml:space="preserve">). </w:t>
      </w:r>
      <w:hyperlink r:id="rId55">
        <w:r w:rsidRPr="005A4B26">
          <w:rPr>
            <w:color w:val="1155CC"/>
            <w:u w:val="single"/>
          </w:rPr>
          <w:t>https://repository.ipmi.ac.id/2778/2/2.%20Chapter%201%20-%20Alfi%20Trianto%20%2820222013%29%20-%20Alfi%20Trianto.pdf</w:t>
        </w:r>
      </w:hyperlink>
      <w:r w:rsidRPr="005A4B26">
        <w:t xml:space="preserve"> </w:t>
      </w:r>
    </w:p>
    <w:p w14:paraId="7F5E62AA" w14:textId="77777777" w:rsidR="00682785" w:rsidRPr="005A4B26" w:rsidRDefault="00682785" w:rsidP="00682785">
      <w:proofErr w:type="spellStart"/>
      <w:r w:rsidRPr="005A4B26">
        <w:t>Umam</w:t>
      </w:r>
      <w:proofErr w:type="spellEnd"/>
      <w:r w:rsidRPr="005A4B26">
        <w:t xml:space="preserve">, D. C., and Yusuf, Y. (2024). Determinants of financial distress: Review of the aspects of profitability, liquidity, leverage, and activity. International Journal Multidisciplinary Science, 3(1), 36-44. </w:t>
      </w:r>
      <w:hyperlink r:id="rId56">
        <w:r w:rsidRPr="005A4B26">
          <w:rPr>
            <w:color w:val="1155CC"/>
            <w:u w:val="single"/>
          </w:rPr>
          <w:t>https://pdfs.semanticscholar.org/4df4/9c222791241e98ce12316fe76ffcbdd2c5c8.pdf</w:t>
        </w:r>
      </w:hyperlink>
    </w:p>
    <w:p w14:paraId="62FC1F92" w14:textId="77777777" w:rsidR="00682785" w:rsidRDefault="00682785" w:rsidP="00682785">
      <w:r w:rsidRPr="005A4B26">
        <w:t xml:space="preserve">Yanney, A. S. (2021). Optimising Working Capital Through Dynamic Cash Flow Analysis and Inventory Management in Manufacturing Firms. </w:t>
      </w:r>
      <w:hyperlink r:id="rId57">
        <w:r w:rsidRPr="005A4B26">
          <w:rPr>
            <w:color w:val="1155CC"/>
            <w:u w:val="single"/>
          </w:rPr>
          <w:t>https://www.researchgate.net/profile/Anita-Yanney-2/publication/392073090_Optimizing_Working_Capital_Through_Dynamic_Cash_Flow_Analysis_and_Inventory_Management_in_Manufacturing_Firms/links/68327470d1054b0207f2a457/Optimizing-Working-Capital-Through-Dynamic-Cash-Flow-Analysis-and-Inventory-Management-in-Manufacturing-Firms.pdf</w:t>
        </w:r>
      </w:hyperlink>
      <w:r w:rsidRPr="005A4B26">
        <w:t xml:space="preserve"> </w:t>
      </w:r>
    </w:p>
    <w:p w14:paraId="4A4D0649" w14:textId="3BF147FE" w:rsidR="00682785" w:rsidRDefault="00682785" w:rsidP="007E12CA">
      <w:proofErr w:type="spellStart"/>
      <w:r w:rsidRPr="00827D3E">
        <w:t>Zaramella</w:t>
      </w:r>
      <w:proofErr w:type="spellEnd"/>
      <w:r w:rsidRPr="00827D3E">
        <w:t xml:space="preserve">, G., </w:t>
      </w:r>
      <w:r>
        <w:t>(</w:t>
      </w:r>
      <w:r w:rsidRPr="00827D3E">
        <w:t>2023</w:t>
      </w:r>
      <w:r>
        <w:t>)</w:t>
      </w:r>
      <w:r w:rsidRPr="00827D3E">
        <w:t>. Financial Restructuring: analysis and applications.</w:t>
      </w:r>
      <w:r>
        <w:t xml:space="preserve"> </w:t>
      </w:r>
      <w:hyperlink r:id="rId58" w:history="1">
        <w:r w:rsidRPr="00DD22F8">
          <w:rPr>
            <w:rStyle w:val="Hyperlink"/>
          </w:rPr>
          <w:t>https://unitesi.unive.it/bitstream/20.500.14247/4284/1/872666-1280209.pdf</w:t>
        </w:r>
      </w:hyperlink>
      <w:bookmarkStart w:id="26" w:name="_Hlk210487492"/>
      <w:r>
        <w:br w:type="page"/>
      </w:r>
    </w:p>
    <w:p w14:paraId="19322C7B" w14:textId="3263A65A" w:rsidR="00682785" w:rsidRPr="005A4B26" w:rsidRDefault="00682785" w:rsidP="00682785">
      <w:pPr>
        <w:pStyle w:val="Heading1"/>
      </w:pPr>
      <w:bookmarkStart w:id="27" w:name="_7nib0zvilvu7" w:colFirst="0" w:colLast="0"/>
      <w:bookmarkStart w:id="28" w:name="_Toc210505212"/>
      <w:bookmarkEnd w:id="27"/>
      <w:r w:rsidRPr="005A4B26">
        <w:lastRenderedPageBreak/>
        <w:t>Appendices</w:t>
      </w:r>
      <w:bookmarkEnd w:id="28"/>
    </w:p>
    <w:p w14:paraId="34E11B2A" w14:textId="77777777" w:rsidR="00682785" w:rsidRPr="005A4B26" w:rsidRDefault="00682785" w:rsidP="00682785">
      <w:pPr>
        <w:pStyle w:val="Heading2"/>
      </w:pPr>
      <w:bookmarkStart w:id="29" w:name="_qp7biujglf5b" w:colFirst="0" w:colLast="0"/>
      <w:bookmarkStart w:id="30" w:name="_Toc210505213"/>
      <w:bookmarkEnd w:id="29"/>
      <w:r w:rsidRPr="005A4B26">
        <w:t>Ratio Calculations</w:t>
      </w:r>
      <w:bookmarkEnd w:id="30"/>
      <w:r w:rsidRPr="005A4B26">
        <w:t xml:space="preserve"> </w:t>
      </w:r>
    </w:p>
    <w:p w14:paraId="3ADBE1BD" w14:textId="77777777" w:rsidR="00682785" w:rsidRPr="005A4B26" w:rsidRDefault="00682785" w:rsidP="00682785">
      <w:r w:rsidRPr="005A4B26">
        <w:rPr>
          <w:noProof/>
        </w:rPr>
        <w:drawing>
          <wp:inline distT="114300" distB="114300" distL="114300" distR="114300" wp14:anchorId="6740B1C8" wp14:editId="37F122DE">
            <wp:extent cx="5943600" cy="210820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15" name="image14.png"/>
                    <pic:cNvPicPr/>
                  </pic:nvPicPr>
                  <pic:blipFill>
                    <a:blip r:embed="rId59"/>
                    <a:stretch>
                      <a:fillRect/>
                    </a:stretch>
                  </pic:blipFill>
                  <pic:spPr>
                    <a:xfrm>
                      <a:off x="0" y="0"/>
                      <a:ext cx="5943600" cy="2108200"/>
                    </a:xfrm>
                    <a:prstGeom prst="rect">
                      <a:avLst/>
                    </a:prstGeom>
                  </pic:spPr>
                </pic:pic>
              </a:graphicData>
            </a:graphic>
          </wp:inline>
        </w:drawing>
      </w:r>
    </w:p>
    <w:p w14:paraId="206FF471" w14:textId="6B2A1887" w:rsidR="00682785" w:rsidRDefault="00682785" w:rsidP="00682785">
      <w:r w:rsidRPr="005A4B26">
        <w:rPr>
          <w:noProof/>
        </w:rPr>
        <w:drawing>
          <wp:inline distT="114300" distB="114300" distL="114300" distR="114300" wp14:anchorId="38D376FD" wp14:editId="2388A7AC">
            <wp:extent cx="5943600" cy="2641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60"/>
                    <a:stretch>
                      <a:fillRect/>
                    </a:stretch>
                  </pic:blipFill>
                  <pic:spPr>
                    <a:xfrm>
                      <a:off x="0" y="0"/>
                      <a:ext cx="5943600" cy="2641600"/>
                    </a:xfrm>
                    <a:prstGeom prst="rect">
                      <a:avLst/>
                    </a:prstGeom>
                  </pic:spPr>
                </pic:pic>
              </a:graphicData>
            </a:graphic>
          </wp:inline>
        </w:drawing>
      </w:r>
    </w:p>
    <w:p w14:paraId="48FBE2C3" w14:textId="77777777" w:rsidR="00682785" w:rsidRDefault="00682785" w:rsidP="00682785">
      <w:pPr>
        <w:jc w:val="left"/>
      </w:pPr>
      <w:r>
        <w:br w:type="page"/>
      </w:r>
    </w:p>
    <w:p w14:paraId="0201524B" w14:textId="77777777" w:rsidR="00682785" w:rsidRPr="005A4B26" w:rsidRDefault="00682785" w:rsidP="00682785">
      <w:pPr>
        <w:pStyle w:val="Heading2"/>
      </w:pPr>
      <w:bookmarkStart w:id="31" w:name="_sb6qe2ur1uhm" w:colFirst="0" w:colLast="0"/>
      <w:bookmarkStart w:id="32" w:name="_Toc210505214"/>
      <w:bookmarkEnd w:id="31"/>
      <w:r w:rsidRPr="005A4B26">
        <w:lastRenderedPageBreak/>
        <w:t>Investment Appraisal Calculations</w:t>
      </w:r>
      <w:bookmarkEnd w:id="32"/>
      <w:r w:rsidRPr="005A4B26">
        <w:t xml:space="preserve"> </w:t>
      </w:r>
    </w:p>
    <w:p w14:paraId="07BEC66A" w14:textId="77777777" w:rsidR="00682785" w:rsidRPr="005A4B26" w:rsidRDefault="00682785" w:rsidP="00682785">
      <w:pPr>
        <w:rPr>
          <w:b/>
          <w:u w:val="single"/>
        </w:rPr>
      </w:pPr>
      <w:r w:rsidRPr="005A4B26">
        <w:rPr>
          <w:b/>
          <w:u w:val="single"/>
        </w:rPr>
        <w:t>Payback Period (PBP)</w:t>
      </w:r>
    </w:p>
    <w:p w14:paraId="3CCE88B5" w14:textId="22C0B11E" w:rsidR="00682785" w:rsidRDefault="00682785" w:rsidP="00682785">
      <w:pPr>
        <w:jc w:val="center"/>
        <w:rPr>
          <w:b/>
          <w:u w:val="single"/>
        </w:rPr>
      </w:pPr>
      <w:r w:rsidRPr="005A4B26">
        <w:rPr>
          <w:noProof/>
        </w:rPr>
        <w:drawing>
          <wp:inline distT="114300" distB="114300" distL="114300" distR="114300" wp14:anchorId="4C952A34" wp14:editId="1180F9FD">
            <wp:extent cx="4062413" cy="4409717"/>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61"/>
                    <a:stretch>
                      <a:fillRect/>
                    </a:stretch>
                  </pic:blipFill>
                  <pic:spPr>
                    <a:xfrm>
                      <a:off x="0" y="0"/>
                      <a:ext cx="4062413" cy="4409717"/>
                    </a:xfrm>
                    <a:prstGeom prst="rect">
                      <a:avLst/>
                    </a:prstGeom>
                  </pic:spPr>
                </pic:pic>
              </a:graphicData>
            </a:graphic>
          </wp:inline>
        </w:drawing>
      </w:r>
    </w:p>
    <w:p w14:paraId="55579028" w14:textId="77777777" w:rsidR="00682785" w:rsidRDefault="00682785" w:rsidP="00682785">
      <w:pPr>
        <w:jc w:val="left"/>
        <w:rPr>
          <w:b/>
          <w:u w:val="single"/>
        </w:rPr>
      </w:pPr>
      <w:r>
        <w:rPr>
          <w:b/>
          <w:u w:val="single"/>
        </w:rPr>
        <w:br w:type="page"/>
      </w:r>
    </w:p>
    <w:p w14:paraId="5A5F5B10" w14:textId="77777777" w:rsidR="00682785" w:rsidRPr="005A4B26" w:rsidRDefault="00682785" w:rsidP="00682785">
      <w:pPr>
        <w:rPr>
          <w:b/>
          <w:u w:val="single"/>
        </w:rPr>
      </w:pPr>
      <w:r w:rsidRPr="005A4B26">
        <w:rPr>
          <w:b/>
          <w:u w:val="single"/>
        </w:rPr>
        <w:lastRenderedPageBreak/>
        <w:t xml:space="preserve">Accounting Rate of Return (ARR) </w:t>
      </w:r>
    </w:p>
    <w:p w14:paraId="17356522" w14:textId="3B4BE5E5" w:rsidR="00682785" w:rsidRDefault="00682785" w:rsidP="00682785">
      <w:pPr>
        <w:jc w:val="center"/>
        <w:rPr>
          <w:b/>
          <w:u w:val="single"/>
        </w:rPr>
      </w:pPr>
      <w:r w:rsidRPr="005A4B26">
        <w:rPr>
          <w:noProof/>
        </w:rPr>
        <w:drawing>
          <wp:inline distT="114300" distB="114300" distL="114300" distR="114300" wp14:anchorId="1C03245F" wp14:editId="3F971299">
            <wp:extent cx="5943600" cy="41529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62"/>
                    <a:stretch>
                      <a:fillRect/>
                    </a:stretch>
                  </pic:blipFill>
                  <pic:spPr>
                    <a:xfrm>
                      <a:off x="0" y="0"/>
                      <a:ext cx="5943600" cy="4152900"/>
                    </a:xfrm>
                    <a:prstGeom prst="rect">
                      <a:avLst/>
                    </a:prstGeom>
                  </pic:spPr>
                </pic:pic>
              </a:graphicData>
            </a:graphic>
          </wp:inline>
        </w:drawing>
      </w:r>
    </w:p>
    <w:p w14:paraId="69BF5EBA" w14:textId="77777777" w:rsidR="00682785" w:rsidRDefault="00682785" w:rsidP="00682785">
      <w:pPr>
        <w:jc w:val="left"/>
        <w:rPr>
          <w:b/>
          <w:u w:val="single"/>
        </w:rPr>
      </w:pPr>
      <w:r>
        <w:rPr>
          <w:b/>
          <w:u w:val="single"/>
        </w:rPr>
        <w:br w:type="page"/>
      </w:r>
    </w:p>
    <w:p w14:paraId="7675878A" w14:textId="77777777" w:rsidR="00682785" w:rsidRPr="005A4B26" w:rsidRDefault="00682785" w:rsidP="00682785">
      <w:pPr>
        <w:rPr>
          <w:b/>
          <w:u w:val="single"/>
        </w:rPr>
      </w:pPr>
      <w:r w:rsidRPr="005A4B26">
        <w:rPr>
          <w:b/>
          <w:u w:val="single"/>
        </w:rPr>
        <w:lastRenderedPageBreak/>
        <w:t xml:space="preserve">Net Present Value (NPV) </w:t>
      </w:r>
    </w:p>
    <w:p w14:paraId="15DDB032" w14:textId="77777777" w:rsidR="00682785" w:rsidRDefault="00682785" w:rsidP="00682785">
      <w:pPr>
        <w:jc w:val="center"/>
        <w:rPr>
          <w:b/>
          <w:u w:val="single"/>
        </w:rPr>
      </w:pPr>
      <w:r w:rsidRPr="005A4B26">
        <w:rPr>
          <w:noProof/>
        </w:rPr>
        <w:drawing>
          <wp:inline distT="114300" distB="114300" distL="114300" distR="114300" wp14:anchorId="21B1595E" wp14:editId="2736D276">
            <wp:extent cx="4198620" cy="465582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14" name="image15.png"/>
                    <pic:cNvPicPr/>
                  </pic:nvPicPr>
                  <pic:blipFill>
                    <a:blip r:embed="rId63"/>
                    <a:stretch>
                      <a:fillRect/>
                    </a:stretch>
                  </pic:blipFill>
                  <pic:spPr>
                    <a:xfrm>
                      <a:off x="0" y="0"/>
                      <a:ext cx="4198842" cy="4656066"/>
                    </a:xfrm>
                    <a:prstGeom prst="rect">
                      <a:avLst/>
                    </a:prstGeom>
                  </pic:spPr>
                </pic:pic>
              </a:graphicData>
            </a:graphic>
          </wp:inline>
        </w:drawing>
      </w:r>
    </w:p>
    <w:p w14:paraId="6AEF44AE" w14:textId="782AAAF0" w:rsidR="00682785" w:rsidRDefault="00682785" w:rsidP="00682785">
      <w:pPr>
        <w:jc w:val="left"/>
        <w:rPr>
          <w:b/>
          <w:u w:val="single"/>
        </w:rPr>
      </w:pPr>
      <w:r>
        <w:rPr>
          <w:b/>
          <w:u w:val="single"/>
        </w:rPr>
        <w:br w:type="page"/>
      </w:r>
    </w:p>
    <w:p w14:paraId="74BD39C4" w14:textId="77777777" w:rsidR="00682785" w:rsidRPr="005A4B26" w:rsidRDefault="00682785" w:rsidP="00682785">
      <w:pPr>
        <w:rPr>
          <w:b/>
          <w:u w:val="single"/>
        </w:rPr>
      </w:pPr>
      <w:r w:rsidRPr="005A4B26">
        <w:rPr>
          <w:b/>
          <w:u w:val="single"/>
        </w:rPr>
        <w:lastRenderedPageBreak/>
        <w:t>Profitability Index (PI)</w:t>
      </w:r>
    </w:p>
    <w:p w14:paraId="1A5DF89C" w14:textId="77777777" w:rsidR="00682785" w:rsidRPr="005A4B26" w:rsidRDefault="00682785" w:rsidP="00682785">
      <w:pPr>
        <w:jc w:val="center"/>
        <w:rPr>
          <w:b/>
          <w:u w:val="single"/>
        </w:rPr>
      </w:pPr>
      <w:r w:rsidRPr="005A4B26">
        <w:rPr>
          <w:noProof/>
        </w:rPr>
        <w:drawing>
          <wp:inline distT="114300" distB="114300" distL="114300" distR="114300" wp14:anchorId="37E60F15" wp14:editId="0FDD6835">
            <wp:extent cx="5943600" cy="3098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64"/>
                    <a:stretch>
                      <a:fillRect/>
                    </a:stretch>
                  </pic:blipFill>
                  <pic:spPr>
                    <a:xfrm>
                      <a:off x="0" y="0"/>
                      <a:ext cx="5943600" cy="3098800"/>
                    </a:xfrm>
                    <a:prstGeom prst="rect">
                      <a:avLst/>
                    </a:prstGeom>
                  </pic:spPr>
                </pic:pic>
              </a:graphicData>
            </a:graphic>
          </wp:inline>
        </w:drawing>
      </w:r>
    </w:p>
    <w:p w14:paraId="22173B6F" w14:textId="77777777" w:rsidR="00682785" w:rsidRPr="005A4B26" w:rsidRDefault="00682785" w:rsidP="00682785">
      <w:pPr>
        <w:rPr>
          <w:b/>
          <w:u w:val="single"/>
        </w:rPr>
      </w:pPr>
      <w:r w:rsidRPr="005A4B26">
        <w:rPr>
          <w:b/>
          <w:u w:val="single"/>
        </w:rPr>
        <w:t>Internal Rate of Return (IRR)</w:t>
      </w:r>
    </w:p>
    <w:p w14:paraId="31E38638" w14:textId="33F1A4AF" w:rsidR="00827D3E" w:rsidRPr="007E12CA" w:rsidRDefault="00682785" w:rsidP="007E12CA">
      <w:pPr>
        <w:jc w:val="center"/>
        <w:rPr>
          <w:b/>
          <w:u w:val="single"/>
        </w:rPr>
      </w:pPr>
      <w:r w:rsidRPr="005A4B26">
        <w:rPr>
          <w:noProof/>
        </w:rPr>
        <w:drawing>
          <wp:inline distT="114300" distB="114300" distL="114300" distR="114300" wp14:anchorId="3BF368FC" wp14:editId="040F5A13">
            <wp:extent cx="5943600" cy="25273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12" name="image1.png"/>
                    <pic:cNvPicPr/>
                  </pic:nvPicPr>
                  <pic:blipFill>
                    <a:blip r:embed="rId65"/>
                    <a:stretch>
                      <a:fillRect/>
                    </a:stretch>
                  </pic:blipFill>
                  <pic:spPr>
                    <a:xfrm>
                      <a:off x="0" y="0"/>
                      <a:ext cx="5943600" cy="2527300"/>
                    </a:xfrm>
                    <a:prstGeom prst="rect">
                      <a:avLst/>
                    </a:prstGeom>
                  </pic:spPr>
                </pic:pic>
              </a:graphicData>
            </a:graphic>
          </wp:inline>
        </w:drawing>
      </w:r>
      <w:bookmarkEnd w:id="26"/>
    </w:p>
    <w:sectPr w:rsidR="00827D3E" w:rsidRPr="007E12CA" w:rsidSect="00F8510C">
      <w:footerReference w:type="default" r:id="rId66"/>
      <w:type w:val="continuous"/>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5BC8D" w14:textId="77777777" w:rsidR="00B04633" w:rsidRDefault="00B04633" w:rsidP="00C8545D">
      <w:pPr>
        <w:spacing w:before="0" w:after="0" w:line="240" w:lineRule="auto"/>
      </w:pPr>
      <w:r>
        <w:separator/>
      </w:r>
    </w:p>
  </w:endnote>
  <w:endnote w:type="continuationSeparator" w:id="0">
    <w:p w14:paraId="072F0FD3" w14:textId="77777777" w:rsidR="00B04633" w:rsidRDefault="00B04633" w:rsidP="00C854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682003"/>
      <w:docPartObj>
        <w:docPartGallery w:val="Page Numbers (Bottom of Page)"/>
        <w:docPartUnique/>
      </w:docPartObj>
    </w:sdtPr>
    <w:sdtEndPr>
      <w:rPr>
        <w:noProof/>
      </w:rPr>
    </w:sdtEndPr>
    <w:sdtContent>
      <w:p w14:paraId="2D0F9F5D" w14:textId="05B45274" w:rsidR="00C8545D" w:rsidRDefault="00C854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35B6F" w14:textId="77777777" w:rsidR="00C8545D" w:rsidRDefault="00C85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DB8CF" w14:textId="77777777" w:rsidR="00B04633" w:rsidRDefault="00B04633" w:rsidP="00C8545D">
      <w:pPr>
        <w:spacing w:before="0" w:after="0" w:line="240" w:lineRule="auto"/>
      </w:pPr>
      <w:r>
        <w:separator/>
      </w:r>
    </w:p>
  </w:footnote>
  <w:footnote w:type="continuationSeparator" w:id="0">
    <w:p w14:paraId="5C6F392A" w14:textId="77777777" w:rsidR="00B04633" w:rsidRDefault="00B04633" w:rsidP="00C8545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AC9"/>
    <w:multiLevelType w:val="hybridMultilevel"/>
    <w:tmpl w:val="EE805A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2471C"/>
    <w:multiLevelType w:val="hybridMultilevel"/>
    <w:tmpl w:val="61961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5D76DB"/>
    <w:multiLevelType w:val="multilevel"/>
    <w:tmpl w:val="06902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A2C41"/>
    <w:multiLevelType w:val="multilevel"/>
    <w:tmpl w:val="D064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F14E09"/>
    <w:multiLevelType w:val="multilevel"/>
    <w:tmpl w:val="E90C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F20E7D"/>
    <w:multiLevelType w:val="multilevel"/>
    <w:tmpl w:val="0178D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B7501E"/>
    <w:multiLevelType w:val="multilevel"/>
    <w:tmpl w:val="CDB6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0269B6"/>
    <w:multiLevelType w:val="multilevel"/>
    <w:tmpl w:val="86CCE87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706652FF"/>
    <w:multiLevelType w:val="multilevel"/>
    <w:tmpl w:val="8C2A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56326D"/>
    <w:multiLevelType w:val="multilevel"/>
    <w:tmpl w:val="0CE87F1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74156979">
    <w:abstractNumId w:val="9"/>
  </w:num>
  <w:num w:numId="2" w16cid:durableId="1706759127">
    <w:abstractNumId w:val="7"/>
  </w:num>
  <w:num w:numId="3" w16cid:durableId="1808933134">
    <w:abstractNumId w:val="8"/>
  </w:num>
  <w:num w:numId="4" w16cid:durableId="1414820487">
    <w:abstractNumId w:val="3"/>
  </w:num>
  <w:num w:numId="5" w16cid:durableId="633752876">
    <w:abstractNumId w:val="5"/>
  </w:num>
  <w:num w:numId="6" w16cid:durableId="2033220958">
    <w:abstractNumId w:val="2"/>
  </w:num>
  <w:num w:numId="7" w16cid:durableId="330525316">
    <w:abstractNumId w:val="6"/>
  </w:num>
  <w:num w:numId="8" w16cid:durableId="1416171331">
    <w:abstractNumId w:val="4"/>
  </w:num>
  <w:num w:numId="9" w16cid:durableId="16661565">
    <w:abstractNumId w:val="0"/>
  </w:num>
  <w:num w:numId="10" w16cid:durableId="215092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008"/>
    <w:rsid w:val="00051F4C"/>
    <w:rsid w:val="000F6893"/>
    <w:rsid w:val="00104D5E"/>
    <w:rsid w:val="00176185"/>
    <w:rsid w:val="001B4D07"/>
    <w:rsid w:val="002071DF"/>
    <w:rsid w:val="00257E28"/>
    <w:rsid w:val="002709A4"/>
    <w:rsid w:val="002959DA"/>
    <w:rsid w:val="002E1EB0"/>
    <w:rsid w:val="003649D4"/>
    <w:rsid w:val="00375BEB"/>
    <w:rsid w:val="0042107F"/>
    <w:rsid w:val="00433869"/>
    <w:rsid w:val="0043465F"/>
    <w:rsid w:val="00473F05"/>
    <w:rsid w:val="00485D80"/>
    <w:rsid w:val="004C0302"/>
    <w:rsid w:val="005157E2"/>
    <w:rsid w:val="005F3587"/>
    <w:rsid w:val="00604984"/>
    <w:rsid w:val="00635F37"/>
    <w:rsid w:val="00682785"/>
    <w:rsid w:val="006D1DFB"/>
    <w:rsid w:val="006D23FE"/>
    <w:rsid w:val="00736173"/>
    <w:rsid w:val="0079532B"/>
    <w:rsid w:val="007D6FA1"/>
    <w:rsid w:val="007E12CA"/>
    <w:rsid w:val="00827D3E"/>
    <w:rsid w:val="00830008"/>
    <w:rsid w:val="008347EB"/>
    <w:rsid w:val="0086677F"/>
    <w:rsid w:val="00873E76"/>
    <w:rsid w:val="009017B6"/>
    <w:rsid w:val="00921AF6"/>
    <w:rsid w:val="009435F3"/>
    <w:rsid w:val="00994A42"/>
    <w:rsid w:val="009A0CA9"/>
    <w:rsid w:val="009B33E6"/>
    <w:rsid w:val="00AE1190"/>
    <w:rsid w:val="00B005F9"/>
    <w:rsid w:val="00B04633"/>
    <w:rsid w:val="00B138CB"/>
    <w:rsid w:val="00BE5C11"/>
    <w:rsid w:val="00C8545D"/>
    <w:rsid w:val="00CD392E"/>
    <w:rsid w:val="00CF4BF0"/>
    <w:rsid w:val="00D51E1E"/>
    <w:rsid w:val="00DB7E66"/>
    <w:rsid w:val="00DF024B"/>
    <w:rsid w:val="00E02112"/>
    <w:rsid w:val="00E06295"/>
    <w:rsid w:val="00E0705F"/>
    <w:rsid w:val="00E64F5A"/>
    <w:rsid w:val="00EB2D7E"/>
    <w:rsid w:val="00EC4AD4"/>
    <w:rsid w:val="00F06308"/>
    <w:rsid w:val="00F54533"/>
    <w:rsid w:val="00F803AE"/>
    <w:rsid w:val="00F8510C"/>
    <w:rsid w:val="00F87396"/>
    <w:rsid w:val="00FE0BA7"/>
    <w:rsid w:val="00FF6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B2C069"/>
  <w15:chartTrackingRefBased/>
  <w15:docId w15:val="{6D0A1381-5346-4DE2-A54C-5FD8AA971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869"/>
    <w:pPr>
      <w:spacing w:before="240" w:after="24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Normal"/>
    <w:next w:val="Normal"/>
    <w:link w:val="Heading1Char"/>
    <w:autoRedefine/>
    <w:uiPriority w:val="9"/>
    <w:qFormat/>
    <w:rsid w:val="008347EB"/>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8545D"/>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3000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00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300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300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00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000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000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677F"/>
    <w:rPr>
      <w:rFonts w:ascii="Times New Roman" w:eastAsiaTheme="majorEastAsia" w:hAnsi="Times New Roman" w:cstheme="majorBidi"/>
      <w:b/>
      <w:kern w:val="0"/>
      <w:sz w:val="26"/>
      <w:szCs w:val="26"/>
      <w:lang w:val="en-GB"/>
      <w14:ligatures w14:val="none"/>
    </w:rPr>
  </w:style>
  <w:style w:type="character" w:customStyle="1" w:styleId="Heading1Char">
    <w:name w:val="Heading 1 Char"/>
    <w:basedOn w:val="DefaultParagraphFont"/>
    <w:link w:val="Heading1"/>
    <w:uiPriority w:val="9"/>
    <w:rsid w:val="008347EB"/>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830008"/>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830008"/>
    <w:rPr>
      <w:rFonts w:eastAsiaTheme="majorEastAsia" w:cstheme="majorBidi"/>
      <w:i/>
      <w:iCs/>
      <w:color w:val="2F5496" w:themeColor="accent1" w:themeShade="BF"/>
      <w:kern w:val="0"/>
      <w:sz w:val="24"/>
      <w:szCs w:val="20"/>
      <w:lang w:val="en-GB"/>
      <w14:ligatures w14:val="none"/>
    </w:rPr>
  </w:style>
  <w:style w:type="character" w:customStyle="1" w:styleId="Heading5Char">
    <w:name w:val="Heading 5 Char"/>
    <w:basedOn w:val="DefaultParagraphFont"/>
    <w:link w:val="Heading5"/>
    <w:uiPriority w:val="9"/>
    <w:semiHidden/>
    <w:rsid w:val="00830008"/>
    <w:rPr>
      <w:rFonts w:eastAsiaTheme="majorEastAsia" w:cstheme="majorBidi"/>
      <w:color w:val="2F5496"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830008"/>
    <w:rPr>
      <w:rFonts w:eastAsiaTheme="majorEastAsia" w:cstheme="majorBidi"/>
      <w:i/>
      <w:iCs/>
      <w:color w:val="595959" w:themeColor="text1" w:themeTint="A6"/>
      <w:kern w:val="0"/>
      <w:sz w:val="24"/>
      <w:szCs w:val="20"/>
      <w:lang w:val="en-GB"/>
      <w14:ligatures w14:val="none"/>
    </w:rPr>
  </w:style>
  <w:style w:type="character" w:customStyle="1" w:styleId="Heading7Char">
    <w:name w:val="Heading 7 Char"/>
    <w:basedOn w:val="DefaultParagraphFont"/>
    <w:link w:val="Heading7"/>
    <w:uiPriority w:val="9"/>
    <w:semiHidden/>
    <w:rsid w:val="00830008"/>
    <w:rPr>
      <w:rFonts w:eastAsiaTheme="majorEastAsia" w:cstheme="majorBidi"/>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830008"/>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830008"/>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83000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00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300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00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300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0008"/>
    <w:rPr>
      <w:rFonts w:ascii="Times New Roman" w:hAnsi="Times New Roman" w:cs="Times New Roman"/>
      <w:i/>
      <w:iCs/>
      <w:color w:val="404040" w:themeColor="text1" w:themeTint="BF"/>
      <w:kern w:val="0"/>
      <w:sz w:val="24"/>
      <w:szCs w:val="20"/>
      <w:lang w:val="en-GB"/>
      <w14:ligatures w14:val="none"/>
    </w:rPr>
  </w:style>
  <w:style w:type="paragraph" w:styleId="ListParagraph">
    <w:name w:val="List Paragraph"/>
    <w:basedOn w:val="Normal"/>
    <w:uiPriority w:val="1"/>
    <w:qFormat/>
    <w:rsid w:val="00830008"/>
    <w:pPr>
      <w:ind w:left="720"/>
      <w:contextualSpacing/>
    </w:pPr>
  </w:style>
  <w:style w:type="character" w:styleId="IntenseEmphasis">
    <w:name w:val="Intense Emphasis"/>
    <w:basedOn w:val="DefaultParagraphFont"/>
    <w:uiPriority w:val="21"/>
    <w:qFormat/>
    <w:rsid w:val="00830008"/>
    <w:rPr>
      <w:i/>
      <w:iCs/>
      <w:color w:val="2F5496" w:themeColor="accent1" w:themeShade="BF"/>
    </w:rPr>
  </w:style>
  <w:style w:type="paragraph" w:styleId="IntenseQuote">
    <w:name w:val="Intense Quote"/>
    <w:basedOn w:val="Normal"/>
    <w:next w:val="Normal"/>
    <w:link w:val="IntenseQuoteChar"/>
    <w:uiPriority w:val="30"/>
    <w:qFormat/>
    <w:rsid w:val="008300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0008"/>
    <w:rPr>
      <w:rFonts w:ascii="Times New Roman" w:hAnsi="Times New Roman" w:cs="Times New Roman"/>
      <w:i/>
      <w:iCs/>
      <w:color w:val="2F5496" w:themeColor="accent1" w:themeShade="BF"/>
      <w:kern w:val="0"/>
      <w:sz w:val="24"/>
      <w:szCs w:val="20"/>
      <w:lang w:val="en-GB"/>
      <w14:ligatures w14:val="none"/>
    </w:rPr>
  </w:style>
  <w:style w:type="character" w:styleId="IntenseReference">
    <w:name w:val="Intense Reference"/>
    <w:basedOn w:val="DefaultParagraphFont"/>
    <w:uiPriority w:val="32"/>
    <w:qFormat/>
    <w:rsid w:val="00830008"/>
    <w:rPr>
      <w:b/>
      <w:bCs/>
      <w:smallCaps/>
      <w:color w:val="2F5496" w:themeColor="accent1" w:themeShade="BF"/>
      <w:spacing w:val="5"/>
    </w:rPr>
  </w:style>
  <w:style w:type="character" w:styleId="Hyperlink">
    <w:name w:val="Hyperlink"/>
    <w:basedOn w:val="DefaultParagraphFont"/>
    <w:uiPriority w:val="99"/>
    <w:unhideWhenUsed/>
    <w:rsid w:val="0042107F"/>
    <w:rPr>
      <w:color w:val="0563C1" w:themeColor="hyperlink"/>
      <w:u w:val="single"/>
    </w:rPr>
  </w:style>
  <w:style w:type="character" w:styleId="UnresolvedMention">
    <w:name w:val="Unresolved Mention"/>
    <w:basedOn w:val="DefaultParagraphFont"/>
    <w:uiPriority w:val="99"/>
    <w:semiHidden/>
    <w:unhideWhenUsed/>
    <w:rsid w:val="0042107F"/>
    <w:rPr>
      <w:color w:val="605E5C"/>
      <w:shd w:val="clear" w:color="auto" w:fill="E1DFDD"/>
    </w:rPr>
  </w:style>
  <w:style w:type="paragraph" w:styleId="TOCHeading">
    <w:name w:val="TOC Heading"/>
    <w:basedOn w:val="Heading1"/>
    <w:next w:val="Normal"/>
    <w:uiPriority w:val="39"/>
    <w:unhideWhenUsed/>
    <w:qFormat/>
    <w:rsid w:val="00C8545D"/>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C8545D"/>
    <w:pPr>
      <w:spacing w:after="100"/>
    </w:pPr>
  </w:style>
  <w:style w:type="paragraph" w:styleId="TOC2">
    <w:name w:val="toc 2"/>
    <w:basedOn w:val="Normal"/>
    <w:next w:val="Normal"/>
    <w:autoRedefine/>
    <w:uiPriority w:val="39"/>
    <w:unhideWhenUsed/>
    <w:rsid w:val="00C8545D"/>
    <w:pPr>
      <w:spacing w:after="100"/>
      <w:ind w:left="240"/>
    </w:pPr>
  </w:style>
  <w:style w:type="paragraph" w:styleId="Header">
    <w:name w:val="header"/>
    <w:basedOn w:val="Normal"/>
    <w:link w:val="HeaderChar"/>
    <w:uiPriority w:val="99"/>
    <w:unhideWhenUsed/>
    <w:rsid w:val="00C8545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8545D"/>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C8545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545D"/>
    <w:rPr>
      <w:rFonts w:ascii="Times New Roman" w:hAnsi="Times New Roman" w:cs="Times New Roman"/>
      <w:kern w:val="0"/>
      <w:sz w:val="24"/>
      <w:szCs w:val="20"/>
      <w:lang w:val="en-GB" w:eastAsia="en-GB"/>
      <w14:ligatures w14:val="none"/>
    </w:rPr>
  </w:style>
  <w:style w:type="table" w:customStyle="1" w:styleId="a">
    <w:name w:val="a"/>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2">
    <w:name w:val="a2"/>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3">
    <w:name w:val="a3"/>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4">
    <w:name w:val="a4"/>
    <w:basedOn w:val="TableNormal"/>
    <w:rsid w:val="00682785"/>
    <w:pPr>
      <w:spacing w:after="240" w:line="360" w:lineRule="auto"/>
      <w:jc w:val="both"/>
    </w:pPr>
    <w:rPr>
      <w:rFonts w:ascii="Times New Roman" w:hAnsi="Times New Roman" w:cs="Times New Roman"/>
      <w:color w:val="222222"/>
      <w:kern w:val="0"/>
      <w:sz w:val="24"/>
      <w:szCs w:val="24"/>
      <w:highlight w:val="white"/>
      <w:lang w:val="en"/>
      <w14:ligatures w14:val="none"/>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738021">
      <w:bodyDiv w:val="1"/>
      <w:marLeft w:val="0"/>
      <w:marRight w:val="0"/>
      <w:marTop w:val="0"/>
      <w:marBottom w:val="0"/>
      <w:divBdr>
        <w:top w:val="none" w:sz="0" w:space="0" w:color="auto"/>
        <w:left w:val="none" w:sz="0" w:space="0" w:color="auto"/>
        <w:bottom w:val="none" w:sz="0" w:space="0" w:color="auto"/>
        <w:right w:val="none" w:sz="0" w:space="0" w:color="auto"/>
      </w:divBdr>
      <w:divsChild>
        <w:div w:id="1384599141">
          <w:marLeft w:val="0"/>
          <w:marRight w:val="0"/>
          <w:marTop w:val="0"/>
          <w:marBottom w:val="0"/>
          <w:divBdr>
            <w:top w:val="none" w:sz="0" w:space="0" w:color="auto"/>
            <w:left w:val="none" w:sz="0" w:space="0" w:color="auto"/>
            <w:bottom w:val="none" w:sz="0" w:space="0" w:color="auto"/>
            <w:right w:val="none" w:sz="0" w:space="0" w:color="auto"/>
          </w:divBdr>
        </w:div>
      </w:divsChild>
    </w:div>
    <w:div w:id="1037773350">
      <w:bodyDiv w:val="1"/>
      <w:marLeft w:val="0"/>
      <w:marRight w:val="0"/>
      <w:marTop w:val="0"/>
      <w:marBottom w:val="0"/>
      <w:divBdr>
        <w:top w:val="none" w:sz="0" w:space="0" w:color="auto"/>
        <w:left w:val="none" w:sz="0" w:space="0" w:color="auto"/>
        <w:bottom w:val="none" w:sz="0" w:space="0" w:color="auto"/>
        <w:right w:val="none" w:sz="0" w:space="0" w:color="auto"/>
      </w:divBdr>
      <w:divsChild>
        <w:div w:id="1227641400">
          <w:marLeft w:val="0"/>
          <w:marRight w:val="0"/>
          <w:marTop w:val="0"/>
          <w:marBottom w:val="0"/>
          <w:divBdr>
            <w:top w:val="none" w:sz="0" w:space="0" w:color="auto"/>
            <w:left w:val="none" w:sz="0" w:space="0" w:color="auto"/>
            <w:bottom w:val="none" w:sz="0" w:space="0" w:color="auto"/>
            <w:right w:val="none" w:sz="0" w:space="0" w:color="auto"/>
          </w:divBdr>
        </w:div>
      </w:divsChild>
    </w:div>
    <w:div w:id="1167591467">
      <w:bodyDiv w:val="1"/>
      <w:marLeft w:val="0"/>
      <w:marRight w:val="0"/>
      <w:marTop w:val="0"/>
      <w:marBottom w:val="0"/>
      <w:divBdr>
        <w:top w:val="none" w:sz="0" w:space="0" w:color="auto"/>
        <w:left w:val="none" w:sz="0" w:space="0" w:color="auto"/>
        <w:bottom w:val="none" w:sz="0" w:space="0" w:color="auto"/>
        <w:right w:val="none" w:sz="0" w:space="0" w:color="auto"/>
      </w:divBdr>
    </w:div>
    <w:div w:id="172328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Suresh-Chaudhary-4/publication/369438141_A_Review_of_Evaluation_Methodologies_and_Techniques_in_Construction_Engineering_Projects/links/6561ccf6b1398a779db4a31b/A-Review-of-Evaluation-Methodologies-and-Techniques-in-Construction-Engineering-Projects.pdf" TargetMode="External"/><Relationship Id="rId21" Type="http://schemas.openxmlformats.org/officeDocument/2006/relationships/hyperlink" Target="https://www.sciencedirect.com/science/article/pii/S2307187723003206" TargetMode="External"/><Relationship Id="rId34" Type="http://schemas.openxmlformats.org/officeDocument/2006/relationships/hyperlink" Target="https://www.researchgate.net/profile/Lolade-Hamzat/publication/391776111_Real-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 TargetMode="External"/><Relationship Id="rId42" Type="http://schemas.openxmlformats.org/officeDocument/2006/relationships/hyperlink" Target="https://www.researchgate.net/profile/Marcin-Majka-2/publication/381402426_Understanding_Profit_Margin/links/666b659685a4ee7261c0e00d/Understanding-Profit-Margin.pdf" TargetMode="External"/><Relationship Id="rId47" Type="http://schemas.openxmlformats.org/officeDocument/2006/relationships/hyperlink" Target="https://www.multiresearchjournal.com/admin/uploads/archives/archive-1742807323.pdf" TargetMode="External"/><Relationship Id="rId50" Type="http://schemas.openxmlformats.org/officeDocument/2006/relationships/hyperlink" Target="https://www.researchgate.net/profile/Ramesh-Krishnamurthy-4/publication/379962027_Cost_Drivers_-_An_Influencing_Attribute_in_Profitability_and_Strategic_Cost_Management_Decision_Making/links/670e21dd77bab74415a18e0f/Cost-Drivers-An-Influencing-Attribute-in-Profitability-and-Strategic-Cost-Management-Decision-Making.pdf" TargetMode="External"/><Relationship Id="rId55" Type="http://schemas.openxmlformats.org/officeDocument/2006/relationships/hyperlink" Target="https://repository.ipmi.ac.id/2778/2/2.%20Chapter%201%20-%20Alfi%20Trianto%20%2820222013%29%20-%20Alfi%20Trianto.pdf" TargetMode="External"/><Relationship Id="rId63" Type="http://schemas.openxmlformats.org/officeDocument/2006/relationships/image" Target="media/image18.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academia.edu/download/118356617/Demand_Prioritization_and_Replenishment_During_Fulfilment.pdf" TargetMode="External"/><Relationship Id="rId11" Type="http://schemas.openxmlformats.org/officeDocument/2006/relationships/image" Target="media/image4.png"/><Relationship Id="rId24" Type="http://schemas.openxmlformats.org/officeDocument/2006/relationships/hyperlink" Target="https://www.academia.edu/download/118399063/Ebuka_s_paper.pdf" TargetMode="External"/><Relationship Id="rId32" Type="http://schemas.openxmlformats.org/officeDocument/2006/relationships/hyperlink" Target="https://repository.unic.ac.cy/archive/download/5dbd6c45-1b43-4223-b555-1bb0bc6eacc4.pdf" TargetMode="External"/><Relationship Id="rId37" Type="http://schemas.openxmlformats.org/officeDocument/2006/relationships/hyperlink" Target="https://www.mdpi.com/2071-1050/13/8/4266" TargetMode="External"/><Relationship Id="rId40" Type="http://schemas.openxmlformats.org/officeDocument/2006/relationships/hyperlink" Target="https://www.mdpi.com/2227-7390/9/9/975" TargetMode="External"/><Relationship Id="rId45" Type="http://schemas.openxmlformats.org/officeDocument/2006/relationships/hyperlink" Target="https://www.researchgate.net/profile/Njideka-Okeke/publication/384543440_Forecasting_financial_stability_in_SMEs_A_comprehensive_analysis_of_strategic_budgeting_and_revenue_management/links/673bc9b6b94c451c11607070/Forecasting-financial-stability-in-SMEs-A-comprehensive-analysis-of-strategic-budgeting-and-revenue-management.pdf" TargetMode="External"/><Relationship Id="rId53" Type="http://schemas.openxmlformats.org/officeDocument/2006/relationships/hyperlink" Target="https://e-journal.unair.ac.id/jraba/article/download/56477/28943" TargetMode="External"/><Relationship Id="rId58" Type="http://schemas.openxmlformats.org/officeDocument/2006/relationships/hyperlink" Target="https://unitesi.unive.it/bitstream/20.500.14247/4284/1/872666-1280209.pdf\"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16.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emerald.com/insight/content/doi/10.1108/jaoc-09-2021-0130/full/html" TargetMode="External"/><Relationship Id="rId27" Type="http://schemas.openxmlformats.org/officeDocument/2006/relationships/hyperlink" Target="https://papers.ssrn.com/sol3/papers.cfm?abstract_id=3183777" TargetMode="External"/><Relationship Id="rId30" Type="http://schemas.openxmlformats.org/officeDocument/2006/relationships/hyperlink" Target="https://www.mdpi.com/1996-1073/15/1/353" TargetMode="External"/><Relationship Id="rId35" Type="http://schemas.openxmlformats.org/officeDocument/2006/relationships/hyperlink" Target="https://www.mdpi.com/2227-7072/10/3/55" TargetMode="External"/><Relationship Id="rId43" Type="http://schemas.openxmlformats.org/officeDocument/2006/relationships/hyperlink" Target="https://www.mdpi.com/2071-1050/14/17/10525" TargetMode="External"/><Relationship Id="rId48" Type="http://schemas.openxmlformats.org/officeDocument/2006/relationships/hyperlink" Target="https://www.preprints.org/frontend/manuscript/260f444b3b51d3b045e641ef2f95ba4b/download_pub" TargetMode="External"/><Relationship Id="rId56" Type="http://schemas.openxmlformats.org/officeDocument/2006/relationships/hyperlink" Target="https://pdfs.semanticscholar.org/4df4/9c222791241e98ce12316fe76ffcbdd2c5c8.pdf" TargetMode="External"/><Relationship Id="rId64" Type="http://schemas.openxmlformats.org/officeDocument/2006/relationships/image" Target="media/image19.png"/><Relationship Id="rId8" Type="http://schemas.openxmlformats.org/officeDocument/2006/relationships/image" Target="media/image1.png"/><Relationship Id="rId51" Type="http://schemas.openxmlformats.org/officeDocument/2006/relationships/hyperlink" Target="https://pdfs.semanticscholar.org/35f5/923a958b071288b38d4e960e8268477ec19a.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ijamesc.com/index.php/go/article/download/312/203" TargetMode="External"/><Relationship Id="rId33" Type="http://schemas.openxmlformats.org/officeDocument/2006/relationships/hyperlink" Target="https://www.amity.edu/gwalior/naac/1_1_3/syllabus/1.1.3%20abs%20new.pdf" TargetMode="External"/><Relationship Id="rId38" Type="http://schemas.openxmlformats.org/officeDocument/2006/relationships/hyperlink" Target="https://www.researchgate.net/profile/Anfo-Pub-2/publication/390270782_A_Financial_Control_and_Performance_Management_Framework_for_SMEs_Strengthening_Budgeting_Risk_Mitigation_and_Profitability/links/67e69c6c49e91c0feac15d6c/A-Financial-Control-and-Performance-Management-Framework-for-SMEs-Strengthening-Budgeting-Risk-Mitigation-and-Profitability.pdf" TargetMode="External"/><Relationship Id="rId46" Type="http://schemas.openxmlformats.org/officeDocument/2006/relationships/hyperlink" Target="https://taamsjournal.org/download/8caf55e3-6fb9-4578-883c-944dadedb869.pdf" TargetMode="External"/><Relationship Id="rId59" Type="http://schemas.openxmlformats.org/officeDocument/2006/relationships/image" Target="media/image14.png"/><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onlinelibrary.wiley.com/doi/abs/10.1002/fut.22220" TargetMode="External"/><Relationship Id="rId54" Type="http://schemas.openxmlformats.org/officeDocument/2006/relationships/hyperlink" Target="https://sciendo.com/2/v2/download/article/10.2478/sbe-2025-0037.pdf" TargetMode="External"/><Relationship Id="rId62"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Maria-Vazquez-5/publication/348944860_Working_Capital_Management_and_Profitability_Evidence_from_an_Emergent_Economy/links/60185e8d45851517ef31da0b/Working-Capital-Management-and-Profitability-Evidence-from-an-Emergent-Economy.pdf" TargetMode="External"/><Relationship Id="rId28" Type="http://schemas.openxmlformats.org/officeDocument/2006/relationships/hyperlink" Target="https://www.ceeol.com/search/article-detail?id=1172376" TargetMode="External"/><Relationship Id="rId36" Type="http://schemas.openxmlformats.org/officeDocument/2006/relationships/hyperlink" Target="https://repository.ipmi.ac.id/1657/1/IJBEL28.ISU-1_560.pdf" TargetMode="External"/><Relationship Id="rId49" Type="http://schemas.openxmlformats.org/officeDocument/2006/relationships/hyperlink" Target="http://openaccess.thecvf.com/content/CVPR2023/html/Qin_MotionTrack_Learning_Robust_Short-Term_and_Long-Term_Motions_for_Multi-Object_Tracking_CVPR_2023_paper.html" TargetMode="External"/><Relationship Id="rId57" Type="http://schemas.openxmlformats.org/officeDocument/2006/relationships/hyperlink" Target="https://www.researchgate.net/profile/Anita-Yanney-2/publication/392073090_Optimizing_Working_Capital_Through_Dynamic_Cash_Flow_Analysis_and_Inventory_Management_in_Manufacturing_Firms/links/68327470d1054b0207f2a457/Optimizing-Working-Capital-Through-Dynamic-Cash-Flow-Analysis-and-Inventory-Management-in-Manufacturing-Firms.pdf" TargetMode="External"/><Relationship Id="rId10" Type="http://schemas.openxmlformats.org/officeDocument/2006/relationships/image" Target="media/image3.png"/><Relationship Id="rId31" Type="http://schemas.openxmlformats.org/officeDocument/2006/relationships/hyperlink" Target="https://onlinelibrary.wiley.com/doi/abs/10.1111/1475-679X.12410" TargetMode="External"/><Relationship Id="rId44" Type="http://schemas.openxmlformats.org/officeDocument/2006/relationships/hyperlink" Target="https://www.academia.edu/download/81063588/article_677839_cd06f5c50b09f28acf4802268302e8ba.pdf" TargetMode="External"/><Relationship Id="rId52" Type="http://schemas.openxmlformats.org/officeDocument/2006/relationships/hyperlink" Target="http://biitm.dspaces.org/bitstream/123456789/1234/1/CORPORATE%20FINANCE%20%282024%29.pdf" TargetMode="External"/><Relationship Id="rId60" Type="http://schemas.openxmlformats.org/officeDocument/2006/relationships/image" Target="media/image15.png"/><Relationship Id="rId65"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Madhuri-Kadam-2/publication/390561020_A_Study_of_Identification_of_Capital_Budgeting_Tools_applied_in_Investment_Decision/links/68621f87e4632b045dc87e5d/A-Study-of-Identification-of-Capital-Budgeting-Tools-applied-in-Investment-Deci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6EC9A-5C94-4DC4-AA25-60E82757F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41</Pages>
  <Words>8023</Words>
  <Characters>45737</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53653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Bhargav Khunt</cp:lastModifiedBy>
  <cp:revision>17</cp:revision>
  <dcterms:created xsi:type="dcterms:W3CDTF">2025-10-04T07:54:00Z</dcterms:created>
  <dcterms:modified xsi:type="dcterms:W3CDTF">2025-11-13T22:20:00Z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d9bdd116-4b2e-4539-8f3c-40cdb864bcca</vt:lpwstr>
  </property>
</Properties>
</file>