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B1520" w14:textId="01BB212D" w:rsidR="00EB7423" w:rsidRPr="00CF6917" w:rsidRDefault="00855CFB" w:rsidP="00855CFB">
      <w:pPr>
        <w:pStyle w:val="Title"/>
      </w:pPr>
      <w:r w:rsidRPr="00CF6917">
        <w:t>Assignment part 1</w:t>
      </w:r>
    </w:p>
    <w:p w14:paraId="02F466BC" w14:textId="7515F44A" w:rsidR="00855CFB" w:rsidRPr="00CF6917" w:rsidRDefault="00855CFB" w:rsidP="00855CFB"/>
    <w:p w14:paraId="6649C259" w14:textId="70D1000E" w:rsidR="00855CFB" w:rsidRPr="00CF6917" w:rsidRDefault="00855CFB" w:rsidP="00855CFB">
      <w:pPr>
        <w:rPr>
          <w:sz w:val="28"/>
          <w:szCs w:val="28"/>
        </w:rPr>
      </w:pPr>
      <w:r w:rsidRPr="00CF6917">
        <w:rPr>
          <w:sz w:val="28"/>
          <w:szCs w:val="28"/>
        </w:rPr>
        <w:t xml:space="preserve">With the recent death of Prince </w:t>
      </w:r>
      <w:r w:rsidR="001C086A" w:rsidRPr="00CF6917">
        <w:rPr>
          <w:sz w:val="28"/>
          <w:szCs w:val="28"/>
        </w:rPr>
        <w:t>Phillip,</w:t>
      </w:r>
      <w:r w:rsidRPr="00CF6917">
        <w:rPr>
          <w:sz w:val="28"/>
          <w:szCs w:val="28"/>
        </w:rPr>
        <w:t xml:space="preserve"> the notion of funeral</w:t>
      </w:r>
      <w:r w:rsidR="001C086A" w:rsidRPr="00CF6917">
        <w:rPr>
          <w:sz w:val="28"/>
          <w:szCs w:val="28"/>
        </w:rPr>
        <w:t>s and grieving</w:t>
      </w:r>
      <w:r w:rsidRPr="00CF6917">
        <w:rPr>
          <w:sz w:val="28"/>
          <w:szCs w:val="28"/>
        </w:rPr>
        <w:t xml:space="preserve"> has been brought to the forefront of public consciousness, whether it was particularly wanted or not. </w:t>
      </w:r>
      <w:r w:rsidR="00FE2001" w:rsidRPr="00CF6917">
        <w:rPr>
          <w:sz w:val="28"/>
          <w:szCs w:val="28"/>
        </w:rPr>
        <w:t xml:space="preserve">This event, whilst not of any </w:t>
      </w:r>
      <w:r w:rsidR="001C086A" w:rsidRPr="00CF6917">
        <w:rPr>
          <w:sz w:val="28"/>
          <w:szCs w:val="28"/>
        </w:rPr>
        <w:t>personal</w:t>
      </w:r>
      <w:r w:rsidR="00FE2001" w:rsidRPr="00CF6917">
        <w:rPr>
          <w:sz w:val="28"/>
          <w:szCs w:val="28"/>
        </w:rPr>
        <w:t xml:space="preserve"> significance to </w:t>
      </w:r>
      <w:r w:rsidR="001C086A" w:rsidRPr="00CF6917">
        <w:rPr>
          <w:sz w:val="28"/>
          <w:szCs w:val="28"/>
        </w:rPr>
        <w:t>myself besides this being the first royal death in my lifetime, has</w:t>
      </w:r>
      <w:r w:rsidR="00FE2001" w:rsidRPr="00CF6917">
        <w:rPr>
          <w:sz w:val="28"/>
          <w:szCs w:val="28"/>
        </w:rPr>
        <w:t xml:space="preserve"> prompted an interested in how other groups in the world</w:t>
      </w:r>
      <w:r w:rsidR="001C086A" w:rsidRPr="00CF6917">
        <w:rPr>
          <w:sz w:val="28"/>
          <w:szCs w:val="28"/>
        </w:rPr>
        <w:t xml:space="preserve"> at large</w:t>
      </w:r>
      <w:r w:rsidR="00FE2001" w:rsidRPr="00CF6917">
        <w:rPr>
          <w:sz w:val="28"/>
          <w:szCs w:val="28"/>
        </w:rPr>
        <w:t xml:space="preserve"> deal with the issue of death and funerals. </w:t>
      </w:r>
      <w:r w:rsidR="001C086A" w:rsidRPr="00CF6917">
        <w:rPr>
          <w:sz w:val="28"/>
          <w:szCs w:val="28"/>
        </w:rPr>
        <w:t xml:space="preserve">This curiosity has led </w:t>
      </w:r>
      <w:r w:rsidR="00A6290D" w:rsidRPr="00CF6917">
        <w:rPr>
          <w:sz w:val="28"/>
          <w:szCs w:val="28"/>
        </w:rPr>
        <w:t>me</w:t>
      </w:r>
      <w:r w:rsidR="001C086A" w:rsidRPr="00CF6917">
        <w:rPr>
          <w:sz w:val="28"/>
          <w:szCs w:val="28"/>
        </w:rPr>
        <w:t xml:space="preserve"> to finding a small array of articles which all relate to the subject of mortality from a variety of different groups. </w:t>
      </w:r>
      <w:r w:rsidR="00587376" w:rsidRPr="00CF6917">
        <w:rPr>
          <w:sz w:val="28"/>
          <w:szCs w:val="28"/>
        </w:rPr>
        <w:t>Using the examples found, I will explain their utility when considering sources for the second part of the coursework for this module, whilst also discussing their accessibility from a student’s perspective.</w:t>
      </w:r>
    </w:p>
    <w:p w14:paraId="5248C1D6" w14:textId="77777777" w:rsidR="00296D7D" w:rsidRPr="00CF6917" w:rsidRDefault="00296D7D" w:rsidP="00296D7D">
      <w:pPr>
        <w:pStyle w:val="Heading1"/>
        <w:rPr>
          <w:lang w:val="en-GB"/>
        </w:rPr>
      </w:pPr>
      <w:r w:rsidRPr="00CF6917">
        <w:rPr>
          <w:lang w:val="en-GB"/>
        </w:rPr>
        <w:t>Coffin Dancers</w:t>
      </w:r>
    </w:p>
    <w:p w14:paraId="4C4114F2" w14:textId="3CEDDA92" w:rsidR="00296D7D" w:rsidRPr="00CF6917" w:rsidRDefault="00296D7D" w:rsidP="00296D7D">
      <w:pPr>
        <w:rPr>
          <w:sz w:val="28"/>
          <w:szCs w:val="28"/>
          <w:lang w:eastAsia="en-US"/>
        </w:rPr>
      </w:pPr>
      <w:r w:rsidRPr="00CF6917">
        <w:rPr>
          <w:sz w:val="28"/>
          <w:szCs w:val="28"/>
          <w:lang w:eastAsia="en-US"/>
        </w:rPr>
        <w:t xml:space="preserve">Rather than this being a single item, it is instead a collection of other smaller pieces under the wider banner of Coffin Dancers. The main items being a news article, a video posted by BBC Africa and meme culture on the internet. In </w:t>
      </w:r>
      <w:r w:rsidRPr="00CF6917">
        <w:rPr>
          <w:sz w:val="28"/>
          <w:szCs w:val="28"/>
          <w:lang w:eastAsia="en-US"/>
        </w:rPr>
        <w:t>short,</w:t>
      </w:r>
      <w:r w:rsidRPr="00CF6917">
        <w:rPr>
          <w:sz w:val="28"/>
          <w:szCs w:val="28"/>
          <w:lang w:eastAsia="en-US"/>
        </w:rPr>
        <w:t xml:space="preserve"> the coffin dancers are described as “Pallbearers </w:t>
      </w:r>
      <w:r w:rsidRPr="00CF6917">
        <w:rPr>
          <w:sz w:val="28"/>
          <w:szCs w:val="28"/>
          <w:lang w:eastAsia="en-US"/>
        </w:rPr>
        <w:t>[</w:t>
      </w:r>
      <w:r w:rsidRPr="00CF6917">
        <w:rPr>
          <w:sz w:val="28"/>
          <w:szCs w:val="28"/>
          <w:lang w:eastAsia="en-US"/>
        </w:rPr>
        <w:t>are</w:t>
      </w:r>
      <w:r w:rsidRPr="00CF6917">
        <w:rPr>
          <w:sz w:val="28"/>
          <w:szCs w:val="28"/>
          <w:lang w:eastAsia="en-US"/>
        </w:rPr>
        <w:t>]</w:t>
      </w:r>
      <w:r w:rsidRPr="00CF6917">
        <w:rPr>
          <w:sz w:val="28"/>
          <w:szCs w:val="28"/>
          <w:lang w:eastAsia="en-US"/>
        </w:rPr>
        <w:t xml:space="preserve"> lifting the mood at funerals in Ghana with flamboyant coffin-carrying dances” with a video on the site showing the group in action </w:t>
      </w:r>
      <w:sdt>
        <w:sdtPr>
          <w:rPr>
            <w:sz w:val="28"/>
            <w:szCs w:val="28"/>
            <w:lang w:eastAsia="en-US"/>
          </w:rPr>
          <w:id w:val="1783755092"/>
          <w:citation/>
        </w:sdtPr>
        <w:sdtContent>
          <w:r w:rsidRPr="00CF6917">
            <w:rPr>
              <w:sz w:val="28"/>
              <w:szCs w:val="28"/>
              <w:lang w:eastAsia="en-US"/>
            </w:rPr>
            <w:fldChar w:fldCharType="begin"/>
          </w:r>
          <w:r w:rsidRPr="00CF6917">
            <w:rPr>
              <w:sz w:val="28"/>
              <w:szCs w:val="28"/>
              <w:lang w:eastAsia="en-US"/>
            </w:rPr>
            <w:instrText xml:space="preserve"> CITATION Sul17 \l 2057 </w:instrText>
          </w:r>
          <w:r w:rsidRPr="00CF6917">
            <w:rPr>
              <w:sz w:val="28"/>
              <w:szCs w:val="28"/>
              <w:lang w:eastAsia="en-US"/>
            </w:rPr>
            <w:fldChar w:fldCharType="separate"/>
          </w:r>
          <w:r w:rsidR="00742A0E" w:rsidRPr="00CF6917">
            <w:rPr>
              <w:noProof/>
              <w:sz w:val="28"/>
              <w:szCs w:val="28"/>
              <w:lang w:eastAsia="en-US"/>
            </w:rPr>
            <w:t>(Lansah, 2017)</w:t>
          </w:r>
          <w:r w:rsidRPr="00CF6917">
            <w:rPr>
              <w:sz w:val="28"/>
              <w:szCs w:val="28"/>
              <w:lang w:eastAsia="en-US"/>
            </w:rPr>
            <w:fldChar w:fldCharType="end"/>
          </w:r>
        </w:sdtContent>
      </w:sdt>
      <w:r w:rsidRPr="00CF6917">
        <w:rPr>
          <w:sz w:val="28"/>
          <w:szCs w:val="28"/>
          <w:lang w:eastAsia="en-US"/>
        </w:rPr>
        <w:t xml:space="preserve">. </w:t>
      </w:r>
      <w:r w:rsidR="00325B81" w:rsidRPr="00CF6917">
        <w:rPr>
          <w:sz w:val="28"/>
          <w:szCs w:val="28"/>
          <w:lang w:eastAsia="en-US"/>
        </w:rPr>
        <w:t xml:space="preserve">This idea of changing the mood from sombre to jovial </w:t>
      </w:r>
      <w:r w:rsidR="007C3686" w:rsidRPr="00CF6917">
        <w:rPr>
          <w:sz w:val="28"/>
          <w:szCs w:val="28"/>
          <w:lang w:eastAsia="en-US"/>
        </w:rPr>
        <w:t xml:space="preserve">provides a new and interesting perspective on how a funeral can be conducted. This new view is rather </w:t>
      </w:r>
      <w:r w:rsidR="00505FFD">
        <w:rPr>
          <w:sz w:val="28"/>
          <w:szCs w:val="28"/>
          <w:lang w:eastAsia="en-US"/>
        </w:rPr>
        <w:t>unusual</w:t>
      </w:r>
      <w:r w:rsidR="007C3686" w:rsidRPr="00CF6917">
        <w:rPr>
          <w:sz w:val="28"/>
          <w:szCs w:val="28"/>
          <w:lang w:eastAsia="en-US"/>
        </w:rPr>
        <w:t xml:space="preserve"> when considered along the other ways of dealing with death and grief described in the other sources in this document</w:t>
      </w:r>
      <w:r w:rsidR="00505FFD">
        <w:rPr>
          <w:sz w:val="28"/>
          <w:szCs w:val="28"/>
          <w:lang w:eastAsia="en-US"/>
        </w:rPr>
        <w:t xml:space="preserve">; not to mention the traditional ideas that sending off a loved one should be done in a sad state of </w:t>
      </w:r>
      <w:proofErr w:type="gramStart"/>
      <w:r w:rsidR="00505FFD">
        <w:rPr>
          <w:sz w:val="28"/>
          <w:szCs w:val="28"/>
          <w:lang w:eastAsia="en-US"/>
        </w:rPr>
        <w:t>emotion, and</w:t>
      </w:r>
      <w:proofErr w:type="gramEnd"/>
      <w:r w:rsidR="00505FFD">
        <w:rPr>
          <w:sz w:val="28"/>
          <w:szCs w:val="28"/>
          <w:lang w:eastAsia="en-US"/>
        </w:rPr>
        <w:t xml:space="preserve"> should be done with open grieving and mourning for the deceased</w:t>
      </w:r>
      <w:r w:rsidR="007C3686" w:rsidRPr="00CF6917">
        <w:rPr>
          <w:sz w:val="28"/>
          <w:szCs w:val="28"/>
          <w:lang w:eastAsia="en-US"/>
        </w:rPr>
        <w:t>.</w:t>
      </w:r>
    </w:p>
    <w:p w14:paraId="0EEBEEC8" w14:textId="02306925" w:rsidR="00CF586D" w:rsidRPr="00CF6917" w:rsidRDefault="00CF586D" w:rsidP="00CF586D">
      <w:pPr>
        <w:pStyle w:val="Heading1"/>
        <w:rPr>
          <w:lang w:val="en-GB"/>
        </w:rPr>
      </w:pPr>
      <w:r w:rsidRPr="00CF6917">
        <w:rPr>
          <w:lang w:val="en-GB"/>
        </w:rPr>
        <w:t>Remembering and non-remembering</w:t>
      </w:r>
    </w:p>
    <w:p w14:paraId="163E6917" w14:textId="7574464A" w:rsidR="00CF586D" w:rsidRPr="00CF6917" w:rsidRDefault="00CF586D" w:rsidP="00CF586D">
      <w:pPr>
        <w:rPr>
          <w:sz w:val="28"/>
          <w:szCs w:val="28"/>
          <w:lang w:eastAsia="en-US"/>
        </w:rPr>
      </w:pPr>
      <w:r w:rsidRPr="00CF6917">
        <w:rPr>
          <w:sz w:val="28"/>
          <w:szCs w:val="28"/>
          <w:lang w:eastAsia="en-US"/>
        </w:rPr>
        <w:t xml:space="preserve">The shortest of the items on the list, standing at only 8 pages yet also being one of the most directly informative out of all the items. This chapter focuses on the Yanomami and their methods of conducting funerals and handling grief. </w:t>
      </w:r>
      <w:r w:rsidR="00AF1CDC" w:rsidRPr="00CF6917">
        <w:rPr>
          <w:sz w:val="28"/>
          <w:szCs w:val="28"/>
          <w:lang w:eastAsia="en-US"/>
        </w:rPr>
        <w:t xml:space="preserve">Out of the groups discussed over the selection of works, the Yanomami have the most ‘extreme’ method of dealing with death. While a short description when compared to the piece written by Susan Hemer, which will be discussed later, it explains in detail the process that needs to be adhered to when someone dies. </w:t>
      </w:r>
      <w:r w:rsidR="00E76BE5" w:rsidRPr="00CF6917">
        <w:rPr>
          <w:sz w:val="28"/>
          <w:szCs w:val="28"/>
          <w:lang w:eastAsia="en-US"/>
        </w:rPr>
        <w:t xml:space="preserve">The most ‘medical’ part of the </w:t>
      </w:r>
      <w:r w:rsidR="00A635BD" w:rsidRPr="00CF6917">
        <w:rPr>
          <w:sz w:val="28"/>
          <w:szCs w:val="28"/>
          <w:lang w:eastAsia="en-US"/>
        </w:rPr>
        <w:t>chapter</w:t>
      </w:r>
      <w:r w:rsidR="00E76BE5" w:rsidRPr="00CF6917">
        <w:rPr>
          <w:sz w:val="28"/>
          <w:szCs w:val="28"/>
          <w:lang w:eastAsia="en-US"/>
        </w:rPr>
        <w:t xml:space="preserve"> comes when the </w:t>
      </w:r>
      <w:r w:rsidR="00E76BE5" w:rsidRPr="00CF6917">
        <w:rPr>
          <w:i/>
          <w:iCs/>
          <w:sz w:val="28"/>
          <w:szCs w:val="28"/>
          <w:lang w:eastAsia="en-US"/>
        </w:rPr>
        <w:t>‘</w:t>
      </w:r>
      <w:proofErr w:type="spellStart"/>
      <w:r w:rsidR="00E76BE5" w:rsidRPr="00CF6917">
        <w:rPr>
          <w:i/>
          <w:iCs/>
          <w:sz w:val="28"/>
          <w:szCs w:val="28"/>
          <w:lang w:eastAsia="en-US"/>
        </w:rPr>
        <w:t>reahu</w:t>
      </w:r>
      <w:proofErr w:type="spellEnd"/>
      <w:r w:rsidR="00E76BE5" w:rsidRPr="00CF6917">
        <w:rPr>
          <w:sz w:val="28"/>
          <w:szCs w:val="28"/>
          <w:lang w:eastAsia="en-US"/>
        </w:rPr>
        <w:t xml:space="preserve">’ is described; to summarise it a </w:t>
      </w:r>
      <w:proofErr w:type="spellStart"/>
      <w:r w:rsidR="00E76BE5" w:rsidRPr="00CF6917">
        <w:rPr>
          <w:i/>
          <w:iCs/>
          <w:sz w:val="28"/>
          <w:szCs w:val="28"/>
          <w:lang w:eastAsia="en-US"/>
        </w:rPr>
        <w:t>reahu</w:t>
      </w:r>
      <w:proofErr w:type="spellEnd"/>
      <w:r w:rsidR="00E76BE5" w:rsidRPr="00CF6917">
        <w:rPr>
          <w:sz w:val="28"/>
          <w:szCs w:val="28"/>
          <w:lang w:eastAsia="en-US"/>
        </w:rPr>
        <w:t xml:space="preserve"> is the process in which a dead person is </w:t>
      </w:r>
      <w:r w:rsidR="00E76BE5" w:rsidRPr="00CF6917">
        <w:rPr>
          <w:sz w:val="28"/>
          <w:szCs w:val="28"/>
          <w:lang w:eastAsia="en-US"/>
        </w:rPr>
        <w:lastRenderedPageBreak/>
        <w:t xml:space="preserve">cremated, their bones salvaged from the remains of the pyre and placed in a container for </w:t>
      </w:r>
      <w:r w:rsidR="00A6290D" w:rsidRPr="00CF6917">
        <w:rPr>
          <w:sz w:val="28"/>
          <w:szCs w:val="28"/>
          <w:lang w:eastAsia="en-US"/>
        </w:rPr>
        <w:t>several</w:t>
      </w:r>
      <w:r w:rsidR="00E76BE5" w:rsidRPr="00CF6917">
        <w:rPr>
          <w:sz w:val="28"/>
          <w:szCs w:val="28"/>
          <w:lang w:eastAsia="en-US"/>
        </w:rPr>
        <w:t xml:space="preserve"> weeks. Once time has passed the bones are taken out and ground up into a powder</w:t>
      </w:r>
      <w:r w:rsidR="00A6290D" w:rsidRPr="00CF6917">
        <w:rPr>
          <w:sz w:val="28"/>
          <w:szCs w:val="28"/>
          <w:lang w:eastAsia="en-US"/>
        </w:rPr>
        <w:t xml:space="preserve"> known as </w:t>
      </w:r>
      <w:r w:rsidR="00A6290D" w:rsidRPr="00CF6917">
        <w:rPr>
          <w:i/>
          <w:iCs/>
          <w:sz w:val="28"/>
          <w:szCs w:val="28"/>
          <w:lang w:eastAsia="en-US"/>
        </w:rPr>
        <w:t>‘</w:t>
      </w:r>
      <w:proofErr w:type="spellStart"/>
      <w:r w:rsidR="00A6290D" w:rsidRPr="00CF6917">
        <w:rPr>
          <w:i/>
          <w:iCs/>
          <w:sz w:val="28"/>
          <w:szCs w:val="28"/>
          <w:lang w:eastAsia="en-US"/>
        </w:rPr>
        <w:t>yupu</w:t>
      </w:r>
      <w:proofErr w:type="spellEnd"/>
      <w:r w:rsidR="00A6290D" w:rsidRPr="00CF6917">
        <w:rPr>
          <w:sz w:val="28"/>
          <w:szCs w:val="28"/>
          <w:lang w:eastAsia="en-US"/>
        </w:rPr>
        <w:t xml:space="preserve">’. This powder is then contained inside a gourd until it is added to a banana source and consumed by relatives and allies in a ritual setting. The second phase of the process comes when every item belonging to the deceased is found and summarily destroyed and the person’s name is never mentioned again so that even their memory is lost </w:t>
      </w:r>
      <w:sdt>
        <w:sdtPr>
          <w:rPr>
            <w:sz w:val="28"/>
            <w:szCs w:val="28"/>
            <w:lang w:eastAsia="en-US"/>
          </w:rPr>
          <w:id w:val="2037848335"/>
          <w:citation/>
        </w:sdtPr>
        <w:sdtContent>
          <w:r w:rsidR="00A6290D" w:rsidRPr="00CF6917">
            <w:rPr>
              <w:sz w:val="28"/>
              <w:szCs w:val="28"/>
              <w:lang w:eastAsia="en-US"/>
            </w:rPr>
            <w:fldChar w:fldCharType="begin"/>
          </w:r>
          <w:r w:rsidR="00A6290D" w:rsidRPr="00CF6917">
            <w:rPr>
              <w:sz w:val="28"/>
              <w:szCs w:val="28"/>
              <w:lang w:eastAsia="en-US"/>
            </w:rPr>
            <w:instrText xml:space="preserve">CITATION Gab20 \p 208-209 \l 2057 </w:instrText>
          </w:r>
          <w:r w:rsidR="00A6290D" w:rsidRPr="00CF6917">
            <w:rPr>
              <w:sz w:val="28"/>
              <w:szCs w:val="28"/>
              <w:lang w:eastAsia="en-US"/>
            </w:rPr>
            <w:fldChar w:fldCharType="separate"/>
          </w:r>
          <w:r w:rsidR="00742A0E" w:rsidRPr="00CF6917">
            <w:rPr>
              <w:noProof/>
              <w:sz w:val="28"/>
              <w:szCs w:val="28"/>
              <w:lang w:eastAsia="en-US"/>
            </w:rPr>
            <w:t>(Herzog-Schröder, 2020, pp. 208-209)</w:t>
          </w:r>
          <w:r w:rsidR="00A6290D" w:rsidRPr="00CF6917">
            <w:rPr>
              <w:sz w:val="28"/>
              <w:szCs w:val="28"/>
              <w:lang w:eastAsia="en-US"/>
            </w:rPr>
            <w:fldChar w:fldCharType="end"/>
          </w:r>
        </w:sdtContent>
      </w:sdt>
      <w:r w:rsidR="00A635BD" w:rsidRPr="00CF6917">
        <w:rPr>
          <w:sz w:val="28"/>
          <w:szCs w:val="28"/>
          <w:lang w:eastAsia="en-US"/>
        </w:rPr>
        <w:t xml:space="preserve">. Aside from the description relating to the destruction of a deceased person’s memory, the chapter also elaborates on the wider social context in which it is conducted, which whilst not necessarily directly useful to a piece on death and dying in the medical sense, it does provide a backdrop to the events being described as any event such as a funeral ritual has a wider social context to it within the group. The chapter also contains some pictures of the Yanomami in the context of the ritual described which are useful when used to give a visual representation of the events described. </w:t>
      </w:r>
    </w:p>
    <w:p w14:paraId="3E6376AF" w14:textId="073CDA74" w:rsidR="00587376" w:rsidRPr="00CF6917" w:rsidRDefault="00587376" w:rsidP="00587376">
      <w:pPr>
        <w:pStyle w:val="Heading1"/>
        <w:rPr>
          <w:lang w:val="en-GB"/>
        </w:rPr>
      </w:pPr>
      <w:r w:rsidRPr="00CF6917">
        <w:rPr>
          <w:lang w:val="en-GB"/>
        </w:rPr>
        <w:t>Dying, Grieving and Forgetting</w:t>
      </w:r>
    </w:p>
    <w:p w14:paraId="449554BB" w14:textId="2DD7442E" w:rsidR="00587376" w:rsidRPr="00CF6917" w:rsidRDefault="00587376" w:rsidP="00587376">
      <w:pPr>
        <w:rPr>
          <w:sz w:val="28"/>
          <w:szCs w:val="28"/>
          <w:lang w:eastAsia="en-US"/>
        </w:rPr>
      </w:pPr>
      <w:r w:rsidRPr="00CF6917">
        <w:rPr>
          <w:sz w:val="28"/>
          <w:szCs w:val="28"/>
          <w:lang w:eastAsia="en-US"/>
        </w:rPr>
        <w:t xml:space="preserve">A rather lengthy chapter written by Susan R. Hemer in her book </w:t>
      </w:r>
      <w:r w:rsidRPr="00CF6917">
        <w:rPr>
          <w:i/>
          <w:iCs/>
          <w:sz w:val="28"/>
          <w:szCs w:val="28"/>
          <w:lang w:eastAsia="en-US"/>
        </w:rPr>
        <w:t>Tracing the Melanesian Person</w:t>
      </w:r>
      <w:r w:rsidRPr="00CF6917">
        <w:rPr>
          <w:sz w:val="28"/>
          <w:szCs w:val="28"/>
          <w:lang w:eastAsia="en-US"/>
        </w:rPr>
        <w:t xml:space="preserve">. </w:t>
      </w:r>
      <w:r w:rsidR="009D297E" w:rsidRPr="00CF6917">
        <w:rPr>
          <w:sz w:val="28"/>
          <w:szCs w:val="28"/>
          <w:lang w:eastAsia="en-US"/>
        </w:rPr>
        <w:t xml:space="preserve">Whilst the length of the chapter seemed daunting at first, it proved to be one of the most interesting of the pieces I found in relation to funerals and ideas surrounding death. The chapter is mainly comprised of two alternating segments: she will begin the section with an extract of a story from when she was doing her doctoral fieldwork in which “I was perplexed by the nature of grief in </w:t>
      </w:r>
      <w:proofErr w:type="spellStart"/>
      <w:r w:rsidR="009D297E" w:rsidRPr="00CF6917">
        <w:rPr>
          <w:sz w:val="28"/>
          <w:szCs w:val="28"/>
          <w:lang w:eastAsia="en-US"/>
        </w:rPr>
        <w:t>Lihir</w:t>
      </w:r>
      <w:proofErr w:type="spellEnd"/>
      <w:r w:rsidR="009D297E" w:rsidRPr="00CF6917">
        <w:rPr>
          <w:sz w:val="28"/>
          <w:szCs w:val="28"/>
          <w:lang w:eastAsia="en-US"/>
        </w:rPr>
        <w:t xml:space="preserve">, which to me seemed unaccented” </w:t>
      </w:r>
      <w:sdt>
        <w:sdtPr>
          <w:rPr>
            <w:sz w:val="28"/>
            <w:szCs w:val="28"/>
            <w:lang w:eastAsia="en-US"/>
          </w:rPr>
          <w:id w:val="-1197157023"/>
          <w:citation/>
        </w:sdtPr>
        <w:sdtContent>
          <w:r w:rsidR="009D297E" w:rsidRPr="00CF6917">
            <w:rPr>
              <w:sz w:val="28"/>
              <w:szCs w:val="28"/>
              <w:lang w:eastAsia="en-US"/>
            </w:rPr>
            <w:fldChar w:fldCharType="begin"/>
          </w:r>
          <w:r w:rsidR="009D297E" w:rsidRPr="00CF6917">
            <w:rPr>
              <w:sz w:val="28"/>
              <w:szCs w:val="28"/>
              <w:lang w:eastAsia="en-US"/>
            </w:rPr>
            <w:instrText xml:space="preserve">CITATION Sus13 \p 231 \l 2057 </w:instrText>
          </w:r>
          <w:r w:rsidR="009D297E" w:rsidRPr="00CF6917">
            <w:rPr>
              <w:sz w:val="28"/>
              <w:szCs w:val="28"/>
              <w:lang w:eastAsia="en-US"/>
            </w:rPr>
            <w:fldChar w:fldCharType="separate"/>
          </w:r>
          <w:r w:rsidR="00742A0E" w:rsidRPr="00CF6917">
            <w:rPr>
              <w:noProof/>
              <w:sz w:val="28"/>
              <w:szCs w:val="28"/>
              <w:lang w:eastAsia="en-US"/>
            </w:rPr>
            <w:t>(Hemer, 2013, p. 231)</w:t>
          </w:r>
          <w:r w:rsidR="009D297E" w:rsidRPr="00CF6917">
            <w:rPr>
              <w:sz w:val="28"/>
              <w:szCs w:val="28"/>
              <w:lang w:eastAsia="en-US"/>
            </w:rPr>
            <w:fldChar w:fldCharType="end"/>
          </w:r>
        </w:sdtContent>
      </w:sdt>
      <w:r w:rsidR="009D297E" w:rsidRPr="00CF6917">
        <w:rPr>
          <w:sz w:val="28"/>
          <w:szCs w:val="28"/>
          <w:lang w:eastAsia="en-US"/>
        </w:rPr>
        <w:t xml:space="preserve">. Arguably the best part of this book chapter is the short style it is written in, paragraphs are easily manageable </w:t>
      </w:r>
      <w:r w:rsidR="00CC4B80" w:rsidRPr="00CF6917">
        <w:rPr>
          <w:sz w:val="28"/>
          <w:szCs w:val="28"/>
          <w:lang w:eastAsia="en-US"/>
        </w:rPr>
        <w:t xml:space="preserve">and clear to read. The complex notion of ‘grief’ and ‘mourning’ are neatly summarized throughout, but the best was the author put the idea was “They did not speak about managing their own grief or about grief as a pathological. Was this apparent lack of grief a matter of lack of expression or of experience?” </w:t>
      </w:r>
      <w:sdt>
        <w:sdtPr>
          <w:rPr>
            <w:sz w:val="28"/>
            <w:szCs w:val="28"/>
            <w:lang w:eastAsia="en-US"/>
          </w:rPr>
          <w:id w:val="1784150008"/>
          <w:citation/>
        </w:sdtPr>
        <w:sdtContent>
          <w:r w:rsidR="00CC4B80" w:rsidRPr="00CF6917">
            <w:rPr>
              <w:sz w:val="28"/>
              <w:szCs w:val="28"/>
              <w:lang w:eastAsia="en-US"/>
            </w:rPr>
            <w:fldChar w:fldCharType="begin"/>
          </w:r>
          <w:r w:rsidR="00CC4B80" w:rsidRPr="00CF6917">
            <w:rPr>
              <w:sz w:val="28"/>
              <w:szCs w:val="28"/>
              <w:lang w:eastAsia="en-US"/>
            </w:rPr>
            <w:instrText xml:space="preserve">CITATION Sus13 \p 231 \l 2057 </w:instrText>
          </w:r>
          <w:r w:rsidR="00CC4B80" w:rsidRPr="00CF6917">
            <w:rPr>
              <w:sz w:val="28"/>
              <w:szCs w:val="28"/>
              <w:lang w:eastAsia="en-US"/>
            </w:rPr>
            <w:fldChar w:fldCharType="separate"/>
          </w:r>
          <w:r w:rsidR="00742A0E" w:rsidRPr="00CF6917">
            <w:rPr>
              <w:noProof/>
              <w:sz w:val="28"/>
              <w:szCs w:val="28"/>
              <w:lang w:eastAsia="en-US"/>
            </w:rPr>
            <w:t>(Hemer, 2013, p. 231)</w:t>
          </w:r>
          <w:r w:rsidR="00CC4B80" w:rsidRPr="00CF6917">
            <w:rPr>
              <w:sz w:val="28"/>
              <w:szCs w:val="28"/>
              <w:lang w:eastAsia="en-US"/>
            </w:rPr>
            <w:fldChar w:fldCharType="end"/>
          </w:r>
        </w:sdtContent>
      </w:sdt>
      <w:r w:rsidR="00CC4B80" w:rsidRPr="00CF6917">
        <w:rPr>
          <w:sz w:val="28"/>
          <w:szCs w:val="28"/>
          <w:lang w:eastAsia="en-US"/>
        </w:rPr>
        <w:t xml:space="preserve">. </w:t>
      </w:r>
      <w:r w:rsidR="00A635BD" w:rsidRPr="00CF6917">
        <w:rPr>
          <w:sz w:val="28"/>
          <w:szCs w:val="28"/>
          <w:lang w:eastAsia="en-US"/>
        </w:rPr>
        <w:t xml:space="preserve">When contrasted with the Yanomami’s destruction of memory, this runs quite contrary. </w:t>
      </w:r>
      <w:r w:rsidR="00632549" w:rsidRPr="00CF6917">
        <w:rPr>
          <w:sz w:val="28"/>
          <w:szCs w:val="28"/>
          <w:lang w:eastAsia="en-US"/>
        </w:rPr>
        <w:t xml:space="preserve">In the first discussion segment, related to causes of death, Hemer notes that “Both Sion and another old woman were said to have died just because they were old, and these deaths were marked by a lack of attempts to seek medical treatment or keep the person alive” </w:t>
      </w:r>
      <w:sdt>
        <w:sdtPr>
          <w:rPr>
            <w:sz w:val="28"/>
            <w:szCs w:val="28"/>
            <w:lang w:eastAsia="en-US"/>
          </w:rPr>
          <w:id w:val="1935316342"/>
          <w:citation/>
        </w:sdtPr>
        <w:sdtContent>
          <w:r w:rsidR="00632549" w:rsidRPr="00CF6917">
            <w:rPr>
              <w:sz w:val="28"/>
              <w:szCs w:val="28"/>
              <w:lang w:eastAsia="en-US"/>
            </w:rPr>
            <w:fldChar w:fldCharType="begin"/>
          </w:r>
          <w:r w:rsidR="00632549" w:rsidRPr="00CF6917">
            <w:rPr>
              <w:sz w:val="28"/>
              <w:szCs w:val="28"/>
              <w:lang w:eastAsia="en-US"/>
            </w:rPr>
            <w:instrText xml:space="preserve">CITATION Sus13 \p 237 \n  \l 2057 </w:instrText>
          </w:r>
          <w:r w:rsidR="00632549" w:rsidRPr="00CF6917">
            <w:rPr>
              <w:sz w:val="28"/>
              <w:szCs w:val="28"/>
              <w:lang w:eastAsia="en-US"/>
            </w:rPr>
            <w:fldChar w:fldCharType="separate"/>
          </w:r>
          <w:r w:rsidR="00742A0E" w:rsidRPr="00CF6917">
            <w:rPr>
              <w:noProof/>
              <w:sz w:val="28"/>
              <w:szCs w:val="28"/>
              <w:lang w:eastAsia="en-US"/>
            </w:rPr>
            <w:t>(Dying, Grieving and Forgetting, 2013, p. 237)</w:t>
          </w:r>
          <w:r w:rsidR="00632549" w:rsidRPr="00CF6917">
            <w:rPr>
              <w:sz w:val="28"/>
              <w:szCs w:val="28"/>
              <w:lang w:eastAsia="en-US"/>
            </w:rPr>
            <w:fldChar w:fldCharType="end"/>
          </w:r>
        </w:sdtContent>
      </w:sdt>
      <w:r w:rsidR="00632549" w:rsidRPr="00CF6917">
        <w:rPr>
          <w:sz w:val="28"/>
          <w:szCs w:val="28"/>
          <w:lang w:eastAsia="en-US"/>
        </w:rPr>
        <w:t xml:space="preserve">. Despite the strong bonds that are indirectly mentioned in the example narrative, the idea that people would not actively seek medical help for a sick </w:t>
      </w:r>
      <w:r w:rsidR="00632549" w:rsidRPr="00CF6917">
        <w:rPr>
          <w:sz w:val="28"/>
          <w:szCs w:val="28"/>
          <w:lang w:eastAsia="en-US"/>
        </w:rPr>
        <w:lastRenderedPageBreak/>
        <w:t xml:space="preserve">person in and of itself is a very interesting prospect for reading. </w:t>
      </w:r>
      <w:r w:rsidR="0093167E">
        <w:rPr>
          <w:sz w:val="28"/>
          <w:szCs w:val="28"/>
          <w:lang w:eastAsia="en-US"/>
        </w:rPr>
        <w:t xml:space="preserve">The extensive narrative of the funeral proceedings is also of use for the assignment, as it will be useful when describing how this group see the role of a carer and their ideas of what constitutes good healthcare for others. One of the most interesting points raised “there was always a distinction between what a person died of, and why they died. Thus, a child may die </w:t>
      </w:r>
      <w:r w:rsidR="0093167E" w:rsidRPr="0093167E">
        <w:rPr>
          <w:i/>
          <w:iCs/>
          <w:sz w:val="28"/>
          <w:szCs w:val="28"/>
          <w:lang w:eastAsia="en-US"/>
        </w:rPr>
        <w:t>of</w:t>
      </w:r>
      <w:r w:rsidR="0093167E">
        <w:rPr>
          <w:sz w:val="28"/>
          <w:szCs w:val="28"/>
          <w:lang w:eastAsia="en-US"/>
        </w:rPr>
        <w:t xml:space="preserve"> malnutrition, but she died </w:t>
      </w:r>
      <w:r w:rsidR="0093167E" w:rsidRPr="0093167E">
        <w:rPr>
          <w:i/>
          <w:iCs/>
          <w:sz w:val="28"/>
          <w:szCs w:val="28"/>
          <w:lang w:eastAsia="en-US"/>
        </w:rPr>
        <w:t>because</w:t>
      </w:r>
      <w:r w:rsidR="0093167E">
        <w:rPr>
          <w:sz w:val="28"/>
          <w:szCs w:val="28"/>
          <w:lang w:eastAsia="en-US"/>
        </w:rPr>
        <w:t xml:space="preserve"> of the lack of support for her parents by others” (my emphasis) </w:t>
      </w:r>
      <w:sdt>
        <w:sdtPr>
          <w:rPr>
            <w:sz w:val="28"/>
            <w:szCs w:val="28"/>
            <w:lang w:eastAsia="en-US"/>
          </w:rPr>
          <w:id w:val="-1277101345"/>
          <w:citation/>
        </w:sdtPr>
        <w:sdtContent>
          <w:r w:rsidR="0093167E">
            <w:rPr>
              <w:sz w:val="28"/>
              <w:szCs w:val="28"/>
              <w:lang w:eastAsia="en-US"/>
            </w:rPr>
            <w:fldChar w:fldCharType="begin"/>
          </w:r>
          <w:r w:rsidR="0093167E">
            <w:rPr>
              <w:sz w:val="28"/>
              <w:szCs w:val="28"/>
              <w:lang w:eastAsia="en-US"/>
            </w:rPr>
            <w:instrText xml:space="preserve">CITATION Sus13 \p 238 \l 2057 </w:instrText>
          </w:r>
          <w:r w:rsidR="0093167E">
            <w:rPr>
              <w:sz w:val="28"/>
              <w:szCs w:val="28"/>
              <w:lang w:eastAsia="en-US"/>
            </w:rPr>
            <w:fldChar w:fldCharType="separate"/>
          </w:r>
          <w:r w:rsidR="0093167E" w:rsidRPr="0093167E">
            <w:rPr>
              <w:noProof/>
              <w:sz w:val="28"/>
              <w:szCs w:val="28"/>
              <w:lang w:eastAsia="en-US"/>
            </w:rPr>
            <w:t>(Hemer, 2013, p. 238)</w:t>
          </w:r>
          <w:r w:rsidR="0093167E">
            <w:rPr>
              <w:sz w:val="28"/>
              <w:szCs w:val="28"/>
              <w:lang w:eastAsia="en-US"/>
            </w:rPr>
            <w:fldChar w:fldCharType="end"/>
          </w:r>
        </w:sdtContent>
      </w:sdt>
      <w:r w:rsidR="0093167E">
        <w:rPr>
          <w:sz w:val="28"/>
          <w:szCs w:val="28"/>
          <w:lang w:eastAsia="en-US"/>
        </w:rPr>
        <w:t xml:space="preserve">. </w:t>
      </w:r>
      <w:r w:rsidR="00505FFD">
        <w:rPr>
          <w:sz w:val="28"/>
          <w:szCs w:val="28"/>
          <w:lang w:eastAsia="en-US"/>
        </w:rPr>
        <w:t xml:space="preserve">Out of all the items found for this assignment, this is arguably the most useful as it provides a rich descriptive narrative of how the funeral is conducted and the wider social and cultural context besides the immediate ceremony. This will </w:t>
      </w:r>
      <w:proofErr w:type="gramStart"/>
      <w:r w:rsidR="00505FFD">
        <w:rPr>
          <w:sz w:val="28"/>
          <w:szCs w:val="28"/>
          <w:lang w:eastAsia="en-US"/>
        </w:rPr>
        <w:t>definitely prove</w:t>
      </w:r>
      <w:proofErr w:type="gramEnd"/>
      <w:r w:rsidR="00505FFD">
        <w:rPr>
          <w:sz w:val="28"/>
          <w:szCs w:val="28"/>
          <w:lang w:eastAsia="en-US"/>
        </w:rPr>
        <w:t xml:space="preserve"> useful when writing the second part of the assignment.  </w:t>
      </w:r>
    </w:p>
    <w:p w14:paraId="304D680A" w14:textId="1AD3AB3D" w:rsidR="007C3686" w:rsidRPr="00CF6917" w:rsidRDefault="007C3686" w:rsidP="007C3686">
      <w:pPr>
        <w:pStyle w:val="Heading1"/>
        <w:rPr>
          <w:lang w:val="en-GB"/>
        </w:rPr>
      </w:pPr>
      <w:r w:rsidRPr="00CF6917">
        <w:rPr>
          <w:lang w:val="en-GB"/>
        </w:rPr>
        <w:t>Paying Equal Respects in Fijian Funerals</w:t>
      </w:r>
    </w:p>
    <w:p w14:paraId="3177D233" w14:textId="138601B5" w:rsidR="00C967BC" w:rsidRDefault="007C3686" w:rsidP="007C3686">
      <w:pPr>
        <w:rPr>
          <w:sz w:val="28"/>
          <w:szCs w:val="28"/>
          <w:lang w:eastAsia="en-US"/>
        </w:rPr>
      </w:pPr>
      <w:r w:rsidRPr="00CF6917">
        <w:rPr>
          <w:sz w:val="28"/>
          <w:szCs w:val="28"/>
          <w:lang w:eastAsia="en-US"/>
        </w:rPr>
        <w:t xml:space="preserve">Out of the sources found, this one is the ‘heaviest’ when it comes to reading, it was written in such a way that it felt thicker to read through. Whilst their perceived thickness of text is not necessarily bad, it did make the experience of using it for research on this piece a little unappealing. </w:t>
      </w:r>
      <w:r w:rsidR="00742A0E" w:rsidRPr="00CF6917">
        <w:rPr>
          <w:sz w:val="28"/>
          <w:szCs w:val="28"/>
          <w:lang w:eastAsia="en-US"/>
        </w:rPr>
        <w:t xml:space="preserve">Despite this unappealing aspect, the chapter goes into good amounts of detail when describing the Fijian funeral customs, although in comparison to the rest of the piece it feels a little lacking, as it appears to presume some prior understanding. </w:t>
      </w:r>
      <w:r w:rsidR="00B174DD">
        <w:rPr>
          <w:sz w:val="28"/>
          <w:szCs w:val="28"/>
          <w:lang w:eastAsia="en-US"/>
        </w:rPr>
        <w:t xml:space="preserve">Whilst showing how native Fijian funerals are conducted, the chapter also shows how their lives have changed since the times of colonialism; with another key theme of the work being the differences between what the people studied see as a good life “life in Fiji’s villages amounts to an affluent paradise that ‘everything is already here’. Yet, </w:t>
      </w:r>
      <w:proofErr w:type="gramStart"/>
      <w:r w:rsidR="00B174DD">
        <w:rPr>
          <w:sz w:val="28"/>
          <w:szCs w:val="28"/>
          <w:lang w:eastAsia="en-US"/>
        </w:rPr>
        <w:t>the majority of</w:t>
      </w:r>
      <w:proofErr w:type="gramEnd"/>
      <w:r w:rsidR="00B174DD">
        <w:rPr>
          <w:sz w:val="28"/>
          <w:szCs w:val="28"/>
          <w:lang w:eastAsia="en-US"/>
        </w:rPr>
        <w:t xml:space="preserve"> people born to a village end up living most of their lives elsewhere” </w:t>
      </w:r>
      <w:sdt>
        <w:sdtPr>
          <w:rPr>
            <w:sz w:val="28"/>
            <w:szCs w:val="28"/>
            <w:lang w:eastAsia="en-US"/>
          </w:rPr>
          <w:id w:val="-1351877114"/>
          <w:citation/>
        </w:sdtPr>
        <w:sdtContent>
          <w:r w:rsidR="00B174DD">
            <w:rPr>
              <w:sz w:val="28"/>
              <w:szCs w:val="28"/>
              <w:lang w:eastAsia="en-US"/>
            </w:rPr>
            <w:fldChar w:fldCharType="begin"/>
          </w:r>
          <w:r w:rsidR="00B174DD">
            <w:rPr>
              <w:sz w:val="28"/>
              <w:szCs w:val="28"/>
              <w:lang w:eastAsia="en-US"/>
            </w:rPr>
            <w:instrText xml:space="preserve">CITATION Mat18 \p 11 \l 2057 </w:instrText>
          </w:r>
          <w:r w:rsidR="00B174DD">
            <w:rPr>
              <w:sz w:val="28"/>
              <w:szCs w:val="28"/>
              <w:lang w:eastAsia="en-US"/>
            </w:rPr>
            <w:fldChar w:fldCharType="separate"/>
          </w:r>
          <w:r w:rsidR="00B174DD" w:rsidRPr="00B174DD">
            <w:rPr>
              <w:noProof/>
              <w:sz w:val="28"/>
              <w:szCs w:val="28"/>
              <w:lang w:eastAsia="en-US"/>
            </w:rPr>
            <w:t>(Eräsaari, 2018, p. 11)</w:t>
          </w:r>
          <w:r w:rsidR="00B174DD">
            <w:rPr>
              <w:sz w:val="28"/>
              <w:szCs w:val="28"/>
              <w:lang w:eastAsia="en-US"/>
            </w:rPr>
            <w:fldChar w:fldCharType="end"/>
          </w:r>
        </w:sdtContent>
      </w:sdt>
      <w:r w:rsidR="00B174DD">
        <w:rPr>
          <w:sz w:val="28"/>
          <w:szCs w:val="28"/>
          <w:lang w:eastAsia="en-US"/>
        </w:rPr>
        <w:t>.</w:t>
      </w:r>
      <w:r w:rsidR="00C967BC">
        <w:rPr>
          <w:sz w:val="28"/>
          <w:szCs w:val="28"/>
          <w:lang w:eastAsia="en-US"/>
        </w:rPr>
        <w:t xml:space="preserve"> This idea of a good life is brought alongside the comment that</w:t>
      </w:r>
      <w:r w:rsidR="0093167E">
        <w:rPr>
          <w:sz w:val="28"/>
          <w:szCs w:val="28"/>
          <w:lang w:eastAsia="en-US"/>
        </w:rPr>
        <w:t>:</w:t>
      </w:r>
    </w:p>
    <w:p w14:paraId="455CF955" w14:textId="16FC34E1" w:rsidR="007C3686" w:rsidRDefault="00C967BC" w:rsidP="00C967BC">
      <w:pPr>
        <w:jc w:val="center"/>
        <w:rPr>
          <w:sz w:val="28"/>
          <w:szCs w:val="28"/>
          <w:lang w:eastAsia="en-US"/>
        </w:rPr>
      </w:pPr>
      <w:r>
        <w:rPr>
          <w:sz w:val="28"/>
          <w:szCs w:val="28"/>
          <w:lang w:eastAsia="en-US"/>
        </w:rPr>
        <w:t xml:space="preserve">“Funerals are big, public affairs, the preparations, exchanges and distributions of which involve entire villages. This is also to say that the issue of death is not shunned or brushed aside; when death occurs, local and international extended kin networks are called quickly into action.” </w:t>
      </w:r>
      <w:sdt>
        <w:sdtPr>
          <w:rPr>
            <w:sz w:val="28"/>
            <w:szCs w:val="28"/>
            <w:lang w:eastAsia="en-US"/>
          </w:rPr>
          <w:id w:val="-1622302820"/>
          <w:citation/>
        </w:sdtPr>
        <w:sdtContent>
          <w:r>
            <w:rPr>
              <w:sz w:val="28"/>
              <w:szCs w:val="28"/>
              <w:lang w:eastAsia="en-US"/>
            </w:rPr>
            <w:fldChar w:fldCharType="begin"/>
          </w:r>
          <w:r>
            <w:rPr>
              <w:sz w:val="28"/>
              <w:szCs w:val="28"/>
              <w:lang w:eastAsia="en-US"/>
            </w:rPr>
            <w:instrText xml:space="preserve">CITATION Mat18 \p 12 \l 2057 </w:instrText>
          </w:r>
          <w:r>
            <w:rPr>
              <w:sz w:val="28"/>
              <w:szCs w:val="28"/>
              <w:lang w:eastAsia="en-US"/>
            </w:rPr>
            <w:fldChar w:fldCharType="separate"/>
          </w:r>
          <w:r w:rsidRPr="00C967BC">
            <w:rPr>
              <w:noProof/>
              <w:sz w:val="28"/>
              <w:szCs w:val="28"/>
              <w:lang w:eastAsia="en-US"/>
            </w:rPr>
            <w:t>(Eräsaari, 2018, p. 12)</w:t>
          </w:r>
          <w:r>
            <w:rPr>
              <w:sz w:val="28"/>
              <w:szCs w:val="28"/>
              <w:lang w:eastAsia="en-US"/>
            </w:rPr>
            <w:fldChar w:fldCharType="end"/>
          </w:r>
        </w:sdtContent>
      </w:sdt>
      <w:r w:rsidR="0093167E">
        <w:rPr>
          <w:sz w:val="28"/>
          <w:szCs w:val="28"/>
          <w:lang w:eastAsia="en-US"/>
        </w:rPr>
        <w:t>.</w:t>
      </w:r>
    </w:p>
    <w:p w14:paraId="7F697BAE" w14:textId="4FF8EE47" w:rsidR="00C967BC" w:rsidRPr="00CF6917" w:rsidRDefault="0093167E" w:rsidP="00C967BC">
      <w:pPr>
        <w:rPr>
          <w:sz w:val="28"/>
          <w:szCs w:val="28"/>
          <w:lang w:eastAsia="en-US"/>
        </w:rPr>
      </w:pPr>
      <w:r>
        <w:rPr>
          <w:sz w:val="28"/>
          <w:szCs w:val="28"/>
          <w:lang w:eastAsia="en-US"/>
        </w:rPr>
        <w:t xml:space="preserve">Though the prospect of examining how the ideas of what a good life are, it does not relate to what the assignment is aiming to be about, so that removes a fair portion of the chapter out of contention for utility. However, the parts that are related specifically to the aspect of funerals will be of use. </w:t>
      </w:r>
    </w:p>
    <w:p w14:paraId="0DDC0F6D" w14:textId="37F58A37" w:rsidR="00460556" w:rsidRPr="00CF6917" w:rsidRDefault="00460556" w:rsidP="00460556">
      <w:pPr>
        <w:pStyle w:val="Heading1"/>
        <w:rPr>
          <w:lang w:val="en-GB"/>
        </w:rPr>
      </w:pPr>
      <w:r w:rsidRPr="00CF6917">
        <w:rPr>
          <w:lang w:val="en-GB"/>
        </w:rPr>
        <w:lastRenderedPageBreak/>
        <w:t>Conclusion</w:t>
      </w:r>
    </w:p>
    <w:p w14:paraId="3F881A48" w14:textId="42DBAE18" w:rsidR="00460556" w:rsidRPr="00CF6917" w:rsidRDefault="00460556" w:rsidP="00460556">
      <w:pPr>
        <w:rPr>
          <w:sz w:val="28"/>
          <w:szCs w:val="28"/>
          <w:lang w:eastAsia="en-US"/>
        </w:rPr>
      </w:pPr>
      <w:r w:rsidRPr="00CF6917">
        <w:rPr>
          <w:sz w:val="28"/>
          <w:szCs w:val="28"/>
          <w:lang w:eastAsia="en-US"/>
        </w:rPr>
        <w:t xml:space="preserve">For an assignment with the idea of death and dying as its centre, these </w:t>
      </w:r>
      <w:r w:rsidR="00CF6917">
        <w:rPr>
          <w:sz w:val="28"/>
          <w:szCs w:val="28"/>
          <w:lang w:eastAsia="en-US"/>
        </w:rPr>
        <w:t xml:space="preserve">items all offer varied cultural interpretations of how these issues of loss and mortality are dealt with. Varied from time honoured traditions of Fiji and the Yanomami to the new ideas brought about by the Coffin Dancers in Ghana. The main issues with all pieces when examined together however, is an indistinct link to medical anthropology in the sense of body. Rather these pieces are best used to examine cultural understandings of </w:t>
      </w:r>
      <w:r w:rsidR="00CF6917">
        <w:rPr>
          <w:i/>
          <w:iCs/>
          <w:sz w:val="28"/>
          <w:szCs w:val="28"/>
          <w:lang w:eastAsia="en-US"/>
        </w:rPr>
        <w:t>how</w:t>
      </w:r>
      <w:r w:rsidR="00CF6917">
        <w:rPr>
          <w:sz w:val="28"/>
          <w:szCs w:val="28"/>
          <w:lang w:eastAsia="en-US"/>
        </w:rPr>
        <w:t xml:space="preserve"> death is dealt with instead of using it to look at ideas of the body. </w:t>
      </w:r>
      <w:r w:rsidR="00D641D1">
        <w:rPr>
          <w:sz w:val="28"/>
          <w:szCs w:val="28"/>
          <w:lang w:eastAsia="en-US"/>
        </w:rPr>
        <w:t xml:space="preserve">As such, some will not be used in the second part of the assignment as they lack the kind of information that is required. </w:t>
      </w:r>
    </w:p>
    <w:sdt>
      <w:sdtPr>
        <w:rPr>
          <w:lang w:val="en-GB"/>
        </w:rPr>
        <w:id w:val="-496342443"/>
        <w:docPartObj>
          <w:docPartGallery w:val="Bibliographies"/>
          <w:docPartUnique/>
        </w:docPartObj>
      </w:sdtPr>
      <w:sdtEndPr>
        <w:rPr>
          <w:rFonts w:asciiTheme="minorHAnsi" w:eastAsiaTheme="minorEastAsia" w:hAnsiTheme="minorHAnsi" w:cstheme="minorBidi"/>
          <w:color w:val="auto"/>
          <w:sz w:val="22"/>
          <w:szCs w:val="22"/>
          <w:lang w:eastAsia="ja-JP"/>
        </w:rPr>
      </w:sdtEndPr>
      <w:sdtContent>
        <w:p w14:paraId="54D3A1DF" w14:textId="571CBAF9" w:rsidR="001C086A" w:rsidRPr="00CF6917" w:rsidRDefault="001C086A">
          <w:pPr>
            <w:pStyle w:val="Heading1"/>
            <w:rPr>
              <w:lang w:val="en-GB"/>
            </w:rPr>
          </w:pPr>
          <w:r w:rsidRPr="00CF6917">
            <w:rPr>
              <w:lang w:val="en-GB"/>
            </w:rPr>
            <w:t>Bibliography</w:t>
          </w:r>
        </w:p>
        <w:sdt>
          <w:sdtPr>
            <w:id w:val="111145805"/>
            <w:bibliography/>
          </w:sdtPr>
          <w:sdtContent>
            <w:p w14:paraId="18D75EDC" w14:textId="77777777" w:rsidR="00742A0E" w:rsidRPr="00CF6917" w:rsidRDefault="001C086A" w:rsidP="00742A0E">
              <w:pPr>
                <w:pStyle w:val="Bibliography"/>
                <w:ind w:left="720" w:hanging="720"/>
                <w:rPr>
                  <w:noProof/>
                  <w:sz w:val="24"/>
                  <w:szCs w:val="24"/>
                </w:rPr>
              </w:pPr>
              <w:r w:rsidRPr="00CF6917">
                <w:fldChar w:fldCharType="begin"/>
              </w:r>
              <w:r w:rsidRPr="00CF6917">
                <w:instrText xml:space="preserve"> BIBLIOGRAPHY </w:instrText>
              </w:r>
              <w:r w:rsidRPr="00CF6917">
                <w:fldChar w:fldCharType="separate"/>
              </w:r>
              <w:r w:rsidR="00742A0E" w:rsidRPr="00CF6917">
                <w:rPr>
                  <w:noProof/>
                </w:rPr>
                <w:t xml:space="preserve">Eräsaari, M. (2018). 2 The Good Death?: Paying Equal Respects in Fijian Funerals. In J. A. Chris Gregory, </w:t>
              </w:r>
              <w:r w:rsidR="00742A0E" w:rsidRPr="00CF6917">
                <w:rPr>
                  <w:i/>
                  <w:iCs/>
                  <w:noProof/>
                </w:rPr>
                <w:t>The Quest for the Good Life in Precarious Times: Ethnographic Perspectives on the Domestic Moral Economy</w:t>
              </w:r>
              <w:r w:rsidR="00742A0E" w:rsidRPr="00CF6917">
                <w:rPr>
                  <w:noProof/>
                </w:rPr>
                <w:t xml:space="preserve"> (pp. 11-32). ANU Press.</w:t>
              </w:r>
            </w:p>
            <w:p w14:paraId="195ECF9A" w14:textId="77777777" w:rsidR="00742A0E" w:rsidRPr="00CF6917" w:rsidRDefault="00742A0E" w:rsidP="00742A0E">
              <w:pPr>
                <w:pStyle w:val="Bibliography"/>
                <w:ind w:left="720" w:hanging="720"/>
                <w:rPr>
                  <w:noProof/>
                </w:rPr>
              </w:pPr>
              <w:r w:rsidRPr="00CF6917">
                <w:rPr>
                  <w:noProof/>
                </w:rPr>
                <w:t xml:space="preserve">Hemer, S. R. (2013). Dying, Grieving and Forgetting. In S. R. Hemer, </w:t>
              </w:r>
              <w:r w:rsidRPr="00CF6917">
                <w:rPr>
                  <w:i/>
                  <w:iCs/>
                  <w:noProof/>
                </w:rPr>
                <w:t>Tracing the Melanesian Person: Emotions and Relationships in Lihir</w:t>
              </w:r>
              <w:r w:rsidRPr="00CF6917">
                <w:rPr>
                  <w:noProof/>
                </w:rPr>
                <w:t xml:space="preserve"> (pp. 231-260). Adelaide: University of Adelaide Press.</w:t>
              </w:r>
            </w:p>
            <w:p w14:paraId="654F0AD4" w14:textId="77777777" w:rsidR="00742A0E" w:rsidRPr="00CF6917" w:rsidRDefault="00742A0E" w:rsidP="00742A0E">
              <w:pPr>
                <w:pStyle w:val="Bibliography"/>
                <w:ind w:left="720" w:hanging="720"/>
                <w:rPr>
                  <w:noProof/>
                </w:rPr>
              </w:pPr>
              <w:r w:rsidRPr="00CF6917">
                <w:rPr>
                  <w:noProof/>
                </w:rPr>
                <w:t xml:space="preserve">Herzog-Schröder, G. (2020). 13 Remembering and non-remembering among the Yanomami. In M. S. Philipp Schorch, </w:t>
              </w:r>
              <w:r w:rsidRPr="00CF6917">
                <w:rPr>
                  <w:i/>
                  <w:iCs/>
                  <w:noProof/>
                </w:rPr>
                <w:t>Exploring Materiality and Connectivity in Anthropology and Beyond</w:t>
              </w:r>
              <w:r w:rsidRPr="00CF6917">
                <w:rPr>
                  <w:noProof/>
                </w:rPr>
                <w:t xml:space="preserve"> (pp. 207-213). London: UCL Press.</w:t>
              </w:r>
            </w:p>
            <w:p w14:paraId="245F5696" w14:textId="77777777" w:rsidR="00742A0E" w:rsidRPr="00CF6917" w:rsidRDefault="00742A0E" w:rsidP="00742A0E">
              <w:pPr>
                <w:pStyle w:val="Bibliography"/>
                <w:ind w:left="720" w:hanging="720"/>
                <w:rPr>
                  <w:noProof/>
                </w:rPr>
              </w:pPr>
              <w:r w:rsidRPr="00CF6917">
                <w:rPr>
                  <w:noProof/>
                </w:rPr>
                <w:t>Lansah, S. (2017, July 26). Ghana's dancing pallbearers bring funeral joy. BBC News - Africa. Retrieved April 15, 2021, from https://www.bbc.co.uk/news/av/world-africa-40716576</w:t>
              </w:r>
            </w:p>
            <w:p w14:paraId="78897DB9" w14:textId="77777777" w:rsidR="00742A0E" w:rsidRPr="00CF6917" w:rsidRDefault="00742A0E" w:rsidP="00742A0E">
              <w:pPr>
                <w:pStyle w:val="Bibliography"/>
                <w:ind w:left="720" w:hanging="720"/>
                <w:rPr>
                  <w:noProof/>
                </w:rPr>
              </w:pPr>
              <w:r w:rsidRPr="00CF6917">
                <w:rPr>
                  <w:noProof/>
                </w:rPr>
                <w:t>Sullivan, H. (2020, May 14). 'Why should you cry?' Ghana's dancing pallbearers find new fame during Covid-19. Retrieved April 15, 2021, from https://www.theguardian.com/world/2020/may/14/why-should-you-cry-ghanas-dancing-pallbearers-find-new-fame-during-covid-19</w:t>
              </w:r>
            </w:p>
            <w:p w14:paraId="55F5DC13" w14:textId="6675908F" w:rsidR="001C086A" w:rsidRPr="00CF6917" w:rsidRDefault="001C086A" w:rsidP="00742A0E">
              <w:r w:rsidRPr="00CF6917">
                <w:rPr>
                  <w:b/>
                  <w:bCs/>
                  <w:noProof/>
                </w:rPr>
                <w:fldChar w:fldCharType="end"/>
              </w:r>
            </w:p>
          </w:sdtContent>
        </w:sdt>
      </w:sdtContent>
    </w:sdt>
    <w:p w14:paraId="5468276D" w14:textId="77777777" w:rsidR="001C086A" w:rsidRPr="00CF6917" w:rsidRDefault="001C086A" w:rsidP="00855CFB">
      <w:pPr>
        <w:rPr>
          <w:sz w:val="28"/>
          <w:szCs w:val="28"/>
        </w:rPr>
      </w:pPr>
    </w:p>
    <w:sectPr w:rsidR="001C086A" w:rsidRPr="00CF6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CFB"/>
    <w:rsid w:val="001B5456"/>
    <w:rsid w:val="001C086A"/>
    <w:rsid w:val="00296D7D"/>
    <w:rsid w:val="00325B81"/>
    <w:rsid w:val="00460556"/>
    <w:rsid w:val="00505FFD"/>
    <w:rsid w:val="00587376"/>
    <w:rsid w:val="00632549"/>
    <w:rsid w:val="00742A0E"/>
    <w:rsid w:val="007C3686"/>
    <w:rsid w:val="00855CFB"/>
    <w:rsid w:val="0093167E"/>
    <w:rsid w:val="00943BAE"/>
    <w:rsid w:val="009D297E"/>
    <w:rsid w:val="00A6290D"/>
    <w:rsid w:val="00A635BD"/>
    <w:rsid w:val="00AF1CDC"/>
    <w:rsid w:val="00B174DD"/>
    <w:rsid w:val="00C967BC"/>
    <w:rsid w:val="00CC4B80"/>
    <w:rsid w:val="00CF586D"/>
    <w:rsid w:val="00CF6917"/>
    <w:rsid w:val="00D641D1"/>
    <w:rsid w:val="00DF58E3"/>
    <w:rsid w:val="00E76BE5"/>
    <w:rsid w:val="00EB7423"/>
    <w:rsid w:val="00F33E57"/>
    <w:rsid w:val="00FE200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8955D"/>
  <w15:chartTrackingRefBased/>
  <w15:docId w15:val="{82D0B8B5-92FC-4751-87A2-325F29749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86A"/>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5C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CF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C086A"/>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1C08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3941">
      <w:bodyDiv w:val="1"/>
      <w:marLeft w:val="0"/>
      <w:marRight w:val="0"/>
      <w:marTop w:val="0"/>
      <w:marBottom w:val="0"/>
      <w:divBdr>
        <w:top w:val="none" w:sz="0" w:space="0" w:color="auto"/>
        <w:left w:val="none" w:sz="0" w:space="0" w:color="auto"/>
        <w:bottom w:val="none" w:sz="0" w:space="0" w:color="auto"/>
        <w:right w:val="none" w:sz="0" w:space="0" w:color="auto"/>
      </w:divBdr>
    </w:div>
    <w:div w:id="11806245">
      <w:bodyDiv w:val="1"/>
      <w:marLeft w:val="0"/>
      <w:marRight w:val="0"/>
      <w:marTop w:val="0"/>
      <w:marBottom w:val="0"/>
      <w:divBdr>
        <w:top w:val="none" w:sz="0" w:space="0" w:color="auto"/>
        <w:left w:val="none" w:sz="0" w:space="0" w:color="auto"/>
        <w:bottom w:val="none" w:sz="0" w:space="0" w:color="auto"/>
        <w:right w:val="none" w:sz="0" w:space="0" w:color="auto"/>
      </w:divBdr>
    </w:div>
    <w:div w:id="58790270">
      <w:bodyDiv w:val="1"/>
      <w:marLeft w:val="0"/>
      <w:marRight w:val="0"/>
      <w:marTop w:val="0"/>
      <w:marBottom w:val="0"/>
      <w:divBdr>
        <w:top w:val="none" w:sz="0" w:space="0" w:color="auto"/>
        <w:left w:val="none" w:sz="0" w:space="0" w:color="auto"/>
        <w:bottom w:val="none" w:sz="0" w:space="0" w:color="auto"/>
        <w:right w:val="none" w:sz="0" w:space="0" w:color="auto"/>
      </w:divBdr>
    </w:div>
    <w:div w:id="123277920">
      <w:bodyDiv w:val="1"/>
      <w:marLeft w:val="0"/>
      <w:marRight w:val="0"/>
      <w:marTop w:val="0"/>
      <w:marBottom w:val="0"/>
      <w:divBdr>
        <w:top w:val="none" w:sz="0" w:space="0" w:color="auto"/>
        <w:left w:val="none" w:sz="0" w:space="0" w:color="auto"/>
        <w:bottom w:val="none" w:sz="0" w:space="0" w:color="auto"/>
        <w:right w:val="none" w:sz="0" w:space="0" w:color="auto"/>
      </w:divBdr>
    </w:div>
    <w:div w:id="324012386">
      <w:bodyDiv w:val="1"/>
      <w:marLeft w:val="0"/>
      <w:marRight w:val="0"/>
      <w:marTop w:val="0"/>
      <w:marBottom w:val="0"/>
      <w:divBdr>
        <w:top w:val="none" w:sz="0" w:space="0" w:color="auto"/>
        <w:left w:val="none" w:sz="0" w:space="0" w:color="auto"/>
        <w:bottom w:val="none" w:sz="0" w:space="0" w:color="auto"/>
        <w:right w:val="none" w:sz="0" w:space="0" w:color="auto"/>
      </w:divBdr>
    </w:div>
    <w:div w:id="374041759">
      <w:bodyDiv w:val="1"/>
      <w:marLeft w:val="0"/>
      <w:marRight w:val="0"/>
      <w:marTop w:val="0"/>
      <w:marBottom w:val="0"/>
      <w:divBdr>
        <w:top w:val="none" w:sz="0" w:space="0" w:color="auto"/>
        <w:left w:val="none" w:sz="0" w:space="0" w:color="auto"/>
        <w:bottom w:val="none" w:sz="0" w:space="0" w:color="auto"/>
        <w:right w:val="none" w:sz="0" w:space="0" w:color="auto"/>
      </w:divBdr>
    </w:div>
    <w:div w:id="506022065">
      <w:bodyDiv w:val="1"/>
      <w:marLeft w:val="0"/>
      <w:marRight w:val="0"/>
      <w:marTop w:val="0"/>
      <w:marBottom w:val="0"/>
      <w:divBdr>
        <w:top w:val="none" w:sz="0" w:space="0" w:color="auto"/>
        <w:left w:val="none" w:sz="0" w:space="0" w:color="auto"/>
        <w:bottom w:val="none" w:sz="0" w:space="0" w:color="auto"/>
        <w:right w:val="none" w:sz="0" w:space="0" w:color="auto"/>
      </w:divBdr>
    </w:div>
    <w:div w:id="539628892">
      <w:bodyDiv w:val="1"/>
      <w:marLeft w:val="0"/>
      <w:marRight w:val="0"/>
      <w:marTop w:val="0"/>
      <w:marBottom w:val="0"/>
      <w:divBdr>
        <w:top w:val="none" w:sz="0" w:space="0" w:color="auto"/>
        <w:left w:val="none" w:sz="0" w:space="0" w:color="auto"/>
        <w:bottom w:val="none" w:sz="0" w:space="0" w:color="auto"/>
        <w:right w:val="none" w:sz="0" w:space="0" w:color="auto"/>
      </w:divBdr>
    </w:div>
    <w:div w:id="702246628">
      <w:bodyDiv w:val="1"/>
      <w:marLeft w:val="0"/>
      <w:marRight w:val="0"/>
      <w:marTop w:val="0"/>
      <w:marBottom w:val="0"/>
      <w:divBdr>
        <w:top w:val="none" w:sz="0" w:space="0" w:color="auto"/>
        <w:left w:val="none" w:sz="0" w:space="0" w:color="auto"/>
        <w:bottom w:val="none" w:sz="0" w:space="0" w:color="auto"/>
        <w:right w:val="none" w:sz="0" w:space="0" w:color="auto"/>
      </w:divBdr>
    </w:div>
    <w:div w:id="721365823">
      <w:bodyDiv w:val="1"/>
      <w:marLeft w:val="0"/>
      <w:marRight w:val="0"/>
      <w:marTop w:val="0"/>
      <w:marBottom w:val="0"/>
      <w:divBdr>
        <w:top w:val="none" w:sz="0" w:space="0" w:color="auto"/>
        <w:left w:val="none" w:sz="0" w:space="0" w:color="auto"/>
        <w:bottom w:val="none" w:sz="0" w:space="0" w:color="auto"/>
        <w:right w:val="none" w:sz="0" w:space="0" w:color="auto"/>
      </w:divBdr>
    </w:div>
    <w:div w:id="814954614">
      <w:bodyDiv w:val="1"/>
      <w:marLeft w:val="0"/>
      <w:marRight w:val="0"/>
      <w:marTop w:val="0"/>
      <w:marBottom w:val="0"/>
      <w:divBdr>
        <w:top w:val="none" w:sz="0" w:space="0" w:color="auto"/>
        <w:left w:val="none" w:sz="0" w:space="0" w:color="auto"/>
        <w:bottom w:val="none" w:sz="0" w:space="0" w:color="auto"/>
        <w:right w:val="none" w:sz="0" w:space="0" w:color="auto"/>
      </w:divBdr>
    </w:div>
    <w:div w:id="827791639">
      <w:bodyDiv w:val="1"/>
      <w:marLeft w:val="0"/>
      <w:marRight w:val="0"/>
      <w:marTop w:val="0"/>
      <w:marBottom w:val="0"/>
      <w:divBdr>
        <w:top w:val="none" w:sz="0" w:space="0" w:color="auto"/>
        <w:left w:val="none" w:sz="0" w:space="0" w:color="auto"/>
        <w:bottom w:val="none" w:sz="0" w:space="0" w:color="auto"/>
        <w:right w:val="none" w:sz="0" w:space="0" w:color="auto"/>
      </w:divBdr>
    </w:div>
    <w:div w:id="860775455">
      <w:bodyDiv w:val="1"/>
      <w:marLeft w:val="0"/>
      <w:marRight w:val="0"/>
      <w:marTop w:val="0"/>
      <w:marBottom w:val="0"/>
      <w:divBdr>
        <w:top w:val="none" w:sz="0" w:space="0" w:color="auto"/>
        <w:left w:val="none" w:sz="0" w:space="0" w:color="auto"/>
        <w:bottom w:val="none" w:sz="0" w:space="0" w:color="auto"/>
        <w:right w:val="none" w:sz="0" w:space="0" w:color="auto"/>
      </w:divBdr>
    </w:div>
    <w:div w:id="1000816895">
      <w:bodyDiv w:val="1"/>
      <w:marLeft w:val="0"/>
      <w:marRight w:val="0"/>
      <w:marTop w:val="0"/>
      <w:marBottom w:val="0"/>
      <w:divBdr>
        <w:top w:val="none" w:sz="0" w:space="0" w:color="auto"/>
        <w:left w:val="none" w:sz="0" w:space="0" w:color="auto"/>
        <w:bottom w:val="none" w:sz="0" w:space="0" w:color="auto"/>
        <w:right w:val="none" w:sz="0" w:space="0" w:color="auto"/>
      </w:divBdr>
    </w:div>
    <w:div w:id="1168902879">
      <w:bodyDiv w:val="1"/>
      <w:marLeft w:val="0"/>
      <w:marRight w:val="0"/>
      <w:marTop w:val="0"/>
      <w:marBottom w:val="0"/>
      <w:divBdr>
        <w:top w:val="none" w:sz="0" w:space="0" w:color="auto"/>
        <w:left w:val="none" w:sz="0" w:space="0" w:color="auto"/>
        <w:bottom w:val="none" w:sz="0" w:space="0" w:color="auto"/>
        <w:right w:val="none" w:sz="0" w:space="0" w:color="auto"/>
      </w:divBdr>
    </w:div>
    <w:div w:id="1213687968">
      <w:bodyDiv w:val="1"/>
      <w:marLeft w:val="0"/>
      <w:marRight w:val="0"/>
      <w:marTop w:val="0"/>
      <w:marBottom w:val="0"/>
      <w:divBdr>
        <w:top w:val="none" w:sz="0" w:space="0" w:color="auto"/>
        <w:left w:val="none" w:sz="0" w:space="0" w:color="auto"/>
        <w:bottom w:val="none" w:sz="0" w:space="0" w:color="auto"/>
        <w:right w:val="none" w:sz="0" w:space="0" w:color="auto"/>
      </w:divBdr>
    </w:div>
    <w:div w:id="1433865733">
      <w:bodyDiv w:val="1"/>
      <w:marLeft w:val="0"/>
      <w:marRight w:val="0"/>
      <w:marTop w:val="0"/>
      <w:marBottom w:val="0"/>
      <w:divBdr>
        <w:top w:val="none" w:sz="0" w:space="0" w:color="auto"/>
        <w:left w:val="none" w:sz="0" w:space="0" w:color="auto"/>
        <w:bottom w:val="none" w:sz="0" w:space="0" w:color="auto"/>
        <w:right w:val="none" w:sz="0" w:space="0" w:color="auto"/>
      </w:divBdr>
    </w:div>
    <w:div w:id="1505702400">
      <w:bodyDiv w:val="1"/>
      <w:marLeft w:val="0"/>
      <w:marRight w:val="0"/>
      <w:marTop w:val="0"/>
      <w:marBottom w:val="0"/>
      <w:divBdr>
        <w:top w:val="none" w:sz="0" w:space="0" w:color="auto"/>
        <w:left w:val="none" w:sz="0" w:space="0" w:color="auto"/>
        <w:bottom w:val="none" w:sz="0" w:space="0" w:color="auto"/>
        <w:right w:val="none" w:sz="0" w:space="0" w:color="auto"/>
      </w:divBdr>
    </w:div>
    <w:div w:id="1507748209">
      <w:bodyDiv w:val="1"/>
      <w:marLeft w:val="0"/>
      <w:marRight w:val="0"/>
      <w:marTop w:val="0"/>
      <w:marBottom w:val="0"/>
      <w:divBdr>
        <w:top w:val="none" w:sz="0" w:space="0" w:color="auto"/>
        <w:left w:val="none" w:sz="0" w:space="0" w:color="auto"/>
        <w:bottom w:val="none" w:sz="0" w:space="0" w:color="auto"/>
        <w:right w:val="none" w:sz="0" w:space="0" w:color="auto"/>
      </w:divBdr>
    </w:div>
    <w:div w:id="1561592970">
      <w:bodyDiv w:val="1"/>
      <w:marLeft w:val="0"/>
      <w:marRight w:val="0"/>
      <w:marTop w:val="0"/>
      <w:marBottom w:val="0"/>
      <w:divBdr>
        <w:top w:val="none" w:sz="0" w:space="0" w:color="auto"/>
        <w:left w:val="none" w:sz="0" w:space="0" w:color="auto"/>
        <w:bottom w:val="none" w:sz="0" w:space="0" w:color="auto"/>
        <w:right w:val="none" w:sz="0" w:space="0" w:color="auto"/>
      </w:divBdr>
    </w:div>
    <w:div w:id="1601907303">
      <w:bodyDiv w:val="1"/>
      <w:marLeft w:val="0"/>
      <w:marRight w:val="0"/>
      <w:marTop w:val="0"/>
      <w:marBottom w:val="0"/>
      <w:divBdr>
        <w:top w:val="none" w:sz="0" w:space="0" w:color="auto"/>
        <w:left w:val="none" w:sz="0" w:space="0" w:color="auto"/>
        <w:bottom w:val="none" w:sz="0" w:space="0" w:color="auto"/>
        <w:right w:val="none" w:sz="0" w:space="0" w:color="auto"/>
      </w:divBdr>
    </w:div>
    <w:div w:id="174773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Sus13</b:Tag>
    <b:SourceType>BookSection</b:SourceType>
    <b:Guid>{24B20477-8470-4311-B628-9CAACF97A61A}</b:Guid>
    <b:Title>Dying, Grieving and Forgetting</b:Title>
    <b:Year>2013</b:Year>
    <b:Pages>231-260</b:Pages>
    <b:Author>
      <b:Author>
        <b:NameList>
          <b:Person>
            <b:Last>Hemer</b:Last>
            <b:First>Susan</b:First>
            <b:Middle>R</b:Middle>
          </b:Person>
        </b:NameList>
      </b:Author>
      <b:BookAuthor>
        <b:NameList>
          <b:Person>
            <b:Last>Hemer</b:Last>
            <b:First>Susan</b:First>
            <b:Middle>R</b:Middle>
          </b:Person>
        </b:NameList>
      </b:BookAuthor>
    </b:Author>
    <b:BookTitle>Tracing the Melanesian Person: Emotions and Relationships in Lihir</b:BookTitle>
    <b:City>Adelaide</b:City>
    <b:Publisher>University of Adelaide Press</b:Publisher>
    <b:RefOrder>3</b:RefOrder>
  </b:Source>
  <b:Source>
    <b:Tag>Gab20</b:Tag>
    <b:SourceType>BookSection</b:SourceType>
    <b:Guid>{3BB148E5-E9A0-458B-AE65-EDC99DE9C0D2}</b:Guid>
    <b:Author>
      <b:Author>
        <b:NameList>
          <b:Person>
            <b:Last>Herzog-Schröder</b:Last>
            <b:First>Gabriele</b:First>
          </b:Person>
        </b:NameList>
      </b:Author>
      <b:BookAuthor>
        <b:NameList>
          <b:Person>
            <b:Last>Philipp Schorch</b:Last>
            <b:First>Martin</b:First>
            <b:Middle>Saxer, Marlen Elders</b:Middle>
          </b:Person>
        </b:NameList>
      </b:BookAuthor>
    </b:Author>
    <b:Title>13 Remembering and non-remembering among the Yanomami</b:Title>
    <b:BookTitle>Exploring Materiality and Connectivity in Anthropology and Beyond</b:BookTitle>
    <b:Year>2020</b:Year>
    <b:Pages>207-213</b:Pages>
    <b:City>London</b:City>
    <b:Publisher>UCL Press</b:Publisher>
    <b:RefOrder>2</b:RefOrder>
  </b:Source>
  <b:Source>
    <b:Tag>Mat18</b:Tag>
    <b:SourceType>BookSection</b:SourceType>
    <b:Guid>{A9F09068-CBC6-4449-BDC8-D0E772AB7B9B}</b:Guid>
    <b:Title>2 The Good Death?: Paying Equal Respects in Fijian Funerals</b:Title>
    <b:Year>2018</b:Year>
    <b:Author>
      <b:Author>
        <b:NameList>
          <b:Person>
            <b:Last>Eräsaari</b:Last>
            <b:First>Matti</b:First>
          </b:Person>
        </b:NameList>
      </b:Author>
      <b:BookAuthor>
        <b:NameList>
          <b:Person>
            <b:Last>Chris Gregory</b:Last>
            <b:First>Jon</b:First>
            <b:Middle>Altman</b:Middle>
          </b:Person>
        </b:NameList>
      </b:BookAuthor>
    </b:Author>
    <b:BookTitle>The Quest for the Good Life in Precarious Times: Ethnographic Perspectives on the Domestic Moral Economy</b:BookTitle>
    <b:Pages>11-32</b:Pages>
    <b:Publisher>ANU Press</b:Publisher>
    <b:RefOrder>4</b:RefOrder>
  </b:Source>
  <b:Source>
    <b:Tag>Sul17</b:Tag>
    <b:SourceType>ElectronicSource</b:SourceType>
    <b:Guid>{E2A4CD17-D904-430C-B48F-A495A34ABFD9}</b:Guid>
    <b:Title>Ghana's dancing pallbearers bring funeral joy</b:Title>
    <b:Year>2017</b:Year>
    <b:Publisher>BBC News - Africa</b:Publisher>
    <b:Month>July</b:Month>
    <b:Day>26</b:Day>
    <b:URL>https://www.bbc.co.uk/news/av/world-africa-40716576</b:URL>
    <b:Author>
      <b:Author>
        <b:NameList>
          <b:Person>
            <b:Last>Lansah</b:Last>
            <b:First>Sulley</b:First>
          </b:Person>
        </b:NameList>
      </b:Author>
    </b:Author>
    <b:YearAccessed>2021</b:YearAccessed>
    <b:MonthAccessed>April</b:MonthAccessed>
    <b:DayAccessed>15</b:DayAccessed>
    <b:RefOrder>1</b:RefOrder>
  </b:Source>
  <b:Source>
    <b:Tag>Sul21</b:Tag>
    <b:SourceType>ElectronicSource</b:SourceType>
    <b:Guid>{77DD0D5A-05D6-4E3A-BD35-902091A74005}</b:Guid>
    <b:Title>'Why should you cry?' Ghana's dancing pallbearers find new fame during Covid-19</b:Title>
    <b:Author>
      <b:Author>
        <b:NameList>
          <b:Person>
            <b:Last>Sullivan</b:Last>
            <b:First>Helen</b:First>
          </b:Person>
        </b:NameList>
      </b:Author>
    </b:Author>
    <b:YearAccessed>2021</b:YearAccessed>
    <b:MonthAccessed>April</b:MonthAccessed>
    <b:DayAccessed>15</b:DayAccessed>
    <b:URL>https://www.theguardian.com/world/2020/may/14/why-should-you-cry-ghanas-dancing-pallbearers-find-new-fame-during-covid-19</b:URL>
    <b:Year>2020</b:Year>
    <b:Month>May</b:Month>
    <b:Day>14</b:Day>
    <b:RefOrder>5</b:RefOrder>
  </b:Source>
</b:Sources>
</file>

<file path=customXml/itemProps1.xml><?xml version="1.0" encoding="utf-8"?>
<ds:datastoreItem xmlns:ds="http://schemas.openxmlformats.org/officeDocument/2006/customXml" ds:itemID="{0FBC1BAB-B8CF-44CE-A9A2-4F4328B03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4</Pages>
  <Words>1472</Words>
  <Characters>8395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18</cp:revision>
  <dcterms:created xsi:type="dcterms:W3CDTF">2021-04-15T10:21:00Z</dcterms:created>
  <dcterms:modified xsi:type="dcterms:W3CDTF">2021-04-15T14:35:00Z</dcterms:modified>
</cp:coreProperties>
</file>