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lang w:val="en-GB"/>
        </w:rPr>
        <w:id w:val="423702963"/>
        <w:docPartObj>
          <w:docPartGallery w:val="Cover Pages"/>
          <w:docPartUnique/>
        </w:docPartObj>
      </w:sdtPr>
      <w:sdtEndPr>
        <w:rPr>
          <w:sz w:val="32"/>
          <w:szCs w:val="28"/>
        </w:rPr>
      </w:sdtEndPr>
      <w:sdtContent>
        <w:p w14:paraId="719ABB81" w14:textId="77777777" w:rsidR="00342545" w:rsidRPr="00D940AD" w:rsidRDefault="00342545" w:rsidP="00D940AD">
          <w:pPr>
            <w:rPr>
              <w:rFonts w:asciiTheme="minorHAnsi" w:hAnsiTheme="minorHAnsi"/>
              <w:lang w:val="en-GB"/>
            </w:rPr>
          </w:pPr>
        </w:p>
        <w:p w14:paraId="35BBB4B7" w14:textId="77777777" w:rsidR="00342545" w:rsidRPr="00D940AD" w:rsidRDefault="00342545" w:rsidP="00D940AD">
          <w:pPr>
            <w:rPr>
              <w:rFonts w:asciiTheme="minorHAnsi" w:hAnsiTheme="minorHAnsi"/>
              <w:lang w:val="en-GB"/>
            </w:rPr>
          </w:pPr>
        </w:p>
        <w:p w14:paraId="01211776" w14:textId="77777777" w:rsidR="00342545" w:rsidRPr="00D940AD" w:rsidRDefault="00342545" w:rsidP="00D940AD">
          <w:pPr>
            <w:rPr>
              <w:rFonts w:asciiTheme="minorHAnsi" w:hAnsiTheme="minorHAnsi"/>
              <w:lang w:val="en-GB"/>
            </w:rPr>
          </w:pPr>
        </w:p>
        <w:p w14:paraId="7401BF8B" w14:textId="77777777" w:rsidR="00342545" w:rsidRPr="00D940AD" w:rsidRDefault="00342545" w:rsidP="00277C04">
          <w:pPr>
            <w:rPr>
              <w:rFonts w:asciiTheme="minorHAnsi" w:hAnsiTheme="minorHAnsi"/>
              <w:sz w:val="32"/>
              <w:szCs w:val="28"/>
              <w:lang w:val="en-GB"/>
            </w:rPr>
          </w:pPr>
        </w:p>
        <w:p w14:paraId="5D5CB390" w14:textId="77777777" w:rsidR="00342545" w:rsidRPr="00D940AD" w:rsidRDefault="00342545" w:rsidP="00D940AD">
          <w:pPr>
            <w:jc w:val="center"/>
            <w:rPr>
              <w:rFonts w:asciiTheme="minorHAnsi" w:hAnsiTheme="minorHAnsi"/>
              <w:sz w:val="32"/>
              <w:szCs w:val="28"/>
              <w:lang w:val="en-GB"/>
            </w:rPr>
          </w:pPr>
        </w:p>
        <w:p w14:paraId="6BF4AB0D" w14:textId="77777777" w:rsidR="00AE41A4" w:rsidRDefault="00342545" w:rsidP="00D940AD">
          <w:pPr>
            <w:jc w:val="center"/>
            <w:rPr>
              <w:rFonts w:asciiTheme="minorHAnsi" w:hAnsiTheme="minorHAnsi"/>
              <w:sz w:val="32"/>
              <w:szCs w:val="28"/>
              <w:lang w:val="en-GB"/>
            </w:rPr>
          </w:pPr>
          <w:r w:rsidRPr="00D940AD">
            <w:rPr>
              <w:rFonts w:asciiTheme="minorHAnsi" w:hAnsiTheme="minorHAnsi"/>
              <w:sz w:val="32"/>
              <w:szCs w:val="28"/>
              <w:lang w:val="en-GB"/>
            </w:rPr>
            <w:t>LCMB7012 Banking Financial Management and Financial Market</w:t>
          </w:r>
        </w:p>
        <w:p w14:paraId="4292716B" w14:textId="77777777" w:rsidR="00AE41A4" w:rsidRDefault="00AE41A4" w:rsidP="00D940AD">
          <w:pPr>
            <w:jc w:val="center"/>
            <w:rPr>
              <w:rFonts w:asciiTheme="minorHAnsi" w:hAnsiTheme="minorHAnsi"/>
              <w:sz w:val="32"/>
              <w:szCs w:val="28"/>
              <w:lang w:val="en-GB"/>
            </w:rPr>
          </w:pPr>
          <w:r>
            <w:rPr>
              <w:rFonts w:asciiTheme="minorHAnsi" w:hAnsiTheme="minorHAnsi"/>
              <w:sz w:val="32"/>
              <w:szCs w:val="28"/>
              <w:lang w:val="en-GB"/>
            </w:rPr>
            <w:t>Student Name: Mohammed Naved Momin</w:t>
          </w:r>
        </w:p>
        <w:p w14:paraId="2A98E8A2" w14:textId="77777777" w:rsidR="00AE41A4" w:rsidRDefault="00AE41A4" w:rsidP="00AE41A4">
          <w:pPr>
            <w:jc w:val="center"/>
            <w:rPr>
              <w:rFonts w:asciiTheme="minorHAnsi" w:hAnsiTheme="minorHAnsi"/>
              <w:sz w:val="32"/>
              <w:szCs w:val="28"/>
              <w:lang w:val="en-GB"/>
            </w:rPr>
          </w:pPr>
          <w:r>
            <w:rPr>
              <w:rFonts w:asciiTheme="minorHAnsi" w:hAnsiTheme="minorHAnsi"/>
              <w:sz w:val="32"/>
              <w:szCs w:val="28"/>
              <w:lang w:val="en-GB"/>
            </w:rPr>
            <w:t>Student I’d:2231710</w:t>
          </w:r>
        </w:p>
        <w:p w14:paraId="2E1B30FA" w14:textId="5031975D" w:rsidR="00342545" w:rsidRPr="00D940AD" w:rsidRDefault="00AE41A4" w:rsidP="00AE41A4">
          <w:pPr>
            <w:jc w:val="center"/>
            <w:rPr>
              <w:rFonts w:asciiTheme="minorHAnsi" w:hAnsiTheme="minorHAnsi"/>
              <w:sz w:val="32"/>
              <w:szCs w:val="28"/>
              <w:lang w:val="en-GB"/>
            </w:rPr>
          </w:pPr>
          <w:r>
            <w:rPr>
              <w:rFonts w:asciiTheme="minorHAnsi" w:hAnsiTheme="minorHAnsi"/>
              <w:sz w:val="32"/>
              <w:szCs w:val="28"/>
              <w:lang w:val="en-GB"/>
            </w:rPr>
            <w:t>Lecturer: David Coker</w:t>
          </w:r>
          <w:r w:rsidR="00342545" w:rsidRPr="00D940AD">
            <w:rPr>
              <w:rFonts w:asciiTheme="minorHAnsi" w:hAnsiTheme="minorHAnsi"/>
              <w:sz w:val="32"/>
              <w:szCs w:val="28"/>
              <w:lang w:val="en-GB"/>
            </w:rPr>
            <w:br w:type="page"/>
          </w:r>
        </w:p>
      </w:sdtContent>
    </w:sdt>
    <w:sdt>
      <w:sdtPr>
        <w:rPr>
          <w:rFonts w:asciiTheme="minorHAnsi" w:hAnsiTheme="minorHAnsi"/>
          <w:b/>
          <w:bCs/>
          <w:lang w:val="en-GB"/>
        </w:rPr>
        <w:id w:val="-1058705576"/>
        <w:docPartObj>
          <w:docPartGallery w:val="Table of Contents"/>
          <w:docPartUnique/>
        </w:docPartObj>
      </w:sdtPr>
      <w:sdtEndPr>
        <w:rPr>
          <w:b w:val="0"/>
          <w:noProof/>
        </w:rPr>
      </w:sdtEndPr>
      <w:sdtContent>
        <w:p w14:paraId="6432A95B" w14:textId="77777777" w:rsidR="008F6B04" w:rsidRPr="00D940AD" w:rsidRDefault="008F6B04" w:rsidP="00D940AD">
          <w:pPr>
            <w:rPr>
              <w:rFonts w:asciiTheme="minorHAnsi" w:eastAsiaTheme="majorEastAsia" w:hAnsiTheme="minorHAnsi"/>
              <w:b/>
              <w:color w:val="2F5496" w:themeColor="accent1" w:themeShade="BF"/>
              <w:kern w:val="2"/>
              <w:sz w:val="36"/>
              <w:szCs w:val="36"/>
              <w:lang w:val="en-GB"/>
              <w14:ligatures w14:val="standardContextual"/>
            </w:rPr>
          </w:pPr>
          <w:r w:rsidRPr="00D940AD">
            <w:rPr>
              <w:rFonts w:asciiTheme="minorHAnsi" w:eastAsiaTheme="majorEastAsia" w:hAnsiTheme="minorHAnsi"/>
              <w:b/>
              <w:color w:val="2F5496" w:themeColor="accent1" w:themeShade="BF"/>
              <w:kern w:val="2"/>
              <w:sz w:val="36"/>
              <w:szCs w:val="36"/>
              <w:lang w:val="en-GB"/>
              <w14:ligatures w14:val="standardContextual"/>
            </w:rPr>
            <w:t>Table of Contents</w:t>
          </w:r>
        </w:p>
        <w:p w14:paraId="6A188873" w14:textId="2B1C33E5" w:rsidR="00E24AFB" w:rsidRPr="00E24AFB" w:rsidRDefault="008F6B04" w:rsidP="00E24AFB">
          <w:pPr>
            <w:pStyle w:val="TOC1"/>
            <w:tabs>
              <w:tab w:val="left" w:pos="440"/>
              <w:tab w:val="right" w:leader="dot" w:pos="9016"/>
            </w:tabs>
            <w:spacing w:line="360" w:lineRule="auto"/>
            <w:rPr>
              <w:rFonts w:cstheme="minorBidi"/>
              <w:noProof/>
              <w:kern w:val="2"/>
              <w:sz w:val="24"/>
              <w:szCs w:val="24"/>
              <w:lang w:val="en-AU" w:eastAsia="en-AU"/>
              <w14:ligatures w14:val="standardContextual"/>
            </w:rPr>
          </w:pPr>
          <w:r w:rsidRPr="00E24AFB">
            <w:rPr>
              <w:rFonts w:cstheme="minorHAnsi"/>
              <w:sz w:val="24"/>
              <w:szCs w:val="24"/>
              <w:lang w:val="en-GB"/>
            </w:rPr>
            <w:fldChar w:fldCharType="begin"/>
          </w:r>
          <w:r w:rsidRPr="00E24AFB">
            <w:rPr>
              <w:rFonts w:cstheme="minorHAnsi"/>
              <w:sz w:val="24"/>
              <w:szCs w:val="24"/>
              <w:lang w:val="en-GB"/>
            </w:rPr>
            <w:instrText xml:space="preserve"> TOC \o "1-3" \h \z \u </w:instrText>
          </w:r>
          <w:r w:rsidRPr="00E24AFB">
            <w:rPr>
              <w:rFonts w:cstheme="minorHAnsi"/>
              <w:sz w:val="24"/>
              <w:szCs w:val="24"/>
              <w:lang w:val="en-GB"/>
            </w:rPr>
            <w:fldChar w:fldCharType="separate"/>
          </w:r>
          <w:hyperlink w:anchor="_Toc142748483" w:history="1">
            <w:r w:rsidR="00E24AFB" w:rsidRPr="00E24AFB">
              <w:rPr>
                <w:rStyle w:val="Hyperlink"/>
                <w:rFonts w:cstheme="minorHAnsi"/>
                <w:noProof/>
                <w:sz w:val="24"/>
                <w:szCs w:val="24"/>
                <w:lang w:val="en-GB"/>
              </w:rPr>
              <w:t>1.</w:t>
            </w:r>
            <w:r w:rsidR="00E24AFB" w:rsidRPr="00E24AFB">
              <w:rPr>
                <w:rFonts w:cstheme="minorBidi"/>
                <w:noProof/>
                <w:kern w:val="2"/>
                <w:sz w:val="24"/>
                <w:szCs w:val="24"/>
                <w:lang w:val="en-AU" w:eastAsia="en-AU"/>
                <w14:ligatures w14:val="standardContextual"/>
              </w:rPr>
              <w:tab/>
            </w:r>
            <w:r w:rsidR="00E24AFB" w:rsidRPr="00E24AFB">
              <w:rPr>
                <w:rStyle w:val="Hyperlink"/>
                <w:rFonts w:cstheme="minorHAnsi"/>
                <w:noProof/>
                <w:sz w:val="24"/>
                <w:szCs w:val="24"/>
                <w:lang w:val="en-GB"/>
              </w:rPr>
              <w:t>Introduction</w:t>
            </w:r>
            <w:r w:rsidR="00E24AFB" w:rsidRPr="00E24AFB">
              <w:rPr>
                <w:noProof/>
                <w:webHidden/>
                <w:sz w:val="24"/>
                <w:szCs w:val="24"/>
              </w:rPr>
              <w:tab/>
            </w:r>
            <w:r w:rsidR="00E24AFB" w:rsidRPr="00E24AFB">
              <w:rPr>
                <w:noProof/>
                <w:webHidden/>
                <w:sz w:val="24"/>
                <w:szCs w:val="24"/>
              </w:rPr>
              <w:fldChar w:fldCharType="begin"/>
            </w:r>
            <w:r w:rsidR="00E24AFB" w:rsidRPr="00E24AFB">
              <w:rPr>
                <w:noProof/>
                <w:webHidden/>
                <w:sz w:val="24"/>
                <w:szCs w:val="24"/>
              </w:rPr>
              <w:instrText xml:space="preserve"> PAGEREF _Toc142748483 \h </w:instrText>
            </w:r>
            <w:r w:rsidR="00E24AFB" w:rsidRPr="00E24AFB">
              <w:rPr>
                <w:noProof/>
                <w:webHidden/>
                <w:sz w:val="24"/>
                <w:szCs w:val="24"/>
              </w:rPr>
            </w:r>
            <w:r w:rsidR="00E24AFB" w:rsidRPr="00E24AFB">
              <w:rPr>
                <w:noProof/>
                <w:webHidden/>
                <w:sz w:val="24"/>
                <w:szCs w:val="24"/>
              </w:rPr>
              <w:fldChar w:fldCharType="separate"/>
            </w:r>
            <w:r w:rsidR="00E24AFB" w:rsidRPr="00E24AFB">
              <w:rPr>
                <w:noProof/>
                <w:webHidden/>
                <w:sz w:val="24"/>
                <w:szCs w:val="24"/>
              </w:rPr>
              <w:t>2</w:t>
            </w:r>
            <w:r w:rsidR="00E24AFB" w:rsidRPr="00E24AFB">
              <w:rPr>
                <w:noProof/>
                <w:webHidden/>
                <w:sz w:val="24"/>
                <w:szCs w:val="24"/>
              </w:rPr>
              <w:fldChar w:fldCharType="end"/>
            </w:r>
          </w:hyperlink>
        </w:p>
        <w:p w14:paraId="4A379E6F" w14:textId="0578F79B" w:rsidR="00E24AFB" w:rsidRPr="00E24AFB" w:rsidRDefault="00000000" w:rsidP="00E24AFB">
          <w:pPr>
            <w:pStyle w:val="TOC1"/>
            <w:tabs>
              <w:tab w:val="left" w:pos="440"/>
              <w:tab w:val="right" w:leader="dot" w:pos="9016"/>
            </w:tabs>
            <w:spacing w:line="360" w:lineRule="auto"/>
            <w:rPr>
              <w:rFonts w:cstheme="minorBidi"/>
              <w:noProof/>
              <w:kern w:val="2"/>
              <w:sz w:val="24"/>
              <w:szCs w:val="24"/>
              <w:lang w:val="en-AU" w:eastAsia="en-AU"/>
              <w14:ligatures w14:val="standardContextual"/>
            </w:rPr>
          </w:pPr>
          <w:hyperlink w:anchor="_Toc142748484" w:history="1">
            <w:r w:rsidR="00E24AFB" w:rsidRPr="00E24AFB">
              <w:rPr>
                <w:rStyle w:val="Hyperlink"/>
                <w:rFonts w:cstheme="minorHAnsi"/>
                <w:noProof/>
                <w:sz w:val="24"/>
                <w:szCs w:val="24"/>
                <w:lang w:val="en-GB"/>
              </w:rPr>
              <w:t>2.</w:t>
            </w:r>
            <w:r w:rsidR="00E24AFB" w:rsidRPr="00E24AFB">
              <w:rPr>
                <w:rFonts w:cstheme="minorBidi"/>
                <w:noProof/>
                <w:kern w:val="2"/>
                <w:sz w:val="24"/>
                <w:szCs w:val="24"/>
                <w:lang w:val="en-AU" w:eastAsia="en-AU"/>
                <w14:ligatures w14:val="standardContextual"/>
              </w:rPr>
              <w:tab/>
            </w:r>
            <w:r w:rsidR="00E24AFB" w:rsidRPr="00E24AFB">
              <w:rPr>
                <w:rStyle w:val="Hyperlink"/>
                <w:rFonts w:cstheme="minorHAnsi"/>
                <w:noProof/>
                <w:sz w:val="24"/>
                <w:szCs w:val="24"/>
                <w:lang w:val="en-GB"/>
              </w:rPr>
              <w:t>UK based key regulatory frameworks</w:t>
            </w:r>
            <w:r w:rsidR="00E24AFB" w:rsidRPr="00E24AFB">
              <w:rPr>
                <w:noProof/>
                <w:webHidden/>
                <w:sz w:val="24"/>
                <w:szCs w:val="24"/>
              </w:rPr>
              <w:tab/>
            </w:r>
            <w:r w:rsidR="00E24AFB" w:rsidRPr="00E24AFB">
              <w:rPr>
                <w:noProof/>
                <w:webHidden/>
                <w:sz w:val="24"/>
                <w:szCs w:val="24"/>
              </w:rPr>
              <w:fldChar w:fldCharType="begin"/>
            </w:r>
            <w:r w:rsidR="00E24AFB" w:rsidRPr="00E24AFB">
              <w:rPr>
                <w:noProof/>
                <w:webHidden/>
                <w:sz w:val="24"/>
                <w:szCs w:val="24"/>
              </w:rPr>
              <w:instrText xml:space="preserve"> PAGEREF _Toc142748484 \h </w:instrText>
            </w:r>
            <w:r w:rsidR="00E24AFB" w:rsidRPr="00E24AFB">
              <w:rPr>
                <w:noProof/>
                <w:webHidden/>
                <w:sz w:val="24"/>
                <w:szCs w:val="24"/>
              </w:rPr>
            </w:r>
            <w:r w:rsidR="00E24AFB" w:rsidRPr="00E24AFB">
              <w:rPr>
                <w:noProof/>
                <w:webHidden/>
                <w:sz w:val="24"/>
                <w:szCs w:val="24"/>
              </w:rPr>
              <w:fldChar w:fldCharType="separate"/>
            </w:r>
            <w:r w:rsidR="00E24AFB" w:rsidRPr="00E24AFB">
              <w:rPr>
                <w:noProof/>
                <w:webHidden/>
                <w:sz w:val="24"/>
                <w:szCs w:val="24"/>
              </w:rPr>
              <w:t>3</w:t>
            </w:r>
            <w:r w:rsidR="00E24AFB" w:rsidRPr="00E24AFB">
              <w:rPr>
                <w:noProof/>
                <w:webHidden/>
                <w:sz w:val="24"/>
                <w:szCs w:val="24"/>
              </w:rPr>
              <w:fldChar w:fldCharType="end"/>
            </w:r>
          </w:hyperlink>
        </w:p>
        <w:p w14:paraId="52C5EF6D" w14:textId="001A0DDC" w:rsidR="00E24AFB" w:rsidRPr="00E24AFB" w:rsidRDefault="00000000" w:rsidP="00E24AFB">
          <w:pPr>
            <w:pStyle w:val="TOC2"/>
            <w:tabs>
              <w:tab w:val="left" w:pos="880"/>
              <w:tab w:val="right" w:leader="dot" w:pos="9016"/>
            </w:tabs>
            <w:spacing w:line="360" w:lineRule="auto"/>
            <w:rPr>
              <w:rFonts w:cstheme="minorBidi"/>
              <w:noProof/>
              <w:kern w:val="2"/>
              <w:sz w:val="24"/>
              <w:szCs w:val="24"/>
              <w:lang w:val="en-AU" w:eastAsia="en-AU"/>
              <w14:ligatures w14:val="standardContextual"/>
            </w:rPr>
          </w:pPr>
          <w:hyperlink w:anchor="_Toc142748485" w:history="1">
            <w:r w:rsidR="00E24AFB" w:rsidRPr="00E24AFB">
              <w:rPr>
                <w:rStyle w:val="Hyperlink"/>
                <w:rFonts w:cstheme="minorHAnsi"/>
                <w:noProof/>
                <w:sz w:val="24"/>
                <w:szCs w:val="24"/>
              </w:rPr>
              <w:t>2.1.</w:t>
            </w:r>
            <w:r w:rsidR="00E24AFB" w:rsidRPr="00E24AFB">
              <w:rPr>
                <w:rFonts w:cstheme="minorBidi"/>
                <w:noProof/>
                <w:kern w:val="2"/>
                <w:sz w:val="24"/>
                <w:szCs w:val="24"/>
                <w:lang w:val="en-AU" w:eastAsia="en-AU"/>
                <w14:ligatures w14:val="standardContextual"/>
              </w:rPr>
              <w:tab/>
            </w:r>
            <w:r w:rsidR="00E24AFB" w:rsidRPr="00E24AFB">
              <w:rPr>
                <w:rStyle w:val="Hyperlink"/>
                <w:rFonts w:cstheme="minorHAnsi"/>
                <w:noProof/>
                <w:sz w:val="24"/>
                <w:szCs w:val="24"/>
              </w:rPr>
              <w:t>Financial Services Act 2012</w:t>
            </w:r>
            <w:r w:rsidR="00E24AFB" w:rsidRPr="00E24AFB">
              <w:rPr>
                <w:noProof/>
                <w:webHidden/>
                <w:sz w:val="24"/>
                <w:szCs w:val="24"/>
              </w:rPr>
              <w:tab/>
            </w:r>
            <w:r w:rsidR="00E24AFB" w:rsidRPr="00E24AFB">
              <w:rPr>
                <w:noProof/>
                <w:webHidden/>
                <w:sz w:val="24"/>
                <w:szCs w:val="24"/>
              </w:rPr>
              <w:fldChar w:fldCharType="begin"/>
            </w:r>
            <w:r w:rsidR="00E24AFB" w:rsidRPr="00E24AFB">
              <w:rPr>
                <w:noProof/>
                <w:webHidden/>
                <w:sz w:val="24"/>
                <w:szCs w:val="24"/>
              </w:rPr>
              <w:instrText xml:space="preserve"> PAGEREF _Toc142748485 \h </w:instrText>
            </w:r>
            <w:r w:rsidR="00E24AFB" w:rsidRPr="00E24AFB">
              <w:rPr>
                <w:noProof/>
                <w:webHidden/>
                <w:sz w:val="24"/>
                <w:szCs w:val="24"/>
              </w:rPr>
            </w:r>
            <w:r w:rsidR="00E24AFB" w:rsidRPr="00E24AFB">
              <w:rPr>
                <w:noProof/>
                <w:webHidden/>
                <w:sz w:val="24"/>
                <w:szCs w:val="24"/>
              </w:rPr>
              <w:fldChar w:fldCharType="separate"/>
            </w:r>
            <w:r w:rsidR="00E24AFB" w:rsidRPr="00E24AFB">
              <w:rPr>
                <w:noProof/>
                <w:webHidden/>
                <w:sz w:val="24"/>
                <w:szCs w:val="24"/>
              </w:rPr>
              <w:t>3</w:t>
            </w:r>
            <w:r w:rsidR="00E24AFB" w:rsidRPr="00E24AFB">
              <w:rPr>
                <w:noProof/>
                <w:webHidden/>
                <w:sz w:val="24"/>
                <w:szCs w:val="24"/>
              </w:rPr>
              <w:fldChar w:fldCharType="end"/>
            </w:r>
          </w:hyperlink>
        </w:p>
        <w:p w14:paraId="0E7F000B" w14:textId="2C151F24" w:rsidR="00E24AFB" w:rsidRPr="00E24AFB" w:rsidRDefault="00000000" w:rsidP="00E24AFB">
          <w:pPr>
            <w:pStyle w:val="TOC2"/>
            <w:tabs>
              <w:tab w:val="left" w:pos="880"/>
              <w:tab w:val="right" w:leader="dot" w:pos="9016"/>
            </w:tabs>
            <w:spacing w:line="360" w:lineRule="auto"/>
            <w:rPr>
              <w:rFonts w:cstheme="minorBidi"/>
              <w:noProof/>
              <w:kern w:val="2"/>
              <w:sz w:val="24"/>
              <w:szCs w:val="24"/>
              <w:lang w:val="en-AU" w:eastAsia="en-AU"/>
              <w14:ligatures w14:val="standardContextual"/>
            </w:rPr>
          </w:pPr>
          <w:hyperlink w:anchor="_Toc142748486" w:history="1">
            <w:r w:rsidR="00E24AFB" w:rsidRPr="00E24AFB">
              <w:rPr>
                <w:rStyle w:val="Hyperlink"/>
                <w:rFonts w:cstheme="minorHAnsi"/>
                <w:noProof/>
                <w:sz w:val="24"/>
                <w:szCs w:val="24"/>
              </w:rPr>
              <w:t>2.2.</w:t>
            </w:r>
            <w:r w:rsidR="00E24AFB" w:rsidRPr="00E24AFB">
              <w:rPr>
                <w:rFonts w:cstheme="minorBidi"/>
                <w:noProof/>
                <w:kern w:val="2"/>
                <w:sz w:val="24"/>
                <w:szCs w:val="24"/>
                <w:lang w:val="en-AU" w:eastAsia="en-AU"/>
                <w14:ligatures w14:val="standardContextual"/>
              </w:rPr>
              <w:tab/>
            </w:r>
            <w:r w:rsidR="00E24AFB" w:rsidRPr="00E24AFB">
              <w:rPr>
                <w:rStyle w:val="Hyperlink"/>
                <w:rFonts w:cstheme="minorHAnsi"/>
                <w:noProof/>
                <w:sz w:val="24"/>
                <w:szCs w:val="24"/>
              </w:rPr>
              <w:t>Bank of England and Financial Services Act 2016</w:t>
            </w:r>
            <w:r w:rsidR="00E24AFB" w:rsidRPr="00E24AFB">
              <w:rPr>
                <w:noProof/>
                <w:webHidden/>
                <w:sz w:val="24"/>
                <w:szCs w:val="24"/>
              </w:rPr>
              <w:tab/>
            </w:r>
            <w:r w:rsidR="00E24AFB" w:rsidRPr="00E24AFB">
              <w:rPr>
                <w:noProof/>
                <w:webHidden/>
                <w:sz w:val="24"/>
                <w:szCs w:val="24"/>
              </w:rPr>
              <w:fldChar w:fldCharType="begin"/>
            </w:r>
            <w:r w:rsidR="00E24AFB" w:rsidRPr="00E24AFB">
              <w:rPr>
                <w:noProof/>
                <w:webHidden/>
                <w:sz w:val="24"/>
                <w:szCs w:val="24"/>
              </w:rPr>
              <w:instrText xml:space="preserve"> PAGEREF _Toc142748486 \h </w:instrText>
            </w:r>
            <w:r w:rsidR="00E24AFB" w:rsidRPr="00E24AFB">
              <w:rPr>
                <w:noProof/>
                <w:webHidden/>
                <w:sz w:val="24"/>
                <w:szCs w:val="24"/>
              </w:rPr>
            </w:r>
            <w:r w:rsidR="00E24AFB" w:rsidRPr="00E24AFB">
              <w:rPr>
                <w:noProof/>
                <w:webHidden/>
                <w:sz w:val="24"/>
                <w:szCs w:val="24"/>
              </w:rPr>
              <w:fldChar w:fldCharType="separate"/>
            </w:r>
            <w:r w:rsidR="00E24AFB" w:rsidRPr="00E24AFB">
              <w:rPr>
                <w:noProof/>
                <w:webHidden/>
                <w:sz w:val="24"/>
                <w:szCs w:val="24"/>
              </w:rPr>
              <w:t>4</w:t>
            </w:r>
            <w:r w:rsidR="00E24AFB" w:rsidRPr="00E24AFB">
              <w:rPr>
                <w:noProof/>
                <w:webHidden/>
                <w:sz w:val="24"/>
                <w:szCs w:val="24"/>
              </w:rPr>
              <w:fldChar w:fldCharType="end"/>
            </w:r>
          </w:hyperlink>
        </w:p>
        <w:p w14:paraId="39315880" w14:textId="66B35A47" w:rsidR="00E24AFB" w:rsidRPr="00E24AFB" w:rsidRDefault="00000000" w:rsidP="00E24AFB">
          <w:pPr>
            <w:pStyle w:val="TOC2"/>
            <w:tabs>
              <w:tab w:val="left" w:pos="880"/>
              <w:tab w:val="right" w:leader="dot" w:pos="9016"/>
            </w:tabs>
            <w:spacing w:line="360" w:lineRule="auto"/>
            <w:rPr>
              <w:rFonts w:cstheme="minorBidi"/>
              <w:noProof/>
              <w:kern w:val="2"/>
              <w:sz w:val="24"/>
              <w:szCs w:val="24"/>
              <w:lang w:val="en-AU" w:eastAsia="en-AU"/>
              <w14:ligatures w14:val="standardContextual"/>
            </w:rPr>
          </w:pPr>
          <w:hyperlink w:anchor="_Toc142748487" w:history="1">
            <w:r w:rsidR="00E24AFB" w:rsidRPr="00E24AFB">
              <w:rPr>
                <w:rStyle w:val="Hyperlink"/>
                <w:rFonts w:cstheme="minorHAnsi"/>
                <w:noProof/>
                <w:sz w:val="24"/>
                <w:szCs w:val="24"/>
              </w:rPr>
              <w:t>2.3.</w:t>
            </w:r>
            <w:r w:rsidR="00E24AFB" w:rsidRPr="00E24AFB">
              <w:rPr>
                <w:rFonts w:cstheme="minorBidi"/>
                <w:noProof/>
                <w:kern w:val="2"/>
                <w:sz w:val="24"/>
                <w:szCs w:val="24"/>
                <w:lang w:val="en-AU" w:eastAsia="en-AU"/>
                <w14:ligatures w14:val="standardContextual"/>
              </w:rPr>
              <w:tab/>
            </w:r>
            <w:r w:rsidR="00E24AFB" w:rsidRPr="00E24AFB">
              <w:rPr>
                <w:rStyle w:val="Hyperlink"/>
                <w:rFonts w:cstheme="minorHAnsi"/>
                <w:noProof/>
                <w:sz w:val="24"/>
                <w:szCs w:val="24"/>
              </w:rPr>
              <w:t>Financial Conduct Authority (FCA)</w:t>
            </w:r>
            <w:r w:rsidR="00E24AFB" w:rsidRPr="00E24AFB">
              <w:rPr>
                <w:noProof/>
                <w:webHidden/>
                <w:sz w:val="24"/>
                <w:szCs w:val="24"/>
              </w:rPr>
              <w:tab/>
            </w:r>
            <w:r w:rsidR="00E24AFB" w:rsidRPr="00E24AFB">
              <w:rPr>
                <w:noProof/>
                <w:webHidden/>
                <w:sz w:val="24"/>
                <w:szCs w:val="24"/>
              </w:rPr>
              <w:fldChar w:fldCharType="begin"/>
            </w:r>
            <w:r w:rsidR="00E24AFB" w:rsidRPr="00E24AFB">
              <w:rPr>
                <w:noProof/>
                <w:webHidden/>
                <w:sz w:val="24"/>
                <w:szCs w:val="24"/>
              </w:rPr>
              <w:instrText xml:space="preserve"> PAGEREF _Toc142748487 \h </w:instrText>
            </w:r>
            <w:r w:rsidR="00E24AFB" w:rsidRPr="00E24AFB">
              <w:rPr>
                <w:noProof/>
                <w:webHidden/>
                <w:sz w:val="24"/>
                <w:szCs w:val="24"/>
              </w:rPr>
            </w:r>
            <w:r w:rsidR="00E24AFB" w:rsidRPr="00E24AFB">
              <w:rPr>
                <w:noProof/>
                <w:webHidden/>
                <w:sz w:val="24"/>
                <w:szCs w:val="24"/>
              </w:rPr>
              <w:fldChar w:fldCharType="separate"/>
            </w:r>
            <w:r w:rsidR="00E24AFB" w:rsidRPr="00E24AFB">
              <w:rPr>
                <w:noProof/>
                <w:webHidden/>
                <w:sz w:val="24"/>
                <w:szCs w:val="24"/>
              </w:rPr>
              <w:t>5</w:t>
            </w:r>
            <w:r w:rsidR="00E24AFB" w:rsidRPr="00E24AFB">
              <w:rPr>
                <w:noProof/>
                <w:webHidden/>
                <w:sz w:val="24"/>
                <w:szCs w:val="24"/>
              </w:rPr>
              <w:fldChar w:fldCharType="end"/>
            </w:r>
          </w:hyperlink>
        </w:p>
        <w:p w14:paraId="351CEA50" w14:textId="7D4F7A71" w:rsidR="00E24AFB" w:rsidRPr="00E24AFB" w:rsidRDefault="00000000" w:rsidP="00E24AFB">
          <w:pPr>
            <w:pStyle w:val="TOC2"/>
            <w:tabs>
              <w:tab w:val="left" w:pos="880"/>
              <w:tab w:val="right" w:leader="dot" w:pos="9016"/>
            </w:tabs>
            <w:spacing w:line="360" w:lineRule="auto"/>
            <w:rPr>
              <w:rFonts w:cstheme="minorBidi"/>
              <w:noProof/>
              <w:kern w:val="2"/>
              <w:sz w:val="24"/>
              <w:szCs w:val="24"/>
              <w:lang w:val="en-AU" w:eastAsia="en-AU"/>
              <w14:ligatures w14:val="standardContextual"/>
            </w:rPr>
          </w:pPr>
          <w:hyperlink w:anchor="_Toc142748488" w:history="1">
            <w:r w:rsidR="00E24AFB" w:rsidRPr="00E24AFB">
              <w:rPr>
                <w:rStyle w:val="Hyperlink"/>
                <w:rFonts w:cstheme="minorHAnsi"/>
                <w:noProof/>
                <w:sz w:val="24"/>
                <w:szCs w:val="24"/>
              </w:rPr>
              <w:t>2.4.</w:t>
            </w:r>
            <w:r w:rsidR="00E24AFB" w:rsidRPr="00E24AFB">
              <w:rPr>
                <w:rFonts w:cstheme="minorBidi"/>
                <w:noProof/>
                <w:kern w:val="2"/>
                <w:sz w:val="24"/>
                <w:szCs w:val="24"/>
                <w:lang w:val="en-AU" w:eastAsia="en-AU"/>
                <w14:ligatures w14:val="standardContextual"/>
              </w:rPr>
              <w:tab/>
            </w:r>
            <w:r w:rsidR="00E24AFB" w:rsidRPr="00E24AFB">
              <w:rPr>
                <w:rStyle w:val="Hyperlink"/>
                <w:rFonts w:cstheme="minorHAnsi"/>
                <w:noProof/>
                <w:sz w:val="24"/>
                <w:szCs w:val="24"/>
              </w:rPr>
              <w:t>MiFID II (Markets in Financial Instruments Directive II)</w:t>
            </w:r>
            <w:r w:rsidR="00E24AFB" w:rsidRPr="00E24AFB">
              <w:rPr>
                <w:noProof/>
                <w:webHidden/>
                <w:sz w:val="24"/>
                <w:szCs w:val="24"/>
              </w:rPr>
              <w:tab/>
            </w:r>
            <w:r w:rsidR="00E24AFB" w:rsidRPr="00E24AFB">
              <w:rPr>
                <w:noProof/>
                <w:webHidden/>
                <w:sz w:val="24"/>
                <w:szCs w:val="24"/>
              </w:rPr>
              <w:fldChar w:fldCharType="begin"/>
            </w:r>
            <w:r w:rsidR="00E24AFB" w:rsidRPr="00E24AFB">
              <w:rPr>
                <w:noProof/>
                <w:webHidden/>
                <w:sz w:val="24"/>
                <w:szCs w:val="24"/>
              </w:rPr>
              <w:instrText xml:space="preserve"> PAGEREF _Toc142748488 \h </w:instrText>
            </w:r>
            <w:r w:rsidR="00E24AFB" w:rsidRPr="00E24AFB">
              <w:rPr>
                <w:noProof/>
                <w:webHidden/>
                <w:sz w:val="24"/>
                <w:szCs w:val="24"/>
              </w:rPr>
            </w:r>
            <w:r w:rsidR="00E24AFB" w:rsidRPr="00E24AFB">
              <w:rPr>
                <w:noProof/>
                <w:webHidden/>
                <w:sz w:val="24"/>
                <w:szCs w:val="24"/>
              </w:rPr>
              <w:fldChar w:fldCharType="separate"/>
            </w:r>
            <w:r w:rsidR="00E24AFB" w:rsidRPr="00E24AFB">
              <w:rPr>
                <w:noProof/>
                <w:webHidden/>
                <w:sz w:val="24"/>
                <w:szCs w:val="24"/>
              </w:rPr>
              <w:t>6</w:t>
            </w:r>
            <w:r w:rsidR="00E24AFB" w:rsidRPr="00E24AFB">
              <w:rPr>
                <w:noProof/>
                <w:webHidden/>
                <w:sz w:val="24"/>
                <w:szCs w:val="24"/>
              </w:rPr>
              <w:fldChar w:fldCharType="end"/>
            </w:r>
          </w:hyperlink>
        </w:p>
        <w:p w14:paraId="3155C14D" w14:textId="5808BD86" w:rsidR="00E24AFB" w:rsidRPr="00E24AFB" w:rsidRDefault="00000000" w:rsidP="00E24AFB">
          <w:pPr>
            <w:pStyle w:val="TOC1"/>
            <w:tabs>
              <w:tab w:val="left" w:pos="440"/>
              <w:tab w:val="right" w:leader="dot" w:pos="9016"/>
            </w:tabs>
            <w:spacing w:line="360" w:lineRule="auto"/>
            <w:rPr>
              <w:rFonts w:cstheme="minorBidi"/>
              <w:noProof/>
              <w:kern w:val="2"/>
              <w:sz w:val="24"/>
              <w:szCs w:val="24"/>
              <w:lang w:val="en-AU" w:eastAsia="en-AU"/>
              <w14:ligatures w14:val="standardContextual"/>
            </w:rPr>
          </w:pPr>
          <w:hyperlink w:anchor="_Toc142748489" w:history="1">
            <w:r w:rsidR="00E24AFB" w:rsidRPr="00E24AFB">
              <w:rPr>
                <w:rStyle w:val="Hyperlink"/>
                <w:rFonts w:cstheme="minorHAnsi"/>
                <w:noProof/>
                <w:sz w:val="24"/>
                <w:szCs w:val="24"/>
                <w:lang w:val="en-GB"/>
              </w:rPr>
              <w:t>3.</w:t>
            </w:r>
            <w:r w:rsidR="00E24AFB" w:rsidRPr="00E24AFB">
              <w:rPr>
                <w:rFonts w:cstheme="minorBidi"/>
                <w:noProof/>
                <w:kern w:val="2"/>
                <w:sz w:val="24"/>
                <w:szCs w:val="24"/>
                <w:lang w:val="en-AU" w:eastAsia="en-AU"/>
                <w14:ligatures w14:val="standardContextual"/>
              </w:rPr>
              <w:tab/>
            </w:r>
            <w:r w:rsidR="00E24AFB" w:rsidRPr="00E24AFB">
              <w:rPr>
                <w:rStyle w:val="Hyperlink"/>
                <w:rFonts w:cstheme="minorHAnsi"/>
                <w:noProof/>
                <w:sz w:val="24"/>
                <w:szCs w:val="24"/>
                <w:lang w:val="en-GB"/>
              </w:rPr>
              <w:t>Global key regulatory frameworks</w:t>
            </w:r>
            <w:r w:rsidR="00E24AFB" w:rsidRPr="00E24AFB">
              <w:rPr>
                <w:noProof/>
                <w:webHidden/>
                <w:sz w:val="24"/>
                <w:szCs w:val="24"/>
              </w:rPr>
              <w:tab/>
            </w:r>
            <w:r w:rsidR="00E24AFB" w:rsidRPr="00E24AFB">
              <w:rPr>
                <w:noProof/>
                <w:webHidden/>
                <w:sz w:val="24"/>
                <w:szCs w:val="24"/>
              </w:rPr>
              <w:fldChar w:fldCharType="begin"/>
            </w:r>
            <w:r w:rsidR="00E24AFB" w:rsidRPr="00E24AFB">
              <w:rPr>
                <w:noProof/>
                <w:webHidden/>
                <w:sz w:val="24"/>
                <w:szCs w:val="24"/>
              </w:rPr>
              <w:instrText xml:space="preserve"> PAGEREF _Toc142748489 \h </w:instrText>
            </w:r>
            <w:r w:rsidR="00E24AFB" w:rsidRPr="00E24AFB">
              <w:rPr>
                <w:noProof/>
                <w:webHidden/>
                <w:sz w:val="24"/>
                <w:szCs w:val="24"/>
              </w:rPr>
            </w:r>
            <w:r w:rsidR="00E24AFB" w:rsidRPr="00E24AFB">
              <w:rPr>
                <w:noProof/>
                <w:webHidden/>
                <w:sz w:val="24"/>
                <w:szCs w:val="24"/>
              </w:rPr>
              <w:fldChar w:fldCharType="separate"/>
            </w:r>
            <w:r w:rsidR="00E24AFB" w:rsidRPr="00E24AFB">
              <w:rPr>
                <w:noProof/>
                <w:webHidden/>
                <w:sz w:val="24"/>
                <w:szCs w:val="24"/>
              </w:rPr>
              <w:t>8</w:t>
            </w:r>
            <w:r w:rsidR="00E24AFB" w:rsidRPr="00E24AFB">
              <w:rPr>
                <w:noProof/>
                <w:webHidden/>
                <w:sz w:val="24"/>
                <w:szCs w:val="24"/>
              </w:rPr>
              <w:fldChar w:fldCharType="end"/>
            </w:r>
          </w:hyperlink>
        </w:p>
        <w:p w14:paraId="41E57054" w14:textId="506EAE8C" w:rsidR="00E24AFB" w:rsidRPr="00E24AFB" w:rsidRDefault="00000000" w:rsidP="00E24AFB">
          <w:pPr>
            <w:pStyle w:val="TOC2"/>
            <w:tabs>
              <w:tab w:val="left" w:pos="880"/>
              <w:tab w:val="right" w:leader="dot" w:pos="9016"/>
            </w:tabs>
            <w:spacing w:line="360" w:lineRule="auto"/>
            <w:rPr>
              <w:rFonts w:cstheme="minorBidi"/>
              <w:noProof/>
              <w:kern w:val="2"/>
              <w:sz w:val="24"/>
              <w:szCs w:val="24"/>
              <w:lang w:val="en-AU" w:eastAsia="en-AU"/>
              <w14:ligatures w14:val="standardContextual"/>
            </w:rPr>
          </w:pPr>
          <w:hyperlink w:anchor="_Toc142748490" w:history="1">
            <w:r w:rsidR="00E24AFB" w:rsidRPr="00E24AFB">
              <w:rPr>
                <w:rStyle w:val="Hyperlink"/>
                <w:rFonts w:cstheme="minorHAnsi"/>
                <w:noProof/>
                <w:sz w:val="24"/>
                <w:szCs w:val="24"/>
              </w:rPr>
              <w:t>3.1.</w:t>
            </w:r>
            <w:r w:rsidR="00E24AFB" w:rsidRPr="00E24AFB">
              <w:rPr>
                <w:rFonts w:cstheme="minorBidi"/>
                <w:noProof/>
                <w:kern w:val="2"/>
                <w:sz w:val="24"/>
                <w:szCs w:val="24"/>
                <w:lang w:val="en-AU" w:eastAsia="en-AU"/>
                <w14:ligatures w14:val="standardContextual"/>
              </w:rPr>
              <w:tab/>
            </w:r>
            <w:r w:rsidR="00E24AFB" w:rsidRPr="00E24AFB">
              <w:rPr>
                <w:rStyle w:val="Hyperlink"/>
                <w:rFonts w:cstheme="minorHAnsi"/>
                <w:noProof/>
                <w:sz w:val="24"/>
                <w:szCs w:val="24"/>
              </w:rPr>
              <w:t>Dodd-Frank Wall Street Reform and Consumer Protection Act (United States)</w:t>
            </w:r>
            <w:r w:rsidR="00E24AFB" w:rsidRPr="00E24AFB">
              <w:rPr>
                <w:noProof/>
                <w:webHidden/>
                <w:sz w:val="24"/>
                <w:szCs w:val="24"/>
              </w:rPr>
              <w:tab/>
            </w:r>
            <w:r w:rsidR="00E24AFB" w:rsidRPr="00E24AFB">
              <w:rPr>
                <w:noProof/>
                <w:webHidden/>
                <w:sz w:val="24"/>
                <w:szCs w:val="24"/>
              </w:rPr>
              <w:fldChar w:fldCharType="begin"/>
            </w:r>
            <w:r w:rsidR="00E24AFB" w:rsidRPr="00E24AFB">
              <w:rPr>
                <w:noProof/>
                <w:webHidden/>
                <w:sz w:val="24"/>
                <w:szCs w:val="24"/>
              </w:rPr>
              <w:instrText xml:space="preserve"> PAGEREF _Toc142748490 \h </w:instrText>
            </w:r>
            <w:r w:rsidR="00E24AFB" w:rsidRPr="00E24AFB">
              <w:rPr>
                <w:noProof/>
                <w:webHidden/>
                <w:sz w:val="24"/>
                <w:szCs w:val="24"/>
              </w:rPr>
            </w:r>
            <w:r w:rsidR="00E24AFB" w:rsidRPr="00E24AFB">
              <w:rPr>
                <w:noProof/>
                <w:webHidden/>
                <w:sz w:val="24"/>
                <w:szCs w:val="24"/>
              </w:rPr>
              <w:fldChar w:fldCharType="separate"/>
            </w:r>
            <w:r w:rsidR="00E24AFB" w:rsidRPr="00E24AFB">
              <w:rPr>
                <w:noProof/>
                <w:webHidden/>
                <w:sz w:val="24"/>
                <w:szCs w:val="24"/>
              </w:rPr>
              <w:t>8</w:t>
            </w:r>
            <w:r w:rsidR="00E24AFB" w:rsidRPr="00E24AFB">
              <w:rPr>
                <w:noProof/>
                <w:webHidden/>
                <w:sz w:val="24"/>
                <w:szCs w:val="24"/>
              </w:rPr>
              <w:fldChar w:fldCharType="end"/>
            </w:r>
          </w:hyperlink>
        </w:p>
        <w:p w14:paraId="1A1319B0" w14:textId="575C3E70" w:rsidR="00E24AFB" w:rsidRPr="00E24AFB" w:rsidRDefault="00000000" w:rsidP="00E24AFB">
          <w:pPr>
            <w:pStyle w:val="TOC2"/>
            <w:tabs>
              <w:tab w:val="right" w:leader="dot" w:pos="9016"/>
            </w:tabs>
            <w:spacing w:line="360" w:lineRule="auto"/>
            <w:rPr>
              <w:rFonts w:cstheme="minorBidi"/>
              <w:noProof/>
              <w:kern w:val="2"/>
              <w:sz w:val="24"/>
              <w:szCs w:val="24"/>
              <w:lang w:val="en-AU" w:eastAsia="en-AU"/>
              <w14:ligatures w14:val="standardContextual"/>
            </w:rPr>
          </w:pPr>
          <w:hyperlink w:anchor="_Toc142748491" w:history="1">
            <w:r w:rsidR="00E24AFB" w:rsidRPr="00E24AFB">
              <w:rPr>
                <w:rStyle w:val="Hyperlink"/>
                <w:rFonts w:cstheme="minorHAnsi"/>
                <w:noProof/>
                <w:sz w:val="24"/>
                <w:szCs w:val="24"/>
                <w:lang w:val="en-GB"/>
              </w:rPr>
              <w:t>2.2 Basel III Capital and Liquidity Standards (Bank for International Settlements)</w:t>
            </w:r>
            <w:r w:rsidR="00E24AFB" w:rsidRPr="00E24AFB">
              <w:rPr>
                <w:noProof/>
                <w:webHidden/>
                <w:sz w:val="24"/>
                <w:szCs w:val="24"/>
              </w:rPr>
              <w:tab/>
            </w:r>
            <w:r w:rsidR="00E24AFB" w:rsidRPr="00E24AFB">
              <w:rPr>
                <w:noProof/>
                <w:webHidden/>
                <w:sz w:val="24"/>
                <w:szCs w:val="24"/>
              </w:rPr>
              <w:fldChar w:fldCharType="begin"/>
            </w:r>
            <w:r w:rsidR="00E24AFB" w:rsidRPr="00E24AFB">
              <w:rPr>
                <w:noProof/>
                <w:webHidden/>
                <w:sz w:val="24"/>
                <w:szCs w:val="24"/>
              </w:rPr>
              <w:instrText xml:space="preserve"> PAGEREF _Toc142748491 \h </w:instrText>
            </w:r>
            <w:r w:rsidR="00E24AFB" w:rsidRPr="00E24AFB">
              <w:rPr>
                <w:noProof/>
                <w:webHidden/>
                <w:sz w:val="24"/>
                <w:szCs w:val="24"/>
              </w:rPr>
            </w:r>
            <w:r w:rsidR="00E24AFB" w:rsidRPr="00E24AFB">
              <w:rPr>
                <w:noProof/>
                <w:webHidden/>
                <w:sz w:val="24"/>
                <w:szCs w:val="24"/>
              </w:rPr>
              <w:fldChar w:fldCharType="separate"/>
            </w:r>
            <w:r w:rsidR="00E24AFB" w:rsidRPr="00E24AFB">
              <w:rPr>
                <w:noProof/>
                <w:webHidden/>
                <w:sz w:val="24"/>
                <w:szCs w:val="24"/>
              </w:rPr>
              <w:t>9</w:t>
            </w:r>
            <w:r w:rsidR="00E24AFB" w:rsidRPr="00E24AFB">
              <w:rPr>
                <w:noProof/>
                <w:webHidden/>
                <w:sz w:val="24"/>
                <w:szCs w:val="24"/>
              </w:rPr>
              <w:fldChar w:fldCharType="end"/>
            </w:r>
          </w:hyperlink>
        </w:p>
        <w:p w14:paraId="69CD403D" w14:textId="5F04D8EA" w:rsidR="00E24AFB" w:rsidRPr="00E24AFB" w:rsidRDefault="00000000" w:rsidP="00E24AFB">
          <w:pPr>
            <w:pStyle w:val="TOC2"/>
            <w:tabs>
              <w:tab w:val="left" w:pos="880"/>
              <w:tab w:val="right" w:leader="dot" w:pos="9016"/>
            </w:tabs>
            <w:spacing w:line="360" w:lineRule="auto"/>
            <w:rPr>
              <w:rFonts w:cstheme="minorBidi"/>
              <w:noProof/>
              <w:kern w:val="2"/>
              <w:sz w:val="24"/>
              <w:szCs w:val="24"/>
              <w:lang w:val="en-AU" w:eastAsia="en-AU"/>
              <w14:ligatures w14:val="standardContextual"/>
            </w:rPr>
          </w:pPr>
          <w:hyperlink w:anchor="_Toc142748492" w:history="1">
            <w:r w:rsidR="00E24AFB" w:rsidRPr="00E24AFB">
              <w:rPr>
                <w:rStyle w:val="Hyperlink"/>
                <w:rFonts w:cstheme="minorHAnsi"/>
                <w:noProof/>
                <w:sz w:val="24"/>
                <w:szCs w:val="24"/>
              </w:rPr>
              <w:t>3.2.</w:t>
            </w:r>
            <w:r w:rsidR="00E24AFB" w:rsidRPr="00E24AFB">
              <w:rPr>
                <w:rFonts w:cstheme="minorBidi"/>
                <w:noProof/>
                <w:kern w:val="2"/>
                <w:sz w:val="24"/>
                <w:szCs w:val="24"/>
                <w:lang w:val="en-AU" w:eastAsia="en-AU"/>
                <w14:ligatures w14:val="standardContextual"/>
              </w:rPr>
              <w:tab/>
            </w:r>
            <w:r w:rsidR="00E24AFB" w:rsidRPr="00E24AFB">
              <w:rPr>
                <w:rStyle w:val="Hyperlink"/>
                <w:rFonts w:cstheme="minorHAnsi"/>
                <w:noProof/>
                <w:sz w:val="24"/>
                <w:szCs w:val="24"/>
              </w:rPr>
              <w:t>European Market Infrastructure Regulation (EMIR)</w:t>
            </w:r>
            <w:r w:rsidR="00E24AFB" w:rsidRPr="00E24AFB">
              <w:rPr>
                <w:noProof/>
                <w:webHidden/>
                <w:sz w:val="24"/>
                <w:szCs w:val="24"/>
              </w:rPr>
              <w:tab/>
            </w:r>
            <w:r w:rsidR="00E24AFB" w:rsidRPr="00E24AFB">
              <w:rPr>
                <w:noProof/>
                <w:webHidden/>
                <w:sz w:val="24"/>
                <w:szCs w:val="24"/>
              </w:rPr>
              <w:fldChar w:fldCharType="begin"/>
            </w:r>
            <w:r w:rsidR="00E24AFB" w:rsidRPr="00E24AFB">
              <w:rPr>
                <w:noProof/>
                <w:webHidden/>
                <w:sz w:val="24"/>
                <w:szCs w:val="24"/>
              </w:rPr>
              <w:instrText xml:space="preserve"> PAGEREF _Toc142748492 \h </w:instrText>
            </w:r>
            <w:r w:rsidR="00E24AFB" w:rsidRPr="00E24AFB">
              <w:rPr>
                <w:noProof/>
                <w:webHidden/>
                <w:sz w:val="24"/>
                <w:szCs w:val="24"/>
              </w:rPr>
            </w:r>
            <w:r w:rsidR="00E24AFB" w:rsidRPr="00E24AFB">
              <w:rPr>
                <w:noProof/>
                <w:webHidden/>
                <w:sz w:val="24"/>
                <w:szCs w:val="24"/>
              </w:rPr>
              <w:fldChar w:fldCharType="separate"/>
            </w:r>
            <w:r w:rsidR="00E24AFB" w:rsidRPr="00E24AFB">
              <w:rPr>
                <w:noProof/>
                <w:webHidden/>
                <w:sz w:val="24"/>
                <w:szCs w:val="24"/>
              </w:rPr>
              <w:t>11</w:t>
            </w:r>
            <w:r w:rsidR="00E24AFB" w:rsidRPr="00E24AFB">
              <w:rPr>
                <w:noProof/>
                <w:webHidden/>
                <w:sz w:val="24"/>
                <w:szCs w:val="24"/>
              </w:rPr>
              <w:fldChar w:fldCharType="end"/>
            </w:r>
          </w:hyperlink>
        </w:p>
        <w:p w14:paraId="0226530F" w14:textId="414EF45D" w:rsidR="00E24AFB" w:rsidRPr="00E24AFB" w:rsidRDefault="00000000" w:rsidP="00E24AFB">
          <w:pPr>
            <w:pStyle w:val="TOC2"/>
            <w:tabs>
              <w:tab w:val="left" w:pos="880"/>
              <w:tab w:val="right" w:leader="dot" w:pos="9016"/>
            </w:tabs>
            <w:spacing w:line="360" w:lineRule="auto"/>
            <w:rPr>
              <w:rFonts w:cstheme="minorBidi"/>
              <w:noProof/>
              <w:kern w:val="2"/>
              <w:sz w:val="24"/>
              <w:szCs w:val="24"/>
              <w:lang w:val="en-AU" w:eastAsia="en-AU"/>
              <w14:ligatures w14:val="standardContextual"/>
            </w:rPr>
          </w:pPr>
          <w:hyperlink w:anchor="_Toc142748493" w:history="1">
            <w:r w:rsidR="00E24AFB" w:rsidRPr="00E24AFB">
              <w:rPr>
                <w:rStyle w:val="Hyperlink"/>
                <w:rFonts w:cstheme="minorHAnsi"/>
                <w:noProof/>
                <w:sz w:val="24"/>
                <w:szCs w:val="24"/>
                <w:lang w:val="en-GB"/>
              </w:rPr>
              <w:t>3.3.</w:t>
            </w:r>
            <w:r w:rsidR="00E24AFB" w:rsidRPr="00E24AFB">
              <w:rPr>
                <w:rFonts w:cstheme="minorBidi"/>
                <w:noProof/>
                <w:kern w:val="2"/>
                <w:sz w:val="24"/>
                <w:szCs w:val="24"/>
                <w:lang w:val="en-AU" w:eastAsia="en-AU"/>
                <w14:ligatures w14:val="standardContextual"/>
              </w:rPr>
              <w:tab/>
            </w:r>
            <w:r w:rsidR="00E24AFB" w:rsidRPr="00E24AFB">
              <w:rPr>
                <w:rStyle w:val="Hyperlink"/>
                <w:rFonts w:cstheme="minorHAnsi"/>
                <w:noProof/>
                <w:sz w:val="24"/>
                <w:szCs w:val="24"/>
              </w:rPr>
              <w:t>G20 Pittsburgh Summit Commitments</w:t>
            </w:r>
            <w:r w:rsidR="00E24AFB" w:rsidRPr="00E24AFB">
              <w:rPr>
                <w:noProof/>
                <w:webHidden/>
                <w:sz w:val="24"/>
                <w:szCs w:val="24"/>
              </w:rPr>
              <w:tab/>
            </w:r>
            <w:r w:rsidR="00E24AFB" w:rsidRPr="00E24AFB">
              <w:rPr>
                <w:noProof/>
                <w:webHidden/>
                <w:sz w:val="24"/>
                <w:szCs w:val="24"/>
              </w:rPr>
              <w:fldChar w:fldCharType="begin"/>
            </w:r>
            <w:r w:rsidR="00E24AFB" w:rsidRPr="00E24AFB">
              <w:rPr>
                <w:noProof/>
                <w:webHidden/>
                <w:sz w:val="24"/>
                <w:szCs w:val="24"/>
              </w:rPr>
              <w:instrText xml:space="preserve"> PAGEREF _Toc142748493 \h </w:instrText>
            </w:r>
            <w:r w:rsidR="00E24AFB" w:rsidRPr="00E24AFB">
              <w:rPr>
                <w:noProof/>
                <w:webHidden/>
                <w:sz w:val="24"/>
                <w:szCs w:val="24"/>
              </w:rPr>
            </w:r>
            <w:r w:rsidR="00E24AFB" w:rsidRPr="00E24AFB">
              <w:rPr>
                <w:noProof/>
                <w:webHidden/>
                <w:sz w:val="24"/>
                <w:szCs w:val="24"/>
              </w:rPr>
              <w:fldChar w:fldCharType="separate"/>
            </w:r>
            <w:r w:rsidR="00E24AFB" w:rsidRPr="00E24AFB">
              <w:rPr>
                <w:noProof/>
                <w:webHidden/>
                <w:sz w:val="24"/>
                <w:szCs w:val="24"/>
              </w:rPr>
              <w:t>12</w:t>
            </w:r>
            <w:r w:rsidR="00E24AFB" w:rsidRPr="00E24AFB">
              <w:rPr>
                <w:noProof/>
                <w:webHidden/>
                <w:sz w:val="24"/>
                <w:szCs w:val="24"/>
              </w:rPr>
              <w:fldChar w:fldCharType="end"/>
            </w:r>
          </w:hyperlink>
        </w:p>
        <w:p w14:paraId="134D1356" w14:textId="184090FF" w:rsidR="00E24AFB" w:rsidRPr="00E24AFB" w:rsidRDefault="00000000" w:rsidP="00E24AFB">
          <w:pPr>
            <w:pStyle w:val="TOC1"/>
            <w:tabs>
              <w:tab w:val="left" w:pos="440"/>
              <w:tab w:val="right" w:leader="dot" w:pos="9016"/>
            </w:tabs>
            <w:spacing w:line="360" w:lineRule="auto"/>
            <w:rPr>
              <w:rFonts w:cstheme="minorBidi"/>
              <w:noProof/>
              <w:kern w:val="2"/>
              <w:sz w:val="24"/>
              <w:szCs w:val="24"/>
              <w:lang w:val="en-AU" w:eastAsia="en-AU"/>
              <w14:ligatures w14:val="standardContextual"/>
            </w:rPr>
          </w:pPr>
          <w:hyperlink w:anchor="_Toc142748494" w:history="1">
            <w:r w:rsidR="00E24AFB" w:rsidRPr="00E24AFB">
              <w:rPr>
                <w:rStyle w:val="Hyperlink"/>
                <w:rFonts w:cstheme="minorHAnsi"/>
                <w:noProof/>
                <w:sz w:val="24"/>
                <w:szCs w:val="24"/>
                <w:lang w:val="en-GB"/>
              </w:rPr>
              <w:t>4.</w:t>
            </w:r>
            <w:r w:rsidR="00E24AFB" w:rsidRPr="00E24AFB">
              <w:rPr>
                <w:rFonts w:cstheme="minorBidi"/>
                <w:noProof/>
                <w:kern w:val="2"/>
                <w:sz w:val="24"/>
                <w:szCs w:val="24"/>
                <w:lang w:val="en-AU" w:eastAsia="en-AU"/>
                <w14:ligatures w14:val="standardContextual"/>
              </w:rPr>
              <w:tab/>
            </w:r>
            <w:r w:rsidR="00E24AFB" w:rsidRPr="00E24AFB">
              <w:rPr>
                <w:rStyle w:val="Hyperlink"/>
                <w:rFonts w:cstheme="minorHAnsi"/>
                <w:noProof/>
                <w:sz w:val="24"/>
                <w:szCs w:val="24"/>
                <w:lang w:val="en-GB"/>
              </w:rPr>
              <w:t>Contribution of reforms</w:t>
            </w:r>
            <w:r w:rsidR="00E24AFB" w:rsidRPr="00E24AFB">
              <w:rPr>
                <w:noProof/>
                <w:webHidden/>
                <w:sz w:val="24"/>
                <w:szCs w:val="24"/>
              </w:rPr>
              <w:tab/>
            </w:r>
            <w:r w:rsidR="00E24AFB" w:rsidRPr="00E24AFB">
              <w:rPr>
                <w:noProof/>
                <w:webHidden/>
                <w:sz w:val="24"/>
                <w:szCs w:val="24"/>
              </w:rPr>
              <w:fldChar w:fldCharType="begin"/>
            </w:r>
            <w:r w:rsidR="00E24AFB" w:rsidRPr="00E24AFB">
              <w:rPr>
                <w:noProof/>
                <w:webHidden/>
                <w:sz w:val="24"/>
                <w:szCs w:val="24"/>
              </w:rPr>
              <w:instrText xml:space="preserve"> PAGEREF _Toc142748494 \h </w:instrText>
            </w:r>
            <w:r w:rsidR="00E24AFB" w:rsidRPr="00E24AFB">
              <w:rPr>
                <w:noProof/>
                <w:webHidden/>
                <w:sz w:val="24"/>
                <w:szCs w:val="24"/>
              </w:rPr>
            </w:r>
            <w:r w:rsidR="00E24AFB" w:rsidRPr="00E24AFB">
              <w:rPr>
                <w:noProof/>
                <w:webHidden/>
                <w:sz w:val="24"/>
                <w:szCs w:val="24"/>
              </w:rPr>
              <w:fldChar w:fldCharType="separate"/>
            </w:r>
            <w:r w:rsidR="00E24AFB" w:rsidRPr="00E24AFB">
              <w:rPr>
                <w:noProof/>
                <w:webHidden/>
                <w:sz w:val="24"/>
                <w:szCs w:val="24"/>
              </w:rPr>
              <w:t>13</w:t>
            </w:r>
            <w:r w:rsidR="00E24AFB" w:rsidRPr="00E24AFB">
              <w:rPr>
                <w:noProof/>
                <w:webHidden/>
                <w:sz w:val="24"/>
                <w:szCs w:val="24"/>
              </w:rPr>
              <w:fldChar w:fldCharType="end"/>
            </w:r>
          </w:hyperlink>
        </w:p>
        <w:p w14:paraId="0EEB7628" w14:textId="57062119" w:rsidR="00E24AFB" w:rsidRPr="00E24AFB" w:rsidRDefault="00000000" w:rsidP="00E24AFB">
          <w:pPr>
            <w:pStyle w:val="TOC1"/>
            <w:tabs>
              <w:tab w:val="left" w:pos="440"/>
              <w:tab w:val="right" w:leader="dot" w:pos="9016"/>
            </w:tabs>
            <w:spacing w:line="360" w:lineRule="auto"/>
            <w:rPr>
              <w:rFonts w:cstheme="minorBidi"/>
              <w:noProof/>
              <w:kern w:val="2"/>
              <w:sz w:val="24"/>
              <w:szCs w:val="24"/>
              <w:lang w:val="en-AU" w:eastAsia="en-AU"/>
              <w14:ligatures w14:val="standardContextual"/>
            </w:rPr>
          </w:pPr>
          <w:hyperlink w:anchor="_Toc142748495" w:history="1">
            <w:r w:rsidR="00E24AFB" w:rsidRPr="00E24AFB">
              <w:rPr>
                <w:rStyle w:val="Hyperlink"/>
                <w:rFonts w:cstheme="minorHAnsi"/>
                <w:noProof/>
                <w:sz w:val="24"/>
                <w:szCs w:val="24"/>
                <w:lang w:val="en-GB"/>
              </w:rPr>
              <w:t>5.</w:t>
            </w:r>
            <w:r w:rsidR="00E24AFB" w:rsidRPr="00E24AFB">
              <w:rPr>
                <w:rFonts w:cstheme="minorBidi"/>
                <w:noProof/>
                <w:kern w:val="2"/>
                <w:sz w:val="24"/>
                <w:szCs w:val="24"/>
                <w:lang w:val="en-AU" w:eastAsia="en-AU"/>
                <w14:ligatures w14:val="standardContextual"/>
              </w:rPr>
              <w:tab/>
            </w:r>
            <w:r w:rsidR="00E24AFB" w:rsidRPr="00E24AFB">
              <w:rPr>
                <w:rStyle w:val="Hyperlink"/>
                <w:rFonts w:cstheme="minorHAnsi"/>
                <w:noProof/>
                <w:sz w:val="24"/>
                <w:szCs w:val="24"/>
                <w:lang w:val="en-GB"/>
              </w:rPr>
              <w:t>Impact on NatWest</w:t>
            </w:r>
            <w:r w:rsidR="00E24AFB" w:rsidRPr="00E24AFB">
              <w:rPr>
                <w:noProof/>
                <w:webHidden/>
                <w:sz w:val="24"/>
                <w:szCs w:val="24"/>
              </w:rPr>
              <w:tab/>
            </w:r>
            <w:r w:rsidR="00E24AFB" w:rsidRPr="00E24AFB">
              <w:rPr>
                <w:noProof/>
                <w:webHidden/>
                <w:sz w:val="24"/>
                <w:szCs w:val="24"/>
              </w:rPr>
              <w:fldChar w:fldCharType="begin"/>
            </w:r>
            <w:r w:rsidR="00E24AFB" w:rsidRPr="00E24AFB">
              <w:rPr>
                <w:noProof/>
                <w:webHidden/>
                <w:sz w:val="24"/>
                <w:szCs w:val="24"/>
              </w:rPr>
              <w:instrText xml:space="preserve"> PAGEREF _Toc142748495 \h </w:instrText>
            </w:r>
            <w:r w:rsidR="00E24AFB" w:rsidRPr="00E24AFB">
              <w:rPr>
                <w:noProof/>
                <w:webHidden/>
                <w:sz w:val="24"/>
                <w:szCs w:val="24"/>
              </w:rPr>
            </w:r>
            <w:r w:rsidR="00E24AFB" w:rsidRPr="00E24AFB">
              <w:rPr>
                <w:noProof/>
                <w:webHidden/>
                <w:sz w:val="24"/>
                <w:szCs w:val="24"/>
              </w:rPr>
              <w:fldChar w:fldCharType="separate"/>
            </w:r>
            <w:r w:rsidR="00E24AFB" w:rsidRPr="00E24AFB">
              <w:rPr>
                <w:noProof/>
                <w:webHidden/>
                <w:sz w:val="24"/>
                <w:szCs w:val="24"/>
              </w:rPr>
              <w:t>16</w:t>
            </w:r>
            <w:r w:rsidR="00E24AFB" w:rsidRPr="00E24AFB">
              <w:rPr>
                <w:noProof/>
                <w:webHidden/>
                <w:sz w:val="24"/>
                <w:szCs w:val="24"/>
              </w:rPr>
              <w:fldChar w:fldCharType="end"/>
            </w:r>
          </w:hyperlink>
        </w:p>
        <w:p w14:paraId="7A209194" w14:textId="790F5E7F" w:rsidR="00E24AFB" w:rsidRPr="00E24AFB" w:rsidRDefault="00000000" w:rsidP="00E24AFB">
          <w:pPr>
            <w:pStyle w:val="TOC1"/>
            <w:tabs>
              <w:tab w:val="left" w:pos="440"/>
              <w:tab w:val="right" w:leader="dot" w:pos="9016"/>
            </w:tabs>
            <w:spacing w:line="360" w:lineRule="auto"/>
            <w:rPr>
              <w:rFonts w:cstheme="minorBidi"/>
              <w:noProof/>
              <w:kern w:val="2"/>
              <w:sz w:val="24"/>
              <w:szCs w:val="24"/>
              <w:lang w:val="en-AU" w:eastAsia="en-AU"/>
              <w14:ligatures w14:val="standardContextual"/>
            </w:rPr>
          </w:pPr>
          <w:hyperlink w:anchor="_Toc142748496" w:history="1">
            <w:r w:rsidR="00E24AFB" w:rsidRPr="00E24AFB">
              <w:rPr>
                <w:rStyle w:val="Hyperlink"/>
                <w:rFonts w:cstheme="minorHAnsi"/>
                <w:noProof/>
                <w:sz w:val="24"/>
                <w:szCs w:val="24"/>
                <w:lang w:val="en-GB"/>
              </w:rPr>
              <w:t>6.</w:t>
            </w:r>
            <w:r w:rsidR="00E24AFB" w:rsidRPr="00E24AFB">
              <w:rPr>
                <w:rFonts w:cstheme="minorBidi"/>
                <w:noProof/>
                <w:kern w:val="2"/>
                <w:sz w:val="24"/>
                <w:szCs w:val="24"/>
                <w:lang w:val="en-AU" w:eastAsia="en-AU"/>
                <w14:ligatures w14:val="standardContextual"/>
              </w:rPr>
              <w:tab/>
            </w:r>
            <w:r w:rsidR="00E24AFB" w:rsidRPr="00E24AFB">
              <w:rPr>
                <w:rStyle w:val="Hyperlink"/>
                <w:rFonts w:cstheme="minorHAnsi"/>
                <w:noProof/>
                <w:sz w:val="24"/>
                <w:szCs w:val="24"/>
                <w:lang w:val="en-GB"/>
              </w:rPr>
              <w:t>Conclusion</w:t>
            </w:r>
            <w:r w:rsidR="00E24AFB" w:rsidRPr="00E24AFB">
              <w:rPr>
                <w:noProof/>
                <w:webHidden/>
                <w:sz w:val="24"/>
                <w:szCs w:val="24"/>
              </w:rPr>
              <w:tab/>
            </w:r>
            <w:r w:rsidR="00E24AFB" w:rsidRPr="00E24AFB">
              <w:rPr>
                <w:noProof/>
                <w:webHidden/>
                <w:sz w:val="24"/>
                <w:szCs w:val="24"/>
              </w:rPr>
              <w:fldChar w:fldCharType="begin"/>
            </w:r>
            <w:r w:rsidR="00E24AFB" w:rsidRPr="00E24AFB">
              <w:rPr>
                <w:noProof/>
                <w:webHidden/>
                <w:sz w:val="24"/>
                <w:szCs w:val="24"/>
              </w:rPr>
              <w:instrText xml:space="preserve"> PAGEREF _Toc142748496 \h </w:instrText>
            </w:r>
            <w:r w:rsidR="00E24AFB" w:rsidRPr="00E24AFB">
              <w:rPr>
                <w:noProof/>
                <w:webHidden/>
                <w:sz w:val="24"/>
                <w:szCs w:val="24"/>
              </w:rPr>
            </w:r>
            <w:r w:rsidR="00E24AFB" w:rsidRPr="00E24AFB">
              <w:rPr>
                <w:noProof/>
                <w:webHidden/>
                <w:sz w:val="24"/>
                <w:szCs w:val="24"/>
              </w:rPr>
              <w:fldChar w:fldCharType="separate"/>
            </w:r>
            <w:r w:rsidR="00E24AFB" w:rsidRPr="00E24AFB">
              <w:rPr>
                <w:noProof/>
                <w:webHidden/>
                <w:sz w:val="24"/>
                <w:szCs w:val="24"/>
              </w:rPr>
              <w:t>19</w:t>
            </w:r>
            <w:r w:rsidR="00E24AFB" w:rsidRPr="00E24AFB">
              <w:rPr>
                <w:noProof/>
                <w:webHidden/>
                <w:sz w:val="24"/>
                <w:szCs w:val="24"/>
              </w:rPr>
              <w:fldChar w:fldCharType="end"/>
            </w:r>
          </w:hyperlink>
        </w:p>
        <w:p w14:paraId="4E7DCBAF" w14:textId="4C7149AF" w:rsidR="00E24AFB" w:rsidRPr="00E24AFB" w:rsidRDefault="00000000" w:rsidP="00E24AFB">
          <w:pPr>
            <w:pStyle w:val="TOC1"/>
            <w:tabs>
              <w:tab w:val="left" w:pos="440"/>
              <w:tab w:val="right" w:leader="dot" w:pos="9016"/>
            </w:tabs>
            <w:spacing w:line="360" w:lineRule="auto"/>
            <w:rPr>
              <w:rFonts w:cstheme="minorBidi"/>
              <w:noProof/>
              <w:kern w:val="2"/>
              <w:sz w:val="24"/>
              <w:szCs w:val="24"/>
              <w:lang w:val="en-AU" w:eastAsia="en-AU"/>
              <w14:ligatures w14:val="standardContextual"/>
            </w:rPr>
          </w:pPr>
          <w:hyperlink w:anchor="_Toc142748497" w:history="1">
            <w:r w:rsidR="00E24AFB" w:rsidRPr="00E24AFB">
              <w:rPr>
                <w:rStyle w:val="Hyperlink"/>
                <w:rFonts w:cstheme="minorHAnsi"/>
                <w:noProof/>
                <w:sz w:val="24"/>
                <w:szCs w:val="24"/>
                <w:lang w:val="en-GB"/>
              </w:rPr>
              <w:t>7.</w:t>
            </w:r>
            <w:r w:rsidR="00E24AFB" w:rsidRPr="00E24AFB">
              <w:rPr>
                <w:rFonts w:cstheme="minorBidi"/>
                <w:noProof/>
                <w:kern w:val="2"/>
                <w:sz w:val="24"/>
                <w:szCs w:val="24"/>
                <w:lang w:val="en-AU" w:eastAsia="en-AU"/>
                <w14:ligatures w14:val="standardContextual"/>
              </w:rPr>
              <w:tab/>
            </w:r>
            <w:r w:rsidR="00E24AFB" w:rsidRPr="00E24AFB">
              <w:rPr>
                <w:rStyle w:val="Hyperlink"/>
                <w:rFonts w:cstheme="minorHAnsi"/>
                <w:noProof/>
                <w:sz w:val="24"/>
                <w:szCs w:val="24"/>
                <w:lang w:val="en-GB"/>
              </w:rPr>
              <w:t>References</w:t>
            </w:r>
            <w:r w:rsidR="00E24AFB" w:rsidRPr="00E24AFB">
              <w:rPr>
                <w:noProof/>
                <w:webHidden/>
                <w:sz w:val="24"/>
                <w:szCs w:val="24"/>
              </w:rPr>
              <w:tab/>
            </w:r>
            <w:r w:rsidR="00E24AFB" w:rsidRPr="00E24AFB">
              <w:rPr>
                <w:noProof/>
                <w:webHidden/>
                <w:sz w:val="24"/>
                <w:szCs w:val="24"/>
              </w:rPr>
              <w:fldChar w:fldCharType="begin"/>
            </w:r>
            <w:r w:rsidR="00E24AFB" w:rsidRPr="00E24AFB">
              <w:rPr>
                <w:noProof/>
                <w:webHidden/>
                <w:sz w:val="24"/>
                <w:szCs w:val="24"/>
              </w:rPr>
              <w:instrText xml:space="preserve"> PAGEREF _Toc142748497 \h </w:instrText>
            </w:r>
            <w:r w:rsidR="00E24AFB" w:rsidRPr="00E24AFB">
              <w:rPr>
                <w:noProof/>
                <w:webHidden/>
                <w:sz w:val="24"/>
                <w:szCs w:val="24"/>
              </w:rPr>
            </w:r>
            <w:r w:rsidR="00E24AFB" w:rsidRPr="00E24AFB">
              <w:rPr>
                <w:noProof/>
                <w:webHidden/>
                <w:sz w:val="24"/>
                <w:szCs w:val="24"/>
              </w:rPr>
              <w:fldChar w:fldCharType="separate"/>
            </w:r>
            <w:r w:rsidR="00E24AFB" w:rsidRPr="00E24AFB">
              <w:rPr>
                <w:noProof/>
                <w:webHidden/>
                <w:sz w:val="24"/>
                <w:szCs w:val="24"/>
              </w:rPr>
              <w:t>21</w:t>
            </w:r>
            <w:r w:rsidR="00E24AFB" w:rsidRPr="00E24AFB">
              <w:rPr>
                <w:noProof/>
                <w:webHidden/>
                <w:sz w:val="24"/>
                <w:szCs w:val="24"/>
              </w:rPr>
              <w:fldChar w:fldCharType="end"/>
            </w:r>
          </w:hyperlink>
        </w:p>
        <w:p w14:paraId="71030F2E" w14:textId="4AFBC839" w:rsidR="008F6B04" w:rsidRPr="00D940AD" w:rsidRDefault="008F6B04" w:rsidP="00E24AFB">
          <w:pPr>
            <w:rPr>
              <w:rFonts w:asciiTheme="minorHAnsi" w:hAnsiTheme="minorHAnsi"/>
              <w:lang w:val="en-GB"/>
            </w:rPr>
          </w:pPr>
          <w:r w:rsidRPr="00E24AFB">
            <w:rPr>
              <w:rFonts w:asciiTheme="minorHAnsi" w:hAnsiTheme="minorHAnsi"/>
              <w:b/>
              <w:bCs/>
              <w:noProof/>
              <w:szCs w:val="24"/>
              <w:lang w:val="en-GB"/>
            </w:rPr>
            <w:fldChar w:fldCharType="end"/>
          </w:r>
        </w:p>
      </w:sdtContent>
    </w:sdt>
    <w:p w14:paraId="1D6A5BA9" w14:textId="77777777" w:rsidR="008F6B04" w:rsidRPr="00D940AD" w:rsidRDefault="008F6B04" w:rsidP="00D940AD">
      <w:pPr>
        <w:jc w:val="left"/>
        <w:rPr>
          <w:rFonts w:asciiTheme="minorHAnsi" w:eastAsiaTheme="majorEastAsia" w:hAnsiTheme="minorHAnsi"/>
          <w:color w:val="2F5496" w:themeColor="accent1" w:themeShade="BF"/>
          <w:kern w:val="2"/>
          <w:sz w:val="36"/>
          <w:szCs w:val="36"/>
          <w:lang w:val="en-GB"/>
          <w14:ligatures w14:val="standardContextual"/>
        </w:rPr>
      </w:pPr>
      <w:r w:rsidRPr="00D940AD">
        <w:rPr>
          <w:rFonts w:asciiTheme="minorHAnsi" w:hAnsiTheme="minorHAnsi"/>
          <w:lang w:val="en-GB"/>
        </w:rPr>
        <w:br w:type="page"/>
      </w:r>
    </w:p>
    <w:p w14:paraId="144B374B" w14:textId="77777777" w:rsidR="00A317DD" w:rsidRPr="00D940AD" w:rsidRDefault="00A317DD" w:rsidP="00D940AD">
      <w:pPr>
        <w:pStyle w:val="Heading1"/>
        <w:rPr>
          <w:rFonts w:asciiTheme="minorHAnsi" w:hAnsiTheme="minorHAnsi" w:cstheme="minorHAnsi"/>
          <w:lang w:val="en-GB"/>
        </w:rPr>
      </w:pPr>
      <w:bookmarkStart w:id="0" w:name="_Toc142748483"/>
      <w:r w:rsidRPr="00D940AD">
        <w:rPr>
          <w:rFonts w:asciiTheme="minorHAnsi" w:hAnsiTheme="minorHAnsi" w:cstheme="minorHAnsi"/>
          <w:lang w:val="en-GB"/>
        </w:rPr>
        <w:lastRenderedPageBreak/>
        <w:t>Introduction</w:t>
      </w:r>
      <w:bookmarkEnd w:id="0"/>
    </w:p>
    <w:p w14:paraId="2494E402" w14:textId="014CDD16" w:rsidR="00A317DD" w:rsidRPr="00D940AD" w:rsidRDefault="00A317DD" w:rsidP="00D940AD">
      <w:pPr>
        <w:rPr>
          <w:rFonts w:asciiTheme="minorHAnsi" w:hAnsiTheme="minorHAnsi"/>
          <w:lang w:val="en-GB"/>
        </w:rPr>
      </w:pPr>
      <w:r w:rsidRPr="00D940AD">
        <w:rPr>
          <w:rFonts w:asciiTheme="minorHAnsi" w:hAnsiTheme="minorHAnsi"/>
          <w:lang w:val="en-GB"/>
        </w:rPr>
        <w:t xml:space="preserve">During financial crisis of </w:t>
      </w:r>
      <w:r w:rsidR="00973818">
        <w:rPr>
          <w:rFonts w:asciiTheme="minorHAnsi" w:hAnsiTheme="minorHAnsi"/>
          <w:lang w:val="en-GB"/>
        </w:rPr>
        <w:t xml:space="preserve">the </w:t>
      </w:r>
      <w:r w:rsidRPr="00D940AD">
        <w:rPr>
          <w:rFonts w:asciiTheme="minorHAnsi" w:hAnsiTheme="minorHAnsi"/>
          <w:lang w:val="en-GB"/>
        </w:rPr>
        <w:t xml:space="preserve">2007-08 which known as </w:t>
      </w:r>
      <w:r w:rsidR="00973818">
        <w:rPr>
          <w:rFonts w:asciiTheme="minorHAnsi" w:hAnsiTheme="minorHAnsi"/>
          <w:lang w:val="en-GB"/>
        </w:rPr>
        <w:t xml:space="preserve">the </w:t>
      </w:r>
      <w:r w:rsidRPr="00D940AD">
        <w:rPr>
          <w:rFonts w:asciiTheme="minorHAnsi" w:hAnsiTheme="minorHAnsi"/>
          <w:lang w:val="en-GB"/>
        </w:rPr>
        <w:t xml:space="preserve">subprime mortgage crisis, severe liquidity contraction happened global financial market, especially in </w:t>
      </w:r>
      <w:r w:rsidR="00973818">
        <w:rPr>
          <w:rFonts w:asciiTheme="minorHAnsi" w:hAnsiTheme="minorHAnsi"/>
          <w:lang w:val="en-GB"/>
        </w:rPr>
        <w:t xml:space="preserve">the </w:t>
      </w:r>
      <w:r w:rsidRPr="00D940AD">
        <w:rPr>
          <w:rFonts w:asciiTheme="minorHAnsi" w:hAnsiTheme="minorHAnsi"/>
          <w:lang w:val="en-GB"/>
        </w:rPr>
        <w:t>United Kingdom and USA</w:t>
      </w:r>
      <w:r w:rsidR="00620190" w:rsidRPr="00D940AD">
        <w:rPr>
          <w:rFonts w:asciiTheme="minorHAnsi" w:hAnsiTheme="minorHAnsi"/>
          <w:lang w:val="en-GB"/>
        </w:rPr>
        <w:t xml:space="preserve"> (OBR, 2019)</w:t>
      </w:r>
      <w:r w:rsidRPr="00D940AD">
        <w:rPr>
          <w:rFonts w:asciiTheme="minorHAnsi" w:hAnsiTheme="minorHAnsi"/>
          <w:lang w:val="en-GB"/>
        </w:rPr>
        <w:t>.</w:t>
      </w:r>
      <w:r w:rsidR="00C963BC" w:rsidRPr="00D940AD">
        <w:rPr>
          <w:rFonts w:asciiTheme="minorHAnsi" w:hAnsiTheme="minorHAnsi"/>
          <w:lang w:val="en-GB"/>
        </w:rPr>
        <w:t xml:space="preserve"> </w:t>
      </w:r>
      <w:r w:rsidRPr="00D940AD">
        <w:rPr>
          <w:rFonts w:asciiTheme="minorHAnsi" w:hAnsiTheme="minorHAnsi"/>
          <w:lang w:val="en-GB"/>
        </w:rPr>
        <w:t xml:space="preserve">This led the government to make several laws, regulations and changes in banking policies in order to deal with the crisis and preventing similar kind of situation in future. This report will discuss about the post </w:t>
      </w:r>
      <w:r w:rsidR="00B12403" w:rsidRPr="00D940AD">
        <w:rPr>
          <w:rFonts w:asciiTheme="minorHAnsi" w:hAnsiTheme="minorHAnsi"/>
          <w:lang w:val="en-GB"/>
        </w:rPr>
        <w:t>crisis</w:t>
      </w:r>
      <w:r w:rsidRPr="00D940AD">
        <w:rPr>
          <w:rFonts w:asciiTheme="minorHAnsi" w:hAnsiTheme="minorHAnsi"/>
          <w:lang w:val="en-GB"/>
        </w:rPr>
        <w:t xml:space="preserve"> in United Kingdom</w:t>
      </w:r>
      <w:r w:rsidR="00B92BAE" w:rsidRPr="00D940AD">
        <w:rPr>
          <w:rFonts w:asciiTheme="minorHAnsi" w:hAnsiTheme="minorHAnsi"/>
          <w:lang w:val="en-GB"/>
        </w:rPr>
        <w:t xml:space="preserve">, </w:t>
      </w:r>
      <w:r w:rsidRPr="00D940AD">
        <w:rPr>
          <w:rFonts w:asciiTheme="minorHAnsi" w:hAnsiTheme="minorHAnsi"/>
          <w:lang w:val="en-GB"/>
        </w:rPr>
        <w:t xml:space="preserve">how the government dealt with the crisis </w:t>
      </w:r>
      <w:r w:rsidR="000315F5" w:rsidRPr="00D940AD">
        <w:rPr>
          <w:rFonts w:asciiTheme="minorHAnsi" w:hAnsiTheme="minorHAnsi"/>
          <w:lang w:val="en-GB"/>
        </w:rPr>
        <w:t xml:space="preserve">and worked for established better financing system. </w:t>
      </w:r>
    </w:p>
    <w:p w14:paraId="45DCE25D" w14:textId="3E50B9F2" w:rsidR="0066319A" w:rsidRPr="00D940AD" w:rsidRDefault="0066319A" w:rsidP="00D940AD">
      <w:pPr>
        <w:rPr>
          <w:rFonts w:asciiTheme="minorHAnsi" w:hAnsiTheme="minorHAnsi"/>
          <w:lang w:val="en-GB"/>
        </w:rPr>
      </w:pPr>
      <w:r w:rsidRPr="00D940AD">
        <w:rPr>
          <w:rFonts w:asciiTheme="minorHAnsi" w:hAnsiTheme="minorHAnsi"/>
          <w:lang w:val="en-GB"/>
        </w:rPr>
        <w:t xml:space="preserve">In reaction to the crisis and the ensuing instability in global financial markets, both the United Kingdom as well as the United States took several steps to address the immediate issues while also building a more robust financial system for the future. The impacts of the crisis were most severe in the United Kingdom </w:t>
      </w:r>
      <w:r w:rsidR="00973818">
        <w:rPr>
          <w:rFonts w:asciiTheme="minorHAnsi" w:hAnsiTheme="minorHAnsi"/>
          <w:lang w:val="en-GB"/>
        </w:rPr>
        <w:t>&amp;</w:t>
      </w:r>
      <w:r w:rsidRPr="00D940AD">
        <w:rPr>
          <w:rFonts w:asciiTheme="minorHAnsi" w:hAnsiTheme="minorHAnsi"/>
          <w:lang w:val="en-GB"/>
        </w:rPr>
        <w:t xml:space="preserve"> United States, resulting in significant changes in banking policies, regulations, and legislation. The crisis' liquidity contraction was characterised by a rapid and significant tightening of credit markets. Financial institutions </w:t>
      </w:r>
      <w:r w:rsidR="00CF3286" w:rsidRPr="00D940AD">
        <w:rPr>
          <w:rFonts w:asciiTheme="minorHAnsi" w:hAnsiTheme="minorHAnsi"/>
          <w:lang w:val="en-GB"/>
        </w:rPr>
        <w:t>had</w:t>
      </w:r>
      <w:r w:rsidRPr="00D940AD">
        <w:rPr>
          <w:rFonts w:asciiTheme="minorHAnsi" w:hAnsiTheme="minorHAnsi"/>
          <w:lang w:val="en-GB"/>
        </w:rPr>
        <w:t xml:space="preserve"> trouble obtaining cash, resulting in credit freezes and a loss of faith in the financial system's soundness</w:t>
      </w:r>
      <w:r w:rsidR="00C87E65" w:rsidRPr="00D940AD">
        <w:rPr>
          <w:rFonts w:asciiTheme="minorHAnsi" w:hAnsiTheme="minorHAnsi"/>
          <w:lang w:val="en-GB"/>
        </w:rPr>
        <w:t xml:space="preserve"> (</w:t>
      </w:r>
      <w:r w:rsidR="00C87E65" w:rsidRPr="00D940AD">
        <w:rPr>
          <w:rFonts w:asciiTheme="minorHAnsi" w:hAnsiTheme="minorHAnsi"/>
          <w:color w:val="222222"/>
          <w:szCs w:val="24"/>
          <w:shd w:val="clear" w:color="auto" w:fill="FFFFFF"/>
          <w:lang w:val="en-GB"/>
        </w:rPr>
        <w:t>Gallagher, et al., 2021).</w:t>
      </w:r>
      <w:r w:rsidRPr="00D940AD">
        <w:rPr>
          <w:rFonts w:asciiTheme="minorHAnsi" w:hAnsiTheme="minorHAnsi"/>
          <w:lang w:val="en-GB"/>
        </w:rPr>
        <w:t xml:space="preserve"> This had a domino effect, resulting in the failure of key financial institutions, government intervention, as well as severe economic consequences.</w:t>
      </w:r>
    </w:p>
    <w:p w14:paraId="62BD8309" w14:textId="6858DE36" w:rsidR="0066319A" w:rsidRPr="00D940AD" w:rsidRDefault="0066319A" w:rsidP="00D940AD">
      <w:pPr>
        <w:rPr>
          <w:rFonts w:asciiTheme="minorHAnsi" w:hAnsiTheme="minorHAnsi"/>
          <w:lang w:val="en-GB"/>
        </w:rPr>
      </w:pPr>
      <w:r w:rsidRPr="00D940AD">
        <w:rPr>
          <w:rFonts w:asciiTheme="minorHAnsi" w:hAnsiTheme="minorHAnsi"/>
          <w:lang w:val="en-GB"/>
        </w:rPr>
        <w:t xml:space="preserve">Policymakers in both the UK and the US implemented new legislation and policy changes to avoid a similar catastrophe from happening in the future, as outlined in this study. Because of the crisis's emphasis on the interdependence of global financial markets, there has been a greater focus on international cooperation and cooperation in regulatory and policy measures. The G20 countries, particularly the United Kingdom </w:t>
      </w:r>
      <w:r w:rsidR="00973818">
        <w:rPr>
          <w:rFonts w:asciiTheme="minorHAnsi" w:hAnsiTheme="minorHAnsi"/>
          <w:lang w:val="en-GB"/>
        </w:rPr>
        <w:t>&amp;</w:t>
      </w:r>
      <w:r w:rsidRPr="00D940AD">
        <w:rPr>
          <w:rFonts w:asciiTheme="minorHAnsi" w:hAnsiTheme="minorHAnsi"/>
          <w:lang w:val="en-GB"/>
        </w:rPr>
        <w:t xml:space="preserve"> United States, collaborated to address the crisis's core causes, maintain financial stability, and assure effective regulatory standards</w:t>
      </w:r>
      <w:r w:rsidR="00C87E65" w:rsidRPr="00D940AD">
        <w:rPr>
          <w:rFonts w:asciiTheme="minorHAnsi" w:hAnsiTheme="minorHAnsi"/>
          <w:lang w:val="en-GB"/>
        </w:rPr>
        <w:t xml:space="preserve"> (</w:t>
      </w:r>
      <w:r w:rsidR="00C87E65" w:rsidRPr="00D940AD">
        <w:rPr>
          <w:rFonts w:asciiTheme="minorHAnsi" w:hAnsiTheme="minorHAnsi"/>
          <w:color w:val="222222"/>
          <w:szCs w:val="24"/>
          <w:shd w:val="clear" w:color="auto" w:fill="FFFFFF"/>
          <w:lang w:val="en-GB"/>
        </w:rPr>
        <w:t xml:space="preserve">Horton, 2021). </w:t>
      </w:r>
      <w:r w:rsidRPr="00D940AD">
        <w:rPr>
          <w:rFonts w:asciiTheme="minorHAnsi" w:hAnsiTheme="minorHAnsi"/>
          <w:lang w:val="en-GB"/>
        </w:rPr>
        <w:t>The fundamental purpose of the regulatory reforms and policy adjustments was to build</w:t>
      </w:r>
      <w:r w:rsidR="00973818">
        <w:rPr>
          <w:rFonts w:asciiTheme="minorHAnsi" w:hAnsiTheme="minorHAnsi"/>
          <w:lang w:val="en-GB"/>
        </w:rPr>
        <w:t xml:space="preserve"> </w:t>
      </w:r>
      <w:r w:rsidRPr="00D940AD">
        <w:rPr>
          <w:rFonts w:asciiTheme="minorHAnsi" w:hAnsiTheme="minorHAnsi"/>
          <w:lang w:val="en-GB"/>
        </w:rPr>
        <w:t xml:space="preserve">more strong and </w:t>
      </w:r>
      <w:r w:rsidR="00973818" w:rsidRPr="00D940AD">
        <w:rPr>
          <w:rFonts w:asciiTheme="minorHAnsi" w:hAnsiTheme="minorHAnsi"/>
          <w:lang w:val="en-GB"/>
        </w:rPr>
        <w:t>robust</w:t>
      </w:r>
      <w:r w:rsidRPr="00D940AD">
        <w:rPr>
          <w:rFonts w:asciiTheme="minorHAnsi" w:hAnsiTheme="minorHAnsi"/>
          <w:lang w:val="en-GB"/>
        </w:rPr>
        <w:t xml:space="preserve"> financial system capable of withstanding future shocks. This entailed not just resolving urgent difficulties, but also developing a framework that fostered responsible lending, greater risk management, as well as greater financial market transparency.</w:t>
      </w:r>
    </w:p>
    <w:p w14:paraId="7EFBD732" w14:textId="6E50B765" w:rsidR="000315F5" w:rsidRPr="00D940AD" w:rsidRDefault="00013093" w:rsidP="00D940AD">
      <w:pPr>
        <w:pStyle w:val="Heading1"/>
        <w:rPr>
          <w:rFonts w:asciiTheme="minorHAnsi" w:hAnsiTheme="minorHAnsi" w:cstheme="minorHAnsi"/>
          <w:lang w:val="en-GB"/>
        </w:rPr>
      </w:pPr>
      <w:bookmarkStart w:id="1" w:name="_Toc142748484"/>
      <w:r w:rsidRPr="00D940AD">
        <w:rPr>
          <w:rFonts w:asciiTheme="minorHAnsi" w:hAnsiTheme="minorHAnsi" w:cstheme="minorHAnsi"/>
          <w:lang w:val="en-GB"/>
        </w:rPr>
        <w:lastRenderedPageBreak/>
        <w:t xml:space="preserve">UK based key regulatory </w:t>
      </w:r>
      <w:proofErr w:type="gramStart"/>
      <w:r w:rsidRPr="00D940AD">
        <w:rPr>
          <w:rFonts w:asciiTheme="minorHAnsi" w:hAnsiTheme="minorHAnsi" w:cstheme="minorHAnsi"/>
          <w:lang w:val="en-GB"/>
        </w:rPr>
        <w:t>frameworks</w:t>
      </w:r>
      <w:bookmarkEnd w:id="1"/>
      <w:proofErr w:type="gramEnd"/>
      <w:r w:rsidR="000315F5" w:rsidRPr="00D940AD">
        <w:rPr>
          <w:rFonts w:asciiTheme="minorHAnsi" w:hAnsiTheme="minorHAnsi" w:cstheme="minorHAnsi"/>
          <w:lang w:val="en-GB"/>
        </w:rPr>
        <w:t xml:space="preserve"> </w:t>
      </w:r>
    </w:p>
    <w:p w14:paraId="1E7B9B64" w14:textId="6E9788DA" w:rsidR="00C31EE4" w:rsidRPr="00D940AD" w:rsidRDefault="00C31EE4" w:rsidP="00D940AD">
      <w:pPr>
        <w:rPr>
          <w:rFonts w:asciiTheme="minorHAnsi" w:hAnsiTheme="minorHAnsi"/>
          <w:lang w:val="en-GB"/>
        </w:rPr>
      </w:pPr>
      <w:r w:rsidRPr="00D940AD">
        <w:rPr>
          <w:rFonts w:asciiTheme="minorHAnsi" w:hAnsiTheme="minorHAnsi"/>
          <w:lang w:val="en-GB"/>
        </w:rPr>
        <w:t>There are several laws, regulation which was passed by the United Kingdom government post 200</w:t>
      </w:r>
      <w:r w:rsidR="00B0642B">
        <w:rPr>
          <w:rFonts w:asciiTheme="minorHAnsi" w:hAnsiTheme="minorHAnsi"/>
          <w:lang w:val="en-GB"/>
        </w:rPr>
        <w:t>8</w:t>
      </w:r>
      <w:r w:rsidRPr="00D940AD">
        <w:rPr>
          <w:rFonts w:asciiTheme="minorHAnsi" w:hAnsiTheme="minorHAnsi"/>
          <w:lang w:val="en-GB"/>
        </w:rPr>
        <w:t xml:space="preserve"> crisis. Some of these are mentioned below: - </w:t>
      </w:r>
    </w:p>
    <w:p w14:paraId="0705197B" w14:textId="22257B56" w:rsidR="00C31EE4" w:rsidRPr="00D940AD" w:rsidRDefault="002F1EFE" w:rsidP="00D940AD">
      <w:pPr>
        <w:pStyle w:val="Heading2"/>
        <w:spacing w:after="160" w:line="360" w:lineRule="auto"/>
        <w:rPr>
          <w:rFonts w:asciiTheme="minorHAnsi" w:hAnsiTheme="minorHAnsi" w:cstheme="minorHAnsi"/>
        </w:rPr>
      </w:pPr>
      <w:bookmarkStart w:id="2" w:name="_Toc142748485"/>
      <w:r w:rsidRPr="00D940AD">
        <w:rPr>
          <w:rFonts w:asciiTheme="minorHAnsi" w:hAnsiTheme="minorHAnsi" w:cstheme="minorHAnsi"/>
        </w:rPr>
        <w:t>Financial Services Act 2012</w:t>
      </w:r>
      <w:bookmarkEnd w:id="2"/>
      <w:r w:rsidRPr="00D940AD">
        <w:rPr>
          <w:rFonts w:asciiTheme="minorHAnsi" w:hAnsiTheme="minorHAnsi" w:cstheme="minorHAnsi"/>
        </w:rPr>
        <w:t xml:space="preserve"> </w:t>
      </w:r>
    </w:p>
    <w:p w14:paraId="69AF4877" w14:textId="145F0172" w:rsidR="00F726C8" w:rsidRDefault="00CB6E5F" w:rsidP="00D940AD">
      <w:pPr>
        <w:rPr>
          <w:rFonts w:asciiTheme="minorHAnsi" w:hAnsiTheme="minorHAnsi"/>
          <w:color w:val="222222"/>
          <w:szCs w:val="24"/>
          <w:shd w:val="clear" w:color="auto" w:fill="FFFFFF"/>
          <w:lang w:val="en-GB"/>
        </w:rPr>
      </w:pPr>
      <w:r w:rsidRPr="00D940AD">
        <w:rPr>
          <w:rFonts w:asciiTheme="minorHAnsi" w:hAnsiTheme="minorHAnsi"/>
          <w:szCs w:val="24"/>
          <w:lang w:val="en-GB"/>
        </w:rPr>
        <w:t>This act aims to strengthen the monetary system of the United Kingdom and improve protection for consumers</w:t>
      </w:r>
      <w:r w:rsidR="004C4CD2" w:rsidRPr="00D940AD">
        <w:rPr>
          <w:rFonts w:asciiTheme="minorHAnsi" w:hAnsiTheme="minorHAnsi"/>
          <w:szCs w:val="24"/>
          <w:lang w:val="en-GB"/>
        </w:rPr>
        <w:t xml:space="preserve"> (Legislation.gov.uk, 2012).</w:t>
      </w:r>
      <w:r w:rsidRPr="00D940AD">
        <w:rPr>
          <w:rFonts w:asciiTheme="minorHAnsi" w:hAnsiTheme="minorHAnsi"/>
          <w:szCs w:val="24"/>
          <w:lang w:val="en-GB"/>
        </w:rPr>
        <w:t xml:space="preserve"> It formed Prudential Regulation Authority (PRA) as Bank of England subsidiary charged with regulating and overseeing financial services firms and big investment institutions</w:t>
      </w:r>
      <w:r w:rsidR="0000025B" w:rsidRPr="00D940AD">
        <w:rPr>
          <w:rFonts w:asciiTheme="minorHAnsi" w:hAnsiTheme="minorHAnsi"/>
          <w:szCs w:val="24"/>
          <w:lang w:val="en-GB"/>
        </w:rPr>
        <w:t xml:space="preserve"> (</w:t>
      </w:r>
      <w:r w:rsidR="0000025B" w:rsidRPr="00D940AD">
        <w:rPr>
          <w:rFonts w:asciiTheme="minorHAnsi" w:hAnsiTheme="minorHAnsi"/>
          <w:color w:val="222222"/>
          <w:szCs w:val="24"/>
          <w:shd w:val="clear" w:color="auto" w:fill="FFFFFF"/>
          <w:lang w:val="en-GB"/>
        </w:rPr>
        <w:t>Wilson, 2012)</w:t>
      </w:r>
      <w:r w:rsidRPr="00D940AD">
        <w:rPr>
          <w:rFonts w:asciiTheme="minorHAnsi" w:hAnsiTheme="minorHAnsi"/>
          <w:szCs w:val="24"/>
          <w:lang w:val="en-GB"/>
        </w:rPr>
        <w:t xml:space="preserve">.  </w:t>
      </w:r>
      <w:r w:rsidR="000717EE" w:rsidRPr="00D940AD">
        <w:rPr>
          <w:rFonts w:asciiTheme="minorHAnsi" w:hAnsiTheme="minorHAnsi"/>
          <w:szCs w:val="24"/>
          <w:lang w:val="en-GB"/>
        </w:rPr>
        <w:t xml:space="preserve">According to the findings of Figure 1, anomalous returns are </w:t>
      </w:r>
      <w:r w:rsidR="00973818">
        <w:rPr>
          <w:rFonts w:asciiTheme="minorHAnsi" w:hAnsiTheme="minorHAnsi"/>
          <w:szCs w:val="24"/>
          <w:lang w:val="en-GB"/>
        </w:rPr>
        <w:t xml:space="preserve">mainly </w:t>
      </w:r>
      <w:r w:rsidR="000717EE" w:rsidRPr="00D940AD">
        <w:rPr>
          <w:rFonts w:asciiTheme="minorHAnsi" w:hAnsiTheme="minorHAnsi"/>
          <w:szCs w:val="24"/>
          <w:lang w:val="en-GB"/>
        </w:rPr>
        <w:t>reduced following the enactment of Financial Services Act of 2012 (</w:t>
      </w:r>
      <w:r w:rsidR="000717EE" w:rsidRPr="00D940AD">
        <w:rPr>
          <w:rFonts w:asciiTheme="minorHAnsi" w:hAnsiTheme="minorHAnsi"/>
          <w:color w:val="222222"/>
          <w:szCs w:val="24"/>
          <w:shd w:val="clear" w:color="auto" w:fill="FFFFFF"/>
          <w:lang w:val="en-GB"/>
        </w:rPr>
        <w:t>Pham and Ausloos, 2022).</w:t>
      </w:r>
    </w:p>
    <w:p w14:paraId="02E68221" w14:textId="77777777" w:rsidR="00784AA7" w:rsidRPr="00D940AD" w:rsidRDefault="00784AA7" w:rsidP="00784AA7">
      <w:pPr>
        <w:keepNext/>
        <w:jc w:val="center"/>
        <w:rPr>
          <w:rFonts w:asciiTheme="minorHAnsi" w:hAnsiTheme="minorHAnsi"/>
          <w:lang w:val="en-GB"/>
        </w:rPr>
      </w:pPr>
      <w:r w:rsidRPr="00D940AD">
        <w:rPr>
          <w:rFonts w:asciiTheme="minorHAnsi" w:hAnsiTheme="minorHAnsi"/>
          <w:noProof/>
          <w:lang w:val="en-GB"/>
          <w14:ligatures w14:val="standardContextual"/>
        </w:rPr>
        <w:drawing>
          <wp:inline distT="0" distB="0" distL="0" distR="0" wp14:anchorId="5BE5CE10" wp14:editId="1A1F12F6">
            <wp:extent cx="5731510" cy="2675890"/>
            <wp:effectExtent l="76200" t="76200" r="135890" b="124460"/>
            <wp:docPr id="2062922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922568" name="Picture 2062922568"/>
                    <pic:cNvPicPr/>
                  </pic:nvPicPr>
                  <pic:blipFill>
                    <a:blip r:embed="rId8">
                      <a:extLst>
                        <a:ext uri="{28A0092B-C50C-407E-A947-70E740481C1C}">
                          <a14:useLocalDpi xmlns:a14="http://schemas.microsoft.com/office/drawing/2010/main" val="0"/>
                        </a:ext>
                      </a:extLst>
                    </a:blip>
                    <a:stretch>
                      <a:fillRect/>
                    </a:stretch>
                  </pic:blipFill>
                  <pic:spPr>
                    <a:xfrm>
                      <a:off x="0" y="0"/>
                      <a:ext cx="5731510" cy="26758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1AE30F" w14:textId="77777777" w:rsidR="00784AA7" w:rsidRPr="00D940AD" w:rsidRDefault="00784AA7" w:rsidP="00784AA7">
      <w:pPr>
        <w:pStyle w:val="Caption"/>
        <w:spacing w:after="160" w:line="360" w:lineRule="auto"/>
        <w:jc w:val="center"/>
        <w:rPr>
          <w:rFonts w:asciiTheme="minorHAnsi" w:hAnsiTheme="minorHAnsi"/>
          <w:lang w:val="en-GB"/>
        </w:rPr>
      </w:pPr>
      <w:r w:rsidRPr="00D940AD">
        <w:rPr>
          <w:rFonts w:asciiTheme="minorHAnsi" w:hAnsiTheme="minorHAnsi"/>
          <w:lang w:val="en-GB"/>
        </w:rPr>
        <w:t xml:space="preserve">Figure </w:t>
      </w:r>
      <w:r w:rsidRPr="00D940AD">
        <w:rPr>
          <w:rFonts w:asciiTheme="minorHAnsi" w:hAnsiTheme="minorHAnsi"/>
          <w:lang w:val="en-GB"/>
        </w:rPr>
        <w:fldChar w:fldCharType="begin"/>
      </w:r>
      <w:r w:rsidRPr="00D940AD">
        <w:rPr>
          <w:rFonts w:asciiTheme="minorHAnsi" w:hAnsiTheme="minorHAnsi"/>
          <w:lang w:val="en-GB"/>
        </w:rPr>
        <w:instrText xml:space="preserve"> SEQ Figure \* ARABIC </w:instrText>
      </w:r>
      <w:r w:rsidRPr="00D940AD">
        <w:rPr>
          <w:rFonts w:asciiTheme="minorHAnsi" w:hAnsiTheme="minorHAnsi"/>
          <w:lang w:val="en-GB"/>
        </w:rPr>
        <w:fldChar w:fldCharType="separate"/>
      </w:r>
      <w:r w:rsidRPr="00D940AD">
        <w:rPr>
          <w:rFonts w:asciiTheme="minorHAnsi" w:hAnsiTheme="minorHAnsi"/>
          <w:noProof/>
          <w:lang w:val="en-GB"/>
        </w:rPr>
        <w:t>1</w:t>
      </w:r>
      <w:r w:rsidRPr="00D940AD">
        <w:rPr>
          <w:rFonts w:asciiTheme="minorHAnsi" w:hAnsiTheme="minorHAnsi"/>
          <w:noProof/>
          <w:lang w:val="en-GB"/>
        </w:rPr>
        <w:fldChar w:fldCharType="end"/>
      </w:r>
      <w:r w:rsidRPr="00D940AD">
        <w:rPr>
          <w:rFonts w:asciiTheme="minorHAnsi" w:hAnsiTheme="minorHAnsi"/>
          <w:lang w:val="en-GB"/>
        </w:rPr>
        <w:t>- London Stock Exchange</w:t>
      </w:r>
    </w:p>
    <w:p w14:paraId="6D76D56C" w14:textId="35271500" w:rsidR="00784AA7" w:rsidRPr="00784AA7" w:rsidRDefault="00784AA7" w:rsidP="00784AA7">
      <w:pPr>
        <w:pStyle w:val="Caption"/>
        <w:spacing w:after="160" w:line="360" w:lineRule="auto"/>
        <w:jc w:val="center"/>
        <w:rPr>
          <w:rFonts w:asciiTheme="minorHAnsi" w:hAnsiTheme="minorHAnsi"/>
          <w:lang w:val="en-GB"/>
        </w:rPr>
      </w:pPr>
      <w:r w:rsidRPr="00D940AD">
        <w:rPr>
          <w:rFonts w:asciiTheme="minorHAnsi" w:hAnsiTheme="minorHAnsi"/>
          <w:lang w:val="en-GB"/>
        </w:rPr>
        <w:t>Source- (Pham and Ausloos, 2022).</w:t>
      </w:r>
    </w:p>
    <w:p w14:paraId="253F77A1" w14:textId="7DD9CE9D" w:rsidR="00035DBE" w:rsidRPr="00D940AD" w:rsidRDefault="00035DBE" w:rsidP="00D940AD">
      <w:pPr>
        <w:rPr>
          <w:rFonts w:asciiTheme="minorHAnsi" w:hAnsiTheme="minorHAnsi"/>
          <w:szCs w:val="24"/>
          <w:lang w:val="en-GB"/>
        </w:rPr>
      </w:pPr>
      <w:r w:rsidRPr="00D940AD">
        <w:rPr>
          <w:rFonts w:asciiTheme="minorHAnsi" w:hAnsiTheme="minorHAnsi"/>
          <w:szCs w:val="24"/>
          <w:lang w:val="en-GB"/>
        </w:rPr>
        <w:t xml:space="preserve">The formation of Prudential Regulation Authority (PRA) as separate entity </w:t>
      </w:r>
      <w:proofErr w:type="gramStart"/>
      <w:r w:rsidRPr="00D940AD">
        <w:rPr>
          <w:rFonts w:asciiTheme="minorHAnsi" w:hAnsiTheme="minorHAnsi"/>
          <w:szCs w:val="24"/>
          <w:lang w:val="en-GB"/>
        </w:rPr>
        <w:t>of  Bank</w:t>
      </w:r>
      <w:proofErr w:type="gramEnd"/>
      <w:r w:rsidRPr="00D940AD">
        <w:rPr>
          <w:rFonts w:asciiTheme="minorHAnsi" w:hAnsiTheme="minorHAnsi"/>
          <w:szCs w:val="24"/>
          <w:lang w:val="en-GB"/>
        </w:rPr>
        <w:t xml:space="preserve"> of England was a key component of this legislation. The PRA was given the crucial task of overseeing and regulating financial services corporations and big investment organisations. The PRA's oversight of these firms aims to assure their financial health and resilience, preventing a repeat of the systemic flaws that led the 2008 financial crisis</w:t>
      </w:r>
      <w:r w:rsidR="000717EE" w:rsidRPr="00D940AD">
        <w:rPr>
          <w:rFonts w:asciiTheme="minorHAnsi" w:hAnsiTheme="minorHAnsi"/>
          <w:szCs w:val="24"/>
          <w:lang w:val="en-GB"/>
        </w:rPr>
        <w:t xml:space="preserve"> (</w:t>
      </w:r>
      <w:r w:rsidR="000717EE" w:rsidRPr="00D940AD">
        <w:rPr>
          <w:rFonts w:asciiTheme="minorHAnsi" w:hAnsiTheme="minorHAnsi"/>
          <w:color w:val="222222"/>
          <w:szCs w:val="24"/>
          <w:shd w:val="clear" w:color="auto" w:fill="FFFFFF"/>
          <w:lang w:val="en-GB"/>
        </w:rPr>
        <w:t xml:space="preserve">Authority, 2021). </w:t>
      </w:r>
      <w:r w:rsidRPr="00D940AD">
        <w:rPr>
          <w:rFonts w:asciiTheme="minorHAnsi" w:hAnsiTheme="minorHAnsi"/>
          <w:szCs w:val="24"/>
          <w:lang w:val="en-GB"/>
        </w:rPr>
        <w:t xml:space="preserve">The legislation </w:t>
      </w:r>
      <w:r w:rsidRPr="00D940AD">
        <w:rPr>
          <w:rFonts w:asciiTheme="minorHAnsi" w:hAnsiTheme="minorHAnsi"/>
          <w:szCs w:val="24"/>
          <w:lang w:val="en-GB"/>
        </w:rPr>
        <w:lastRenderedPageBreak/>
        <w:t>was a major step towards strengthening UK's financial infrastructure as well as restoring market confidence.</w:t>
      </w:r>
    </w:p>
    <w:p w14:paraId="0AAE2170" w14:textId="5806B084" w:rsidR="00035DBE" w:rsidRPr="00D940AD" w:rsidRDefault="00035DBE" w:rsidP="00D940AD">
      <w:pPr>
        <w:rPr>
          <w:rFonts w:asciiTheme="minorHAnsi" w:hAnsiTheme="minorHAnsi"/>
          <w:szCs w:val="24"/>
          <w:lang w:val="en-GB"/>
        </w:rPr>
      </w:pPr>
      <w:r w:rsidRPr="00D940AD">
        <w:rPr>
          <w:rFonts w:asciiTheme="minorHAnsi" w:hAnsiTheme="minorHAnsi"/>
          <w:szCs w:val="24"/>
          <w:lang w:val="en-GB"/>
        </w:rPr>
        <w:t>The PRA was given the ability to interfere in the operations of financial institutions as result of</w:t>
      </w:r>
      <w:r w:rsidR="00973818">
        <w:rPr>
          <w:rFonts w:asciiTheme="minorHAnsi" w:hAnsiTheme="minorHAnsi"/>
          <w:szCs w:val="24"/>
          <w:lang w:val="en-GB"/>
        </w:rPr>
        <w:t xml:space="preserve"> </w:t>
      </w:r>
      <w:r w:rsidRPr="00D940AD">
        <w:rPr>
          <w:rFonts w:asciiTheme="minorHAnsi" w:hAnsiTheme="minorHAnsi"/>
          <w:szCs w:val="24"/>
          <w:lang w:val="en-GB"/>
        </w:rPr>
        <w:t>Financial Services Act. It might, for example, order a bank to enhance its capital reserves if it believes the organisation is undercapitalized. The PRA could additionally perform stress tests on financial institutions to determine their ability to withstand severe economic situations and ensure they have backup procedures in place</w:t>
      </w:r>
      <w:r w:rsidR="002A35FA" w:rsidRPr="00D940AD">
        <w:rPr>
          <w:rFonts w:asciiTheme="minorHAnsi" w:hAnsiTheme="minorHAnsi"/>
          <w:szCs w:val="24"/>
          <w:lang w:val="en-GB"/>
        </w:rPr>
        <w:t xml:space="preserve"> (</w:t>
      </w:r>
      <w:r w:rsidR="002A35FA" w:rsidRPr="00D940AD">
        <w:rPr>
          <w:rFonts w:asciiTheme="minorHAnsi" w:hAnsiTheme="minorHAnsi"/>
          <w:color w:val="222222"/>
          <w:szCs w:val="24"/>
          <w:shd w:val="clear" w:color="auto" w:fill="FFFFFF"/>
          <w:lang w:val="en-GB"/>
        </w:rPr>
        <w:t>Park and Kim, 2020).</w:t>
      </w:r>
    </w:p>
    <w:p w14:paraId="047BF3B2" w14:textId="25B613A4" w:rsidR="00C31EE4" w:rsidRPr="00D940AD" w:rsidRDefault="002F1EFE" w:rsidP="00D940AD">
      <w:pPr>
        <w:pStyle w:val="Heading2"/>
        <w:spacing w:after="160" w:line="360" w:lineRule="auto"/>
        <w:rPr>
          <w:rFonts w:asciiTheme="minorHAnsi" w:hAnsiTheme="minorHAnsi" w:cstheme="minorHAnsi"/>
        </w:rPr>
      </w:pPr>
      <w:bookmarkStart w:id="3" w:name="_Toc142748486"/>
      <w:r w:rsidRPr="00D940AD">
        <w:rPr>
          <w:rFonts w:asciiTheme="minorHAnsi" w:hAnsiTheme="minorHAnsi" w:cstheme="minorHAnsi"/>
        </w:rPr>
        <w:t>Bank of England and Financial Services Act 2016</w:t>
      </w:r>
      <w:bookmarkEnd w:id="3"/>
    </w:p>
    <w:p w14:paraId="32F1D936" w14:textId="47D98410" w:rsidR="002A35FA" w:rsidRDefault="00DA2734" w:rsidP="00D940AD">
      <w:pPr>
        <w:rPr>
          <w:rFonts w:asciiTheme="minorHAnsi" w:hAnsiTheme="minorHAnsi"/>
          <w:szCs w:val="24"/>
          <w:lang w:val="en-GB"/>
        </w:rPr>
      </w:pPr>
      <w:r w:rsidRPr="00D940AD">
        <w:rPr>
          <w:rFonts w:asciiTheme="minorHAnsi" w:hAnsiTheme="minorHAnsi"/>
          <w:lang w:val="en-GB"/>
        </w:rPr>
        <w:t xml:space="preserve">This legislation strengthened the regulatory structure for economic stability and the Bank of England's operations. </w:t>
      </w:r>
      <w:r w:rsidR="002A409D" w:rsidRPr="00D940AD">
        <w:rPr>
          <w:rFonts w:asciiTheme="minorHAnsi" w:hAnsiTheme="minorHAnsi"/>
          <w:lang w:val="en-GB"/>
        </w:rPr>
        <w:t>The Act also sought to strengthen the performance of Bank of England as country's central bank a</w:t>
      </w:r>
      <w:r w:rsidR="00973818">
        <w:rPr>
          <w:rFonts w:asciiTheme="minorHAnsi" w:hAnsiTheme="minorHAnsi"/>
          <w:lang w:val="en-GB"/>
        </w:rPr>
        <w:t>s well as</w:t>
      </w:r>
      <w:r w:rsidR="002A409D" w:rsidRPr="00D940AD">
        <w:rPr>
          <w:rFonts w:asciiTheme="minorHAnsi" w:hAnsiTheme="minorHAnsi"/>
          <w:lang w:val="en-GB"/>
        </w:rPr>
        <w:t xml:space="preserve"> financial regulator</w:t>
      </w:r>
      <w:r w:rsidR="00A74E51" w:rsidRPr="00D940AD">
        <w:rPr>
          <w:rFonts w:asciiTheme="minorHAnsi" w:hAnsiTheme="minorHAnsi"/>
          <w:lang w:val="en-GB"/>
        </w:rPr>
        <w:t xml:space="preserve"> (</w:t>
      </w:r>
      <w:r w:rsidR="00A74E51" w:rsidRPr="00D940AD">
        <w:rPr>
          <w:rFonts w:asciiTheme="minorHAnsi" w:hAnsiTheme="minorHAnsi"/>
          <w:szCs w:val="24"/>
          <w:lang w:val="en-GB"/>
        </w:rPr>
        <w:t>Legislation.gov.uk, 2016).</w:t>
      </w:r>
      <w:r w:rsidR="002A409D" w:rsidRPr="00D940AD">
        <w:rPr>
          <w:rFonts w:asciiTheme="minorHAnsi" w:hAnsiTheme="minorHAnsi"/>
          <w:lang w:val="en-GB"/>
        </w:rPr>
        <w:t xml:space="preserve"> The Bank of England responsible for </w:t>
      </w:r>
      <w:r w:rsidR="00973818">
        <w:rPr>
          <w:rFonts w:asciiTheme="minorHAnsi" w:hAnsiTheme="minorHAnsi"/>
          <w:lang w:val="en-GB"/>
        </w:rPr>
        <w:t>mak</w:t>
      </w:r>
      <w:r w:rsidR="002A409D" w:rsidRPr="00D940AD">
        <w:rPr>
          <w:rFonts w:asciiTheme="minorHAnsi" w:hAnsiTheme="minorHAnsi"/>
          <w:lang w:val="en-GB"/>
        </w:rPr>
        <w:t>ing</w:t>
      </w:r>
      <w:r w:rsidR="00973818">
        <w:rPr>
          <w:rFonts w:asciiTheme="minorHAnsi" w:hAnsiTheme="minorHAnsi"/>
          <w:lang w:val="en-GB"/>
        </w:rPr>
        <w:t xml:space="preserve"> sure the</w:t>
      </w:r>
      <w:r w:rsidR="002A409D" w:rsidRPr="00D940AD">
        <w:rPr>
          <w:rFonts w:asciiTheme="minorHAnsi" w:hAnsiTheme="minorHAnsi"/>
          <w:lang w:val="en-GB"/>
        </w:rPr>
        <w:t xml:space="preserve"> financial stability, establishing monetary policy, and overseeing financial institutions.</w:t>
      </w:r>
      <w:r w:rsidR="002A35FA" w:rsidRPr="00D940AD">
        <w:rPr>
          <w:rFonts w:asciiTheme="minorHAnsi" w:hAnsiTheme="minorHAnsi"/>
          <w:lang w:val="en-GB"/>
        </w:rPr>
        <w:t xml:space="preserve"> In figure 2,</w:t>
      </w:r>
      <w:r w:rsidR="002A409D" w:rsidRPr="00D940AD">
        <w:rPr>
          <w:rFonts w:asciiTheme="minorHAnsi" w:hAnsiTheme="minorHAnsi"/>
          <w:lang w:val="en-GB"/>
        </w:rPr>
        <w:t xml:space="preserve"> </w:t>
      </w:r>
      <w:r w:rsidR="002A35FA" w:rsidRPr="00D940AD">
        <w:rPr>
          <w:rFonts w:asciiTheme="minorHAnsi" w:hAnsiTheme="minorHAnsi"/>
          <w:lang w:val="en-GB"/>
        </w:rPr>
        <w:t>the black line represents the Bank of England's base interest rate, averaged throughout every quarter from the beginning of 2004</w:t>
      </w:r>
      <w:r w:rsidR="00A74E51" w:rsidRPr="00D940AD">
        <w:rPr>
          <w:rFonts w:asciiTheme="minorHAnsi" w:hAnsiTheme="minorHAnsi"/>
          <w:lang w:val="en-GB"/>
        </w:rPr>
        <w:t xml:space="preserve"> (</w:t>
      </w:r>
      <w:r w:rsidR="00A74E51" w:rsidRPr="00D940AD">
        <w:rPr>
          <w:rFonts w:asciiTheme="minorHAnsi" w:hAnsiTheme="minorHAnsi"/>
          <w:szCs w:val="24"/>
          <w:lang w:val="en-GB"/>
        </w:rPr>
        <w:t>Economic Research Council, 2016).</w:t>
      </w:r>
    </w:p>
    <w:p w14:paraId="6B12E209" w14:textId="77777777" w:rsidR="00784AA7" w:rsidRPr="00D940AD" w:rsidRDefault="00784AA7" w:rsidP="00784AA7">
      <w:pPr>
        <w:keepNext/>
        <w:jc w:val="center"/>
        <w:rPr>
          <w:rFonts w:asciiTheme="minorHAnsi" w:hAnsiTheme="minorHAnsi"/>
          <w:lang w:val="en-GB"/>
        </w:rPr>
      </w:pPr>
      <w:r w:rsidRPr="00D940AD">
        <w:rPr>
          <w:rFonts w:asciiTheme="minorHAnsi" w:hAnsiTheme="minorHAnsi"/>
          <w:noProof/>
          <w:lang w:val="en-GB"/>
          <w14:ligatures w14:val="standardContextual"/>
        </w:rPr>
        <w:drawing>
          <wp:inline distT="0" distB="0" distL="0" distR="0" wp14:anchorId="00693F97" wp14:editId="60B922A6">
            <wp:extent cx="4727812" cy="2884562"/>
            <wp:effectExtent l="76200" t="76200" r="130175" b="125730"/>
            <wp:docPr id="3856674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667439" name="Picture 385667439"/>
                    <pic:cNvPicPr/>
                  </pic:nvPicPr>
                  <pic:blipFill>
                    <a:blip r:embed="rId9">
                      <a:extLst>
                        <a:ext uri="{28A0092B-C50C-407E-A947-70E740481C1C}">
                          <a14:useLocalDpi xmlns:a14="http://schemas.microsoft.com/office/drawing/2010/main" val="0"/>
                        </a:ext>
                      </a:extLst>
                    </a:blip>
                    <a:stretch>
                      <a:fillRect/>
                    </a:stretch>
                  </pic:blipFill>
                  <pic:spPr>
                    <a:xfrm>
                      <a:off x="0" y="0"/>
                      <a:ext cx="4734636" cy="28887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766323" w14:textId="77777777" w:rsidR="00784AA7" w:rsidRPr="00D940AD" w:rsidRDefault="00784AA7" w:rsidP="00784AA7">
      <w:pPr>
        <w:pStyle w:val="Caption"/>
        <w:spacing w:after="160" w:line="360" w:lineRule="auto"/>
        <w:jc w:val="center"/>
        <w:rPr>
          <w:rFonts w:asciiTheme="minorHAnsi" w:hAnsiTheme="minorHAnsi"/>
          <w:lang w:val="en-GB"/>
        </w:rPr>
      </w:pPr>
      <w:r w:rsidRPr="00D940AD">
        <w:rPr>
          <w:rFonts w:asciiTheme="minorHAnsi" w:hAnsiTheme="minorHAnsi"/>
          <w:lang w:val="en-GB"/>
        </w:rPr>
        <w:t xml:space="preserve">Figure </w:t>
      </w:r>
      <w:r w:rsidRPr="00D940AD">
        <w:rPr>
          <w:rFonts w:asciiTheme="minorHAnsi" w:hAnsiTheme="minorHAnsi"/>
          <w:lang w:val="en-GB"/>
        </w:rPr>
        <w:fldChar w:fldCharType="begin"/>
      </w:r>
      <w:r w:rsidRPr="00D940AD">
        <w:rPr>
          <w:rFonts w:asciiTheme="minorHAnsi" w:hAnsiTheme="minorHAnsi"/>
          <w:lang w:val="en-GB"/>
        </w:rPr>
        <w:instrText xml:space="preserve"> SEQ Figure \* ARABIC </w:instrText>
      </w:r>
      <w:r w:rsidRPr="00D940AD">
        <w:rPr>
          <w:rFonts w:asciiTheme="minorHAnsi" w:hAnsiTheme="minorHAnsi"/>
          <w:lang w:val="en-GB"/>
        </w:rPr>
        <w:fldChar w:fldCharType="separate"/>
      </w:r>
      <w:r w:rsidRPr="00D940AD">
        <w:rPr>
          <w:rFonts w:asciiTheme="minorHAnsi" w:hAnsiTheme="minorHAnsi"/>
          <w:noProof/>
          <w:lang w:val="en-GB"/>
        </w:rPr>
        <w:t>2</w:t>
      </w:r>
      <w:r w:rsidRPr="00D940AD">
        <w:rPr>
          <w:rFonts w:asciiTheme="minorHAnsi" w:hAnsiTheme="minorHAnsi"/>
          <w:noProof/>
          <w:lang w:val="en-GB"/>
        </w:rPr>
        <w:fldChar w:fldCharType="end"/>
      </w:r>
      <w:r w:rsidRPr="00D940AD">
        <w:rPr>
          <w:rFonts w:asciiTheme="minorHAnsi" w:hAnsiTheme="minorHAnsi"/>
          <w:lang w:val="en-GB"/>
        </w:rPr>
        <w:t>- Bank of England Inflation</w:t>
      </w:r>
    </w:p>
    <w:p w14:paraId="6CA7591F" w14:textId="39732D3F" w:rsidR="00784AA7" w:rsidRPr="00D940AD" w:rsidRDefault="00784AA7" w:rsidP="00784AA7">
      <w:pPr>
        <w:pStyle w:val="Caption"/>
        <w:spacing w:after="160" w:line="360" w:lineRule="auto"/>
        <w:jc w:val="center"/>
        <w:rPr>
          <w:rFonts w:asciiTheme="minorHAnsi" w:hAnsiTheme="minorHAnsi"/>
          <w:lang w:val="en-GB"/>
        </w:rPr>
      </w:pPr>
      <w:r w:rsidRPr="00D940AD">
        <w:rPr>
          <w:rFonts w:asciiTheme="minorHAnsi" w:hAnsiTheme="minorHAnsi"/>
          <w:lang w:val="en-GB"/>
        </w:rPr>
        <w:t>Source- (Economic Research Council, 2016).</w:t>
      </w:r>
    </w:p>
    <w:p w14:paraId="79E37456" w14:textId="1699F2F3" w:rsidR="00C53F0D" w:rsidRPr="00D940AD" w:rsidRDefault="002A409D" w:rsidP="00D940AD">
      <w:pPr>
        <w:rPr>
          <w:rFonts w:asciiTheme="minorHAnsi" w:hAnsiTheme="minorHAnsi"/>
          <w:lang w:val="en-GB"/>
        </w:rPr>
      </w:pPr>
      <w:r w:rsidRPr="00D940AD">
        <w:rPr>
          <w:rFonts w:asciiTheme="minorHAnsi" w:hAnsiTheme="minorHAnsi"/>
          <w:lang w:val="en-GB"/>
        </w:rPr>
        <w:lastRenderedPageBreak/>
        <w:t>The legislation provide</w:t>
      </w:r>
      <w:r w:rsidR="00E72718">
        <w:rPr>
          <w:rFonts w:asciiTheme="minorHAnsi" w:hAnsiTheme="minorHAnsi"/>
          <w:lang w:val="en-GB"/>
        </w:rPr>
        <w:t>d</w:t>
      </w:r>
      <w:r w:rsidRPr="00D940AD">
        <w:rPr>
          <w:rFonts w:asciiTheme="minorHAnsi" w:hAnsiTheme="minorHAnsi"/>
          <w:lang w:val="en-GB"/>
        </w:rPr>
        <w:t xml:space="preserve"> the Bank of England with necessary instruments a</w:t>
      </w:r>
      <w:r w:rsidR="00E72718">
        <w:rPr>
          <w:rFonts w:asciiTheme="minorHAnsi" w:hAnsiTheme="minorHAnsi"/>
          <w:lang w:val="en-GB"/>
        </w:rPr>
        <w:t>s well as</w:t>
      </w:r>
      <w:r w:rsidRPr="00D940AD">
        <w:rPr>
          <w:rFonts w:asciiTheme="minorHAnsi" w:hAnsiTheme="minorHAnsi"/>
          <w:lang w:val="en-GB"/>
        </w:rPr>
        <w:t xml:space="preserve"> authority </w:t>
      </w:r>
      <w:r w:rsidR="00E72718">
        <w:rPr>
          <w:rFonts w:asciiTheme="minorHAnsi" w:hAnsiTheme="minorHAnsi"/>
          <w:lang w:val="en-GB"/>
        </w:rPr>
        <w:t xml:space="preserve">for </w:t>
      </w:r>
      <w:r w:rsidRPr="00D940AD">
        <w:rPr>
          <w:rFonts w:asciiTheme="minorHAnsi" w:hAnsiTheme="minorHAnsi"/>
          <w:lang w:val="en-GB"/>
        </w:rPr>
        <w:t>carry</w:t>
      </w:r>
      <w:r w:rsidR="00E72718">
        <w:rPr>
          <w:rFonts w:asciiTheme="minorHAnsi" w:hAnsiTheme="minorHAnsi"/>
          <w:lang w:val="en-GB"/>
        </w:rPr>
        <w:t>ing</w:t>
      </w:r>
      <w:r w:rsidRPr="00D940AD">
        <w:rPr>
          <w:rFonts w:asciiTheme="minorHAnsi" w:hAnsiTheme="minorHAnsi"/>
          <w:lang w:val="en-GB"/>
        </w:rPr>
        <w:t xml:space="preserve"> out th</w:t>
      </w:r>
      <w:r w:rsidR="00E72718">
        <w:rPr>
          <w:rFonts w:asciiTheme="minorHAnsi" w:hAnsiTheme="minorHAnsi"/>
          <w:lang w:val="en-GB"/>
        </w:rPr>
        <w:t>e</w:t>
      </w:r>
      <w:r w:rsidRPr="00D940AD">
        <w:rPr>
          <w:rFonts w:asciiTheme="minorHAnsi" w:hAnsiTheme="minorHAnsi"/>
          <w:lang w:val="en-GB"/>
        </w:rPr>
        <w:t xml:space="preserve"> obligations efficiently. </w:t>
      </w:r>
      <w:r w:rsidR="00E72718">
        <w:rPr>
          <w:rFonts w:asciiTheme="minorHAnsi" w:hAnsiTheme="minorHAnsi"/>
          <w:lang w:val="en-GB"/>
        </w:rPr>
        <w:t>As i</w:t>
      </w:r>
      <w:r w:rsidR="00DA2734" w:rsidRPr="00D940AD">
        <w:rPr>
          <w:rFonts w:asciiTheme="minorHAnsi" w:hAnsiTheme="minorHAnsi"/>
          <w:lang w:val="en-GB"/>
        </w:rPr>
        <w:t xml:space="preserve">t </w:t>
      </w:r>
      <w:r w:rsidR="00E72718">
        <w:rPr>
          <w:rFonts w:asciiTheme="minorHAnsi" w:hAnsiTheme="minorHAnsi"/>
          <w:lang w:val="en-GB"/>
        </w:rPr>
        <w:t xml:space="preserve">had </w:t>
      </w:r>
      <w:r w:rsidR="00DA2734" w:rsidRPr="00D940AD">
        <w:rPr>
          <w:rFonts w:asciiTheme="minorHAnsi" w:hAnsiTheme="minorHAnsi"/>
          <w:lang w:val="en-GB"/>
        </w:rPr>
        <w:t xml:space="preserve">formed Prudential Regulation Committee (PRC) in Bank </w:t>
      </w:r>
      <w:r w:rsidR="00E72718">
        <w:rPr>
          <w:rFonts w:asciiTheme="minorHAnsi" w:hAnsiTheme="minorHAnsi"/>
          <w:lang w:val="en-GB"/>
        </w:rPr>
        <w:t>for</w:t>
      </w:r>
      <w:r w:rsidR="00DA2734" w:rsidRPr="00D940AD">
        <w:rPr>
          <w:rFonts w:asciiTheme="minorHAnsi" w:hAnsiTheme="minorHAnsi"/>
          <w:lang w:val="en-GB"/>
        </w:rPr>
        <w:t xml:space="preserve"> monitor</w:t>
      </w:r>
      <w:r w:rsidR="00E72718">
        <w:rPr>
          <w:rFonts w:asciiTheme="minorHAnsi" w:hAnsiTheme="minorHAnsi"/>
          <w:lang w:val="en-GB"/>
        </w:rPr>
        <w:t>ing</w:t>
      </w:r>
      <w:r w:rsidR="00DA2734" w:rsidRPr="00D940AD">
        <w:rPr>
          <w:rFonts w:asciiTheme="minorHAnsi" w:hAnsiTheme="minorHAnsi"/>
          <w:lang w:val="en-GB"/>
        </w:rPr>
        <w:t xml:space="preserve"> the PRA's operations</w:t>
      </w:r>
      <w:r w:rsidR="001A527B" w:rsidRPr="00D940AD">
        <w:rPr>
          <w:rFonts w:asciiTheme="minorHAnsi" w:hAnsiTheme="minorHAnsi"/>
          <w:lang w:val="en-GB"/>
        </w:rPr>
        <w:t xml:space="preserve"> (UK Government, 2016)</w:t>
      </w:r>
      <w:r w:rsidR="00DA2734" w:rsidRPr="00D940AD">
        <w:rPr>
          <w:rFonts w:asciiTheme="minorHAnsi" w:hAnsiTheme="minorHAnsi"/>
          <w:lang w:val="en-GB"/>
        </w:rPr>
        <w:t xml:space="preserve">. </w:t>
      </w:r>
      <w:r w:rsidR="00C53F0D" w:rsidRPr="00D940AD">
        <w:rPr>
          <w:rFonts w:asciiTheme="minorHAnsi" w:hAnsiTheme="minorHAnsi"/>
          <w:lang w:val="en-GB"/>
        </w:rPr>
        <w:t xml:space="preserve"> </w:t>
      </w:r>
      <w:r w:rsidR="00E72718">
        <w:rPr>
          <w:rFonts w:asciiTheme="minorHAnsi" w:hAnsiTheme="minorHAnsi"/>
          <w:lang w:val="en-GB"/>
        </w:rPr>
        <w:t>As t</w:t>
      </w:r>
      <w:r w:rsidR="00035DBE" w:rsidRPr="00D940AD">
        <w:rPr>
          <w:rFonts w:asciiTheme="minorHAnsi" w:hAnsiTheme="minorHAnsi"/>
          <w:lang w:val="en-GB"/>
        </w:rPr>
        <w:t xml:space="preserve">he PRC was </w:t>
      </w:r>
      <w:r w:rsidR="00E72718">
        <w:rPr>
          <w:rFonts w:asciiTheme="minorHAnsi" w:hAnsiTheme="minorHAnsi"/>
          <w:lang w:val="en-GB"/>
        </w:rPr>
        <w:t xml:space="preserve">mainly in </w:t>
      </w:r>
      <w:r w:rsidR="00E72718" w:rsidRPr="00D940AD">
        <w:rPr>
          <w:rFonts w:asciiTheme="minorHAnsi" w:hAnsiTheme="minorHAnsi"/>
          <w:lang w:val="en-GB"/>
        </w:rPr>
        <w:t>charge</w:t>
      </w:r>
      <w:r w:rsidR="00035DBE" w:rsidRPr="00D940AD">
        <w:rPr>
          <w:rFonts w:asciiTheme="minorHAnsi" w:hAnsiTheme="minorHAnsi"/>
          <w:lang w:val="en-GB"/>
        </w:rPr>
        <w:t xml:space="preserve"> </w:t>
      </w:r>
      <w:r w:rsidR="00E72718">
        <w:rPr>
          <w:rFonts w:asciiTheme="minorHAnsi" w:hAnsiTheme="minorHAnsi"/>
          <w:lang w:val="en-GB"/>
        </w:rPr>
        <w:t xml:space="preserve">of </w:t>
      </w:r>
      <w:r w:rsidR="00035DBE" w:rsidRPr="00D940AD">
        <w:rPr>
          <w:rFonts w:asciiTheme="minorHAnsi" w:hAnsiTheme="minorHAnsi"/>
          <w:lang w:val="en-GB"/>
        </w:rPr>
        <w:t>supervising a</w:t>
      </w:r>
      <w:r w:rsidR="00E72718">
        <w:rPr>
          <w:rFonts w:asciiTheme="minorHAnsi" w:hAnsiTheme="minorHAnsi"/>
          <w:lang w:val="en-GB"/>
        </w:rPr>
        <w:t xml:space="preserve">s well as </w:t>
      </w:r>
      <w:r w:rsidR="00035DBE" w:rsidRPr="00D940AD">
        <w:rPr>
          <w:rFonts w:asciiTheme="minorHAnsi" w:hAnsiTheme="minorHAnsi"/>
          <w:lang w:val="en-GB"/>
        </w:rPr>
        <w:t xml:space="preserve">monitoring the PRA's operations. The PRC was </w:t>
      </w:r>
      <w:r w:rsidR="00E72718">
        <w:rPr>
          <w:rFonts w:asciiTheme="minorHAnsi" w:hAnsiTheme="minorHAnsi"/>
          <w:lang w:val="en-GB"/>
        </w:rPr>
        <w:t xml:space="preserve">also </w:t>
      </w:r>
      <w:r w:rsidR="00035DBE" w:rsidRPr="00D940AD">
        <w:rPr>
          <w:rFonts w:asciiTheme="minorHAnsi" w:hAnsiTheme="minorHAnsi"/>
          <w:lang w:val="en-GB"/>
        </w:rPr>
        <w:t xml:space="preserve">formed as internal oversight tool </w:t>
      </w:r>
      <w:r w:rsidR="00E72718">
        <w:rPr>
          <w:rFonts w:asciiTheme="minorHAnsi" w:hAnsiTheme="minorHAnsi"/>
          <w:lang w:val="en-GB"/>
        </w:rPr>
        <w:t>for making sure</w:t>
      </w:r>
      <w:r w:rsidR="00035DBE" w:rsidRPr="00D940AD">
        <w:rPr>
          <w:rFonts w:asciiTheme="minorHAnsi" w:hAnsiTheme="minorHAnsi"/>
          <w:lang w:val="en-GB"/>
        </w:rPr>
        <w:t xml:space="preserve"> that PRA's regulatory actions matched with</w:t>
      </w:r>
      <w:r w:rsidR="00E72718">
        <w:rPr>
          <w:rFonts w:asciiTheme="minorHAnsi" w:hAnsiTheme="minorHAnsi"/>
          <w:lang w:val="en-GB"/>
        </w:rPr>
        <w:t xml:space="preserve"> the</w:t>
      </w:r>
      <w:r w:rsidR="00035DBE" w:rsidRPr="00D940AD">
        <w:rPr>
          <w:rFonts w:asciiTheme="minorHAnsi" w:hAnsiTheme="minorHAnsi"/>
          <w:lang w:val="en-GB"/>
        </w:rPr>
        <w:t xml:space="preserve"> larger financial stability objectives. </w:t>
      </w:r>
      <w:r w:rsidR="00E72718">
        <w:rPr>
          <w:rFonts w:asciiTheme="minorHAnsi" w:hAnsiTheme="minorHAnsi"/>
          <w:lang w:val="en-GB"/>
        </w:rPr>
        <w:t>It also</w:t>
      </w:r>
      <w:r w:rsidR="00035DBE" w:rsidRPr="00D940AD">
        <w:rPr>
          <w:rFonts w:asciiTheme="minorHAnsi" w:hAnsiTheme="minorHAnsi"/>
          <w:lang w:val="en-GB"/>
        </w:rPr>
        <w:t xml:space="preserve"> meant that, as</w:t>
      </w:r>
      <w:r w:rsidR="00E72718">
        <w:rPr>
          <w:rFonts w:asciiTheme="minorHAnsi" w:hAnsiTheme="minorHAnsi"/>
          <w:lang w:val="en-GB"/>
        </w:rPr>
        <w:t xml:space="preserve"> being</w:t>
      </w:r>
      <w:r w:rsidR="00035DBE" w:rsidRPr="00D940AD">
        <w:rPr>
          <w:rFonts w:asciiTheme="minorHAnsi" w:hAnsiTheme="minorHAnsi"/>
          <w:lang w:val="en-GB"/>
        </w:rPr>
        <w:t xml:space="preserve"> part of Bank of England, PRC had </w:t>
      </w:r>
      <w:r w:rsidR="00E72718">
        <w:rPr>
          <w:rFonts w:asciiTheme="minorHAnsi" w:hAnsiTheme="minorHAnsi"/>
          <w:lang w:val="en-GB"/>
        </w:rPr>
        <w:t>an</w:t>
      </w:r>
      <w:r w:rsidR="00035DBE" w:rsidRPr="00D940AD">
        <w:rPr>
          <w:rFonts w:asciiTheme="minorHAnsi" w:hAnsiTheme="minorHAnsi"/>
          <w:lang w:val="en-GB"/>
        </w:rPr>
        <w:t xml:space="preserve"> ability </w:t>
      </w:r>
      <w:r w:rsidR="00E72718">
        <w:rPr>
          <w:rFonts w:asciiTheme="minorHAnsi" w:hAnsiTheme="minorHAnsi"/>
          <w:lang w:val="en-GB"/>
        </w:rPr>
        <w:t>of</w:t>
      </w:r>
      <w:r w:rsidR="00035DBE" w:rsidRPr="00D940AD">
        <w:rPr>
          <w:rFonts w:asciiTheme="minorHAnsi" w:hAnsiTheme="minorHAnsi"/>
          <w:lang w:val="en-GB"/>
        </w:rPr>
        <w:t xml:space="preserve"> monitor</w:t>
      </w:r>
      <w:r w:rsidR="00E72718">
        <w:rPr>
          <w:rFonts w:asciiTheme="minorHAnsi" w:hAnsiTheme="minorHAnsi"/>
          <w:lang w:val="en-GB"/>
        </w:rPr>
        <w:t>ing</w:t>
      </w:r>
      <w:r w:rsidR="00035DBE" w:rsidRPr="00D940AD">
        <w:rPr>
          <w:rFonts w:asciiTheme="minorHAnsi" w:hAnsiTheme="minorHAnsi"/>
          <w:lang w:val="en-GB"/>
        </w:rPr>
        <w:t xml:space="preserve"> a</w:t>
      </w:r>
      <w:r w:rsidR="00E72718">
        <w:rPr>
          <w:rFonts w:asciiTheme="minorHAnsi" w:hAnsiTheme="minorHAnsi"/>
          <w:lang w:val="en-GB"/>
        </w:rPr>
        <w:t xml:space="preserve">s well as </w:t>
      </w:r>
      <w:r w:rsidR="00035DBE" w:rsidRPr="00D940AD">
        <w:rPr>
          <w:rFonts w:asciiTheme="minorHAnsi" w:hAnsiTheme="minorHAnsi"/>
          <w:lang w:val="en-GB"/>
        </w:rPr>
        <w:t>evaluat</w:t>
      </w:r>
      <w:r w:rsidR="00E72718">
        <w:rPr>
          <w:rFonts w:asciiTheme="minorHAnsi" w:hAnsiTheme="minorHAnsi"/>
          <w:lang w:val="en-GB"/>
        </w:rPr>
        <w:t xml:space="preserve">ing </w:t>
      </w:r>
      <w:r w:rsidR="00035DBE" w:rsidRPr="00D940AD">
        <w:rPr>
          <w:rFonts w:asciiTheme="minorHAnsi" w:hAnsiTheme="minorHAnsi"/>
          <w:lang w:val="en-GB"/>
        </w:rPr>
        <w:t>the PRA's policies a</w:t>
      </w:r>
      <w:r w:rsidR="00E72718">
        <w:rPr>
          <w:rFonts w:asciiTheme="minorHAnsi" w:hAnsiTheme="minorHAnsi"/>
          <w:lang w:val="en-GB"/>
        </w:rPr>
        <w:t>s well as</w:t>
      </w:r>
      <w:r w:rsidR="00035DBE" w:rsidRPr="00D940AD">
        <w:rPr>
          <w:rFonts w:asciiTheme="minorHAnsi" w:hAnsiTheme="minorHAnsi"/>
          <w:lang w:val="en-GB"/>
        </w:rPr>
        <w:t xml:space="preserve"> actions</w:t>
      </w:r>
      <w:r w:rsidR="00A74E51" w:rsidRPr="00D940AD">
        <w:rPr>
          <w:rFonts w:asciiTheme="minorHAnsi" w:hAnsiTheme="minorHAnsi"/>
          <w:lang w:val="en-GB"/>
        </w:rPr>
        <w:t xml:space="preserve"> (</w:t>
      </w:r>
      <w:r w:rsidR="00A74E51" w:rsidRPr="00D940AD">
        <w:rPr>
          <w:rFonts w:asciiTheme="minorHAnsi" w:hAnsiTheme="minorHAnsi"/>
          <w:color w:val="222222"/>
          <w:szCs w:val="24"/>
          <w:shd w:val="clear" w:color="auto" w:fill="FFFFFF"/>
          <w:lang w:val="en-GB"/>
        </w:rPr>
        <w:t xml:space="preserve">Lloyd, 2021). </w:t>
      </w:r>
      <w:r w:rsidR="00035DBE" w:rsidRPr="00D940AD">
        <w:rPr>
          <w:rFonts w:asciiTheme="minorHAnsi" w:hAnsiTheme="minorHAnsi"/>
          <w:lang w:val="en-GB"/>
        </w:rPr>
        <w:t>These internal balances a</w:t>
      </w:r>
      <w:r w:rsidR="00E72718">
        <w:rPr>
          <w:rFonts w:asciiTheme="minorHAnsi" w:hAnsiTheme="minorHAnsi"/>
          <w:lang w:val="en-GB"/>
        </w:rPr>
        <w:t>s well as</w:t>
      </w:r>
      <w:r w:rsidR="00035DBE" w:rsidRPr="00D940AD">
        <w:rPr>
          <w:rFonts w:asciiTheme="minorHAnsi" w:hAnsiTheme="minorHAnsi"/>
          <w:lang w:val="en-GB"/>
        </w:rPr>
        <w:t xml:space="preserve"> check’s structure was </w:t>
      </w:r>
      <w:r w:rsidR="00E72718">
        <w:rPr>
          <w:rFonts w:asciiTheme="minorHAnsi" w:hAnsiTheme="minorHAnsi"/>
          <w:lang w:val="en-GB"/>
        </w:rPr>
        <w:t xml:space="preserve">mainly </w:t>
      </w:r>
      <w:r w:rsidR="00035DBE" w:rsidRPr="00D940AD">
        <w:rPr>
          <w:rFonts w:asciiTheme="minorHAnsi" w:hAnsiTheme="minorHAnsi"/>
          <w:lang w:val="en-GB"/>
        </w:rPr>
        <w:t xml:space="preserve">designed </w:t>
      </w:r>
      <w:r w:rsidR="00E72718">
        <w:rPr>
          <w:rFonts w:asciiTheme="minorHAnsi" w:hAnsiTheme="minorHAnsi"/>
          <w:lang w:val="en-GB"/>
        </w:rPr>
        <w:t>for</w:t>
      </w:r>
      <w:r w:rsidR="00035DBE" w:rsidRPr="00D940AD">
        <w:rPr>
          <w:rFonts w:asciiTheme="minorHAnsi" w:hAnsiTheme="minorHAnsi"/>
          <w:lang w:val="en-GB"/>
        </w:rPr>
        <w:t xml:space="preserve"> avoid</w:t>
      </w:r>
      <w:r w:rsidR="00E72718">
        <w:rPr>
          <w:rFonts w:asciiTheme="minorHAnsi" w:hAnsiTheme="minorHAnsi"/>
          <w:lang w:val="en-GB"/>
        </w:rPr>
        <w:t xml:space="preserve">ing </w:t>
      </w:r>
      <w:r w:rsidR="00035DBE" w:rsidRPr="00D940AD">
        <w:rPr>
          <w:rFonts w:asciiTheme="minorHAnsi" w:hAnsiTheme="minorHAnsi"/>
          <w:lang w:val="en-GB"/>
        </w:rPr>
        <w:t>any disproportionate concentration of power a</w:t>
      </w:r>
      <w:r w:rsidR="00E72718">
        <w:rPr>
          <w:rFonts w:asciiTheme="minorHAnsi" w:hAnsiTheme="minorHAnsi"/>
          <w:lang w:val="en-GB"/>
        </w:rPr>
        <w:t>s well as</w:t>
      </w:r>
      <w:r w:rsidR="00035DBE" w:rsidRPr="00D940AD">
        <w:rPr>
          <w:rFonts w:asciiTheme="minorHAnsi" w:hAnsiTheme="minorHAnsi"/>
          <w:lang w:val="en-GB"/>
        </w:rPr>
        <w:t xml:space="preserve"> ensur</w:t>
      </w:r>
      <w:r w:rsidR="00E72718">
        <w:rPr>
          <w:rFonts w:asciiTheme="minorHAnsi" w:hAnsiTheme="minorHAnsi"/>
          <w:lang w:val="en-GB"/>
        </w:rPr>
        <w:t xml:space="preserve">ing </w:t>
      </w:r>
      <w:r w:rsidR="00035DBE" w:rsidRPr="00D940AD">
        <w:rPr>
          <w:rFonts w:asciiTheme="minorHAnsi" w:hAnsiTheme="minorHAnsi"/>
          <w:lang w:val="en-GB"/>
        </w:rPr>
        <w:t>that</w:t>
      </w:r>
      <w:r w:rsidR="00E72718">
        <w:rPr>
          <w:rFonts w:asciiTheme="minorHAnsi" w:hAnsiTheme="minorHAnsi"/>
          <w:lang w:val="en-GB"/>
        </w:rPr>
        <w:t xml:space="preserve"> the</w:t>
      </w:r>
      <w:r w:rsidR="00035DBE" w:rsidRPr="00D940AD">
        <w:rPr>
          <w:rFonts w:asciiTheme="minorHAnsi" w:hAnsiTheme="minorHAnsi"/>
          <w:lang w:val="en-GB"/>
        </w:rPr>
        <w:t xml:space="preserve"> regulatory measures were compatible with broader goal of </w:t>
      </w:r>
      <w:r w:rsidR="00E72718">
        <w:rPr>
          <w:rFonts w:asciiTheme="minorHAnsi" w:hAnsiTheme="minorHAnsi"/>
          <w:lang w:val="en-GB"/>
        </w:rPr>
        <w:t xml:space="preserve">the </w:t>
      </w:r>
      <w:r w:rsidR="00035DBE" w:rsidRPr="00D940AD">
        <w:rPr>
          <w:rFonts w:asciiTheme="minorHAnsi" w:hAnsiTheme="minorHAnsi"/>
          <w:lang w:val="en-GB"/>
        </w:rPr>
        <w:t>financial stability.</w:t>
      </w:r>
    </w:p>
    <w:p w14:paraId="2658B63E" w14:textId="04BFA0C0" w:rsidR="00C31EE4" w:rsidRPr="00D940AD" w:rsidRDefault="002F1EFE" w:rsidP="00D940AD">
      <w:pPr>
        <w:pStyle w:val="Heading2"/>
        <w:spacing w:after="160" w:line="360" w:lineRule="auto"/>
        <w:rPr>
          <w:rFonts w:asciiTheme="minorHAnsi" w:hAnsiTheme="minorHAnsi" w:cstheme="minorHAnsi"/>
        </w:rPr>
      </w:pPr>
      <w:bookmarkStart w:id="4" w:name="_Toc142748487"/>
      <w:r w:rsidRPr="00D940AD">
        <w:rPr>
          <w:rFonts w:asciiTheme="minorHAnsi" w:hAnsiTheme="minorHAnsi" w:cstheme="minorHAnsi"/>
        </w:rPr>
        <w:t>Financial Conduct Authority (FCA)</w:t>
      </w:r>
      <w:bookmarkEnd w:id="4"/>
    </w:p>
    <w:p w14:paraId="34542C69" w14:textId="00F45352" w:rsidR="004E2E41" w:rsidRDefault="00A1421A" w:rsidP="00D940AD">
      <w:pPr>
        <w:rPr>
          <w:rFonts w:asciiTheme="minorHAnsi" w:hAnsiTheme="minorHAnsi"/>
          <w:lang w:val="en-GB"/>
        </w:rPr>
      </w:pPr>
      <w:r w:rsidRPr="00D940AD">
        <w:rPr>
          <w:rFonts w:asciiTheme="minorHAnsi" w:hAnsiTheme="minorHAnsi"/>
          <w:lang w:val="en-GB"/>
        </w:rPr>
        <w:t xml:space="preserve">The FCA founded as separate regulatory organization from PRA </w:t>
      </w:r>
      <w:r w:rsidR="00E72718">
        <w:rPr>
          <w:rFonts w:asciiTheme="minorHAnsi" w:hAnsiTheme="minorHAnsi"/>
          <w:lang w:val="en-GB"/>
        </w:rPr>
        <w:t xml:space="preserve">for </w:t>
      </w:r>
      <w:r w:rsidRPr="00D940AD">
        <w:rPr>
          <w:rFonts w:asciiTheme="minorHAnsi" w:hAnsiTheme="minorHAnsi"/>
          <w:lang w:val="en-GB"/>
        </w:rPr>
        <w:t>regulat</w:t>
      </w:r>
      <w:r w:rsidR="00E72718">
        <w:rPr>
          <w:rFonts w:asciiTheme="minorHAnsi" w:hAnsiTheme="minorHAnsi"/>
          <w:lang w:val="en-GB"/>
        </w:rPr>
        <w:t>ing the</w:t>
      </w:r>
      <w:r w:rsidRPr="00D940AD">
        <w:rPr>
          <w:rFonts w:asciiTheme="minorHAnsi" w:hAnsiTheme="minorHAnsi"/>
          <w:lang w:val="en-GB"/>
        </w:rPr>
        <w:t xml:space="preserve"> financial market </w:t>
      </w:r>
      <w:r w:rsidR="008226F0" w:rsidRPr="00D940AD">
        <w:rPr>
          <w:rFonts w:asciiTheme="minorHAnsi" w:hAnsiTheme="minorHAnsi"/>
          <w:lang w:val="en-GB"/>
        </w:rPr>
        <w:t>behaviour</w:t>
      </w:r>
      <w:r w:rsidRPr="00D940AD">
        <w:rPr>
          <w:rFonts w:asciiTheme="minorHAnsi" w:hAnsiTheme="minorHAnsi"/>
          <w:lang w:val="en-GB"/>
        </w:rPr>
        <w:t xml:space="preserve"> a</w:t>
      </w:r>
      <w:r w:rsidR="00E72718">
        <w:rPr>
          <w:rFonts w:asciiTheme="minorHAnsi" w:hAnsiTheme="minorHAnsi"/>
          <w:lang w:val="en-GB"/>
        </w:rPr>
        <w:t xml:space="preserve">s well as </w:t>
      </w:r>
      <w:r w:rsidRPr="00D940AD">
        <w:rPr>
          <w:rFonts w:asciiTheme="minorHAnsi" w:hAnsiTheme="minorHAnsi"/>
          <w:lang w:val="en-GB"/>
        </w:rPr>
        <w:t>safeguard</w:t>
      </w:r>
      <w:r w:rsidR="00E72718">
        <w:rPr>
          <w:rFonts w:asciiTheme="minorHAnsi" w:hAnsiTheme="minorHAnsi"/>
          <w:lang w:val="en-GB"/>
        </w:rPr>
        <w:t>ing</w:t>
      </w:r>
      <w:r w:rsidRPr="00D940AD">
        <w:rPr>
          <w:rFonts w:asciiTheme="minorHAnsi" w:hAnsiTheme="minorHAnsi"/>
          <w:lang w:val="en-GB"/>
        </w:rPr>
        <w:t xml:space="preserve"> the interests of</w:t>
      </w:r>
      <w:r w:rsidR="00E72718">
        <w:rPr>
          <w:rFonts w:asciiTheme="minorHAnsi" w:hAnsiTheme="minorHAnsi"/>
          <w:lang w:val="en-GB"/>
        </w:rPr>
        <w:t xml:space="preserve"> the</w:t>
      </w:r>
      <w:r w:rsidRPr="00D940AD">
        <w:rPr>
          <w:rFonts w:asciiTheme="minorHAnsi" w:hAnsiTheme="minorHAnsi"/>
          <w:lang w:val="en-GB"/>
        </w:rPr>
        <w:t xml:space="preserve"> consumers. </w:t>
      </w:r>
      <w:r w:rsidR="00E72718">
        <w:rPr>
          <w:rFonts w:asciiTheme="minorHAnsi" w:hAnsiTheme="minorHAnsi"/>
          <w:lang w:val="en-GB"/>
        </w:rPr>
        <w:t>As i</w:t>
      </w:r>
      <w:r w:rsidRPr="00D940AD">
        <w:rPr>
          <w:rFonts w:asciiTheme="minorHAnsi" w:hAnsiTheme="minorHAnsi"/>
          <w:lang w:val="en-GB"/>
        </w:rPr>
        <w:t xml:space="preserve">t </w:t>
      </w:r>
      <w:r w:rsidR="00E72718">
        <w:rPr>
          <w:rFonts w:asciiTheme="minorHAnsi" w:hAnsiTheme="minorHAnsi"/>
          <w:lang w:val="en-GB"/>
        </w:rPr>
        <w:t xml:space="preserve">also </w:t>
      </w:r>
      <w:r w:rsidRPr="00D940AD">
        <w:rPr>
          <w:rFonts w:asciiTheme="minorHAnsi" w:hAnsiTheme="minorHAnsi"/>
          <w:lang w:val="en-GB"/>
        </w:rPr>
        <w:t>focuses on preserving consumer fairness a</w:t>
      </w:r>
      <w:r w:rsidR="00E72718">
        <w:rPr>
          <w:rFonts w:asciiTheme="minorHAnsi" w:hAnsiTheme="minorHAnsi"/>
          <w:lang w:val="en-GB"/>
        </w:rPr>
        <w:t>s well as</w:t>
      </w:r>
      <w:r w:rsidRPr="00D940AD">
        <w:rPr>
          <w:rFonts w:asciiTheme="minorHAnsi" w:hAnsiTheme="minorHAnsi"/>
          <w:lang w:val="en-GB"/>
        </w:rPr>
        <w:t xml:space="preserve"> financial market fairness</w:t>
      </w:r>
      <w:r w:rsidR="0000025B" w:rsidRPr="00D940AD">
        <w:rPr>
          <w:rFonts w:asciiTheme="minorHAnsi" w:hAnsiTheme="minorHAnsi"/>
          <w:lang w:val="en-GB"/>
        </w:rPr>
        <w:t xml:space="preserve"> (</w:t>
      </w:r>
      <w:r w:rsidR="0000025B" w:rsidRPr="00D940AD">
        <w:rPr>
          <w:rFonts w:asciiTheme="minorHAnsi" w:hAnsiTheme="minorHAnsi"/>
          <w:color w:val="222222"/>
          <w:sz w:val="20"/>
          <w:szCs w:val="20"/>
          <w:shd w:val="clear" w:color="auto" w:fill="FFFFFF"/>
          <w:lang w:val="en-GB"/>
        </w:rPr>
        <w:t>Kovas, 2015)</w:t>
      </w:r>
      <w:r w:rsidRPr="00D940AD">
        <w:rPr>
          <w:rFonts w:asciiTheme="minorHAnsi" w:hAnsiTheme="minorHAnsi"/>
          <w:lang w:val="en-GB"/>
        </w:rPr>
        <w:t xml:space="preserve">. </w:t>
      </w:r>
      <w:r w:rsidR="00035DBE" w:rsidRPr="00D940AD">
        <w:rPr>
          <w:rFonts w:asciiTheme="minorHAnsi" w:hAnsiTheme="minorHAnsi"/>
          <w:lang w:val="en-GB"/>
        </w:rPr>
        <w:t>The FCA was formed in aftermath of crisis to address concerns of market behaviour and consumer protection. Whereas the PRA, which is primarily concerned with safeguarding financial institutions' prudential soundness, the FCA's principal aim is to regulate financial market behaviour and defend consumers' interests. The goal of the FCA includes enforcing fair practises, market integrity, and competition in the financial sector. The FCA was established by the UK in order to improve openness in the markets and avoid consumer abuses that contributed to the 2008 financial crisis.</w:t>
      </w:r>
      <w:r w:rsidR="005E1A70" w:rsidRPr="00D940AD">
        <w:rPr>
          <w:rFonts w:asciiTheme="minorHAnsi" w:hAnsiTheme="minorHAnsi"/>
          <w:lang w:val="en-GB"/>
        </w:rPr>
        <w:t xml:space="preserve"> Figure 3 highlights, Retail investments as well as retail lending have the greatest amend/withdrawal rates, accounting for 90% of our interactions with permitted entities</w:t>
      </w:r>
      <w:r w:rsidR="00595340" w:rsidRPr="00D940AD">
        <w:rPr>
          <w:rFonts w:asciiTheme="minorHAnsi" w:hAnsiTheme="minorHAnsi"/>
          <w:lang w:val="en-GB"/>
        </w:rPr>
        <w:t xml:space="preserve"> (Financial Conduct Authority, 2023).</w:t>
      </w:r>
    </w:p>
    <w:p w14:paraId="5839E692" w14:textId="77777777" w:rsidR="00784AA7" w:rsidRPr="00D940AD" w:rsidRDefault="00784AA7" w:rsidP="00784AA7">
      <w:pPr>
        <w:keepNext/>
        <w:jc w:val="center"/>
        <w:rPr>
          <w:rFonts w:asciiTheme="minorHAnsi" w:hAnsiTheme="minorHAnsi"/>
          <w:lang w:val="en-GB"/>
        </w:rPr>
      </w:pPr>
      <w:r w:rsidRPr="00D940AD">
        <w:rPr>
          <w:rFonts w:asciiTheme="minorHAnsi" w:hAnsiTheme="minorHAnsi"/>
          <w:noProof/>
          <w:lang w:val="en-GB"/>
          <w14:ligatures w14:val="standardContextual"/>
        </w:rPr>
        <w:lastRenderedPageBreak/>
        <w:drawing>
          <wp:inline distT="0" distB="0" distL="0" distR="0" wp14:anchorId="1D96C317" wp14:editId="3BC6F8EF">
            <wp:extent cx="4885899" cy="2555001"/>
            <wp:effectExtent l="76200" t="76200" r="124460" b="131445"/>
            <wp:docPr id="15780206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020629" name="Picture 1578020629"/>
                    <pic:cNvPicPr/>
                  </pic:nvPicPr>
                  <pic:blipFill>
                    <a:blip r:embed="rId10">
                      <a:extLst>
                        <a:ext uri="{28A0092B-C50C-407E-A947-70E740481C1C}">
                          <a14:useLocalDpi xmlns:a14="http://schemas.microsoft.com/office/drawing/2010/main" val="0"/>
                        </a:ext>
                      </a:extLst>
                    </a:blip>
                    <a:stretch>
                      <a:fillRect/>
                    </a:stretch>
                  </pic:blipFill>
                  <pic:spPr>
                    <a:xfrm>
                      <a:off x="0" y="0"/>
                      <a:ext cx="4893750" cy="25591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4F5218" w14:textId="77777777" w:rsidR="00784AA7" w:rsidRPr="00D940AD" w:rsidRDefault="00784AA7" w:rsidP="00784AA7">
      <w:pPr>
        <w:pStyle w:val="Caption"/>
        <w:spacing w:after="160" w:line="360" w:lineRule="auto"/>
        <w:jc w:val="center"/>
        <w:rPr>
          <w:rFonts w:asciiTheme="minorHAnsi" w:hAnsiTheme="minorHAnsi"/>
          <w:lang w:val="en-GB"/>
        </w:rPr>
      </w:pPr>
      <w:r w:rsidRPr="00D940AD">
        <w:rPr>
          <w:rFonts w:asciiTheme="minorHAnsi" w:hAnsiTheme="minorHAnsi"/>
          <w:lang w:val="en-GB"/>
        </w:rPr>
        <w:t xml:space="preserve">Figure </w:t>
      </w:r>
      <w:r w:rsidRPr="00D940AD">
        <w:rPr>
          <w:rFonts w:asciiTheme="minorHAnsi" w:hAnsiTheme="minorHAnsi"/>
          <w:lang w:val="en-GB"/>
        </w:rPr>
        <w:fldChar w:fldCharType="begin"/>
      </w:r>
      <w:r w:rsidRPr="00D940AD">
        <w:rPr>
          <w:rFonts w:asciiTheme="minorHAnsi" w:hAnsiTheme="minorHAnsi"/>
          <w:lang w:val="en-GB"/>
        </w:rPr>
        <w:instrText xml:space="preserve"> SEQ Figure \* ARABIC </w:instrText>
      </w:r>
      <w:r w:rsidRPr="00D940AD">
        <w:rPr>
          <w:rFonts w:asciiTheme="minorHAnsi" w:hAnsiTheme="minorHAnsi"/>
          <w:lang w:val="en-GB"/>
        </w:rPr>
        <w:fldChar w:fldCharType="separate"/>
      </w:r>
      <w:r w:rsidRPr="00D940AD">
        <w:rPr>
          <w:rFonts w:asciiTheme="minorHAnsi" w:hAnsiTheme="minorHAnsi"/>
          <w:noProof/>
          <w:lang w:val="en-GB"/>
        </w:rPr>
        <w:t>3</w:t>
      </w:r>
      <w:r w:rsidRPr="00D940AD">
        <w:rPr>
          <w:rFonts w:asciiTheme="minorHAnsi" w:hAnsiTheme="minorHAnsi"/>
          <w:lang w:val="en-GB"/>
        </w:rPr>
        <w:fldChar w:fldCharType="end"/>
      </w:r>
      <w:r w:rsidRPr="00D940AD">
        <w:rPr>
          <w:rFonts w:asciiTheme="minorHAnsi" w:hAnsiTheme="minorHAnsi"/>
          <w:lang w:val="en-GB"/>
        </w:rPr>
        <w:t xml:space="preserve">- Financial Promotions </w:t>
      </w:r>
    </w:p>
    <w:p w14:paraId="1F77F68B" w14:textId="5B48CFC6" w:rsidR="00784AA7" w:rsidRPr="00784AA7" w:rsidRDefault="00784AA7" w:rsidP="00784AA7">
      <w:pPr>
        <w:pStyle w:val="Caption"/>
        <w:spacing w:after="160" w:line="360" w:lineRule="auto"/>
        <w:jc w:val="center"/>
        <w:rPr>
          <w:rFonts w:asciiTheme="minorHAnsi" w:hAnsiTheme="minorHAnsi"/>
          <w:lang w:val="en-GB"/>
        </w:rPr>
      </w:pPr>
      <w:r w:rsidRPr="00D940AD">
        <w:rPr>
          <w:rFonts w:asciiTheme="minorHAnsi" w:hAnsiTheme="minorHAnsi"/>
          <w:lang w:val="en-GB"/>
        </w:rPr>
        <w:t>Source- (Financial Conduct Authority, 2023).</w:t>
      </w:r>
    </w:p>
    <w:p w14:paraId="3B107A81" w14:textId="0C0A3A10" w:rsidR="001D3A34" w:rsidRPr="00D940AD" w:rsidRDefault="006A24A2" w:rsidP="00D940AD">
      <w:pPr>
        <w:rPr>
          <w:rFonts w:asciiTheme="minorHAnsi" w:hAnsiTheme="minorHAnsi"/>
          <w:color w:val="222222"/>
          <w:szCs w:val="24"/>
          <w:shd w:val="clear" w:color="auto" w:fill="FFFFFF"/>
          <w:lang w:val="en-GB"/>
        </w:rPr>
      </w:pPr>
      <w:r w:rsidRPr="00D940AD">
        <w:rPr>
          <w:rFonts w:asciiTheme="minorHAnsi" w:hAnsiTheme="minorHAnsi"/>
          <w:lang w:val="en-GB"/>
        </w:rPr>
        <w:t>The FCA's regulatory strategy considers the changing environment of</w:t>
      </w:r>
      <w:r w:rsidR="00FE0191">
        <w:rPr>
          <w:rFonts w:asciiTheme="minorHAnsi" w:hAnsiTheme="minorHAnsi"/>
          <w:lang w:val="en-GB"/>
        </w:rPr>
        <w:t xml:space="preserve"> the</w:t>
      </w:r>
      <w:r w:rsidRPr="00D940AD">
        <w:rPr>
          <w:rFonts w:asciiTheme="minorHAnsi" w:hAnsiTheme="minorHAnsi"/>
          <w:lang w:val="en-GB"/>
        </w:rPr>
        <w:t xml:space="preserve"> financial technology (fintech) </w:t>
      </w:r>
      <w:r w:rsidR="00FE0191">
        <w:rPr>
          <w:rFonts w:asciiTheme="minorHAnsi" w:hAnsiTheme="minorHAnsi"/>
          <w:lang w:val="en-GB"/>
        </w:rPr>
        <w:t>as well as</w:t>
      </w:r>
      <w:r w:rsidRPr="00D940AD">
        <w:rPr>
          <w:rFonts w:asciiTheme="minorHAnsi" w:hAnsiTheme="minorHAnsi"/>
          <w:lang w:val="en-GB"/>
        </w:rPr>
        <w:t xml:space="preserve"> innovation. It strives to balance the advantages of innovation with the dangers of possible hazards, creating a welcoming atmosphere for novel financial services and products while ensuring they meet regulatory requirements. By tackling financial industry misbehaviour and reckless behaviour, the FCA helps to reduce systemic risks that might lead to another financial catastrophe. Its restrictions and monitoring operate as a deterrent to practises that might destabilise the whole financial system</w:t>
      </w:r>
      <w:r w:rsidR="00231402" w:rsidRPr="00D940AD">
        <w:rPr>
          <w:rFonts w:asciiTheme="minorHAnsi" w:hAnsiTheme="minorHAnsi"/>
          <w:lang w:val="en-GB"/>
        </w:rPr>
        <w:t xml:space="preserve"> (</w:t>
      </w:r>
      <w:r w:rsidR="00231402" w:rsidRPr="00D940AD">
        <w:rPr>
          <w:rFonts w:asciiTheme="minorHAnsi" w:hAnsiTheme="minorHAnsi"/>
          <w:color w:val="222222"/>
          <w:szCs w:val="24"/>
          <w:shd w:val="clear" w:color="auto" w:fill="FFFFFF"/>
          <w:lang w:val="en-GB"/>
        </w:rPr>
        <w:t>Anago, 2023).</w:t>
      </w:r>
      <w:r w:rsidRPr="00D940AD">
        <w:rPr>
          <w:rFonts w:asciiTheme="minorHAnsi" w:hAnsiTheme="minorHAnsi"/>
          <w:lang w:val="en-GB"/>
        </w:rPr>
        <w:t xml:space="preserve"> </w:t>
      </w:r>
      <w:r w:rsidR="00035DBE" w:rsidRPr="00D940AD">
        <w:rPr>
          <w:rFonts w:asciiTheme="minorHAnsi" w:hAnsiTheme="minorHAnsi"/>
          <w:lang w:val="en-GB"/>
        </w:rPr>
        <w:t>Aside from consumer protection, the FCA sought to improve the integrity of financial markets. It established laws and regulations to combat market manipulation, insider trading, and various other acts that might threaten financial markets' fairness and efficiency. This aided in restoring investor trust and preventing scenarios in which some individuals may take advantage of the system for personal benefit</w:t>
      </w:r>
      <w:r w:rsidR="00FD1A4F" w:rsidRPr="00D940AD">
        <w:rPr>
          <w:rFonts w:asciiTheme="minorHAnsi" w:hAnsiTheme="minorHAnsi"/>
          <w:lang w:val="en-GB"/>
        </w:rPr>
        <w:t xml:space="preserve"> (</w:t>
      </w:r>
      <w:r w:rsidR="00FD1A4F" w:rsidRPr="00D940AD">
        <w:rPr>
          <w:rFonts w:asciiTheme="minorHAnsi" w:hAnsiTheme="minorHAnsi"/>
          <w:color w:val="222222"/>
          <w:szCs w:val="24"/>
          <w:shd w:val="clear" w:color="auto" w:fill="FFFFFF"/>
          <w:lang w:val="en-GB"/>
        </w:rPr>
        <w:t>Anago, 2023).</w:t>
      </w:r>
    </w:p>
    <w:p w14:paraId="1C38815A" w14:textId="7D269220" w:rsidR="00C31EE4" w:rsidRPr="00D940AD" w:rsidRDefault="002F1EFE" w:rsidP="00D940AD">
      <w:pPr>
        <w:pStyle w:val="Heading2"/>
        <w:spacing w:after="160" w:line="360" w:lineRule="auto"/>
        <w:rPr>
          <w:rFonts w:asciiTheme="minorHAnsi" w:hAnsiTheme="minorHAnsi" w:cstheme="minorHAnsi"/>
        </w:rPr>
      </w:pPr>
      <w:bookmarkStart w:id="5" w:name="_Toc142748488"/>
      <w:r w:rsidRPr="00D940AD">
        <w:rPr>
          <w:rFonts w:asciiTheme="minorHAnsi" w:hAnsiTheme="minorHAnsi" w:cstheme="minorHAnsi"/>
        </w:rPr>
        <w:t>MiFID II (Markets in Financial Instruments Directive II)</w:t>
      </w:r>
      <w:bookmarkEnd w:id="5"/>
    </w:p>
    <w:p w14:paraId="69AF60C4" w14:textId="203E53ED" w:rsidR="00035DBE" w:rsidRDefault="00F726C8" w:rsidP="00D940AD">
      <w:pPr>
        <w:rPr>
          <w:rFonts w:asciiTheme="minorHAnsi" w:hAnsiTheme="minorHAnsi"/>
          <w:color w:val="222222"/>
          <w:szCs w:val="24"/>
          <w:shd w:val="clear" w:color="auto" w:fill="FFFFFF"/>
          <w:lang w:val="en-GB"/>
        </w:rPr>
      </w:pPr>
      <w:r w:rsidRPr="00D940AD">
        <w:rPr>
          <w:rFonts w:asciiTheme="minorHAnsi" w:hAnsiTheme="minorHAnsi"/>
          <w:lang w:val="en-GB"/>
        </w:rPr>
        <w:t>While not unique to the United Kingdom, MiFID II is a European Union directive that was enacted in the United Kingdom with the goal of increasing transparency and strengthening safeguards for investors in financial markets</w:t>
      </w:r>
      <w:r w:rsidR="001A527B" w:rsidRPr="00D940AD">
        <w:rPr>
          <w:rFonts w:asciiTheme="minorHAnsi" w:hAnsiTheme="minorHAnsi"/>
          <w:lang w:val="en-GB"/>
        </w:rPr>
        <w:t xml:space="preserve"> (European Commission, 2023)</w:t>
      </w:r>
      <w:r w:rsidRPr="00D940AD">
        <w:rPr>
          <w:rFonts w:asciiTheme="minorHAnsi" w:hAnsiTheme="minorHAnsi"/>
          <w:lang w:val="en-GB"/>
        </w:rPr>
        <w:t xml:space="preserve">. </w:t>
      </w:r>
      <w:r w:rsidR="00035DBE" w:rsidRPr="00D940AD">
        <w:rPr>
          <w:rFonts w:asciiTheme="minorHAnsi" w:hAnsiTheme="minorHAnsi"/>
          <w:lang w:val="en-GB"/>
        </w:rPr>
        <w:t xml:space="preserve">MiFID II, enacted to promote openness and investor safety in financial markets, required full information disclosure, particularly for complex financial instruments. This directive further increased </w:t>
      </w:r>
      <w:r w:rsidR="00035DBE" w:rsidRPr="00D940AD">
        <w:rPr>
          <w:rFonts w:asciiTheme="minorHAnsi" w:hAnsiTheme="minorHAnsi"/>
          <w:lang w:val="en-GB"/>
        </w:rPr>
        <w:lastRenderedPageBreak/>
        <w:t xml:space="preserve">laws regulating investment services and operations, with the goal of providing better information to investors and mitigating possible market abuses. Although not unique to the United Kingdom, </w:t>
      </w:r>
      <w:r w:rsidR="00FE0191">
        <w:rPr>
          <w:rFonts w:asciiTheme="minorHAnsi" w:hAnsiTheme="minorHAnsi"/>
          <w:lang w:val="en-GB"/>
        </w:rPr>
        <w:t>a</w:t>
      </w:r>
      <w:r w:rsidR="00035DBE" w:rsidRPr="00D940AD">
        <w:rPr>
          <w:rFonts w:asciiTheme="minorHAnsi" w:hAnsiTheme="minorHAnsi"/>
          <w:lang w:val="en-GB"/>
        </w:rPr>
        <w:t>doption of</w:t>
      </w:r>
      <w:r w:rsidR="00FE0191">
        <w:rPr>
          <w:rFonts w:asciiTheme="minorHAnsi" w:hAnsiTheme="minorHAnsi"/>
          <w:lang w:val="en-GB"/>
        </w:rPr>
        <w:t xml:space="preserve"> the</w:t>
      </w:r>
      <w:r w:rsidR="00035DBE" w:rsidRPr="00D940AD">
        <w:rPr>
          <w:rFonts w:asciiTheme="minorHAnsi" w:hAnsiTheme="minorHAnsi"/>
          <w:lang w:val="en-GB"/>
        </w:rPr>
        <w:t xml:space="preserve"> MiFID II corresponded to the country's aim to promoting a more transparent and responsible financial industry</w:t>
      </w:r>
      <w:r w:rsidR="0098737D" w:rsidRPr="00D940AD">
        <w:rPr>
          <w:rFonts w:asciiTheme="minorHAnsi" w:hAnsiTheme="minorHAnsi"/>
          <w:lang w:val="en-GB"/>
        </w:rPr>
        <w:t xml:space="preserve"> (</w:t>
      </w:r>
      <w:r w:rsidR="0098737D" w:rsidRPr="00D940AD">
        <w:rPr>
          <w:rFonts w:asciiTheme="minorHAnsi" w:hAnsiTheme="minorHAnsi"/>
          <w:color w:val="222222"/>
          <w:szCs w:val="24"/>
          <w:shd w:val="clear" w:color="auto" w:fill="FFFFFF"/>
          <w:lang w:val="en-GB"/>
        </w:rPr>
        <w:t>Marano, 2021).</w:t>
      </w:r>
    </w:p>
    <w:p w14:paraId="25A7B809" w14:textId="77777777" w:rsidR="00784AA7" w:rsidRPr="00D940AD" w:rsidRDefault="00784AA7" w:rsidP="00784AA7">
      <w:pPr>
        <w:keepNext/>
        <w:jc w:val="center"/>
        <w:rPr>
          <w:rFonts w:asciiTheme="minorHAnsi" w:hAnsiTheme="minorHAnsi"/>
          <w:lang w:val="en-GB"/>
        </w:rPr>
      </w:pPr>
      <w:r w:rsidRPr="00D940AD">
        <w:rPr>
          <w:rFonts w:asciiTheme="minorHAnsi" w:hAnsiTheme="minorHAnsi"/>
          <w:noProof/>
          <w:lang w:val="en-GB"/>
        </w:rPr>
        <w:drawing>
          <wp:inline distT="0" distB="0" distL="0" distR="0" wp14:anchorId="203D9AA6" wp14:editId="76629177">
            <wp:extent cx="4100015" cy="2820242"/>
            <wp:effectExtent l="76200" t="76200" r="129540" b="132715"/>
            <wp:docPr id="988699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699401" name=""/>
                    <pic:cNvPicPr/>
                  </pic:nvPicPr>
                  <pic:blipFill>
                    <a:blip r:embed="rId11"/>
                    <a:stretch>
                      <a:fillRect/>
                    </a:stretch>
                  </pic:blipFill>
                  <pic:spPr>
                    <a:xfrm>
                      <a:off x="0" y="0"/>
                      <a:ext cx="4111049" cy="28278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E4BF8C1" w14:textId="77777777" w:rsidR="00784AA7" w:rsidRPr="00D940AD" w:rsidRDefault="00784AA7" w:rsidP="00784AA7">
      <w:pPr>
        <w:pStyle w:val="Caption"/>
        <w:spacing w:after="160" w:line="360" w:lineRule="auto"/>
        <w:jc w:val="center"/>
        <w:rPr>
          <w:rFonts w:asciiTheme="minorHAnsi" w:hAnsiTheme="minorHAnsi"/>
          <w:lang w:val="en-GB"/>
        </w:rPr>
      </w:pPr>
      <w:r w:rsidRPr="00D940AD">
        <w:rPr>
          <w:rFonts w:asciiTheme="minorHAnsi" w:hAnsiTheme="minorHAnsi"/>
          <w:lang w:val="en-GB"/>
        </w:rPr>
        <w:t xml:space="preserve">Figure </w:t>
      </w:r>
      <w:r w:rsidRPr="00D940AD">
        <w:rPr>
          <w:rFonts w:asciiTheme="minorHAnsi" w:hAnsiTheme="minorHAnsi"/>
          <w:lang w:val="en-GB"/>
        </w:rPr>
        <w:fldChar w:fldCharType="begin"/>
      </w:r>
      <w:r w:rsidRPr="00D940AD">
        <w:rPr>
          <w:rFonts w:asciiTheme="minorHAnsi" w:hAnsiTheme="minorHAnsi"/>
          <w:lang w:val="en-GB"/>
        </w:rPr>
        <w:instrText xml:space="preserve"> SEQ Figure \* ARABIC </w:instrText>
      </w:r>
      <w:r w:rsidRPr="00D940AD">
        <w:rPr>
          <w:rFonts w:asciiTheme="minorHAnsi" w:hAnsiTheme="minorHAnsi"/>
          <w:lang w:val="en-GB"/>
        </w:rPr>
        <w:fldChar w:fldCharType="separate"/>
      </w:r>
      <w:r w:rsidRPr="00D940AD">
        <w:rPr>
          <w:rFonts w:asciiTheme="minorHAnsi" w:hAnsiTheme="minorHAnsi"/>
          <w:noProof/>
          <w:lang w:val="en-GB"/>
        </w:rPr>
        <w:t>4</w:t>
      </w:r>
      <w:r w:rsidRPr="00D940AD">
        <w:rPr>
          <w:rFonts w:asciiTheme="minorHAnsi" w:hAnsiTheme="minorHAnsi"/>
          <w:lang w:val="en-GB"/>
        </w:rPr>
        <w:fldChar w:fldCharType="end"/>
      </w:r>
      <w:r w:rsidRPr="00D940AD">
        <w:rPr>
          <w:rFonts w:asciiTheme="minorHAnsi" w:hAnsiTheme="minorHAnsi"/>
          <w:lang w:val="en-GB"/>
        </w:rPr>
        <w:t>implementation of MIFID II</w:t>
      </w:r>
    </w:p>
    <w:p w14:paraId="29B1D0E5" w14:textId="3E738727" w:rsidR="00784AA7" w:rsidRPr="00D940AD" w:rsidRDefault="00784AA7" w:rsidP="00784AA7">
      <w:pPr>
        <w:pStyle w:val="Caption"/>
        <w:spacing w:after="160" w:line="360" w:lineRule="auto"/>
        <w:jc w:val="center"/>
        <w:rPr>
          <w:rFonts w:asciiTheme="minorHAnsi" w:hAnsiTheme="minorHAnsi"/>
          <w:lang w:val="en-GB"/>
        </w:rPr>
      </w:pPr>
      <w:r w:rsidRPr="00D940AD">
        <w:rPr>
          <w:rFonts w:asciiTheme="minorHAnsi" w:hAnsiTheme="minorHAnsi"/>
          <w:lang w:val="en-GB"/>
        </w:rPr>
        <w:t>Source- (Prajapati, 2018).</w:t>
      </w:r>
    </w:p>
    <w:p w14:paraId="08203093" w14:textId="2980918B" w:rsidR="00035DBE" w:rsidRPr="00D940AD" w:rsidRDefault="00035DBE" w:rsidP="00D940AD">
      <w:pPr>
        <w:rPr>
          <w:rFonts w:asciiTheme="minorHAnsi" w:hAnsiTheme="minorHAnsi"/>
          <w:lang w:val="en-GB"/>
        </w:rPr>
      </w:pPr>
      <w:r w:rsidRPr="00D940AD">
        <w:rPr>
          <w:rFonts w:asciiTheme="minorHAnsi" w:hAnsiTheme="minorHAnsi"/>
          <w:lang w:val="en-GB"/>
        </w:rPr>
        <w:t xml:space="preserve">MiFID II was an EU legislation, but its influence stretched beyond its boundaries. Regardless of their home jurisdiction, many multinational financial organisations operating in the EU </w:t>
      </w:r>
      <w:r w:rsidR="00202FC4" w:rsidRPr="00D940AD">
        <w:rPr>
          <w:rFonts w:asciiTheme="minorHAnsi" w:hAnsiTheme="minorHAnsi"/>
          <w:lang w:val="en-GB"/>
        </w:rPr>
        <w:t>must</w:t>
      </w:r>
      <w:r w:rsidRPr="00D940AD">
        <w:rPr>
          <w:rFonts w:asciiTheme="minorHAnsi" w:hAnsiTheme="minorHAnsi"/>
          <w:lang w:val="en-GB"/>
        </w:rPr>
        <w:t xml:space="preserve"> alter their practises to meet the directive's standards. This extraterritorial effect spurred more regulatory and practise harmonisation across international financial markets.</w:t>
      </w:r>
      <w:r w:rsidR="001D3A34" w:rsidRPr="00D940AD">
        <w:rPr>
          <w:rFonts w:asciiTheme="minorHAnsi" w:hAnsiTheme="minorHAnsi"/>
          <w:lang w:val="en-GB"/>
        </w:rPr>
        <w:t xml:space="preserve"> Figure 4 shows, banks are likely to bear around 80% of the cost burden. Each of the top banks will be required to spend more than €40 million. Managers of assets will have to create </w:t>
      </w:r>
      <w:r w:rsidR="00645BED" w:rsidRPr="00D940AD">
        <w:rPr>
          <w:rFonts w:asciiTheme="minorHAnsi" w:hAnsiTheme="minorHAnsi"/>
          <w:lang w:val="en-GB"/>
        </w:rPr>
        <w:t xml:space="preserve">MiFID </w:t>
      </w:r>
      <w:r w:rsidR="001D3A34" w:rsidRPr="00D940AD">
        <w:rPr>
          <w:rFonts w:asciiTheme="minorHAnsi" w:hAnsiTheme="minorHAnsi"/>
          <w:lang w:val="en-GB"/>
        </w:rPr>
        <w:t>II infrastructure from the ground up. Their overall costs are projected to reach around €350 million (Prajapati, 2018).</w:t>
      </w:r>
    </w:p>
    <w:p w14:paraId="77FA6401" w14:textId="028017F4" w:rsidR="00F6496C" w:rsidRPr="00D940AD" w:rsidRDefault="00DA2734" w:rsidP="00D940AD">
      <w:pPr>
        <w:rPr>
          <w:rFonts w:asciiTheme="minorHAnsi" w:hAnsiTheme="minorHAnsi"/>
          <w:lang w:val="en-GB"/>
        </w:rPr>
      </w:pPr>
      <w:r w:rsidRPr="00D940AD">
        <w:rPr>
          <w:rFonts w:asciiTheme="minorHAnsi" w:hAnsiTheme="minorHAnsi"/>
          <w:lang w:val="en-GB"/>
        </w:rPr>
        <w:t xml:space="preserve">Overall, the regulatory adjustments implemented in the UK following the financial crisis intended to reduce the excessively risk-taking </w:t>
      </w:r>
      <w:r w:rsidR="00A44883" w:rsidRPr="00D940AD">
        <w:rPr>
          <w:rFonts w:asciiTheme="minorHAnsi" w:hAnsiTheme="minorHAnsi"/>
          <w:lang w:val="en-GB"/>
        </w:rPr>
        <w:t>behaviour</w:t>
      </w:r>
      <w:r w:rsidRPr="00D940AD">
        <w:rPr>
          <w:rFonts w:asciiTheme="minorHAnsi" w:hAnsiTheme="minorHAnsi"/>
          <w:lang w:val="en-GB"/>
        </w:rPr>
        <w:t xml:space="preserve"> that had led to the catastrophe. While these measures limited banks' operations, their primary goal was to improve financial stability, protect customers, and encourage a more accountable and responsible financial sector. In addition, the Basel III framework-imposed liquidity rules, which obliged banks to </w:t>
      </w:r>
      <w:r w:rsidRPr="00D940AD">
        <w:rPr>
          <w:rFonts w:asciiTheme="minorHAnsi" w:hAnsiTheme="minorHAnsi"/>
          <w:lang w:val="en-GB"/>
        </w:rPr>
        <w:lastRenderedPageBreak/>
        <w:t>keep enough liquid assets on hand to satisfy short-term obligations. This lowered banks' reliance on short-term funding sources, causing them to be more resistant to liquidity disruptions</w:t>
      </w:r>
      <w:r w:rsidR="0098737D" w:rsidRPr="00D940AD">
        <w:rPr>
          <w:rFonts w:asciiTheme="minorHAnsi" w:hAnsiTheme="minorHAnsi"/>
          <w:lang w:val="en-GB"/>
        </w:rPr>
        <w:t xml:space="preserve"> (</w:t>
      </w:r>
      <w:r w:rsidR="0098737D" w:rsidRPr="00D940AD">
        <w:rPr>
          <w:rFonts w:asciiTheme="minorHAnsi" w:hAnsiTheme="minorHAnsi"/>
          <w:color w:val="222222"/>
          <w:szCs w:val="24"/>
          <w:shd w:val="clear" w:color="auto" w:fill="FFFFFF"/>
          <w:lang w:val="en-GB"/>
        </w:rPr>
        <w:t>Zetzsche and Anker-Sørensen, 2022).</w:t>
      </w:r>
    </w:p>
    <w:p w14:paraId="5BDB6882" w14:textId="0C5A48CC" w:rsidR="00F65193" w:rsidRPr="00D940AD" w:rsidRDefault="00013093" w:rsidP="00D940AD">
      <w:pPr>
        <w:pStyle w:val="Heading1"/>
        <w:rPr>
          <w:rFonts w:asciiTheme="minorHAnsi" w:hAnsiTheme="minorHAnsi" w:cstheme="minorHAnsi"/>
          <w:lang w:val="en-GB"/>
        </w:rPr>
      </w:pPr>
      <w:bookmarkStart w:id="6" w:name="_Toc142748489"/>
      <w:r w:rsidRPr="00D940AD">
        <w:rPr>
          <w:rFonts w:asciiTheme="minorHAnsi" w:hAnsiTheme="minorHAnsi" w:cstheme="minorHAnsi"/>
          <w:lang w:val="en-GB"/>
        </w:rPr>
        <w:t>Global key regulatory frameworks</w:t>
      </w:r>
      <w:bookmarkEnd w:id="6"/>
      <w:r w:rsidR="00F65193" w:rsidRPr="00D940AD">
        <w:rPr>
          <w:rFonts w:asciiTheme="minorHAnsi" w:hAnsiTheme="minorHAnsi" w:cstheme="minorHAnsi"/>
          <w:lang w:val="en-GB"/>
        </w:rPr>
        <w:t xml:space="preserve"> </w:t>
      </w:r>
    </w:p>
    <w:p w14:paraId="0B451DAB" w14:textId="09C2C2BF" w:rsidR="00A65291" w:rsidRPr="00D940AD" w:rsidRDefault="004E2E41" w:rsidP="00D940AD">
      <w:pPr>
        <w:rPr>
          <w:rFonts w:asciiTheme="minorHAnsi" w:hAnsiTheme="minorHAnsi"/>
          <w:lang w:val="en-GB"/>
        </w:rPr>
      </w:pPr>
      <w:r w:rsidRPr="00D940AD">
        <w:rPr>
          <w:rFonts w:asciiTheme="minorHAnsi" w:hAnsiTheme="minorHAnsi"/>
          <w:lang w:val="en-GB"/>
        </w:rPr>
        <w:t>Several nations and international agencies established a variety of laws, rules, and agreements in reaction to 2008 global financial crisis in order to address</w:t>
      </w:r>
      <w:r w:rsidR="00FE0191">
        <w:rPr>
          <w:rFonts w:asciiTheme="minorHAnsi" w:hAnsiTheme="minorHAnsi"/>
          <w:lang w:val="en-GB"/>
        </w:rPr>
        <w:t xml:space="preserve"> </w:t>
      </w:r>
      <w:r w:rsidRPr="00D940AD">
        <w:rPr>
          <w:rFonts w:asciiTheme="minorHAnsi" w:hAnsiTheme="minorHAnsi"/>
          <w:lang w:val="en-GB"/>
        </w:rPr>
        <w:t xml:space="preserve">challenges that led to the crisis and to avert a similar disaster from occurring in the future. Some of the significant actions undertaken by global financial system stakeholders include: </w:t>
      </w:r>
    </w:p>
    <w:p w14:paraId="4D49197B" w14:textId="398A8CAC" w:rsidR="00F6496C" w:rsidRPr="00D940AD" w:rsidRDefault="002F1EFE" w:rsidP="00D940AD">
      <w:pPr>
        <w:pStyle w:val="Heading2"/>
        <w:spacing w:after="160" w:line="360" w:lineRule="auto"/>
        <w:rPr>
          <w:rFonts w:asciiTheme="minorHAnsi" w:hAnsiTheme="minorHAnsi" w:cstheme="minorHAnsi"/>
        </w:rPr>
      </w:pPr>
      <w:bookmarkStart w:id="7" w:name="_Toc142748490"/>
      <w:r w:rsidRPr="00D940AD">
        <w:rPr>
          <w:rFonts w:asciiTheme="minorHAnsi" w:hAnsiTheme="minorHAnsi" w:cstheme="minorHAnsi"/>
        </w:rPr>
        <w:t xml:space="preserve">Dodd-Frank Wall Street Reform </w:t>
      </w:r>
      <w:r w:rsidR="00FE0191">
        <w:rPr>
          <w:rFonts w:asciiTheme="minorHAnsi" w:hAnsiTheme="minorHAnsi" w:cstheme="minorHAnsi"/>
        </w:rPr>
        <w:t xml:space="preserve">&amp; </w:t>
      </w:r>
      <w:r w:rsidRPr="00D940AD">
        <w:rPr>
          <w:rFonts w:asciiTheme="minorHAnsi" w:hAnsiTheme="minorHAnsi" w:cstheme="minorHAnsi"/>
        </w:rPr>
        <w:t>Consumer Protection Act (United States)</w:t>
      </w:r>
      <w:bookmarkEnd w:id="7"/>
    </w:p>
    <w:p w14:paraId="758FE5CF" w14:textId="43675664" w:rsidR="002F1EFE" w:rsidRDefault="00A65291" w:rsidP="00D940AD">
      <w:pPr>
        <w:rPr>
          <w:rFonts w:asciiTheme="minorHAnsi" w:hAnsiTheme="minorHAnsi"/>
          <w:lang w:val="en-GB"/>
        </w:rPr>
      </w:pPr>
      <w:r w:rsidRPr="00D940AD">
        <w:rPr>
          <w:rFonts w:asciiTheme="minorHAnsi" w:hAnsiTheme="minorHAnsi"/>
          <w:lang w:val="en-GB"/>
        </w:rPr>
        <w:t xml:space="preserve">Dodd-Frank was enacted in 2010 and brought significant modifications to regulations aimed at strengthening financial stability and safeguarding consumers. It formed the Consumer Financial Protection Bureau (CFPB), strengthened financial institution monitoring, increased transparency in the trading of derivatives, and compelled banks to undertake stress </w:t>
      </w:r>
      <w:r w:rsidRPr="00D940AD">
        <w:rPr>
          <w:rFonts w:asciiTheme="minorHAnsi" w:hAnsiTheme="minorHAnsi"/>
          <w:szCs w:val="24"/>
          <w:lang w:val="en-GB"/>
        </w:rPr>
        <w:t>testing</w:t>
      </w:r>
      <w:r w:rsidR="0000025B" w:rsidRPr="00D940AD">
        <w:rPr>
          <w:rFonts w:asciiTheme="minorHAnsi" w:hAnsiTheme="minorHAnsi"/>
          <w:szCs w:val="24"/>
          <w:lang w:val="en-GB"/>
        </w:rPr>
        <w:t xml:space="preserve"> (</w:t>
      </w:r>
      <w:r w:rsidR="0000025B" w:rsidRPr="00D940AD">
        <w:rPr>
          <w:rFonts w:asciiTheme="minorHAnsi" w:hAnsiTheme="minorHAnsi"/>
          <w:color w:val="222222"/>
          <w:szCs w:val="24"/>
          <w:shd w:val="clear" w:color="auto" w:fill="FFFFFF"/>
          <w:lang w:val="en-GB"/>
        </w:rPr>
        <w:t>Evanoff and Moeller, 2014)</w:t>
      </w:r>
      <w:r w:rsidRPr="00D940AD">
        <w:rPr>
          <w:rFonts w:asciiTheme="minorHAnsi" w:hAnsiTheme="minorHAnsi"/>
          <w:szCs w:val="24"/>
          <w:lang w:val="en-GB"/>
        </w:rPr>
        <w:t>.</w:t>
      </w:r>
      <w:r w:rsidR="00176CAE" w:rsidRPr="00D940AD">
        <w:rPr>
          <w:rFonts w:asciiTheme="minorHAnsi" w:hAnsiTheme="minorHAnsi"/>
          <w:szCs w:val="24"/>
          <w:lang w:val="en-GB"/>
        </w:rPr>
        <w:t xml:space="preserve"> It</w:t>
      </w:r>
      <w:r w:rsidR="00176CAE" w:rsidRPr="00D940AD">
        <w:rPr>
          <w:rFonts w:asciiTheme="minorHAnsi" w:hAnsiTheme="minorHAnsi"/>
          <w:lang w:val="en-GB"/>
        </w:rPr>
        <w:t xml:space="preserve"> prohibited exclusive trading by banks via the Volcker Rule, which tries to prevent banks participating in speculative trading activity that might jeopardize their stability. By restricting such high-risk operations, the act limits the possibility for excessive risk-taking, which can destabilize financial institutions as well as the broader economy</w:t>
      </w:r>
      <w:r w:rsidR="009B352C" w:rsidRPr="00D940AD">
        <w:rPr>
          <w:rFonts w:asciiTheme="minorHAnsi" w:hAnsiTheme="minorHAnsi"/>
          <w:lang w:val="en-GB"/>
        </w:rPr>
        <w:t xml:space="preserve"> (</w:t>
      </w:r>
      <w:r w:rsidR="009B352C" w:rsidRPr="00D940AD">
        <w:rPr>
          <w:rFonts w:asciiTheme="minorHAnsi" w:hAnsiTheme="minorHAnsi"/>
          <w:color w:val="222222"/>
          <w:szCs w:val="24"/>
          <w:shd w:val="clear" w:color="auto" w:fill="FFFFFF"/>
          <w:lang w:val="en-GB"/>
        </w:rPr>
        <w:t>Zhao, 2023).</w:t>
      </w:r>
      <w:r w:rsidR="00176CAE" w:rsidRPr="00D940AD">
        <w:rPr>
          <w:rFonts w:asciiTheme="minorHAnsi" w:hAnsiTheme="minorHAnsi"/>
          <w:lang w:val="en-GB"/>
        </w:rPr>
        <w:t xml:space="preserve"> The Dodd-Frank Act contains provisions that safeguard whistleblowers who expose violations of securities regulations to Securities and Exchange Commission (SEC). Whistleblowers are compensated and protected from reprisal, encouraging anyone with inside understanding of fraudulent or unethical conduct to come out. This leads to the early discovery of misconduct and develops an accountability culture throughout the financial industry</w:t>
      </w:r>
      <w:r w:rsidR="009B352C" w:rsidRPr="00D940AD">
        <w:rPr>
          <w:rFonts w:asciiTheme="minorHAnsi" w:hAnsiTheme="minorHAnsi"/>
          <w:lang w:val="en-GB"/>
        </w:rPr>
        <w:t>. Figure 5 shows, although the Great Recession's wounds are undoubtedly still visible, the U.S. economy has been slowly recovering since the financial crisis ended and Dodd-Frank was passed (Center for American Progress, 2017).</w:t>
      </w:r>
    </w:p>
    <w:p w14:paraId="1A1CE128" w14:textId="77777777" w:rsidR="00784AA7" w:rsidRPr="00D940AD" w:rsidRDefault="00784AA7" w:rsidP="00784AA7">
      <w:pPr>
        <w:keepNext/>
        <w:jc w:val="center"/>
        <w:rPr>
          <w:rFonts w:asciiTheme="minorHAnsi" w:hAnsiTheme="minorHAnsi"/>
          <w:lang w:val="en-GB"/>
        </w:rPr>
      </w:pPr>
      <w:r w:rsidRPr="00D940AD">
        <w:rPr>
          <w:rFonts w:asciiTheme="minorHAnsi" w:hAnsiTheme="minorHAnsi"/>
          <w:noProof/>
          <w:lang w:val="en-GB"/>
          <w14:ligatures w14:val="standardContextual"/>
        </w:rPr>
        <w:lastRenderedPageBreak/>
        <w:drawing>
          <wp:inline distT="0" distB="0" distL="0" distR="0" wp14:anchorId="25893AFE" wp14:editId="1CA8E1BD">
            <wp:extent cx="2793748" cy="2293871"/>
            <wp:effectExtent l="76200" t="76200" r="140335" b="125730"/>
            <wp:docPr id="2064622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622051" name="Picture 206462205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01035" cy="22998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F68ABB" w14:textId="77777777" w:rsidR="00784AA7" w:rsidRPr="00D940AD" w:rsidRDefault="00784AA7" w:rsidP="00784AA7">
      <w:pPr>
        <w:pStyle w:val="Caption"/>
        <w:spacing w:after="160" w:line="360" w:lineRule="auto"/>
        <w:jc w:val="center"/>
        <w:rPr>
          <w:rFonts w:asciiTheme="minorHAnsi" w:hAnsiTheme="minorHAnsi"/>
          <w:lang w:val="en-GB"/>
        </w:rPr>
      </w:pPr>
      <w:r w:rsidRPr="00D940AD">
        <w:rPr>
          <w:rFonts w:asciiTheme="minorHAnsi" w:hAnsiTheme="minorHAnsi"/>
          <w:lang w:val="en-GB"/>
        </w:rPr>
        <w:t xml:space="preserve">Figure </w:t>
      </w:r>
      <w:r w:rsidRPr="00D940AD">
        <w:rPr>
          <w:rFonts w:asciiTheme="minorHAnsi" w:hAnsiTheme="minorHAnsi"/>
          <w:lang w:val="en-GB"/>
        </w:rPr>
        <w:fldChar w:fldCharType="begin"/>
      </w:r>
      <w:r w:rsidRPr="00D940AD">
        <w:rPr>
          <w:rFonts w:asciiTheme="minorHAnsi" w:hAnsiTheme="minorHAnsi"/>
          <w:lang w:val="en-GB"/>
        </w:rPr>
        <w:instrText xml:space="preserve"> SEQ Figure \* ARABIC </w:instrText>
      </w:r>
      <w:r w:rsidRPr="00D940AD">
        <w:rPr>
          <w:rFonts w:asciiTheme="minorHAnsi" w:hAnsiTheme="minorHAnsi"/>
          <w:lang w:val="en-GB"/>
        </w:rPr>
        <w:fldChar w:fldCharType="separate"/>
      </w:r>
      <w:r w:rsidRPr="00D940AD">
        <w:rPr>
          <w:rFonts w:asciiTheme="minorHAnsi" w:hAnsiTheme="minorHAnsi"/>
          <w:noProof/>
          <w:lang w:val="en-GB"/>
        </w:rPr>
        <w:t>5</w:t>
      </w:r>
      <w:r w:rsidRPr="00D940AD">
        <w:rPr>
          <w:rFonts w:asciiTheme="minorHAnsi" w:hAnsiTheme="minorHAnsi"/>
          <w:noProof/>
          <w:lang w:val="en-GB"/>
        </w:rPr>
        <w:fldChar w:fldCharType="end"/>
      </w:r>
      <w:r w:rsidRPr="00D940AD">
        <w:rPr>
          <w:rFonts w:asciiTheme="minorHAnsi" w:hAnsiTheme="minorHAnsi"/>
          <w:lang w:val="en-GB"/>
        </w:rPr>
        <w:t>- Dodd-Frank enactment in US</w:t>
      </w:r>
    </w:p>
    <w:p w14:paraId="1970DEB7" w14:textId="15E8E3BC" w:rsidR="00784AA7" w:rsidRPr="00D940AD" w:rsidRDefault="00784AA7" w:rsidP="00784AA7">
      <w:pPr>
        <w:pStyle w:val="Caption"/>
        <w:spacing w:after="160" w:line="360" w:lineRule="auto"/>
        <w:jc w:val="center"/>
        <w:rPr>
          <w:rFonts w:asciiTheme="minorHAnsi" w:hAnsiTheme="minorHAnsi"/>
          <w:lang w:val="en-GB"/>
        </w:rPr>
      </w:pPr>
      <w:r w:rsidRPr="00D940AD">
        <w:rPr>
          <w:rFonts w:asciiTheme="minorHAnsi" w:hAnsiTheme="minorHAnsi"/>
          <w:lang w:val="en-GB"/>
        </w:rPr>
        <w:t>Source- (Center for American Progress, 2017).</w:t>
      </w:r>
    </w:p>
    <w:p w14:paraId="49A9B550" w14:textId="7AB089AF" w:rsidR="00F265BC" w:rsidRPr="00D940AD" w:rsidRDefault="00202FC4" w:rsidP="00D940AD">
      <w:pPr>
        <w:rPr>
          <w:rFonts w:asciiTheme="minorHAnsi" w:hAnsiTheme="minorHAnsi"/>
          <w:lang w:val="en-GB"/>
        </w:rPr>
      </w:pPr>
      <w:r w:rsidRPr="00D940AD">
        <w:rPr>
          <w:rFonts w:asciiTheme="minorHAnsi" w:hAnsiTheme="minorHAnsi"/>
          <w:lang w:val="en-GB"/>
        </w:rPr>
        <w:t>The Consumer Financial Protection Bureau (CFPB) was one of the Dodd-Frank Act's significant creations. This organisation was entrusted with protecting consumers from exploitative financial practises, guaranteeing accurate financial product disclosures, as well as enforcing consumer financial goods and services rules</w:t>
      </w:r>
      <w:r w:rsidR="009B352C" w:rsidRPr="00D940AD">
        <w:rPr>
          <w:rFonts w:asciiTheme="minorHAnsi" w:hAnsiTheme="minorHAnsi"/>
          <w:lang w:val="en-GB"/>
        </w:rPr>
        <w:t xml:space="preserve"> (</w:t>
      </w:r>
      <w:r w:rsidR="009B352C" w:rsidRPr="00D940AD">
        <w:rPr>
          <w:rFonts w:asciiTheme="minorHAnsi" w:hAnsiTheme="minorHAnsi"/>
          <w:color w:val="222222"/>
          <w:szCs w:val="24"/>
          <w:shd w:val="clear" w:color="auto" w:fill="FFFFFF"/>
          <w:lang w:val="en-GB"/>
        </w:rPr>
        <w:t>DOLMA, 2023).</w:t>
      </w:r>
      <w:r w:rsidRPr="00D940AD">
        <w:rPr>
          <w:rFonts w:asciiTheme="minorHAnsi" w:hAnsiTheme="minorHAnsi"/>
          <w:lang w:val="en-GB"/>
        </w:rPr>
        <w:t xml:space="preserve"> The CFPB was crucial in combating abusive lending practises and giving consumers with the data they needed to make sound financial decisions. While the Dodd-Frank Act was limited to the United States, its impact was seen throughout the world owing to the interconnected structure of the financial sector. International financial institutions as well as regulatory organisations frequently looked to the United States as a regulatory reform model</w:t>
      </w:r>
      <w:r w:rsidR="009B352C" w:rsidRPr="00D940AD">
        <w:rPr>
          <w:rFonts w:asciiTheme="minorHAnsi" w:hAnsiTheme="minorHAnsi"/>
          <w:lang w:val="en-GB"/>
        </w:rPr>
        <w:t xml:space="preserve"> (</w:t>
      </w:r>
      <w:r w:rsidR="009B352C" w:rsidRPr="00D940AD">
        <w:rPr>
          <w:rFonts w:asciiTheme="minorHAnsi" w:hAnsiTheme="minorHAnsi"/>
          <w:color w:val="222222"/>
          <w:szCs w:val="24"/>
          <w:shd w:val="clear" w:color="auto" w:fill="FFFFFF"/>
          <w:lang w:val="en-GB"/>
        </w:rPr>
        <w:t>Bureau, 2022).</w:t>
      </w:r>
      <w:r w:rsidRPr="00D940AD">
        <w:rPr>
          <w:rFonts w:asciiTheme="minorHAnsi" w:hAnsiTheme="minorHAnsi"/>
          <w:lang w:val="en-GB"/>
        </w:rPr>
        <w:t xml:space="preserve"> The Dodd-Frank Act's concepts and methods sparked debate and change in various nations and areas.</w:t>
      </w:r>
    </w:p>
    <w:p w14:paraId="4131D05A" w14:textId="77777777" w:rsidR="00F6496C" w:rsidRPr="00D940AD" w:rsidRDefault="00F6496C" w:rsidP="00D940AD">
      <w:pPr>
        <w:rPr>
          <w:rStyle w:val="Heading2Char"/>
          <w:rFonts w:asciiTheme="minorHAnsi" w:hAnsiTheme="minorHAnsi" w:cstheme="minorHAnsi"/>
          <w:lang w:val="en-GB"/>
        </w:rPr>
      </w:pPr>
      <w:bookmarkStart w:id="8" w:name="_Toc142748491"/>
      <w:r w:rsidRPr="00D940AD">
        <w:rPr>
          <w:rStyle w:val="Heading2Char"/>
          <w:rFonts w:asciiTheme="minorHAnsi" w:hAnsiTheme="minorHAnsi" w:cstheme="minorHAnsi"/>
          <w:lang w:val="en-GB"/>
        </w:rPr>
        <w:t xml:space="preserve">2.2 </w:t>
      </w:r>
      <w:r w:rsidR="002F1EFE" w:rsidRPr="00D940AD">
        <w:rPr>
          <w:rStyle w:val="Heading2Char"/>
          <w:rFonts w:asciiTheme="minorHAnsi" w:hAnsiTheme="minorHAnsi" w:cstheme="minorHAnsi"/>
          <w:lang w:val="en-GB"/>
        </w:rPr>
        <w:t>Basel III Capital and Liquidity Standards (Bank for International Settlements)</w:t>
      </w:r>
      <w:bookmarkEnd w:id="8"/>
    </w:p>
    <w:p w14:paraId="2C703B59" w14:textId="58621976" w:rsidR="002F1EFE" w:rsidRDefault="00A65291" w:rsidP="00D940AD">
      <w:pPr>
        <w:rPr>
          <w:rFonts w:asciiTheme="minorHAnsi" w:hAnsiTheme="minorHAnsi"/>
          <w:lang w:val="en-GB"/>
        </w:rPr>
      </w:pPr>
      <w:r w:rsidRPr="00D940AD">
        <w:rPr>
          <w:rFonts w:asciiTheme="minorHAnsi" w:hAnsiTheme="minorHAnsi"/>
          <w:lang w:val="en-GB"/>
        </w:rPr>
        <w:t>With Basel III, the Basel Committee on</w:t>
      </w:r>
      <w:r w:rsidR="00FE0191">
        <w:rPr>
          <w:rFonts w:asciiTheme="minorHAnsi" w:hAnsiTheme="minorHAnsi"/>
          <w:lang w:val="en-GB"/>
        </w:rPr>
        <w:t xml:space="preserve"> the</w:t>
      </w:r>
      <w:r w:rsidRPr="00D940AD">
        <w:rPr>
          <w:rFonts w:asciiTheme="minorHAnsi" w:hAnsiTheme="minorHAnsi"/>
          <w:lang w:val="en-GB"/>
        </w:rPr>
        <w:t xml:space="preserve"> Banking Supervision implemented a series of changes to increase bank resilience. Higher demands for capital, stronger risk management methods, and larger liquidity buffers were among the improvements</w:t>
      </w:r>
      <w:r w:rsidR="001A527B" w:rsidRPr="00D940AD">
        <w:rPr>
          <w:rFonts w:asciiTheme="minorHAnsi" w:hAnsiTheme="minorHAnsi"/>
          <w:lang w:val="en-GB"/>
        </w:rPr>
        <w:t xml:space="preserve"> (Bank for International Settlements, 2017)</w:t>
      </w:r>
      <w:r w:rsidRPr="00D940AD">
        <w:rPr>
          <w:rFonts w:asciiTheme="minorHAnsi" w:hAnsiTheme="minorHAnsi"/>
          <w:lang w:val="en-GB"/>
        </w:rPr>
        <w:t xml:space="preserve">. </w:t>
      </w:r>
    </w:p>
    <w:p w14:paraId="14187F7F" w14:textId="77777777" w:rsidR="00784AA7" w:rsidRPr="00D940AD" w:rsidRDefault="00784AA7" w:rsidP="00784AA7">
      <w:pPr>
        <w:keepNext/>
        <w:jc w:val="center"/>
        <w:rPr>
          <w:rFonts w:asciiTheme="minorHAnsi" w:hAnsiTheme="minorHAnsi"/>
          <w:lang w:val="en-GB"/>
        </w:rPr>
      </w:pPr>
      <w:r w:rsidRPr="00D940AD">
        <w:rPr>
          <w:rFonts w:asciiTheme="minorHAnsi" w:eastAsia="SimSun" w:hAnsiTheme="minorHAnsi"/>
          <w:b/>
          <w:noProof/>
          <w:color w:val="2F5496" w:themeColor="accent1" w:themeShade="BF"/>
          <w:sz w:val="28"/>
          <w:szCs w:val="36"/>
          <w:lang w:val="en-GB"/>
          <w14:ligatures w14:val="standardContextual"/>
        </w:rPr>
        <w:lastRenderedPageBreak/>
        <w:drawing>
          <wp:inline distT="0" distB="0" distL="0" distR="0" wp14:anchorId="513C5D6C" wp14:editId="13D8C99C">
            <wp:extent cx="4399915" cy="4725909"/>
            <wp:effectExtent l="76200" t="76200" r="133985" b="132080"/>
            <wp:docPr id="6976003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00311" name="Picture 697600311"/>
                    <pic:cNvPicPr/>
                  </pic:nvPicPr>
                  <pic:blipFill>
                    <a:blip r:embed="rId13">
                      <a:extLst>
                        <a:ext uri="{28A0092B-C50C-407E-A947-70E740481C1C}">
                          <a14:useLocalDpi xmlns:a14="http://schemas.microsoft.com/office/drawing/2010/main" val="0"/>
                        </a:ext>
                      </a:extLst>
                    </a:blip>
                    <a:stretch>
                      <a:fillRect/>
                    </a:stretch>
                  </pic:blipFill>
                  <pic:spPr>
                    <a:xfrm>
                      <a:off x="0" y="0"/>
                      <a:ext cx="4405112" cy="47314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DFD793" w14:textId="77777777" w:rsidR="00784AA7" w:rsidRPr="00D940AD" w:rsidRDefault="00784AA7" w:rsidP="00784AA7">
      <w:pPr>
        <w:pStyle w:val="Caption"/>
        <w:spacing w:after="160" w:line="360" w:lineRule="auto"/>
        <w:jc w:val="center"/>
        <w:rPr>
          <w:rFonts w:asciiTheme="minorHAnsi" w:hAnsiTheme="minorHAnsi"/>
          <w:lang w:val="en-GB"/>
        </w:rPr>
      </w:pPr>
      <w:r w:rsidRPr="00D940AD">
        <w:rPr>
          <w:rFonts w:asciiTheme="minorHAnsi" w:hAnsiTheme="minorHAnsi"/>
          <w:lang w:val="en-GB"/>
        </w:rPr>
        <w:t xml:space="preserve">Figure </w:t>
      </w:r>
      <w:r w:rsidRPr="00D940AD">
        <w:rPr>
          <w:rFonts w:asciiTheme="minorHAnsi" w:hAnsiTheme="minorHAnsi"/>
          <w:lang w:val="en-GB"/>
        </w:rPr>
        <w:fldChar w:fldCharType="begin"/>
      </w:r>
      <w:r w:rsidRPr="00D940AD">
        <w:rPr>
          <w:rFonts w:asciiTheme="minorHAnsi" w:hAnsiTheme="minorHAnsi"/>
          <w:lang w:val="en-GB"/>
        </w:rPr>
        <w:instrText xml:space="preserve"> SEQ Figure \* ARABIC </w:instrText>
      </w:r>
      <w:r w:rsidRPr="00D940AD">
        <w:rPr>
          <w:rFonts w:asciiTheme="minorHAnsi" w:hAnsiTheme="minorHAnsi"/>
          <w:lang w:val="en-GB"/>
        </w:rPr>
        <w:fldChar w:fldCharType="separate"/>
      </w:r>
      <w:r w:rsidRPr="00D940AD">
        <w:rPr>
          <w:rFonts w:asciiTheme="minorHAnsi" w:hAnsiTheme="minorHAnsi"/>
          <w:noProof/>
          <w:lang w:val="en-GB"/>
        </w:rPr>
        <w:t>6</w:t>
      </w:r>
      <w:r w:rsidRPr="00D940AD">
        <w:rPr>
          <w:rFonts w:asciiTheme="minorHAnsi" w:hAnsiTheme="minorHAnsi"/>
          <w:noProof/>
          <w:lang w:val="en-GB"/>
        </w:rPr>
        <w:fldChar w:fldCharType="end"/>
      </w:r>
      <w:r w:rsidRPr="00D940AD">
        <w:rPr>
          <w:rFonts w:asciiTheme="minorHAnsi" w:hAnsiTheme="minorHAnsi"/>
          <w:lang w:val="en-GB"/>
        </w:rPr>
        <w:t>- Basel III requirements</w:t>
      </w:r>
    </w:p>
    <w:p w14:paraId="3262D1D4" w14:textId="7EBB232F" w:rsidR="00784AA7" w:rsidRPr="00784AA7" w:rsidRDefault="00784AA7" w:rsidP="00784AA7">
      <w:pPr>
        <w:pStyle w:val="Caption"/>
        <w:spacing w:after="160" w:line="360" w:lineRule="auto"/>
        <w:jc w:val="center"/>
        <w:rPr>
          <w:rFonts w:asciiTheme="minorHAnsi" w:eastAsia="SimSun" w:hAnsiTheme="minorHAnsi"/>
          <w:b/>
          <w:color w:val="2F5496" w:themeColor="accent1" w:themeShade="BF"/>
          <w:lang w:val="en-GB"/>
        </w:rPr>
      </w:pPr>
      <w:r w:rsidRPr="00D940AD">
        <w:rPr>
          <w:rFonts w:asciiTheme="minorHAnsi" w:hAnsiTheme="minorHAnsi"/>
          <w:lang w:val="en-GB"/>
        </w:rPr>
        <w:t>Source- (The Economist, 2017).</w:t>
      </w:r>
    </w:p>
    <w:p w14:paraId="55D52515" w14:textId="27E32706" w:rsidR="00202FC4" w:rsidRPr="00D940AD" w:rsidRDefault="00202FC4" w:rsidP="00D940AD">
      <w:pPr>
        <w:rPr>
          <w:rFonts w:asciiTheme="minorHAnsi" w:hAnsiTheme="minorHAnsi"/>
          <w:lang w:val="en-GB"/>
        </w:rPr>
      </w:pPr>
      <w:r w:rsidRPr="00D940AD">
        <w:rPr>
          <w:rFonts w:asciiTheme="minorHAnsi" w:hAnsiTheme="minorHAnsi"/>
          <w:lang w:val="en-GB"/>
        </w:rPr>
        <w:t>Basel III increased the bare minimum capital requirements for banks substantially. It mandated common equity Tier 1 (CET1) capital, emphasising need of high-quality, readily available capital. CET1 capital is made up mostly of common stock and retained profits. Banks were obligated to maintain a larger CET1 capital ratio than before, which served as a cushion against unexpected losses. Basel III established the countercyclical capital buffer to deal with the issue of pro-cyclicality in loans and risk-taking</w:t>
      </w:r>
      <w:r w:rsidR="00777166" w:rsidRPr="00D940AD">
        <w:rPr>
          <w:rFonts w:asciiTheme="minorHAnsi" w:hAnsiTheme="minorHAnsi"/>
          <w:lang w:val="en-GB"/>
        </w:rPr>
        <w:t xml:space="preserve"> (</w:t>
      </w:r>
      <w:r w:rsidR="00777166" w:rsidRPr="00D940AD">
        <w:rPr>
          <w:rFonts w:asciiTheme="minorHAnsi" w:hAnsiTheme="minorHAnsi"/>
          <w:color w:val="222222"/>
          <w:szCs w:val="24"/>
          <w:shd w:val="clear" w:color="auto" w:fill="FFFFFF"/>
          <w:lang w:val="en-GB"/>
        </w:rPr>
        <w:t xml:space="preserve">Mustary, 2021). </w:t>
      </w:r>
      <w:r w:rsidRPr="00D940AD">
        <w:rPr>
          <w:rFonts w:asciiTheme="minorHAnsi" w:hAnsiTheme="minorHAnsi"/>
          <w:lang w:val="en-GB"/>
        </w:rPr>
        <w:t>This buffer required banks to accrue greater capital during years of economic prosperity in order to serve as a cushion during periods of economic depression. The size of this buffer changed according to the status of the national economy.</w:t>
      </w:r>
    </w:p>
    <w:p w14:paraId="4418B8C7" w14:textId="65072FDB" w:rsidR="00202FC4" w:rsidRPr="00D940AD" w:rsidRDefault="00202FC4" w:rsidP="00D940AD">
      <w:pPr>
        <w:rPr>
          <w:rFonts w:asciiTheme="minorHAnsi" w:hAnsiTheme="minorHAnsi"/>
          <w:lang w:val="en-GB"/>
        </w:rPr>
      </w:pPr>
      <w:r w:rsidRPr="00D940AD">
        <w:rPr>
          <w:rFonts w:asciiTheme="minorHAnsi" w:hAnsiTheme="minorHAnsi"/>
          <w:lang w:val="en-GB"/>
        </w:rPr>
        <w:t xml:space="preserve">Basel III imposed stricter liquidity restrictions. Banks were obliged to maintain a higher liquidity buffer, ensuring that they had enough high-quality liquid assets to satisfy short-term </w:t>
      </w:r>
      <w:r w:rsidRPr="00D940AD">
        <w:rPr>
          <w:rFonts w:asciiTheme="minorHAnsi" w:hAnsiTheme="minorHAnsi"/>
          <w:lang w:val="en-GB"/>
        </w:rPr>
        <w:lastRenderedPageBreak/>
        <w:t>commitments during stressful periods. To analyse a bank's liquidity risk management, Liquidity Coverage Ratio (LCR) as well as Net Stable Funding Ratio (NSFR) were created</w:t>
      </w:r>
      <w:r w:rsidR="00777166" w:rsidRPr="00D940AD">
        <w:rPr>
          <w:rFonts w:asciiTheme="minorHAnsi" w:hAnsiTheme="minorHAnsi"/>
          <w:lang w:val="en-GB"/>
        </w:rPr>
        <w:t xml:space="preserve"> (</w:t>
      </w:r>
      <w:r w:rsidR="00777166" w:rsidRPr="00D940AD">
        <w:rPr>
          <w:rFonts w:asciiTheme="minorHAnsi" w:hAnsiTheme="minorHAnsi"/>
          <w:color w:val="222222"/>
          <w:szCs w:val="24"/>
          <w:shd w:val="clear" w:color="auto" w:fill="FFFFFF"/>
          <w:lang w:val="en-GB"/>
        </w:rPr>
        <w:t>Abboud, et al., 2021).</w:t>
      </w:r>
      <w:r w:rsidRPr="00D940AD">
        <w:rPr>
          <w:rFonts w:asciiTheme="minorHAnsi" w:hAnsiTheme="minorHAnsi"/>
          <w:lang w:val="en-GB"/>
        </w:rPr>
        <w:t xml:space="preserve"> Basel III included a leverage ratio to the risk-weighted capital ratios. This ratio compared bank's capital to entire assets without taking risk weights into account. Its goal was to limit excessive borrowing in the financial system by establishing a minimum capital requirement regardless of asset riskiness.</w:t>
      </w:r>
    </w:p>
    <w:p w14:paraId="37C9D402" w14:textId="41422778" w:rsidR="00F6496C" w:rsidRPr="00D940AD" w:rsidRDefault="002F1EFE" w:rsidP="00D940AD">
      <w:pPr>
        <w:pStyle w:val="Heading2"/>
        <w:spacing w:after="160" w:line="360" w:lineRule="auto"/>
        <w:rPr>
          <w:rFonts w:asciiTheme="minorHAnsi" w:hAnsiTheme="minorHAnsi" w:cstheme="minorHAnsi"/>
        </w:rPr>
      </w:pPr>
      <w:bookmarkStart w:id="9" w:name="_Toc142748492"/>
      <w:r w:rsidRPr="00D940AD">
        <w:rPr>
          <w:rFonts w:asciiTheme="minorHAnsi" w:hAnsiTheme="minorHAnsi" w:cstheme="minorHAnsi"/>
        </w:rPr>
        <w:t>European Market Infrastructure Regulation (EMIR)</w:t>
      </w:r>
      <w:bookmarkEnd w:id="9"/>
    </w:p>
    <w:p w14:paraId="68A196A1" w14:textId="6BC2FB8B" w:rsidR="002F1EFE" w:rsidRPr="00D940AD" w:rsidRDefault="008E5E5B" w:rsidP="00D940AD">
      <w:pPr>
        <w:rPr>
          <w:rFonts w:asciiTheme="minorHAnsi" w:hAnsiTheme="minorHAnsi"/>
          <w:lang w:val="en-GB"/>
        </w:rPr>
      </w:pPr>
      <w:r w:rsidRPr="00D940AD">
        <w:rPr>
          <w:rFonts w:asciiTheme="minorHAnsi" w:hAnsiTheme="minorHAnsi"/>
          <w:lang w:val="en-GB"/>
        </w:rPr>
        <w:t xml:space="preserve">EMIR, which has been implemented in the European Union, aims to improve </w:t>
      </w:r>
      <w:r w:rsidR="00EE1606" w:rsidRPr="00D940AD">
        <w:rPr>
          <w:rFonts w:asciiTheme="minorHAnsi" w:hAnsiTheme="minorHAnsi"/>
          <w:lang w:val="en-GB"/>
        </w:rPr>
        <w:t>transparency,</w:t>
      </w:r>
      <w:r w:rsidRPr="00D940AD">
        <w:rPr>
          <w:rFonts w:asciiTheme="minorHAnsi" w:hAnsiTheme="minorHAnsi"/>
          <w:lang w:val="en-GB"/>
        </w:rPr>
        <w:t xml:space="preserve"> and decrease risks in the market for derivatives. It mandated central clearing of some derivatives and enhanced reporting requirements</w:t>
      </w:r>
      <w:r w:rsidR="008A5FD2" w:rsidRPr="00D940AD">
        <w:rPr>
          <w:rFonts w:asciiTheme="minorHAnsi" w:hAnsiTheme="minorHAnsi"/>
          <w:lang w:val="en-GB"/>
        </w:rPr>
        <w:t xml:space="preserve"> </w:t>
      </w:r>
      <w:r w:rsidR="008A5FD2" w:rsidRPr="00D940AD">
        <w:rPr>
          <w:rFonts w:asciiTheme="minorHAnsi" w:hAnsiTheme="minorHAnsi"/>
          <w:szCs w:val="24"/>
          <w:lang w:val="en-GB"/>
        </w:rPr>
        <w:t>(</w:t>
      </w:r>
      <w:r w:rsidR="008A5FD2" w:rsidRPr="00D940AD">
        <w:rPr>
          <w:rFonts w:asciiTheme="minorHAnsi" w:hAnsiTheme="minorHAnsi"/>
          <w:color w:val="222222"/>
          <w:szCs w:val="24"/>
          <w:shd w:val="clear" w:color="auto" w:fill="FFFFFF"/>
          <w:lang w:val="en-GB"/>
        </w:rPr>
        <w:t>Aditya, 2013)</w:t>
      </w:r>
      <w:r w:rsidRPr="00D940AD">
        <w:rPr>
          <w:rFonts w:asciiTheme="minorHAnsi" w:hAnsiTheme="minorHAnsi"/>
          <w:szCs w:val="24"/>
          <w:lang w:val="en-GB"/>
        </w:rPr>
        <w:t>.</w:t>
      </w:r>
      <w:r w:rsidRPr="00D940AD">
        <w:rPr>
          <w:rFonts w:asciiTheme="minorHAnsi" w:hAnsiTheme="minorHAnsi"/>
          <w:lang w:val="en-GB"/>
        </w:rPr>
        <w:t xml:space="preserve"> </w:t>
      </w:r>
      <w:r w:rsidR="008813AA" w:rsidRPr="00D940AD">
        <w:rPr>
          <w:rFonts w:asciiTheme="minorHAnsi" w:hAnsiTheme="minorHAnsi"/>
          <w:lang w:val="en-GB"/>
        </w:rPr>
        <w:t xml:space="preserve"> The absence of full disclosure in the derivatives market was one of the major flaws exposed by the financial crisis. Prior to EMIR, many derivative transactions were handled </w:t>
      </w:r>
      <w:r w:rsidR="00645BED" w:rsidRPr="00D940AD">
        <w:rPr>
          <w:rFonts w:asciiTheme="minorHAnsi" w:hAnsiTheme="minorHAnsi"/>
          <w:lang w:val="en-GB"/>
        </w:rPr>
        <w:t>over the counter</w:t>
      </w:r>
      <w:r w:rsidR="008813AA" w:rsidRPr="00D940AD">
        <w:rPr>
          <w:rFonts w:asciiTheme="minorHAnsi" w:hAnsiTheme="minorHAnsi"/>
          <w:lang w:val="en-GB"/>
        </w:rPr>
        <w:t xml:space="preserve"> (OTC), that is, directly between</w:t>
      </w:r>
      <w:r w:rsidR="00FE0191">
        <w:rPr>
          <w:rFonts w:asciiTheme="minorHAnsi" w:hAnsiTheme="minorHAnsi"/>
          <w:lang w:val="en-GB"/>
        </w:rPr>
        <w:t xml:space="preserve"> the</w:t>
      </w:r>
      <w:r w:rsidR="008813AA" w:rsidRPr="00D940AD">
        <w:rPr>
          <w:rFonts w:asciiTheme="minorHAnsi" w:hAnsiTheme="minorHAnsi"/>
          <w:lang w:val="en-GB"/>
        </w:rPr>
        <w:t xml:space="preserve"> two parties rather than through a centralised exchange. Because of the lack of transparency, regulators, investors, and even the parties engaged in the transactions found it difficult to assess the total market exposure and associated hazards. EMIR improve transparency by</w:t>
      </w:r>
      <w:r w:rsidR="00333CE7">
        <w:rPr>
          <w:rFonts w:asciiTheme="minorHAnsi" w:hAnsiTheme="minorHAnsi"/>
          <w:lang w:val="en-GB"/>
        </w:rPr>
        <w:t xml:space="preserve"> using</w:t>
      </w:r>
      <w:r w:rsidR="008813AA" w:rsidRPr="00D940AD">
        <w:rPr>
          <w:rFonts w:asciiTheme="minorHAnsi" w:hAnsiTheme="minorHAnsi"/>
          <w:lang w:val="en-GB"/>
        </w:rPr>
        <w:t xml:space="preserve"> derivative transactions </w:t>
      </w:r>
      <w:r w:rsidR="00333CE7">
        <w:rPr>
          <w:rFonts w:asciiTheme="minorHAnsi" w:hAnsiTheme="minorHAnsi"/>
          <w:lang w:val="en-GB"/>
        </w:rPr>
        <w:t xml:space="preserve">which </w:t>
      </w:r>
      <w:r w:rsidR="008813AA" w:rsidRPr="00D940AD">
        <w:rPr>
          <w:rFonts w:asciiTheme="minorHAnsi" w:hAnsiTheme="minorHAnsi"/>
          <w:lang w:val="en-GB"/>
        </w:rPr>
        <w:t xml:space="preserve">to be reported to </w:t>
      </w:r>
      <w:r w:rsidR="00333CE7">
        <w:rPr>
          <w:rFonts w:asciiTheme="minorHAnsi" w:hAnsiTheme="minorHAnsi"/>
          <w:lang w:val="en-GB"/>
        </w:rPr>
        <w:t xml:space="preserve">the </w:t>
      </w:r>
      <w:r w:rsidR="008813AA" w:rsidRPr="00D940AD">
        <w:rPr>
          <w:rFonts w:asciiTheme="minorHAnsi" w:hAnsiTheme="minorHAnsi"/>
          <w:lang w:val="en-GB"/>
        </w:rPr>
        <w:t>trading repositories</w:t>
      </w:r>
      <w:r w:rsidR="00FA4A26" w:rsidRPr="00D940AD">
        <w:rPr>
          <w:rFonts w:asciiTheme="minorHAnsi" w:hAnsiTheme="minorHAnsi"/>
          <w:lang w:val="en-GB"/>
        </w:rPr>
        <w:t xml:space="preserve"> (</w:t>
      </w:r>
      <w:r w:rsidR="00FA4A26" w:rsidRPr="00D940AD">
        <w:rPr>
          <w:rFonts w:asciiTheme="minorHAnsi" w:hAnsiTheme="minorHAnsi"/>
          <w:color w:val="222222"/>
          <w:szCs w:val="24"/>
          <w:shd w:val="clear" w:color="auto" w:fill="FFFFFF"/>
          <w:lang w:val="en-GB"/>
        </w:rPr>
        <w:t xml:space="preserve">Meier, et al., 2023). </w:t>
      </w:r>
      <w:r w:rsidR="008813AA" w:rsidRPr="00D940AD">
        <w:rPr>
          <w:rFonts w:asciiTheme="minorHAnsi" w:hAnsiTheme="minorHAnsi"/>
          <w:lang w:val="en-GB"/>
        </w:rPr>
        <w:t xml:space="preserve">Trade repositories are central platforms that record all derivative transactions, giving regulators and market players with a full view of trading activity. This criterion enables regulators to monitor and </w:t>
      </w:r>
      <w:r w:rsidR="002729DB" w:rsidRPr="00D940AD">
        <w:rPr>
          <w:rFonts w:asciiTheme="minorHAnsi" w:hAnsiTheme="minorHAnsi"/>
          <w:lang w:val="en-GB"/>
        </w:rPr>
        <w:t>analyses</w:t>
      </w:r>
      <w:r w:rsidR="008813AA" w:rsidRPr="00D940AD">
        <w:rPr>
          <w:rFonts w:asciiTheme="minorHAnsi" w:hAnsiTheme="minorHAnsi"/>
          <w:lang w:val="en-GB"/>
        </w:rPr>
        <w:t xml:space="preserve"> market patterns, identify possible hazards, and take appropriate action in a timely manner.</w:t>
      </w:r>
    </w:p>
    <w:p w14:paraId="4F6D7540" w14:textId="1977D8CF" w:rsidR="00A44883" w:rsidRPr="00D940AD" w:rsidRDefault="001F16E6" w:rsidP="00D940AD">
      <w:pPr>
        <w:rPr>
          <w:rFonts w:asciiTheme="minorHAnsi" w:hAnsiTheme="minorHAnsi"/>
          <w:lang w:val="en-GB"/>
        </w:rPr>
      </w:pPr>
      <w:r w:rsidRPr="00D940AD">
        <w:rPr>
          <w:rFonts w:asciiTheme="minorHAnsi" w:hAnsiTheme="minorHAnsi"/>
          <w:lang w:val="en-GB"/>
        </w:rPr>
        <w:t>The central clearing</w:t>
      </w:r>
      <w:r w:rsidR="00333CE7">
        <w:rPr>
          <w:rFonts w:asciiTheme="minorHAnsi" w:hAnsiTheme="minorHAnsi"/>
          <w:lang w:val="en-GB"/>
        </w:rPr>
        <w:t xml:space="preserve"> </w:t>
      </w:r>
      <w:r w:rsidR="00333CE7" w:rsidRPr="00D940AD">
        <w:rPr>
          <w:rFonts w:asciiTheme="minorHAnsi" w:hAnsiTheme="minorHAnsi"/>
          <w:lang w:val="en-GB"/>
        </w:rPr>
        <w:t>requirement</w:t>
      </w:r>
      <w:r w:rsidRPr="00D940AD">
        <w:rPr>
          <w:rFonts w:asciiTheme="minorHAnsi" w:hAnsiTheme="minorHAnsi"/>
          <w:lang w:val="en-GB"/>
        </w:rPr>
        <w:t xml:space="preserve"> of </w:t>
      </w:r>
      <w:r w:rsidR="00333CE7">
        <w:rPr>
          <w:rFonts w:asciiTheme="minorHAnsi" w:hAnsiTheme="minorHAnsi"/>
          <w:lang w:val="en-GB"/>
        </w:rPr>
        <w:t xml:space="preserve">the </w:t>
      </w:r>
      <w:r w:rsidRPr="00D940AD">
        <w:rPr>
          <w:rFonts w:asciiTheme="minorHAnsi" w:hAnsiTheme="minorHAnsi"/>
          <w:lang w:val="en-GB"/>
        </w:rPr>
        <w:t xml:space="preserve">certain standardised derivatives contracts </w:t>
      </w:r>
      <w:r w:rsidR="00333CE7">
        <w:rPr>
          <w:rFonts w:asciiTheme="minorHAnsi" w:hAnsiTheme="minorHAnsi"/>
          <w:lang w:val="en-GB"/>
        </w:rPr>
        <w:t xml:space="preserve">which </w:t>
      </w:r>
      <w:r w:rsidRPr="00D940AD">
        <w:rPr>
          <w:rFonts w:asciiTheme="minorHAnsi" w:hAnsiTheme="minorHAnsi"/>
          <w:lang w:val="en-GB"/>
        </w:rPr>
        <w:t xml:space="preserve">was one of fundamental components of </w:t>
      </w:r>
      <w:r w:rsidR="00333CE7">
        <w:rPr>
          <w:rFonts w:asciiTheme="minorHAnsi" w:hAnsiTheme="minorHAnsi"/>
          <w:lang w:val="en-GB"/>
        </w:rPr>
        <w:t xml:space="preserve">the </w:t>
      </w:r>
      <w:r w:rsidRPr="00D940AD">
        <w:rPr>
          <w:rFonts w:asciiTheme="minorHAnsi" w:hAnsiTheme="minorHAnsi"/>
          <w:lang w:val="en-GB"/>
        </w:rPr>
        <w:t>EMIR. Certain kinds of derivatives, especially those that are frequently traded and standardised, were mandated to be processed through central counterparties (CCPs) under this requirement. Central clearing requires a third party (the CCP) standing among the two parties to a deal, becoming the counterparty to both and thereby lowering counterparty risk</w:t>
      </w:r>
      <w:r w:rsidR="00FA4A26" w:rsidRPr="00D940AD">
        <w:rPr>
          <w:rFonts w:asciiTheme="minorHAnsi" w:hAnsiTheme="minorHAnsi"/>
          <w:lang w:val="en-GB"/>
        </w:rPr>
        <w:t xml:space="preserve"> (</w:t>
      </w:r>
      <w:r w:rsidR="00FA4A26" w:rsidRPr="00D940AD">
        <w:rPr>
          <w:rFonts w:asciiTheme="minorHAnsi" w:hAnsiTheme="minorHAnsi"/>
          <w:color w:val="222222"/>
          <w:szCs w:val="24"/>
          <w:shd w:val="clear" w:color="auto" w:fill="FFFFFF"/>
          <w:lang w:val="en-GB"/>
        </w:rPr>
        <w:t>Feenan, et al., 2021).</w:t>
      </w:r>
      <w:r w:rsidRPr="00D940AD">
        <w:rPr>
          <w:rFonts w:asciiTheme="minorHAnsi" w:hAnsiTheme="minorHAnsi"/>
          <w:lang w:val="en-GB"/>
        </w:rPr>
        <w:t xml:space="preserve"> This approach aims to improve derivatives market stability by lowering the chance of one of the parties engaged in a deal defaulting. The adoption of EMIR resulted in a large rise in the reporting requirements of derivatives transactions. In accordance with the European Securities and Markets Authority (ESMA), over 80 million transactions were recorded on a weekly basis under EMIR as of 2019</w:t>
      </w:r>
      <w:r w:rsidR="00FA4A26" w:rsidRPr="00D940AD">
        <w:rPr>
          <w:rFonts w:asciiTheme="minorHAnsi" w:hAnsiTheme="minorHAnsi"/>
          <w:lang w:val="en-GB"/>
        </w:rPr>
        <w:t xml:space="preserve"> (European </w:t>
      </w:r>
      <w:r w:rsidR="00FA4A26" w:rsidRPr="00D940AD">
        <w:rPr>
          <w:rFonts w:asciiTheme="minorHAnsi" w:hAnsiTheme="minorHAnsi"/>
          <w:lang w:val="en-GB"/>
        </w:rPr>
        <w:lastRenderedPageBreak/>
        <w:t>Securities and Markets Authority, 2023).</w:t>
      </w:r>
      <w:r w:rsidRPr="00D940AD">
        <w:rPr>
          <w:rFonts w:asciiTheme="minorHAnsi" w:hAnsiTheme="minorHAnsi"/>
          <w:lang w:val="en-GB"/>
        </w:rPr>
        <w:t xml:space="preserve"> This degree of reporting contributes to increased openness and regulation of the derivatives market.</w:t>
      </w:r>
    </w:p>
    <w:p w14:paraId="4001F9E2" w14:textId="734C412E" w:rsidR="00F6496C" w:rsidRPr="00D940AD" w:rsidRDefault="00CB42B7" w:rsidP="00D940AD">
      <w:pPr>
        <w:pStyle w:val="Heading2"/>
        <w:spacing w:after="160" w:line="360" w:lineRule="auto"/>
        <w:rPr>
          <w:rFonts w:asciiTheme="minorHAnsi" w:hAnsiTheme="minorHAnsi" w:cstheme="minorHAnsi"/>
          <w:lang w:val="en-GB"/>
        </w:rPr>
      </w:pPr>
      <w:bookmarkStart w:id="10" w:name="_Toc142748493"/>
      <w:r w:rsidRPr="00D940AD">
        <w:rPr>
          <w:rFonts w:asciiTheme="minorHAnsi" w:hAnsiTheme="minorHAnsi" w:cstheme="minorHAnsi"/>
        </w:rPr>
        <w:t>G20 Pittsburgh Summit Commitments</w:t>
      </w:r>
      <w:bookmarkEnd w:id="10"/>
    </w:p>
    <w:p w14:paraId="1A1C7B67" w14:textId="79DD8EEB" w:rsidR="00CB42B7" w:rsidRPr="00D940AD" w:rsidRDefault="00B22492" w:rsidP="00D940AD">
      <w:pPr>
        <w:rPr>
          <w:rFonts w:asciiTheme="minorHAnsi" w:hAnsiTheme="minorHAnsi"/>
          <w:szCs w:val="24"/>
          <w:lang w:val="en-GB" w:eastAsia="en-IN"/>
        </w:rPr>
      </w:pPr>
      <w:r w:rsidRPr="00D940AD">
        <w:rPr>
          <w:rFonts w:asciiTheme="minorHAnsi" w:hAnsiTheme="minorHAnsi"/>
          <w:lang w:val="en-GB"/>
        </w:rPr>
        <w:t xml:space="preserve">G20 leaders pledged to improve the global banking system in 2009. Among these were initiatives to strengthen regulation, promote global collaboration, increase transparency, and set tougher capital and liquidity rules for banks. </w:t>
      </w:r>
      <w:r w:rsidR="00FA4A26" w:rsidRPr="00D940AD">
        <w:rPr>
          <w:rFonts w:asciiTheme="minorHAnsi" w:hAnsiTheme="minorHAnsi"/>
          <w:lang w:val="en-GB"/>
        </w:rPr>
        <w:t xml:space="preserve"> Figure 7 shows, the projected increase exceeds both the trend as well as potential of the pre-crisis period and is complemented by a sharp drop in unemployment</w:t>
      </w:r>
      <w:r w:rsidR="00A60735" w:rsidRPr="00D940AD">
        <w:rPr>
          <w:rFonts w:asciiTheme="minorHAnsi" w:hAnsiTheme="minorHAnsi"/>
          <w:lang w:val="en-GB"/>
        </w:rPr>
        <w:t xml:space="preserve"> (</w:t>
      </w:r>
      <w:r w:rsidR="00A60735" w:rsidRPr="00D940AD">
        <w:rPr>
          <w:rFonts w:asciiTheme="minorHAnsi" w:hAnsiTheme="minorHAnsi"/>
          <w:szCs w:val="24"/>
          <w:lang w:val="en-GB" w:eastAsia="en-IN"/>
        </w:rPr>
        <w:t>International Monetary Fund, 2023).</w:t>
      </w:r>
    </w:p>
    <w:p w14:paraId="1A580512" w14:textId="77777777" w:rsidR="00A44883" w:rsidRPr="00D940AD" w:rsidRDefault="00A44883" w:rsidP="00D940AD">
      <w:pPr>
        <w:keepNext/>
        <w:jc w:val="center"/>
        <w:rPr>
          <w:rFonts w:asciiTheme="minorHAnsi" w:hAnsiTheme="minorHAnsi"/>
          <w:lang w:val="en-GB"/>
        </w:rPr>
      </w:pPr>
      <w:r w:rsidRPr="00D940AD">
        <w:rPr>
          <w:rFonts w:asciiTheme="minorHAnsi" w:hAnsiTheme="minorHAnsi"/>
          <w:noProof/>
          <w:lang w:val="en-GB"/>
          <w14:ligatures w14:val="standardContextual"/>
        </w:rPr>
        <w:drawing>
          <wp:inline distT="0" distB="0" distL="0" distR="0" wp14:anchorId="3644C6CF" wp14:editId="078BD3EF">
            <wp:extent cx="2214327" cy="3537403"/>
            <wp:effectExtent l="76200" t="76200" r="128905" b="139700"/>
            <wp:docPr id="9955342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534263" name="Picture 995534263"/>
                    <pic:cNvPicPr/>
                  </pic:nvPicPr>
                  <pic:blipFill>
                    <a:blip r:embed="rId14">
                      <a:extLst>
                        <a:ext uri="{28A0092B-C50C-407E-A947-70E740481C1C}">
                          <a14:useLocalDpi xmlns:a14="http://schemas.microsoft.com/office/drawing/2010/main" val="0"/>
                        </a:ext>
                      </a:extLst>
                    </a:blip>
                    <a:stretch>
                      <a:fillRect/>
                    </a:stretch>
                  </pic:blipFill>
                  <pic:spPr>
                    <a:xfrm>
                      <a:off x="0" y="0"/>
                      <a:ext cx="2217104" cy="35418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C7330B" w14:textId="77777777" w:rsidR="00A44883" w:rsidRPr="00D940AD" w:rsidRDefault="00A44883" w:rsidP="00D940AD">
      <w:pPr>
        <w:pStyle w:val="Caption"/>
        <w:spacing w:after="160" w:line="360" w:lineRule="auto"/>
        <w:jc w:val="center"/>
        <w:rPr>
          <w:rFonts w:asciiTheme="minorHAnsi" w:hAnsiTheme="minorHAnsi"/>
          <w:lang w:val="en-GB"/>
        </w:rPr>
      </w:pPr>
      <w:r w:rsidRPr="00D940AD">
        <w:rPr>
          <w:rFonts w:asciiTheme="minorHAnsi" w:hAnsiTheme="minorHAnsi"/>
          <w:lang w:val="en-GB"/>
        </w:rPr>
        <w:t xml:space="preserve">Figure </w:t>
      </w:r>
      <w:r w:rsidRPr="00D940AD">
        <w:rPr>
          <w:rFonts w:asciiTheme="minorHAnsi" w:hAnsiTheme="minorHAnsi"/>
          <w:lang w:val="en-GB"/>
        </w:rPr>
        <w:fldChar w:fldCharType="begin"/>
      </w:r>
      <w:r w:rsidRPr="00D940AD">
        <w:rPr>
          <w:rFonts w:asciiTheme="minorHAnsi" w:hAnsiTheme="minorHAnsi"/>
          <w:lang w:val="en-GB"/>
        </w:rPr>
        <w:instrText xml:space="preserve"> SEQ Figure \* ARABIC </w:instrText>
      </w:r>
      <w:r w:rsidRPr="00D940AD">
        <w:rPr>
          <w:rFonts w:asciiTheme="minorHAnsi" w:hAnsiTheme="minorHAnsi"/>
          <w:lang w:val="en-GB"/>
        </w:rPr>
        <w:fldChar w:fldCharType="separate"/>
      </w:r>
      <w:r w:rsidRPr="00D940AD">
        <w:rPr>
          <w:rFonts w:asciiTheme="minorHAnsi" w:hAnsiTheme="minorHAnsi"/>
          <w:noProof/>
          <w:lang w:val="en-GB"/>
        </w:rPr>
        <w:t>7</w:t>
      </w:r>
      <w:r w:rsidRPr="00D940AD">
        <w:rPr>
          <w:rFonts w:asciiTheme="minorHAnsi" w:hAnsiTheme="minorHAnsi"/>
          <w:noProof/>
          <w:lang w:val="en-GB"/>
        </w:rPr>
        <w:fldChar w:fldCharType="end"/>
      </w:r>
      <w:r w:rsidRPr="00D940AD">
        <w:rPr>
          <w:rFonts w:asciiTheme="minorHAnsi" w:hAnsiTheme="minorHAnsi"/>
          <w:lang w:val="en-GB"/>
        </w:rPr>
        <w:t>- G20 Pittsburgh commitment</w:t>
      </w:r>
    </w:p>
    <w:p w14:paraId="346824C9" w14:textId="1A4E3E69" w:rsidR="00A44883" w:rsidRPr="00D940AD" w:rsidRDefault="00A44883" w:rsidP="00D940AD">
      <w:pPr>
        <w:pStyle w:val="Caption"/>
        <w:spacing w:after="160" w:line="360" w:lineRule="auto"/>
        <w:jc w:val="center"/>
        <w:rPr>
          <w:rFonts w:asciiTheme="minorHAnsi" w:hAnsiTheme="minorHAnsi"/>
          <w:lang w:val="en-GB"/>
        </w:rPr>
      </w:pPr>
      <w:r w:rsidRPr="00D940AD">
        <w:rPr>
          <w:rFonts w:asciiTheme="minorHAnsi" w:hAnsiTheme="minorHAnsi"/>
          <w:lang w:val="en-GB"/>
        </w:rPr>
        <w:t>Source- (</w:t>
      </w:r>
      <w:r w:rsidRPr="00D940AD">
        <w:rPr>
          <w:rFonts w:asciiTheme="minorHAnsi" w:hAnsiTheme="minorHAnsi"/>
          <w:lang w:val="en-GB" w:eastAsia="en-IN"/>
        </w:rPr>
        <w:t>International Monetary Fund, 2023).</w:t>
      </w:r>
    </w:p>
    <w:p w14:paraId="3A721133" w14:textId="31EAE387" w:rsidR="008813AA" w:rsidRPr="00D940AD" w:rsidRDefault="001F16E6" w:rsidP="00D940AD">
      <w:pPr>
        <w:rPr>
          <w:rFonts w:asciiTheme="minorHAnsi" w:hAnsiTheme="minorHAnsi"/>
          <w:lang w:val="en-GB"/>
        </w:rPr>
      </w:pPr>
      <w:r w:rsidRPr="00D940AD">
        <w:rPr>
          <w:rFonts w:asciiTheme="minorHAnsi" w:hAnsiTheme="minorHAnsi"/>
          <w:lang w:val="en-GB"/>
        </w:rPr>
        <w:t xml:space="preserve">The G20 recognised the global financial system's interdependence and the necessity for concerted action to solve its difficulties. As a result, officials pledged to strengthen international cooperation among regulatory bodies and financial institutions. This coordinated strategy attempted to guarantee that regulatory requirements were consistent across jurisdictions and that financial companies could not avoid rules by transferring operations to less stringent nations. The implementation of stricter capital and liquidity </w:t>
      </w:r>
      <w:r w:rsidRPr="00D940AD">
        <w:rPr>
          <w:rFonts w:asciiTheme="minorHAnsi" w:hAnsiTheme="minorHAnsi"/>
          <w:lang w:val="en-GB"/>
        </w:rPr>
        <w:lastRenderedPageBreak/>
        <w:t>standards for banks was one of the most major undertakings</w:t>
      </w:r>
      <w:r w:rsidR="00A60735" w:rsidRPr="00D940AD">
        <w:rPr>
          <w:rFonts w:asciiTheme="minorHAnsi" w:hAnsiTheme="minorHAnsi"/>
          <w:lang w:val="en-GB"/>
        </w:rPr>
        <w:t xml:space="preserve"> (</w:t>
      </w:r>
      <w:r w:rsidR="00A60735" w:rsidRPr="00D940AD">
        <w:rPr>
          <w:rFonts w:asciiTheme="minorHAnsi" w:hAnsiTheme="minorHAnsi"/>
          <w:color w:val="222222"/>
          <w:szCs w:val="24"/>
          <w:shd w:val="clear" w:color="auto" w:fill="FFFFFF"/>
          <w:lang w:val="en-GB"/>
        </w:rPr>
        <w:t>Tadas, 2023).</w:t>
      </w:r>
      <w:r w:rsidRPr="00D940AD">
        <w:rPr>
          <w:rFonts w:asciiTheme="minorHAnsi" w:hAnsiTheme="minorHAnsi"/>
          <w:lang w:val="en-GB"/>
        </w:rPr>
        <w:t xml:space="preserve"> The G20 recognised that banks were vulnerable throughout the crisis due to a lack of liquidity and capital buffers. The agreements intended to guarantee that banks had enough capital to withstand losses and enough liquidity to weather market volatility. These methods were aimed to improve bank resilience and lower the danger of systemic failure.</w:t>
      </w:r>
      <w:r w:rsidR="008813AA" w:rsidRPr="00D940AD">
        <w:rPr>
          <w:rFonts w:asciiTheme="minorHAnsi" w:hAnsiTheme="minorHAnsi"/>
          <w:lang w:val="en-GB"/>
        </w:rPr>
        <w:t xml:space="preserve"> </w:t>
      </w:r>
    </w:p>
    <w:p w14:paraId="732F857F" w14:textId="7DF56AD7" w:rsidR="00EE1606" w:rsidRPr="00D940AD" w:rsidRDefault="008813AA" w:rsidP="00D940AD">
      <w:pPr>
        <w:rPr>
          <w:rFonts w:asciiTheme="minorHAnsi" w:hAnsiTheme="minorHAnsi"/>
          <w:lang w:val="en-GB"/>
        </w:rPr>
      </w:pPr>
      <w:r w:rsidRPr="00D940AD">
        <w:rPr>
          <w:rFonts w:asciiTheme="minorHAnsi" w:hAnsiTheme="minorHAnsi"/>
          <w:lang w:val="en-GB"/>
        </w:rPr>
        <w:t>Recognising the significance of liquidity as well as capital buffers in protecting financial institutions from unanticipated shocks, the G20 commitment emphasised the establishment of greater capital requirements and stringent liquidity controls. This included the establishment of the Basel III framework, which significantly boosted banks' a minimum amount of capital as well imposed larger liquidity buffers. The G20 vow to restructure the global banking system indicated a shared resolve to avoid future financial crises and preserve the global economy. Initiatives implemented in response to this pledge, like as the Basel III framework and greater regulatory monitoring, have made a significant contribution to the financial system's resilience and stability</w:t>
      </w:r>
      <w:r w:rsidR="00A60735" w:rsidRPr="00D940AD">
        <w:rPr>
          <w:rFonts w:asciiTheme="minorHAnsi" w:hAnsiTheme="minorHAnsi"/>
          <w:lang w:val="en-GB"/>
        </w:rPr>
        <w:t xml:space="preserve"> (</w:t>
      </w:r>
      <w:r w:rsidR="00A60735" w:rsidRPr="00D940AD">
        <w:rPr>
          <w:rFonts w:asciiTheme="minorHAnsi" w:hAnsiTheme="minorHAnsi"/>
          <w:color w:val="222222"/>
          <w:szCs w:val="24"/>
          <w:shd w:val="clear" w:color="auto" w:fill="FFFFFF"/>
          <w:lang w:val="en-GB"/>
        </w:rPr>
        <w:t>Rayner, 2021).</w:t>
      </w:r>
    </w:p>
    <w:p w14:paraId="77FD3DC6" w14:textId="3F90858A" w:rsidR="00EE1606" w:rsidRPr="00D940AD" w:rsidRDefault="001F16E6" w:rsidP="00D940AD">
      <w:pPr>
        <w:rPr>
          <w:rFonts w:asciiTheme="minorHAnsi" w:hAnsiTheme="minorHAnsi"/>
          <w:lang w:val="en-GB" w:eastAsia="en-IN"/>
        </w:rPr>
      </w:pPr>
      <w:r w:rsidRPr="00D940AD">
        <w:rPr>
          <w:rFonts w:asciiTheme="minorHAnsi" w:hAnsiTheme="minorHAnsi"/>
          <w:lang w:val="en-GB" w:eastAsia="en-IN"/>
        </w:rPr>
        <w:t>The Bank</w:t>
      </w:r>
      <w:r w:rsidR="00FE0191">
        <w:rPr>
          <w:rFonts w:asciiTheme="minorHAnsi" w:hAnsiTheme="minorHAnsi"/>
          <w:lang w:val="en-GB" w:eastAsia="en-IN"/>
        </w:rPr>
        <w:t xml:space="preserve"> which is</w:t>
      </w:r>
      <w:r w:rsidRPr="00D940AD">
        <w:rPr>
          <w:rFonts w:asciiTheme="minorHAnsi" w:hAnsiTheme="minorHAnsi"/>
          <w:lang w:val="en-GB" w:eastAsia="en-IN"/>
        </w:rPr>
        <w:t xml:space="preserve"> for International Settlements' Basel Committee on </w:t>
      </w:r>
      <w:r w:rsidR="00FE0191">
        <w:rPr>
          <w:rFonts w:asciiTheme="minorHAnsi" w:hAnsiTheme="minorHAnsi"/>
          <w:lang w:val="en-GB" w:eastAsia="en-IN"/>
        </w:rPr>
        <w:t xml:space="preserve">the </w:t>
      </w:r>
      <w:r w:rsidRPr="00D940AD">
        <w:rPr>
          <w:rFonts w:asciiTheme="minorHAnsi" w:hAnsiTheme="minorHAnsi"/>
          <w:lang w:val="en-GB" w:eastAsia="en-IN"/>
        </w:rPr>
        <w:t>Banking Supervision created the Basel III framework, which considerably increased capital requirements for banks and imposed new liquidity norms. The Financial Stability Board (FSB) estimates that by 2019, all G20 countries will have adopted the Basel III framework for capital and liquidity rules. Regulatory agencies in many G20 nations strengthened oversight and surveillance of financial institutions to guarantee compliance with summit pledges</w:t>
      </w:r>
      <w:r w:rsidR="00A60735" w:rsidRPr="00D940AD">
        <w:rPr>
          <w:rFonts w:asciiTheme="minorHAnsi" w:hAnsiTheme="minorHAnsi"/>
          <w:lang w:val="en-GB" w:eastAsia="en-IN"/>
        </w:rPr>
        <w:t xml:space="preserve"> (</w:t>
      </w:r>
      <w:r w:rsidR="00A60735" w:rsidRPr="00D940AD">
        <w:rPr>
          <w:rFonts w:asciiTheme="minorHAnsi" w:hAnsiTheme="minorHAnsi"/>
          <w:color w:val="222222"/>
          <w:szCs w:val="24"/>
          <w:shd w:val="clear" w:color="auto" w:fill="FFFFFF"/>
          <w:lang w:val="en-GB"/>
        </w:rPr>
        <w:t>Lapin, 2021).</w:t>
      </w:r>
    </w:p>
    <w:p w14:paraId="51B6DAE2" w14:textId="686514A7" w:rsidR="00CB42B7" w:rsidRPr="00D940AD" w:rsidRDefault="005F230A" w:rsidP="00D940AD">
      <w:pPr>
        <w:pStyle w:val="Heading1"/>
        <w:rPr>
          <w:rFonts w:asciiTheme="minorHAnsi" w:hAnsiTheme="minorHAnsi" w:cstheme="minorHAnsi"/>
          <w:lang w:val="en-GB"/>
        </w:rPr>
      </w:pPr>
      <w:bookmarkStart w:id="11" w:name="_Toc142748494"/>
      <w:r w:rsidRPr="00D940AD">
        <w:rPr>
          <w:rFonts w:asciiTheme="minorHAnsi" w:hAnsiTheme="minorHAnsi" w:cstheme="minorHAnsi"/>
          <w:lang w:val="en-GB"/>
        </w:rPr>
        <w:t>C</w:t>
      </w:r>
      <w:r w:rsidR="00C963BC" w:rsidRPr="00D940AD">
        <w:rPr>
          <w:rFonts w:asciiTheme="minorHAnsi" w:hAnsiTheme="minorHAnsi" w:cstheme="minorHAnsi"/>
          <w:lang w:val="en-GB"/>
        </w:rPr>
        <w:t>ontribut</w:t>
      </w:r>
      <w:r w:rsidRPr="00D940AD">
        <w:rPr>
          <w:rFonts w:asciiTheme="minorHAnsi" w:hAnsiTheme="minorHAnsi" w:cstheme="minorHAnsi"/>
          <w:lang w:val="en-GB"/>
        </w:rPr>
        <w:t>ion of reforms</w:t>
      </w:r>
      <w:bookmarkEnd w:id="11"/>
    </w:p>
    <w:p w14:paraId="6EF80057" w14:textId="244E23BD" w:rsidR="002D3590" w:rsidRPr="00D940AD" w:rsidRDefault="006835AF" w:rsidP="00D940AD">
      <w:pPr>
        <w:rPr>
          <w:rFonts w:asciiTheme="minorHAnsi" w:hAnsiTheme="minorHAnsi"/>
          <w:lang w:val="en-GB"/>
        </w:rPr>
      </w:pPr>
      <w:r w:rsidRPr="00D940AD">
        <w:rPr>
          <w:rFonts w:asciiTheme="minorHAnsi" w:hAnsiTheme="minorHAnsi"/>
          <w:lang w:val="en-GB"/>
        </w:rPr>
        <w:t xml:space="preserve">Following the 2008 financial crisis, the changes to laws and regulations adopted played a vital influence in </w:t>
      </w:r>
      <w:r w:rsidR="00FE0191" w:rsidRPr="00D940AD">
        <w:rPr>
          <w:rFonts w:asciiTheme="minorHAnsi" w:hAnsiTheme="minorHAnsi"/>
          <w:lang w:val="en-GB"/>
        </w:rPr>
        <w:t>changing financial</w:t>
      </w:r>
      <w:r w:rsidRPr="00D940AD">
        <w:rPr>
          <w:rFonts w:asciiTheme="minorHAnsi" w:hAnsiTheme="minorHAnsi"/>
          <w:lang w:val="en-GB"/>
        </w:rPr>
        <w:t xml:space="preserve"> system a</w:t>
      </w:r>
      <w:r w:rsidR="00FE0191">
        <w:rPr>
          <w:rFonts w:asciiTheme="minorHAnsi" w:hAnsiTheme="minorHAnsi"/>
          <w:lang w:val="en-GB"/>
        </w:rPr>
        <w:t>s well as</w:t>
      </w:r>
      <w:r w:rsidRPr="00D940AD">
        <w:rPr>
          <w:rFonts w:asciiTheme="minorHAnsi" w:hAnsiTheme="minorHAnsi"/>
          <w:lang w:val="en-GB"/>
        </w:rPr>
        <w:t xml:space="preserve"> the activities of various financial institutions. These improvements were intended to improve financial stability, handling of risks, transparency, and consumer protection. The Enhanced Capital a</w:t>
      </w:r>
      <w:r w:rsidR="00FE0191">
        <w:rPr>
          <w:rFonts w:asciiTheme="minorHAnsi" w:hAnsiTheme="minorHAnsi"/>
          <w:lang w:val="en-GB"/>
        </w:rPr>
        <w:t>s well as</w:t>
      </w:r>
      <w:r w:rsidRPr="00D940AD">
        <w:rPr>
          <w:rFonts w:asciiTheme="minorHAnsi" w:hAnsiTheme="minorHAnsi"/>
          <w:lang w:val="en-GB"/>
        </w:rPr>
        <w:t xml:space="preserve"> Liquidity Requirements (Basel III) framework, for example, established greater capital and liquidity rules for </w:t>
      </w:r>
      <w:r w:rsidR="00FE0191">
        <w:rPr>
          <w:rFonts w:asciiTheme="minorHAnsi" w:hAnsiTheme="minorHAnsi"/>
          <w:lang w:val="en-GB"/>
        </w:rPr>
        <w:t xml:space="preserve">the </w:t>
      </w:r>
      <w:r w:rsidRPr="00D940AD">
        <w:rPr>
          <w:rFonts w:asciiTheme="minorHAnsi" w:hAnsiTheme="minorHAnsi"/>
          <w:lang w:val="en-GB"/>
        </w:rPr>
        <w:t xml:space="preserve">banks. </w:t>
      </w:r>
      <w:r w:rsidR="006D58E5" w:rsidRPr="00D940AD">
        <w:rPr>
          <w:rFonts w:asciiTheme="minorHAnsi" w:hAnsiTheme="minorHAnsi"/>
          <w:lang w:val="en-GB"/>
        </w:rPr>
        <w:t xml:space="preserve">In accordance with the Bank for International Settlements (BIS), banks' worldwide common equity Tier 1 (CET1) capital had expanded considerably during the 2008 financial crisis. The CET1 capital ratio, which calculates high-quality capital as a proportion of </w:t>
      </w:r>
      <w:r w:rsidR="006D58E5" w:rsidRPr="00D940AD">
        <w:rPr>
          <w:rFonts w:asciiTheme="minorHAnsi" w:hAnsiTheme="minorHAnsi"/>
          <w:lang w:val="en-GB"/>
        </w:rPr>
        <w:lastRenderedPageBreak/>
        <w:t xml:space="preserve">risk-weighted assets, acts as a loss buffer. Banks' susceptibility to financial shocks has gotten better as a result of greater capitalisation. </w:t>
      </w:r>
      <w:r w:rsidRPr="00D940AD">
        <w:rPr>
          <w:rFonts w:asciiTheme="minorHAnsi" w:hAnsiTheme="minorHAnsi"/>
          <w:lang w:val="en-GB"/>
        </w:rPr>
        <w:t>Banks must now maintain higher levels of capital to cover future losses and liquid assets to resist short-term liquidity challenges</w:t>
      </w:r>
      <w:r w:rsidR="006B3EDB" w:rsidRPr="00D940AD">
        <w:rPr>
          <w:rFonts w:asciiTheme="minorHAnsi" w:hAnsiTheme="minorHAnsi"/>
          <w:lang w:val="en-GB"/>
        </w:rPr>
        <w:t xml:space="preserve"> (</w:t>
      </w:r>
      <w:r w:rsidR="006B3EDB" w:rsidRPr="00D940AD">
        <w:rPr>
          <w:rFonts w:asciiTheme="minorHAnsi" w:hAnsiTheme="minorHAnsi"/>
          <w:color w:val="222222"/>
          <w:szCs w:val="24"/>
          <w:shd w:val="clear" w:color="auto" w:fill="FFFFFF"/>
          <w:lang w:val="en-GB"/>
        </w:rPr>
        <w:t>Csengoi and Ayadi, 2023).</w:t>
      </w:r>
      <w:r w:rsidRPr="00D940AD">
        <w:rPr>
          <w:rFonts w:asciiTheme="minorHAnsi" w:hAnsiTheme="minorHAnsi"/>
          <w:lang w:val="en-GB"/>
        </w:rPr>
        <w:t xml:space="preserve"> As a result, banks have become more resistant to financial shocks, lowering the possibility of a broad banking disaster.  </w:t>
      </w:r>
      <w:r w:rsidR="002D3590" w:rsidRPr="00D940AD">
        <w:rPr>
          <w:rFonts w:asciiTheme="minorHAnsi" w:hAnsiTheme="minorHAnsi"/>
          <w:lang w:val="en-GB"/>
        </w:rPr>
        <w:t>Also</w:t>
      </w:r>
      <w:r w:rsidR="00D15AE8" w:rsidRPr="00D940AD">
        <w:rPr>
          <w:rFonts w:asciiTheme="minorHAnsi" w:hAnsiTheme="minorHAnsi"/>
          <w:lang w:val="en-GB"/>
        </w:rPr>
        <w:t xml:space="preserve">, regulations such as EMIR and MiFID II have established steps to improve transparency and risk management in financial markets. </w:t>
      </w:r>
      <w:r w:rsidR="006D58E5" w:rsidRPr="00D940AD">
        <w:rPr>
          <w:rFonts w:asciiTheme="minorHAnsi" w:hAnsiTheme="minorHAnsi"/>
          <w:lang w:val="en-GB"/>
        </w:rPr>
        <w:t xml:space="preserve">For example, EMIR's need for central clearing of some futures has decreased counterparty risk and strengthened the derivatives market. Furthermore, the transparency standards of MiFID II have boosted market visibility as well as decreased the risk of market abuse. </w:t>
      </w:r>
      <w:r w:rsidR="00D15AE8" w:rsidRPr="00D940AD">
        <w:rPr>
          <w:rFonts w:asciiTheme="minorHAnsi" w:hAnsiTheme="minorHAnsi"/>
          <w:lang w:val="en-GB"/>
        </w:rPr>
        <w:t>Centralized derivatives clearing and prohibitions on proprietary trading (Volcker Rule) have minimized systemic risks and possible conflicts of interest, leading to a more secure financial climate</w:t>
      </w:r>
      <w:r w:rsidR="00620190" w:rsidRPr="00D940AD">
        <w:rPr>
          <w:rFonts w:asciiTheme="minorHAnsi" w:hAnsiTheme="minorHAnsi"/>
          <w:lang w:val="en-GB"/>
        </w:rPr>
        <w:t xml:space="preserve"> (Thakor, 2018)</w:t>
      </w:r>
      <w:r w:rsidR="00D15AE8" w:rsidRPr="00D940AD">
        <w:rPr>
          <w:rFonts w:asciiTheme="minorHAnsi" w:hAnsiTheme="minorHAnsi"/>
          <w:lang w:val="en-GB"/>
        </w:rPr>
        <w:t xml:space="preserve">. </w:t>
      </w:r>
    </w:p>
    <w:p w14:paraId="5715881B" w14:textId="7C9C4B4A" w:rsidR="00FB2316" w:rsidRPr="00D940AD" w:rsidRDefault="0056614B" w:rsidP="00D940AD">
      <w:pPr>
        <w:rPr>
          <w:rFonts w:asciiTheme="minorHAnsi" w:hAnsiTheme="minorHAnsi"/>
          <w:lang w:val="en-GB"/>
        </w:rPr>
      </w:pPr>
      <w:r w:rsidRPr="00D940AD">
        <w:rPr>
          <w:rFonts w:asciiTheme="minorHAnsi" w:hAnsiTheme="minorHAnsi"/>
          <w:lang w:val="en-GB"/>
        </w:rPr>
        <w:t xml:space="preserve">Consumer interests have also been prioritised in reforms. This dedication is exemplified by the establishment of regulatory entities </w:t>
      </w:r>
      <w:r w:rsidR="00FE0191">
        <w:rPr>
          <w:rFonts w:asciiTheme="minorHAnsi" w:hAnsiTheme="minorHAnsi"/>
          <w:lang w:val="en-GB"/>
        </w:rPr>
        <w:t xml:space="preserve">like </w:t>
      </w:r>
      <w:r w:rsidR="00FE0191" w:rsidRPr="00D940AD">
        <w:rPr>
          <w:rFonts w:asciiTheme="minorHAnsi" w:hAnsiTheme="minorHAnsi"/>
          <w:lang w:val="en-GB"/>
        </w:rPr>
        <w:t>Consumer</w:t>
      </w:r>
      <w:r w:rsidRPr="00D940AD">
        <w:rPr>
          <w:rFonts w:asciiTheme="minorHAnsi" w:hAnsiTheme="minorHAnsi"/>
          <w:lang w:val="en-GB"/>
        </w:rPr>
        <w:t xml:space="preserve"> Financial Protection Bureau (CFPB) in United States as well as the Financial Conduct Authority (FCA) in United Kingdom, which monitor financial market behaviour and assure consumer protection. These organisations enforce regulations that prohibit predatory lending, deceptive advertising, and other types of consumer abuses.</w:t>
      </w:r>
      <w:r w:rsidR="00721D17" w:rsidRPr="00D940AD">
        <w:rPr>
          <w:rFonts w:asciiTheme="minorHAnsi" w:hAnsiTheme="minorHAnsi"/>
          <w:lang w:val="en-GB"/>
        </w:rPr>
        <w:t xml:space="preserve"> </w:t>
      </w:r>
      <w:r w:rsidRPr="00D940AD">
        <w:rPr>
          <w:rFonts w:asciiTheme="minorHAnsi" w:hAnsiTheme="minorHAnsi"/>
          <w:lang w:val="en-GB" w:eastAsia="en-IN"/>
        </w:rPr>
        <w:t xml:space="preserve">In accordance </w:t>
      </w:r>
      <w:r w:rsidR="006D333E" w:rsidRPr="00D940AD">
        <w:rPr>
          <w:rFonts w:asciiTheme="minorHAnsi" w:hAnsiTheme="minorHAnsi"/>
          <w:lang w:val="en-GB" w:eastAsia="en-IN"/>
        </w:rPr>
        <w:t>with</w:t>
      </w:r>
      <w:r w:rsidRPr="00D940AD">
        <w:rPr>
          <w:rFonts w:asciiTheme="minorHAnsi" w:hAnsiTheme="minorHAnsi"/>
          <w:lang w:val="en-GB" w:eastAsia="en-IN"/>
        </w:rPr>
        <w:t xml:space="preserve"> the Financial Stability Board (FSB), global systemically important institutions' (G-SIBs') total loss-absorbing capacity (TLAC) has improved significantly by 2019</w:t>
      </w:r>
      <w:r w:rsidR="00A14E4E" w:rsidRPr="00D940AD">
        <w:rPr>
          <w:rFonts w:asciiTheme="minorHAnsi" w:hAnsiTheme="minorHAnsi"/>
          <w:lang w:val="en-GB" w:eastAsia="en-IN"/>
        </w:rPr>
        <w:t xml:space="preserve"> (</w:t>
      </w:r>
      <w:r w:rsidR="00A14E4E" w:rsidRPr="00D940AD">
        <w:rPr>
          <w:rFonts w:asciiTheme="minorHAnsi" w:hAnsiTheme="minorHAnsi"/>
          <w:color w:val="222222"/>
          <w:szCs w:val="24"/>
          <w:shd w:val="clear" w:color="auto" w:fill="FFFFFF"/>
          <w:lang w:val="en-GB"/>
        </w:rPr>
        <w:t xml:space="preserve">SoRelle, 2020). </w:t>
      </w:r>
      <w:r w:rsidRPr="00D940AD">
        <w:rPr>
          <w:rFonts w:asciiTheme="minorHAnsi" w:hAnsiTheme="minorHAnsi"/>
          <w:lang w:val="en-GB" w:eastAsia="en-IN"/>
        </w:rPr>
        <w:t>TLAC assesses banks' ability to withstand losses while avoiding taxpayer-funded bailouts. As of 2021, big U.S. banks subjected to the Volcker Rule (part of the Dodd-Frank Act) have drastically curtailed their proprietary trading activity, minimising conflicts of interest and lowering possible hazards connected with proprietary trading, according to the Federal Reserve.</w:t>
      </w:r>
    </w:p>
    <w:p w14:paraId="799EC747" w14:textId="347119DB" w:rsidR="002E0F62" w:rsidRPr="00D940AD" w:rsidRDefault="00D15AE8" w:rsidP="00D940AD">
      <w:pPr>
        <w:rPr>
          <w:rFonts w:asciiTheme="minorHAnsi" w:hAnsiTheme="minorHAnsi"/>
          <w:lang w:val="en-GB"/>
        </w:rPr>
      </w:pPr>
      <w:r w:rsidRPr="00D940AD">
        <w:rPr>
          <w:rFonts w:asciiTheme="minorHAnsi" w:hAnsiTheme="minorHAnsi"/>
          <w:lang w:val="en-GB"/>
        </w:rPr>
        <w:t>Furthermore, G20 commitments have improved supervisory cooperation between governments and banking organizations. Global collaboration among authorities and central banks has enhanced information sharing, collaboration, and regulatory norm alignment. This has aided in the prevention of arbitrage in regulations and the reduction of cross-border hazards</w:t>
      </w:r>
      <w:r w:rsidR="00A14E4E" w:rsidRPr="00D940AD">
        <w:rPr>
          <w:rFonts w:asciiTheme="minorHAnsi" w:hAnsiTheme="minorHAnsi"/>
          <w:lang w:val="en-GB"/>
        </w:rPr>
        <w:t xml:space="preserve"> (</w:t>
      </w:r>
      <w:r w:rsidR="00A14E4E" w:rsidRPr="00D940AD">
        <w:rPr>
          <w:rFonts w:asciiTheme="minorHAnsi" w:hAnsiTheme="minorHAnsi"/>
          <w:color w:val="222222"/>
          <w:szCs w:val="24"/>
          <w:shd w:val="clear" w:color="auto" w:fill="FFFFFF"/>
          <w:lang w:val="en-GB"/>
        </w:rPr>
        <w:t>Beker, 2021).</w:t>
      </w:r>
      <w:r w:rsidRPr="00D940AD">
        <w:rPr>
          <w:rFonts w:asciiTheme="minorHAnsi" w:hAnsiTheme="minorHAnsi"/>
          <w:lang w:val="en-GB"/>
        </w:rPr>
        <w:t xml:space="preserve"> </w:t>
      </w:r>
      <w:r w:rsidR="002D3590" w:rsidRPr="00D940AD">
        <w:rPr>
          <w:rFonts w:asciiTheme="minorHAnsi" w:hAnsiTheme="minorHAnsi"/>
          <w:lang w:val="en-GB"/>
        </w:rPr>
        <w:t>Collectively, these changes and laws have contributed to the establishment of a more strong, transparent, and responsible financial system</w:t>
      </w:r>
      <w:r w:rsidR="00686A06" w:rsidRPr="00D940AD">
        <w:rPr>
          <w:rFonts w:asciiTheme="minorHAnsi" w:hAnsiTheme="minorHAnsi"/>
          <w:lang w:val="en-GB"/>
        </w:rPr>
        <w:t xml:space="preserve">. Collaboration among regulatory bodies has resulted in better harmonization of regulatory norms across </w:t>
      </w:r>
      <w:r w:rsidR="00686A06" w:rsidRPr="00D940AD">
        <w:rPr>
          <w:rFonts w:asciiTheme="minorHAnsi" w:hAnsiTheme="minorHAnsi"/>
          <w:lang w:val="en-GB"/>
        </w:rPr>
        <w:lastRenderedPageBreak/>
        <w:t>jurisdictions. For example, governments have broadly accepted the Basel III framework for capital and liquidity rules, resulting in a more uniform worldwide regulatory framework. This alignment decreases the possibility of regulatory loopholes being exploited by financial institutions in order to engage in dangerous activity</w:t>
      </w:r>
      <w:r w:rsidR="00A14E4E" w:rsidRPr="00D940AD">
        <w:rPr>
          <w:rFonts w:asciiTheme="minorHAnsi" w:hAnsiTheme="minorHAnsi"/>
          <w:lang w:val="en-GB"/>
        </w:rPr>
        <w:t xml:space="preserve"> (</w:t>
      </w:r>
      <w:r w:rsidR="00A14E4E" w:rsidRPr="00D940AD">
        <w:rPr>
          <w:rFonts w:asciiTheme="minorHAnsi" w:hAnsiTheme="minorHAnsi"/>
          <w:color w:val="222222"/>
          <w:szCs w:val="24"/>
          <w:shd w:val="clear" w:color="auto" w:fill="FFFFFF"/>
          <w:lang w:val="en-GB"/>
        </w:rPr>
        <w:t>Beker, 2021).</w:t>
      </w:r>
      <w:r w:rsidR="00686A06" w:rsidRPr="00D940AD">
        <w:rPr>
          <w:rFonts w:asciiTheme="minorHAnsi" w:hAnsiTheme="minorHAnsi"/>
          <w:lang w:val="en-GB"/>
        </w:rPr>
        <w:t xml:space="preserve"> </w:t>
      </w:r>
      <w:r w:rsidR="002E0F62" w:rsidRPr="00D940AD">
        <w:rPr>
          <w:rFonts w:asciiTheme="minorHAnsi" w:hAnsiTheme="minorHAnsi"/>
          <w:lang w:val="en-GB"/>
        </w:rPr>
        <w:t xml:space="preserve">The Financial Stability Board (FSB) </w:t>
      </w:r>
      <w:r w:rsidR="00FE0191">
        <w:rPr>
          <w:rFonts w:asciiTheme="minorHAnsi" w:hAnsiTheme="minorHAnsi"/>
          <w:lang w:val="en-GB"/>
        </w:rPr>
        <w:t>&amp;</w:t>
      </w:r>
      <w:r w:rsidR="002E0F62" w:rsidRPr="00D940AD">
        <w:rPr>
          <w:rFonts w:asciiTheme="minorHAnsi" w:hAnsiTheme="minorHAnsi"/>
          <w:lang w:val="en-GB"/>
        </w:rPr>
        <w:t xml:space="preserve"> the Basel Committee on </w:t>
      </w:r>
      <w:r w:rsidR="00FE0191">
        <w:rPr>
          <w:rFonts w:asciiTheme="minorHAnsi" w:hAnsiTheme="minorHAnsi"/>
          <w:lang w:val="en-GB"/>
        </w:rPr>
        <w:t xml:space="preserve">the </w:t>
      </w:r>
      <w:r w:rsidR="002E0F62" w:rsidRPr="00D940AD">
        <w:rPr>
          <w:rFonts w:asciiTheme="minorHAnsi" w:hAnsiTheme="minorHAnsi"/>
          <w:lang w:val="en-GB"/>
        </w:rPr>
        <w:t>Banking Supervision have aided international coordination in reform implementation. By 2020, the FSB will have built channels for exchanging data on supervisory and regulatory concerns, helping to a more uniform regulatory approach across jurisdictions.</w:t>
      </w:r>
    </w:p>
    <w:p w14:paraId="3D9991FB" w14:textId="217E24B8" w:rsidR="00B63F3E" w:rsidRPr="00D940AD" w:rsidRDefault="00B63F3E" w:rsidP="00D940AD">
      <w:pPr>
        <w:rPr>
          <w:rFonts w:asciiTheme="minorHAnsi" w:hAnsiTheme="minorHAnsi"/>
          <w:lang w:val="en-GB"/>
        </w:rPr>
      </w:pPr>
      <w:r w:rsidRPr="00D940AD">
        <w:rPr>
          <w:rFonts w:asciiTheme="minorHAnsi" w:hAnsiTheme="minorHAnsi"/>
          <w:lang w:val="en-GB"/>
        </w:rPr>
        <w:t xml:space="preserve">However, there are considerable downsides, and financial institutions have paid enormous compliance costs </w:t>
      </w:r>
      <w:r w:rsidR="00FE0191">
        <w:rPr>
          <w:rFonts w:asciiTheme="minorHAnsi" w:hAnsiTheme="minorHAnsi"/>
          <w:lang w:val="en-GB"/>
        </w:rPr>
        <w:t xml:space="preserve">resulted </w:t>
      </w:r>
      <w:r w:rsidRPr="00D940AD">
        <w:rPr>
          <w:rFonts w:asciiTheme="minorHAnsi" w:hAnsiTheme="minorHAnsi"/>
          <w:lang w:val="en-GB"/>
        </w:rPr>
        <w:t>implementation of these changes. Banks have had to devote significant resources to meeting capital requirements, improving reporting capabilities, and adapting to new laws and regulations. Stricter capital and liquidity regulations, especially during economic downturns, could restrict banks' capacity to lend. This might have an influence on economic growth as well as profitability of financial institutions, which may find it difficult to match regulatory compliance requirements with commercial objectives</w:t>
      </w:r>
      <w:r w:rsidR="00A14E4E" w:rsidRPr="00D940AD">
        <w:rPr>
          <w:rFonts w:asciiTheme="minorHAnsi" w:hAnsiTheme="minorHAnsi"/>
          <w:lang w:val="en-GB"/>
        </w:rPr>
        <w:t xml:space="preserve"> (</w:t>
      </w:r>
      <w:r w:rsidR="00A14E4E" w:rsidRPr="00D940AD">
        <w:rPr>
          <w:rFonts w:asciiTheme="minorHAnsi" w:hAnsiTheme="minorHAnsi"/>
          <w:color w:val="222222"/>
          <w:szCs w:val="24"/>
          <w:shd w:val="clear" w:color="auto" w:fill="FFFFFF"/>
          <w:lang w:val="en-GB"/>
        </w:rPr>
        <w:t>Kumar, 2020).</w:t>
      </w:r>
      <w:r w:rsidRPr="00D940AD">
        <w:rPr>
          <w:rFonts w:asciiTheme="minorHAnsi" w:hAnsiTheme="minorHAnsi"/>
          <w:lang w:val="en-GB"/>
        </w:rPr>
        <w:t xml:space="preserve"> The regulatory environment has gotten more complicated as a result of the numerous reforms implemented by various countries.</w:t>
      </w:r>
      <w:r w:rsidR="00721D17" w:rsidRPr="00D940AD">
        <w:rPr>
          <w:rFonts w:asciiTheme="minorHAnsi" w:hAnsiTheme="minorHAnsi"/>
          <w:lang w:val="en-GB"/>
        </w:rPr>
        <w:t xml:space="preserve"> </w:t>
      </w:r>
      <w:r w:rsidRPr="00D940AD">
        <w:rPr>
          <w:rFonts w:asciiTheme="minorHAnsi" w:hAnsiTheme="minorHAnsi"/>
          <w:lang w:val="en-GB"/>
        </w:rPr>
        <w:t>This complication can cause misunderstanding, particularly for organisations that operate across borders, and increase operational risks. Some opponents claim that strict rules would impede financial innovation. Due to the higher risk and expense involved, stringent compliance standards and capital limits may dissuade banks from investing in new ventures. Regulatory changes might have unforeseen repercussions. Strict rules, for example, might force some activities into less-regulated areas, thus introducing new dangers that are not well-monitored</w:t>
      </w:r>
      <w:r w:rsidR="00A14E4E" w:rsidRPr="00D940AD">
        <w:rPr>
          <w:rFonts w:asciiTheme="minorHAnsi" w:hAnsiTheme="minorHAnsi"/>
          <w:lang w:val="en-GB"/>
        </w:rPr>
        <w:t xml:space="preserve"> (</w:t>
      </w:r>
      <w:r w:rsidR="00A14E4E" w:rsidRPr="00D940AD">
        <w:rPr>
          <w:rFonts w:asciiTheme="minorHAnsi" w:hAnsiTheme="minorHAnsi"/>
          <w:color w:val="222222"/>
          <w:szCs w:val="24"/>
          <w:shd w:val="clear" w:color="auto" w:fill="FFFFFF"/>
          <w:lang w:val="en-GB"/>
        </w:rPr>
        <w:t xml:space="preserve">Zetzsche, et al., 2020). </w:t>
      </w:r>
      <w:r w:rsidRPr="00D940AD">
        <w:rPr>
          <w:rFonts w:asciiTheme="minorHAnsi" w:hAnsiTheme="minorHAnsi"/>
          <w:lang w:val="en-GB"/>
        </w:rPr>
        <w:t xml:space="preserve">While changes were intended to produce a more cohesive and robust financial system, diverse </w:t>
      </w:r>
      <w:r w:rsidR="00C86B3E" w:rsidRPr="00D940AD">
        <w:rPr>
          <w:rFonts w:asciiTheme="minorHAnsi" w:hAnsiTheme="minorHAnsi"/>
          <w:lang w:val="en-GB"/>
        </w:rPr>
        <w:t>implementation,</w:t>
      </w:r>
      <w:r w:rsidRPr="00D940AD">
        <w:rPr>
          <w:rFonts w:asciiTheme="minorHAnsi" w:hAnsiTheme="minorHAnsi"/>
          <w:lang w:val="en-GB"/>
        </w:rPr>
        <w:t xml:space="preserve"> and interpretation of legislation in various jurisdictions might lead to fragmented markets, limiting the efficacy of international coordination.</w:t>
      </w:r>
    </w:p>
    <w:p w14:paraId="3B320D8E" w14:textId="72F1A30E" w:rsidR="002D3590" w:rsidRPr="00D940AD" w:rsidRDefault="002E0F62" w:rsidP="00D940AD">
      <w:pPr>
        <w:rPr>
          <w:rFonts w:asciiTheme="minorHAnsi" w:hAnsiTheme="minorHAnsi"/>
          <w:lang w:val="en-GB"/>
        </w:rPr>
      </w:pPr>
      <w:r w:rsidRPr="00D940AD">
        <w:rPr>
          <w:rFonts w:asciiTheme="minorHAnsi" w:hAnsiTheme="minorHAnsi"/>
          <w:lang w:val="en-GB"/>
        </w:rPr>
        <w:t>According to the FSB's yearly reports, the proportion of global systemically significant banks' (G-SIBs') cross-border claims has declined since the 2008 financial crisis. This decrease indicates that regulatory initiatives have helped to reduce cross-border risks and possible dangers linked with interconnectivity.</w:t>
      </w:r>
      <w:r w:rsidR="00721D17" w:rsidRPr="00D940AD">
        <w:rPr>
          <w:rFonts w:asciiTheme="minorHAnsi" w:hAnsiTheme="minorHAnsi"/>
          <w:lang w:val="en-GB"/>
        </w:rPr>
        <w:t xml:space="preserve"> </w:t>
      </w:r>
      <w:r w:rsidR="002D3590" w:rsidRPr="00D940AD">
        <w:rPr>
          <w:rFonts w:asciiTheme="minorHAnsi" w:hAnsiTheme="minorHAnsi"/>
          <w:lang w:val="en-GB"/>
        </w:rPr>
        <w:t xml:space="preserve">While challenges and risks continue, the adjustments adopted in aftermath of 2008 financial crisis attempted to prevent a repeat of crisis and foster </w:t>
      </w:r>
      <w:r w:rsidR="002D3590" w:rsidRPr="00D940AD">
        <w:rPr>
          <w:rFonts w:asciiTheme="minorHAnsi" w:hAnsiTheme="minorHAnsi"/>
          <w:lang w:val="en-GB"/>
        </w:rPr>
        <w:lastRenderedPageBreak/>
        <w:t xml:space="preserve">a healthier and more stable financial landscape for both financial institutions and the </w:t>
      </w:r>
      <w:r w:rsidR="002F6EE5" w:rsidRPr="00D940AD">
        <w:rPr>
          <w:rFonts w:asciiTheme="minorHAnsi" w:hAnsiTheme="minorHAnsi"/>
          <w:lang w:val="en-GB"/>
        </w:rPr>
        <w:t>economy</w:t>
      </w:r>
      <w:r w:rsidR="00A14E4E" w:rsidRPr="00D940AD">
        <w:rPr>
          <w:rFonts w:asciiTheme="minorHAnsi" w:hAnsiTheme="minorHAnsi"/>
          <w:lang w:val="en-GB"/>
        </w:rPr>
        <w:t xml:space="preserve"> (</w:t>
      </w:r>
      <w:r w:rsidR="00A14E4E" w:rsidRPr="00D940AD">
        <w:rPr>
          <w:rFonts w:asciiTheme="minorHAnsi" w:hAnsiTheme="minorHAnsi"/>
          <w:color w:val="222222"/>
          <w:szCs w:val="24"/>
          <w:shd w:val="clear" w:color="auto" w:fill="FFFFFF"/>
          <w:lang w:val="en-GB"/>
        </w:rPr>
        <w:t>Bottineau, et al., 2022).</w:t>
      </w:r>
    </w:p>
    <w:p w14:paraId="0A3ED57C" w14:textId="5A278BB3" w:rsidR="00C31EE4" w:rsidRPr="00D940AD" w:rsidRDefault="00B30E05" w:rsidP="00D940AD">
      <w:pPr>
        <w:pStyle w:val="Heading1"/>
        <w:rPr>
          <w:rFonts w:asciiTheme="minorHAnsi" w:hAnsiTheme="minorHAnsi" w:cstheme="minorHAnsi"/>
          <w:lang w:val="en-GB"/>
        </w:rPr>
      </w:pPr>
      <w:bookmarkStart w:id="12" w:name="_Toc142748495"/>
      <w:r w:rsidRPr="00D940AD">
        <w:rPr>
          <w:rFonts w:asciiTheme="minorHAnsi" w:hAnsiTheme="minorHAnsi" w:cstheme="minorHAnsi"/>
          <w:lang w:val="en-GB"/>
        </w:rPr>
        <w:t>Impact on NatWest</w:t>
      </w:r>
      <w:bookmarkEnd w:id="12"/>
    </w:p>
    <w:p w14:paraId="4AAE5EE3" w14:textId="43110680" w:rsidR="00DD62F4" w:rsidRPr="00D940AD" w:rsidRDefault="002D3590" w:rsidP="00D940AD">
      <w:pPr>
        <w:rPr>
          <w:rFonts w:asciiTheme="minorHAnsi" w:hAnsiTheme="minorHAnsi"/>
          <w:lang w:val="en-GB"/>
        </w:rPr>
      </w:pPr>
      <w:r w:rsidRPr="00D940AD">
        <w:rPr>
          <w:rFonts w:asciiTheme="minorHAnsi" w:hAnsiTheme="minorHAnsi"/>
          <w:lang w:val="en-GB"/>
        </w:rPr>
        <w:t xml:space="preserve">Considering the regulations formed in UK post financial crisis 2007, </w:t>
      </w:r>
      <w:r w:rsidR="00C31EE4" w:rsidRPr="00D940AD">
        <w:rPr>
          <w:rFonts w:asciiTheme="minorHAnsi" w:hAnsiTheme="minorHAnsi"/>
          <w:lang w:val="en-GB"/>
        </w:rPr>
        <w:t xml:space="preserve">NatWest, like </w:t>
      </w:r>
      <w:r w:rsidR="0059397C" w:rsidRPr="00D940AD">
        <w:rPr>
          <w:rFonts w:asciiTheme="minorHAnsi" w:hAnsiTheme="minorHAnsi"/>
          <w:lang w:val="en-GB"/>
        </w:rPr>
        <w:t xml:space="preserve">any </w:t>
      </w:r>
      <w:r w:rsidR="00C31EE4" w:rsidRPr="00D940AD">
        <w:rPr>
          <w:rFonts w:asciiTheme="minorHAnsi" w:hAnsiTheme="minorHAnsi"/>
          <w:lang w:val="en-GB"/>
        </w:rPr>
        <w:t xml:space="preserve">other banks, have </w:t>
      </w:r>
      <w:r w:rsidR="0059397C" w:rsidRPr="00D940AD">
        <w:rPr>
          <w:rFonts w:asciiTheme="minorHAnsi" w:hAnsiTheme="minorHAnsi"/>
          <w:lang w:val="en-GB"/>
        </w:rPr>
        <w:t xml:space="preserve">focused on </w:t>
      </w:r>
      <w:r w:rsidR="00C31EE4" w:rsidRPr="00D940AD">
        <w:rPr>
          <w:rFonts w:asciiTheme="minorHAnsi" w:hAnsiTheme="minorHAnsi"/>
          <w:lang w:val="en-GB"/>
        </w:rPr>
        <w:t>increas</w:t>
      </w:r>
      <w:r w:rsidR="0059397C" w:rsidRPr="00D940AD">
        <w:rPr>
          <w:rFonts w:asciiTheme="minorHAnsi" w:hAnsiTheme="minorHAnsi"/>
          <w:lang w:val="en-GB"/>
        </w:rPr>
        <w:t>ing</w:t>
      </w:r>
      <w:r w:rsidR="00C31EE4" w:rsidRPr="00D940AD">
        <w:rPr>
          <w:rFonts w:asciiTheme="minorHAnsi" w:hAnsiTheme="minorHAnsi"/>
          <w:lang w:val="en-GB"/>
        </w:rPr>
        <w:t xml:space="preserve"> their capital and liquidity buffers to meet the requirements set by Basel III. </w:t>
      </w:r>
      <w:r w:rsidR="008A4DEB" w:rsidRPr="00D940AD">
        <w:rPr>
          <w:rFonts w:asciiTheme="minorHAnsi" w:hAnsiTheme="minorHAnsi"/>
          <w:lang w:val="en-GB"/>
        </w:rPr>
        <w:t xml:space="preserve">Basel III emphasizes improving quality </w:t>
      </w:r>
      <w:r w:rsidR="004103CA">
        <w:rPr>
          <w:rFonts w:asciiTheme="minorHAnsi" w:hAnsiTheme="minorHAnsi"/>
          <w:lang w:val="en-GB"/>
        </w:rPr>
        <w:t>&amp;</w:t>
      </w:r>
      <w:r w:rsidR="008A4DEB" w:rsidRPr="00D940AD">
        <w:rPr>
          <w:rFonts w:asciiTheme="minorHAnsi" w:hAnsiTheme="minorHAnsi"/>
          <w:lang w:val="en-GB"/>
        </w:rPr>
        <w:t xml:space="preserve"> quantity of a bank's capital. Banks must maintain a greater amount of </w:t>
      </w:r>
      <w:r w:rsidR="004103CA">
        <w:rPr>
          <w:rFonts w:asciiTheme="minorHAnsi" w:hAnsiTheme="minorHAnsi"/>
          <w:lang w:val="en-GB"/>
        </w:rPr>
        <w:t xml:space="preserve">the </w:t>
      </w:r>
      <w:r w:rsidR="008A4DEB" w:rsidRPr="00D940AD">
        <w:rPr>
          <w:rFonts w:asciiTheme="minorHAnsi" w:hAnsiTheme="minorHAnsi"/>
          <w:lang w:val="en-GB"/>
        </w:rPr>
        <w:t>common equity Tier 1 (CET1) capital, a particularly loss-absorbing kind of capital</w:t>
      </w:r>
      <w:r w:rsidR="005138F2" w:rsidRPr="00D940AD">
        <w:rPr>
          <w:rFonts w:asciiTheme="minorHAnsi" w:hAnsiTheme="minorHAnsi"/>
          <w:lang w:val="en-GB"/>
        </w:rPr>
        <w:t xml:space="preserve"> (</w:t>
      </w:r>
      <w:r w:rsidR="005138F2" w:rsidRPr="00D940AD">
        <w:rPr>
          <w:rFonts w:asciiTheme="minorHAnsi" w:hAnsiTheme="minorHAnsi"/>
          <w:color w:val="222222"/>
          <w:szCs w:val="24"/>
          <w:shd w:val="clear" w:color="auto" w:fill="FFFFFF"/>
          <w:lang w:val="en-GB"/>
        </w:rPr>
        <w:t>PLC, 2020).</w:t>
      </w:r>
      <w:r w:rsidR="008A4DEB" w:rsidRPr="00D940AD">
        <w:rPr>
          <w:rFonts w:asciiTheme="minorHAnsi" w:hAnsiTheme="minorHAnsi"/>
          <w:lang w:val="en-GB"/>
        </w:rPr>
        <w:t xml:space="preserve"> During times of financial hardship, this capital </w:t>
      </w:r>
      <w:proofErr w:type="gramStart"/>
      <w:r w:rsidR="008A4DEB" w:rsidRPr="00D940AD">
        <w:rPr>
          <w:rFonts w:asciiTheme="minorHAnsi" w:hAnsiTheme="minorHAnsi"/>
          <w:lang w:val="en-GB"/>
        </w:rPr>
        <w:t>absorb</w:t>
      </w:r>
      <w:proofErr w:type="gramEnd"/>
      <w:r w:rsidR="008A4DEB" w:rsidRPr="00D940AD">
        <w:rPr>
          <w:rFonts w:asciiTheme="minorHAnsi" w:hAnsiTheme="minorHAnsi"/>
          <w:lang w:val="en-GB"/>
        </w:rPr>
        <w:t xml:space="preserve"> losses. To reach the specified minimum levels, NatWest and other banks must enhance their CET1 capital ratios. </w:t>
      </w:r>
      <w:r w:rsidR="00C31EE4" w:rsidRPr="00D940AD">
        <w:rPr>
          <w:rFonts w:asciiTheme="minorHAnsi" w:hAnsiTheme="minorHAnsi"/>
          <w:lang w:val="en-GB"/>
        </w:rPr>
        <w:t>This could impact their lending practices and investment strategies as they need to maintain higher levels of capital to absorb potential losses</w:t>
      </w:r>
      <w:r w:rsidR="007B3652" w:rsidRPr="00D940AD">
        <w:rPr>
          <w:rFonts w:asciiTheme="minorHAnsi" w:hAnsiTheme="minorHAnsi"/>
          <w:lang w:val="en-GB"/>
        </w:rPr>
        <w:t xml:space="preserve"> (RBS, 2015)</w:t>
      </w:r>
      <w:r w:rsidR="00C31EE4" w:rsidRPr="00D940AD">
        <w:rPr>
          <w:rFonts w:asciiTheme="minorHAnsi" w:hAnsiTheme="minorHAnsi"/>
          <w:lang w:val="en-GB"/>
        </w:rPr>
        <w:t>.</w:t>
      </w:r>
      <w:r w:rsidR="0004251A" w:rsidRPr="00D940AD">
        <w:rPr>
          <w:rFonts w:asciiTheme="minorHAnsi" w:hAnsiTheme="minorHAnsi"/>
          <w:lang w:val="en-GB"/>
        </w:rPr>
        <w:t xml:space="preserve"> </w:t>
      </w:r>
      <w:r w:rsidR="00DD62F4" w:rsidRPr="00D940AD">
        <w:rPr>
          <w:rFonts w:asciiTheme="minorHAnsi" w:hAnsiTheme="minorHAnsi"/>
          <w:lang w:val="en-GB"/>
        </w:rPr>
        <w:t xml:space="preserve">NatWest's lending practises and investment strategies were influenced by the necessity of maintaining higher levels of capital and liquidity. With tougher capital requirements, banks had to commit more money to lending activities, potentially affecting loan availability and </w:t>
      </w:r>
      <w:r w:rsidR="00AE41A4">
        <w:rPr>
          <w:rFonts w:asciiTheme="minorHAnsi" w:hAnsiTheme="minorHAnsi"/>
          <w:lang w:val="en-GB"/>
        </w:rPr>
        <w:t>conditions.</w:t>
      </w:r>
    </w:p>
    <w:p w14:paraId="07206C8B" w14:textId="77777777" w:rsidR="00423662" w:rsidRPr="00D940AD" w:rsidRDefault="00423662" w:rsidP="00D940AD">
      <w:pPr>
        <w:keepNext/>
        <w:jc w:val="center"/>
        <w:rPr>
          <w:rFonts w:asciiTheme="minorHAnsi" w:hAnsiTheme="minorHAnsi"/>
          <w:lang w:val="en-GB"/>
        </w:rPr>
      </w:pPr>
      <w:r w:rsidRPr="00D940AD">
        <w:rPr>
          <w:rFonts w:asciiTheme="minorHAnsi" w:hAnsiTheme="minorHAnsi"/>
          <w:noProof/>
          <w:lang w:val="en-GB"/>
        </w:rPr>
        <w:lastRenderedPageBreak/>
        <w:drawing>
          <wp:inline distT="0" distB="0" distL="0" distR="0" wp14:anchorId="21DD96D7" wp14:editId="6428C928">
            <wp:extent cx="5600988" cy="3892750"/>
            <wp:effectExtent l="76200" t="76200" r="133350" b="127000"/>
            <wp:docPr id="818859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59039" name=""/>
                    <pic:cNvPicPr/>
                  </pic:nvPicPr>
                  <pic:blipFill>
                    <a:blip r:embed="rId15"/>
                    <a:stretch>
                      <a:fillRect/>
                    </a:stretch>
                  </pic:blipFill>
                  <pic:spPr>
                    <a:xfrm>
                      <a:off x="0" y="0"/>
                      <a:ext cx="5600988" cy="3892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C2C11B" w14:textId="0BB9DDF9" w:rsidR="00423662" w:rsidRPr="00D940AD" w:rsidRDefault="00423662" w:rsidP="00D940AD">
      <w:pPr>
        <w:pStyle w:val="Caption"/>
        <w:spacing w:after="160" w:line="360" w:lineRule="auto"/>
        <w:jc w:val="center"/>
        <w:rPr>
          <w:rFonts w:asciiTheme="minorHAnsi" w:hAnsiTheme="minorHAnsi"/>
          <w:lang w:val="en-GB"/>
        </w:rPr>
      </w:pPr>
      <w:r w:rsidRPr="00D940AD">
        <w:rPr>
          <w:rFonts w:asciiTheme="minorHAnsi" w:hAnsiTheme="minorHAnsi"/>
          <w:lang w:val="en-GB"/>
        </w:rPr>
        <w:t xml:space="preserve">Figure </w:t>
      </w:r>
      <w:r w:rsidRPr="00D940AD">
        <w:rPr>
          <w:rFonts w:asciiTheme="minorHAnsi" w:hAnsiTheme="minorHAnsi"/>
          <w:lang w:val="en-GB"/>
        </w:rPr>
        <w:fldChar w:fldCharType="begin"/>
      </w:r>
      <w:r w:rsidRPr="00D940AD">
        <w:rPr>
          <w:rFonts w:asciiTheme="minorHAnsi" w:hAnsiTheme="minorHAnsi"/>
          <w:lang w:val="en-GB"/>
        </w:rPr>
        <w:instrText xml:space="preserve"> SEQ Figure \* ARABIC </w:instrText>
      </w:r>
      <w:r w:rsidRPr="00D940AD">
        <w:rPr>
          <w:rFonts w:asciiTheme="minorHAnsi" w:hAnsiTheme="minorHAnsi"/>
          <w:lang w:val="en-GB"/>
        </w:rPr>
        <w:fldChar w:fldCharType="separate"/>
      </w:r>
      <w:r w:rsidRPr="00D940AD">
        <w:rPr>
          <w:rFonts w:asciiTheme="minorHAnsi" w:hAnsiTheme="minorHAnsi"/>
          <w:noProof/>
          <w:lang w:val="en-GB"/>
        </w:rPr>
        <w:t>8</w:t>
      </w:r>
      <w:r w:rsidRPr="00D940AD">
        <w:rPr>
          <w:rFonts w:asciiTheme="minorHAnsi" w:hAnsiTheme="minorHAnsi"/>
          <w:noProof/>
          <w:lang w:val="en-GB"/>
        </w:rPr>
        <w:fldChar w:fldCharType="end"/>
      </w:r>
      <w:r w:rsidRPr="00D940AD">
        <w:rPr>
          <w:rFonts w:asciiTheme="minorHAnsi" w:hAnsiTheme="minorHAnsi"/>
          <w:lang w:val="en-GB"/>
        </w:rPr>
        <w:t>- NatWest Finance Measures</w:t>
      </w:r>
    </w:p>
    <w:p w14:paraId="17CBA596" w14:textId="6816F620" w:rsidR="00423662" w:rsidRPr="00D940AD" w:rsidRDefault="00423662" w:rsidP="00D940AD">
      <w:pPr>
        <w:pStyle w:val="Caption"/>
        <w:spacing w:after="160" w:line="360" w:lineRule="auto"/>
        <w:jc w:val="center"/>
        <w:rPr>
          <w:rFonts w:asciiTheme="minorHAnsi" w:hAnsiTheme="minorHAnsi"/>
          <w:lang w:val="en-GB"/>
        </w:rPr>
      </w:pPr>
      <w:r w:rsidRPr="00D940AD">
        <w:rPr>
          <w:rFonts w:asciiTheme="minorHAnsi" w:hAnsiTheme="minorHAnsi"/>
          <w:lang w:val="en-GB"/>
        </w:rPr>
        <w:t>Source- (NatWest Group, 2023).</w:t>
      </w:r>
    </w:p>
    <w:p w14:paraId="5AA469F0" w14:textId="1694F889" w:rsidR="00A54AA9" w:rsidRPr="00D940AD" w:rsidRDefault="008A4DEB" w:rsidP="00D940AD">
      <w:pPr>
        <w:rPr>
          <w:rFonts w:asciiTheme="minorHAnsi" w:hAnsiTheme="minorHAnsi"/>
          <w:lang w:val="en-GB"/>
        </w:rPr>
      </w:pPr>
      <w:r w:rsidRPr="00D940AD">
        <w:rPr>
          <w:rFonts w:asciiTheme="minorHAnsi" w:hAnsiTheme="minorHAnsi"/>
          <w:lang w:val="en-GB"/>
        </w:rPr>
        <w:t xml:space="preserve">Basel III also imposed strict liquidity rules on banks to </w:t>
      </w:r>
      <w:r w:rsidR="00A8290D">
        <w:rPr>
          <w:rFonts w:asciiTheme="minorHAnsi" w:hAnsiTheme="minorHAnsi"/>
          <w:lang w:val="en-GB"/>
        </w:rPr>
        <w:t>make sure</w:t>
      </w:r>
      <w:r w:rsidRPr="00D940AD">
        <w:rPr>
          <w:rFonts w:asciiTheme="minorHAnsi" w:hAnsiTheme="minorHAnsi"/>
          <w:lang w:val="en-GB"/>
        </w:rPr>
        <w:t xml:space="preserve"> that they have enough liquid assets </w:t>
      </w:r>
      <w:r w:rsidR="00A8290D">
        <w:rPr>
          <w:rFonts w:asciiTheme="minorHAnsi" w:hAnsiTheme="minorHAnsi"/>
          <w:lang w:val="en-GB"/>
        </w:rPr>
        <w:t>for</w:t>
      </w:r>
      <w:r w:rsidRPr="00D940AD">
        <w:rPr>
          <w:rFonts w:asciiTheme="minorHAnsi" w:hAnsiTheme="minorHAnsi"/>
          <w:lang w:val="en-GB"/>
        </w:rPr>
        <w:t xml:space="preserve"> withstand</w:t>
      </w:r>
      <w:r w:rsidR="00A8290D">
        <w:rPr>
          <w:rFonts w:asciiTheme="minorHAnsi" w:hAnsiTheme="minorHAnsi"/>
          <w:lang w:val="en-GB"/>
        </w:rPr>
        <w:t>ing</w:t>
      </w:r>
      <w:r w:rsidRPr="00D940AD">
        <w:rPr>
          <w:rFonts w:asciiTheme="minorHAnsi" w:hAnsiTheme="minorHAnsi"/>
          <w:lang w:val="en-GB"/>
        </w:rPr>
        <w:t xml:space="preserve"> short-term funding constraints. The Liquidity Coverage Ratio (LCR) </w:t>
      </w:r>
      <w:r w:rsidR="00A8290D">
        <w:rPr>
          <w:rFonts w:asciiTheme="minorHAnsi" w:hAnsiTheme="minorHAnsi"/>
          <w:lang w:val="en-GB"/>
        </w:rPr>
        <w:t xml:space="preserve">mainly </w:t>
      </w:r>
      <w:r w:rsidRPr="00D940AD">
        <w:rPr>
          <w:rFonts w:asciiTheme="minorHAnsi" w:hAnsiTheme="minorHAnsi"/>
          <w:lang w:val="en-GB"/>
        </w:rPr>
        <w:t>requires</w:t>
      </w:r>
      <w:r w:rsidR="00A8290D">
        <w:rPr>
          <w:rFonts w:asciiTheme="minorHAnsi" w:hAnsiTheme="minorHAnsi"/>
          <w:lang w:val="en-GB"/>
        </w:rPr>
        <w:t xml:space="preserve"> the</w:t>
      </w:r>
      <w:r w:rsidRPr="00D940AD">
        <w:rPr>
          <w:rFonts w:asciiTheme="minorHAnsi" w:hAnsiTheme="minorHAnsi"/>
          <w:lang w:val="en-GB"/>
        </w:rPr>
        <w:t xml:space="preserve"> banks to have enough high-quality liquid assets </w:t>
      </w:r>
      <w:r w:rsidR="00A8290D">
        <w:rPr>
          <w:rFonts w:asciiTheme="minorHAnsi" w:hAnsiTheme="minorHAnsi"/>
          <w:lang w:val="en-GB"/>
        </w:rPr>
        <w:t xml:space="preserve">which </w:t>
      </w:r>
      <w:r w:rsidRPr="00D940AD">
        <w:rPr>
          <w:rFonts w:asciiTheme="minorHAnsi" w:hAnsiTheme="minorHAnsi"/>
          <w:lang w:val="en-GB"/>
        </w:rPr>
        <w:t xml:space="preserve">can readily be transformed into </w:t>
      </w:r>
      <w:r w:rsidR="00A8290D">
        <w:rPr>
          <w:rFonts w:asciiTheme="minorHAnsi" w:hAnsiTheme="minorHAnsi"/>
          <w:lang w:val="en-GB"/>
        </w:rPr>
        <w:t xml:space="preserve">the </w:t>
      </w:r>
      <w:r w:rsidRPr="00D940AD">
        <w:rPr>
          <w:rFonts w:asciiTheme="minorHAnsi" w:hAnsiTheme="minorHAnsi"/>
          <w:lang w:val="en-GB"/>
        </w:rPr>
        <w:t xml:space="preserve">cash </w:t>
      </w:r>
      <w:r w:rsidR="00A8290D">
        <w:rPr>
          <w:rFonts w:asciiTheme="minorHAnsi" w:hAnsiTheme="minorHAnsi"/>
          <w:lang w:val="en-GB"/>
        </w:rPr>
        <w:t xml:space="preserve">for </w:t>
      </w:r>
      <w:r w:rsidRPr="00D940AD">
        <w:rPr>
          <w:rFonts w:asciiTheme="minorHAnsi" w:hAnsiTheme="minorHAnsi"/>
          <w:lang w:val="en-GB"/>
        </w:rPr>
        <w:t>cover</w:t>
      </w:r>
      <w:r w:rsidR="00A8290D">
        <w:rPr>
          <w:rFonts w:asciiTheme="minorHAnsi" w:hAnsiTheme="minorHAnsi"/>
          <w:lang w:val="en-GB"/>
        </w:rPr>
        <w:t>ing</w:t>
      </w:r>
      <w:r w:rsidRPr="00D940AD">
        <w:rPr>
          <w:rFonts w:asciiTheme="minorHAnsi" w:hAnsiTheme="minorHAnsi"/>
          <w:lang w:val="en-GB"/>
        </w:rPr>
        <w:t xml:space="preserve"> the net cash withdrawals throughout 30-day stress period. This regulation is intended to keep banks from experiencing a liquidity crisis amid market disruptions</w:t>
      </w:r>
      <w:r w:rsidR="005138F2" w:rsidRPr="00D940AD">
        <w:rPr>
          <w:rFonts w:asciiTheme="minorHAnsi" w:hAnsiTheme="minorHAnsi"/>
          <w:lang w:val="en-GB"/>
        </w:rPr>
        <w:t xml:space="preserve"> (</w:t>
      </w:r>
      <w:r w:rsidR="005138F2" w:rsidRPr="00D940AD">
        <w:rPr>
          <w:rFonts w:asciiTheme="minorHAnsi" w:hAnsiTheme="minorHAnsi"/>
          <w:color w:val="222222"/>
          <w:szCs w:val="24"/>
          <w:shd w:val="clear" w:color="auto" w:fill="FFFFFF"/>
          <w:lang w:val="en-GB"/>
        </w:rPr>
        <w:t>Gerba and Katsoulis, 2022).</w:t>
      </w:r>
      <w:r w:rsidRPr="00D940AD">
        <w:rPr>
          <w:rFonts w:asciiTheme="minorHAnsi" w:hAnsiTheme="minorHAnsi"/>
          <w:lang w:val="en-GB"/>
        </w:rPr>
        <w:t xml:space="preserve"> In order to comply with the LCR, banks, including NatWest, must change their balance sheets and funding arrangements. Compliance with Basel III has necessitated considerable changes in the operations, risk management practises, and capital allocation strategies of banks such as NatWest</w:t>
      </w:r>
      <w:r w:rsidR="005138F2" w:rsidRPr="00D940AD">
        <w:rPr>
          <w:rFonts w:asciiTheme="minorHAnsi" w:hAnsiTheme="minorHAnsi"/>
          <w:lang w:val="en-GB"/>
        </w:rPr>
        <w:t xml:space="preserve"> (</w:t>
      </w:r>
      <w:r w:rsidR="005138F2" w:rsidRPr="00D940AD">
        <w:rPr>
          <w:rFonts w:asciiTheme="minorHAnsi" w:hAnsiTheme="minorHAnsi"/>
          <w:szCs w:val="24"/>
          <w:lang w:val="en-GB"/>
        </w:rPr>
        <w:t>NatWest Group, 2023).</w:t>
      </w:r>
    </w:p>
    <w:p w14:paraId="505732F3" w14:textId="431B50F6" w:rsidR="008A4DEB" w:rsidRPr="00D940AD" w:rsidRDefault="008A4DEB" w:rsidP="00D940AD">
      <w:pPr>
        <w:rPr>
          <w:rFonts w:asciiTheme="minorHAnsi" w:hAnsiTheme="minorHAnsi"/>
          <w:lang w:val="en-GB"/>
        </w:rPr>
      </w:pPr>
      <w:r w:rsidRPr="00D940AD">
        <w:rPr>
          <w:rFonts w:asciiTheme="minorHAnsi" w:hAnsiTheme="minorHAnsi"/>
          <w:lang w:val="en-GB"/>
        </w:rPr>
        <w:t>Another essential feature of Basel III is the leverage ratio. It limits the amount of leverage a bank may use in relation to its capital. This policy aims to discourage high levels of risk and to guarantee that banks maintain a minimum amount of capital to support their operations</w:t>
      </w:r>
      <w:r w:rsidR="005138F2" w:rsidRPr="00D940AD">
        <w:rPr>
          <w:rFonts w:asciiTheme="minorHAnsi" w:hAnsiTheme="minorHAnsi"/>
          <w:lang w:val="en-GB"/>
        </w:rPr>
        <w:t xml:space="preserve"> (</w:t>
      </w:r>
      <w:r w:rsidR="005138F2" w:rsidRPr="00D940AD">
        <w:rPr>
          <w:rFonts w:asciiTheme="minorHAnsi" w:hAnsiTheme="minorHAnsi"/>
          <w:color w:val="222222"/>
          <w:szCs w:val="24"/>
          <w:shd w:val="clear" w:color="auto" w:fill="FFFFFF"/>
          <w:lang w:val="en-GB"/>
        </w:rPr>
        <w:t xml:space="preserve">Piffer, 2023). </w:t>
      </w:r>
      <w:r w:rsidRPr="00D940AD">
        <w:rPr>
          <w:rFonts w:asciiTheme="minorHAnsi" w:hAnsiTheme="minorHAnsi"/>
          <w:lang w:val="en-GB"/>
        </w:rPr>
        <w:t xml:space="preserve">To meet the leverage ratio requirements, banks have had to control their balance sheets as well as risk exposures. Basel III also altered how banks assess and handle </w:t>
      </w:r>
      <w:r w:rsidRPr="00D940AD">
        <w:rPr>
          <w:rFonts w:asciiTheme="minorHAnsi" w:hAnsiTheme="minorHAnsi"/>
          <w:lang w:val="en-GB"/>
        </w:rPr>
        <w:lastRenderedPageBreak/>
        <w:t>counterparty and market risk. These modifications are intended to improve risk management practises and better reflect possible losses associated with these sorts of hazards</w:t>
      </w:r>
      <w:r w:rsidR="005138F2" w:rsidRPr="00D940AD">
        <w:rPr>
          <w:rFonts w:asciiTheme="minorHAnsi" w:hAnsiTheme="minorHAnsi"/>
          <w:lang w:val="en-GB"/>
        </w:rPr>
        <w:t xml:space="preserve"> (</w:t>
      </w:r>
      <w:r w:rsidR="005138F2" w:rsidRPr="00D940AD">
        <w:rPr>
          <w:rFonts w:asciiTheme="minorHAnsi" w:hAnsiTheme="minorHAnsi"/>
          <w:color w:val="222222"/>
          <w:szCs w:val="24"/>
          <w:shd w:val="clear" w:color="auto" w:fill="FFFFFF"/>
          <w:lang w:val="en-GB"/>
        </w:rPr>
        <w:t>Healy, 2019).</w:t>
      </w:r>
      <w:r w:rsidRPr="00D940AD">
        <w:rPr>
          <w:rFonts w:asciiTheme="minorHAnsi" w:hAnsiTheme="minorHAnsi"/>
          <w:lang w:val="en-GB"/>
        </w:rPr>
        <w:t xml:space="preserve"> To fulfil regulatory obligations and improve overall resilience, increasing liquidity and capital buffers has been a focus. This has frequently entailed acquiring extra funds, revising lending practises, and rethinking corporate plans.</w:t>
      </w:r>
    </w:p>
    <w:p w14:paraId="3A55AA38" w14:textId="08293327" w:rsidR="00C86B3E" w:rsidRPr="00D940AD" w:rsidRDefault="00C86B3E" w:rsidP="00D940AD">
      <w:pPr>
        <w:rPr>
          <w:rFonts w:asciiTheme="minorHAnsi" w:hAnsiTheme="minorHAnsi"/>
          <w:lang w:val="en-GB"/>
        </w:rPr>
      </w:pPr>
      <w:r w:rsidRPr="00D940AD">
        <w:rPr>
          <w:rFonts w:asciiTheme="minorHAnsi" w:hAnsiTheme="minorHAnsi"/>
          <w:lang w:val="en-GB"/>
        </w:rPr>
        <w:t>NatWest, like other banks, has had to improve its risk management practises, such as stress testing and rigorous risk assessments. This may have influenced the bank's risk appetite as well as strategic decisions, since they must assure their ability to endure numerous economic situations</w:t>
      </w:r>
      <w:r w:rsidR="005138F2" w:rsidRPr="00D940AD">
        <w:rPr>
          <w:rFonts w:asciiTheme="minorHAnsi" w:hAnsiTheme="minorHAnsi"/>
          <w:lang w:val="en-GB"/>
        </w:rPr>
        <w:t xml:space="preserve"> (</w:t>
      </w:r>
      <w:r w:rsidR="005138F2" w:rsidRPr="00D940AD">
        <w:rPr>
          <w:rFonts w:asciiTheme="minorHAnsi" w:hAnsiTheme="minorHAnsi"/>
          <w:color w:val="222222"/>
          <w:szCs w:val="24"/>
          <w:shd w:val="clear" w:color="auto" w:fill="FFFFFF"/>
          <w:lang w:val="en-GB"/>
        </w:rPr>
        <w:t>Healy, 2019).</w:t>
      </w:r>
      <w:r w:rsidRPr="00D940AD">
        <w:rPr>
          <w:rFonts w:asciiTheme="minorHAnsi" w:hAnsiTheme="minorHAnsi"/>
          <w:lang w:val="en-GB"/>
        </w:rPr>
        <w:t xml:space="preserve"> NatWest's risk assessment may lead to the </w:t>
      </w:r>
      <w:r w:rsidR="0083062E" w:rsidRPr="00D940AD">
        <w:rPr>
          <w:rFonts w:asciiTheme="minorHAnsi" w:hAnsiTheme="minorHAnsi"/>
          <w:lang w:val="en-GB"/>
        </w:rPr>
        <w:t>re-evaluation</w:t>
      </w:r>
      <w:r w:rsidRPr="00D940AD">
        <w:rPr>
          <w:rFonts w:asciiTheme="minorHAnsi" w:hAnsiTheme="minorHAnsi"/>
          <w:lang w:val="en-GB"/>
        </w:rPr>
        <w:t xml:space="preserve"> of business areas judged excessively hazardous, integrating their operations with regulatory </w:t>
      </w:r>
      <w:r w:rsidR="003E3A7A" w:rsidRPr="00D940AD">
        <w:rPr>
          <w:rFonts w:asciiTheme="minorHAnsi" w:hAnsiTheme="minorHAnsi"/>
          <w:lang w:val="en-GB"/>
        </w:rPr>
        <w:t>standards,</w:t>
      </w:r>
      <w:r w:rsidRPr="00D940AD">
        <w:rPr>
          <w:rFonts w:asciiTheme="minorHAnsi" w:hAnsiTheme="minorHAnsi"/>
          <w:lang w:val="en-GB"/>
        </w:rPr>
        <w:t xml:space="preserve"> and enhancing overall resilience. The consumer protection and transparency regulations may have changed NatWest's approach to client contacts, demanding better disclosures and equitable treatment. NatWest would have to guarantee that its goods and services comply with the FCA or CFPB's requirements. For example, when selling financial products to consumers, NatWest </w:t>
      </w:r>
      <w:r w:rsidR="0083062E" w:rsidRPr="00D940AD">
        <w:rPr>
          <w:rFonts w:asciiTheme="minorHAnsi" w:hAnsiTheme="minorHAnsi"/>
          <w:lang w:val="en-GB"/>
        </w:rPr>
        <w:t>must</w:t>
      </w:r>
      <w:r w:rsidRPr="00D940AD">
        <w:rPr>
          <w:rFonts w:asciiTheme="minorHAnsi" w:hAnsiTheme="minorHAnsi"/>
          <w:lang w:val="en-GB"/>
        </w:rPr>
        <w:t xml:space="preserve"> guarantee that the information presented is clear and understandable, and that no deceptive assertions are made</w:t>
      </w:r>
      <w:r w:rsidR="005138F2" w:rsidRPr="00D940AD">
        <w:rPr>
          <w:rFonts w:asciiTheme="minorHAnsi" w:hAnsiTheme="minorHAnsi"/>
          <w:lang w:val="en-GB"/>
        </w:rPr>
        <w:t xml:space="preserve"> (</w:t>
      </w:r>
      <w:r w:rsidR="005138F2" w:rsidRPr="00D940AD">
        <w:rPr>
          <w:rFonts w:asciiTheme="minorHAnsi" w:hAnsiTheme="minorHAnsi"/>
          <w:color w:val="222222"/>
          <w:szCs w:val="24"/>
          <w:shd w:val="clear" w:color="auto" w:fill="FFFFFF"/>
          <w:lang w:val="en-GB"/>
        </w:rPr>
        <w:t>Chapelle, 2019).</w:t>
      </w:r>
      <w:r w:rsidRPr="00D940AD">
        <w:rPr>
          <w:rFonts w:asciiTheme="minorHAnsi" w:hAnsiTheme="minorHAnsi"/>
          <w:lang w:val="en-GB"/>
        </w:rPr>
        <w:t xml:space="preserve"> The harmonisation of regulatory norms across countries may have an influence on NatWest's operations. It may have to negotiate the diverse interpretations of these reforms in the nations where it operates. NatWest may need to execute various compliance measures in different locations due to varied legislative interpretations, which might generate to operational complexity. As a prominent UK bank, NatWest is likely to have taken extensive efforts to comply with these requirements due to the possible legal, financial, as well as reputational ramifications of non-compliance. </w:t>
      </w:r>
      <w:r w:rsidR="0083062E" w:rsidRPr="00D940AD">
        <w:rPr>
          <w:rFonts w:asciiTheme="minorHAnsi" w:hAnsiTheme="minorHAnsi"/>
          <w:lang w:val="en-GB"/>
        </w:rPr>
        <w:t>It is in their best interests to ensure that these reforms be followed in order to avoid penalties, safeguard their clients, and retain market trust</w:t>
      </w:r>
      <w:r w:rsidR="005138F2" w:rsidRPr="00D940AD">
        <w:rPr>
          <w:rFonts w:asciiTheme="minorHAnsi" w:hAnsiTheme="minorHAnsi"/>
          <w:lang w:val="en-GB"/>
        </w:rPr>
        <w:t xml:space="preserve"> (</w:t>
      </w:r>
      <w:proofErr w:type="spellStart"/>
      <w:r w:rsidR="005138F2" w:rsidRPr="00D940AD">
        <w:rPr>
          <w:rFonts w:asciiTheme="minorHAnsi" w:hAnsiTheme="minorHAnsi"/>
          <w:color w:val="222222"/>
          <w:szCs w:val="24"/>
          <w:shd w:val="clear" w:color="auto" w:fill="FFFFFF"/>
          <w:lang w:val="en-GB"/>
        </w:rPr>
        <w:t>Wewege</w:t>
      </w:r>
      <w:proofErr w:type="spellEnd"/>
      <w:r w:rsidR="005138F2" w:rsidRPr="00D940AD">
        <w:rPr>
          <w:rFonts w:asciiTheme="minorHAnsi" w:hAnsiTheme="minorHAnsi"/>
          <w:color w:val="222222"/>
          <w:szCs w:val="24"/>
          <w:shd w:val="clear" w:color="auto" w:fill="FFFFFF"/>
          <w:lang w:val="en-GB"/>
        </w:rPr>
        <w:t xml:space="preserve"> and </w:t>
      </w:r>
      <w:proofErr w:type="spellStart"/>
      <w:r w:rsidR="005138F2" w:rsidRPr="00D940AD">
        <w:rPr>
          <w:rFonts w:asciiTheme="minorHAnsi" w:hAnsiTheme="minorHAnsi"/>
          <w:color w:val="222222"/>
          <w:szCs w:val="24"/>
          <w:shd w:val="clear" w:color="auto" w:fill="FFFFFF"/>
          <w:lang w:val="en-GB"/>
        </w:rPr>
        <w:t>Thomsett</w:t>
      </w:r>
      <w:proofErr w:type="spellEnd"/>
      <w:r w:rsidR="005138F2" w:rsidRPr="00D940AD">
        <w:rPr>
          <w:rFonts w:asciiTheme="minorHAnsi" w:hAnsiTheme="minorHAnsi"/>
          <w:color w:val="222222"/>
          <w:szCs w:val="24"/>
          <w:shd w:val="clear" w:color="auto" w:fill="FFFFFF"/>
          <w:lang w:val="en-GB"/>
        </w:rPr>
        <w:t>, 2019).</w:t>
      </w:r>
    </w:p>
    <w:p w14:paraId="46459103" w14:textId="5778ECFC" w:rsidR="0083062E" w:rsidRPr="00D940AD" w:rsidRDefault="00CB6E5F" w:rsidP="00D940AD">
      <w:pPr>
        <w:rPr>
          <w:rFonts w:asciiTheme="minorHAnsi" w:hAnsiTheme="minorHAnsi"/>
          <w:lang w:val="en-GB"/>
        </w:rPr>
      </w:pPr>
      <w:r w:rsidRPr="00D940AD">
        <w:rPr>
          <w:rFonts w:asciiTheme="minorHAnsi" w:hAnsiTheme="minorHAnsi"/>
          <w:lang w:val="en-GB"/>
        </w:rPr>
        <w:t>According to Howard Davies</w:t>
      </w:r>
      <w:r w:rsidR="002D3590" w:rsidRPr="00D940AD">
        <w:rPr>
          <w:rFonts w:asciiTheme="minorHAnsi" w:hAnsiTheme="minorHAnsi"/>
          <w:lang w:val="en-GB"/>
        </w:rPr>
        <w:t xml:space="preserve"> (Royal Bank of Scotland Chairman)</w:t>
      </w:r>
      <w:r w:rsidRPr="00D940AD">
        <w:rPr>
          <w:rFonts w:asciiTheme="minorHAnsi" w:hAnsiTheme="minorHAnsi"/>
          <w:lang w:val="en-GB"/>
        </w:rPr>
        <w:t xml:space="preserve">, government </w:t>
      </w:r>
      <w:r w:rsidR="00A8290D">
        <w:rPr>
          <w:rFonts w:asciiTheme="minorHAnsi" w:hAnsiTheme="minorHAnsi"/>
          <w:lang w:val="en-GB"/>
        </w:rPr>
        <w:t>tries</w:t>
      </w:r>
      <w:r w:rsidRPr="00D940AD">
        <w:rPr>
          <w:rFonts w:asciiTheme="minorHAnsi" w:hAnsiTheme="minorHAnsi"/>
          <w:lang w:val="en-GB"/>
        </w:rPr>
        <w:t xml:space="preserve"> to strengthen regulated financial system, a</w:t>
      </w:r>
      <w:r w:rsidR="00A8290D">
        <w:rPr>
          <w:rFonts w:asciiTheme="minorHAnsi" w:hAnsiTheme="minorHAnsi"/>
          <w:lang w:val="en-GB"/>
        </w:rPr>
        <w:t>s well as</w:t>
      </w:r>
      <w:r w:rsidRPr="00D940AD">
        <w:rPr>
          <w:rFonts w:asciiTheme="minorHAnsi" w:hAnsiTheme="minorHAnsi"/>
          <w:lang w:val="en-GB"/>
        </w:rPr>
        <w:t xml:space="preserve"> banks </w:t>
      </w:r>
      <w:r w:rsidR="00A8290D">
        <w:rPr>
          <w:rFonts w:asciiTheme="minorHAnsi" w:hAnsiTheme="minorHAnsi"/>
          <w:lang w:val="en-GB"/>
        </w:rPr>
        <w:t xml:space="preserve">and the </w:t>
      </w:r>
      <w:r w:rsidRPr="00D940AD">
        <w:rPr>
          <w:rFonts w:asciiTheme="minorHAnsi" w:hAnsiTheme="minorHAnsi"/>
          <w:lang w:val="en-GB"/>
        </w:rPr>
        <w:t xml:space="preserve">insurers. </w:t>
      </w:r>
      <w:r w:rsidR="00A8290D">
        <w:rPr>
          <w:rFonts w:asciiTheme="minorHAnsi" w:hAnsiTheme="minorHAnsi"/>
          <w:lang w:val="en-GB"/>
        </w:rPr>
        <w:t xml:space="preserve">In which the </w:t>
      </w:r>
      <w:r w:rsidRPr="00D940AD">
        <w:rPr>
          <w:rFonts w:asciiTheme="minorHAnsi" w:hAnsiTheme="minorHAnsi"/>
          <w:lang w:val="en-GB"/>
        </w:rPr>
        <w:t>Capital is stronger, a</w:t>
      </w:r>
      <w:r w:rsidR="00A8290D">
        <w:rPr>
          <w:rFonts w:asciiTheme="minorHAnsi" w:hAnsiTheme="minorHAnsi"/>
          <w:lang w:val="en-GB"/>
        </w:rPr>
        <w:t xml:space="preserve">s well as </w:t>
      </w:r>
      <w:r w:rsidRPr="00D940AD">
        <w:rPr>
          <w:rFonts w:asciiTheme="minorHAnsi" w:hAnsiTheme="minorHAnsi"/>
          <w:lang w:val="en-GB"/>
        </w:rPr>
        <w:t xml:space="preserve">the </w:t>
      </w:r>
      <w:r w:rsidR="00A8290D">
        <w:rPr>
          <w:rFonts w:asciiTheme="minorHAnsi" w:hAnsiTheme="minorHAnsi"/>
          <w:lang w:val="en-GB"/>
        </w:rPr>
        <w:t xml:space="preserve">failure </w:t>
      </w:r>
      <w:r w:rsidRPr="00D940AD">
        <w:rPr>
          <w:rFonts w:asciiTheme="minorHAnsi" w:hAnsiTheme="minorHAnsi"/>
          <w:lang w:val="en-GB"/>
        </w:rPr>
        <w:t>incidence should be reduced, if it can</w:t>
      </w:r>
      <w:r w:rsidR="00A8290D" w:rsidRPr="00D940AD">
        <w:rPr>
          <w:rFonts w:asciiTheme="minorHAnsi" w:hAnsiTheme="minorHAnsi"/>
          <w:lang w:val="en-GB"/>
        </w:rPr>
        <w:t xml:space="preserve">not </w:t>
      </w:r>
      <w:r w:rsidRPr="00D940AD">
        <w:rPr>
          <w:rFonts w:asciiTheme="minorHAnsi" w:hAnsiTheme="minorHAnsi"/>
          <w:lang w:val="en-GB"/>
        </w:rPr>
        <w:t xml:space="preserve">be eliminated. </w:t>
      </w:r>
      <w:r w:rsidR="00A8290D">
        <w:rPr>
          <w:rFonts w:asciiTheme="minorHAnsi" w:hAnsiTheme="minorHAnsi"/>
          <w:lang w:val="en-GB"/>
        </w:rPr>
        <w:t xml:space="preserve">The </w:t>
      </w:r>
      <w:r w:rsidRPr="00D940AD">
        <w:rPr>
          <w:rFonts w:asciiTheme="minorHAnsi" w:hAnsiTheme="minorHAnsi"/>
          <w:lang w:val="en-GB"/>
        </w:rPr>
        <w:t xml:space="preserve">Regulators have </w:t>
      </w:r>
      <w:r w:rsidR="00A8290D">
        <w:rPr>
          <w:rFonts w:asciiTheme="minorHAnsi" w:hAnsiTheme="minorHAnsi"/>
          <w:lang w:val="en-GB"/>
        </w:rPr>
        <w:t xml:space="preserve">the </w:t>
      </w:r>
      <w:r w:rsidRPr="00D940AD">
        <w:rPr>
          <w:rFonts w:asciiTheme="minorHAnsi" w:hAnsiTheme="minorHAnsi"/>
          <w:lang w:val="en-GB"/>
        </w:rPr>
        <w:t>stronger political support a</w:t>
      </w:r>
      <w:r w:rsidR="00A8290D">
        <w:rPr>
          <w:rFonts w:asciiTheme="minorHAnsi" w:hAnsiTheme="minorHAnsi"/>
          <w:lang w:val="en-GB"/>
        </w:rPr>
        <w:t>s well as</w:t>
      </w:r>
      <w:r w:rsidRPr="00D940AD">
        <w:rPr>
          <w:rFonts w:asciiTheme="minorHAnsi" w:hAnsiTheme="minorHAnsi"/>
          <w:lang w:val="en-GB"/>
        </w:rPr>
        <w:t xml:space="preserve"> self-assurance</w:t>
      </w:r>
      <w:r w:rsidR="00050AD0" w:rsidRPr="00D940AD">
        <w:rPr>
          <w:rFonts w:asciiTheme="minorHAnsi" w:hAnsiTheme="minorHAnsi"/>
          <w:lang w:val="en-GB"/>
        </w:rPr>
        <w:t xml:space="preserve"> (NatWest Group, 2023)</w:t>
      </w:r>
      <w:r w:rsidRPr="00D940AD">
        <w:rPr>
          <w:rFonts w:asciiTheme="minorHAnsi" w:hAnsiTheme="minorHAnsi"/>
          <w:lang w:val="en-GB"/>
        </w:rPr>
        <w:t>.</w:t>
      </w:r>
      <w:r w:rsidR="004724BF" w:rsidRPr="00D940AD">
        <w:rPr>
          <w:rFonts w:asciiTheme="minorHAnsi" w:hAnsiTheme="minorHAnsi"/>
          <w:lang w:val="en-GB"/>
        </w:rPr>
        <w:t xml:space="preserve"> </w:t>
      </w:r>
      <w:r w:rsidR="002F6EE5" w:rsidRPr="00D940AD">
        <w:rPr>
          <w:rFonts w:asciiTheme="minorHAnsi" w:hAnsiTheme="minorHAnsi"/>
          <w:lang w:val="en-GB"/>
        </w:rPr>
        <w:t xml:space="preserve">NatWest emphasised asset quality enhancement in response to laws and lessons learnt during the crisis. This entailed minimising risk concentration by broadening its portfolio and </w:t>
      </w:r>
      <w:r w:rsidR="002F6EE5" w:rsidRPr="00D940AD">
        <w:rPr>
          <w:rFonts w:asciiTheme="minorHAnsi" w:hAnsiTheme="minorHAnsi"/>
          <w:lang w:val="en-GB"/>
        </w:rPr>
        <w:lastRenderedPageBreak/>
        <w:t xml:space="preserve">perhaps quitting some riskier portfolios. This plan intended to improve the bank's overall asset stability and minimise its exposure to economic downturns. </w:t>
      </w:r>
      <w:r w:rsidR="0059397C" w:rsidRPr="00D940AD">
        <w:rPr>
          <w:rFonts w:asciiTheme="minorHAnsi" w:hAnsiTheme="minorHAnsi"/>
          <w:lang w:val="en-GB"/>
        </w:rPr>
        <w:t xml:space="preserve">Currently, considering the business model of NatWest, it is completely focused on net interest income. Also, NatWest has made focus on enhancing the asset quality to reduce the risk concentration </w:t>
      </w:r>
      <w:r w:rsidR="00A8290D">
        <w:rPr>
          <w:rFonts w:asciiTheme="minorHAnsi" w:hAnsiTheme="minorHAnsi"/>
          <w:lang w:val="en-GB"/>
        </w:rPr>
        <w:t>and the</w:t>
      </w:r>
      <w:r w:rsidR="0059397C" w:rsidRPr="00D940AD">
        <w:rPr>
          <w:rFonts w:asciiTheme="minorHAnsi" w:hAnsiTheme="minorHAnsi"/>
          <w:lang w:val="en-GB"/>
        </w:rPr>
        <w:t xml:space="preserve"> exit portfolios which are driven by RCR disposals strategy</w:t>
      </w:r>
      <w:r w:rsidR="00C963BC" w:rsidRPr="00D940AD">
        <w:rPr>
          <w:rFonts w:asciiTheme="minorHAnsi" w:hAnsiTheme="minorHAnsi"/>
          <w:lang w:val="en-GB"/>
        </w:rPr>
        <w:t xml:space="preserve"> (RBS, 2015)</w:t>
      </w:r>
      <w:r w:rsidR="0059397C" w:rsidRPr="00D940AD">
        <w:rPr>
          <w:rFonts w:asciiTheme="minorHAnsi" w:hAnsiTheme="minorHAnsi"/>
          <w:lang w:val="en-GB"/>
        </w:rPr>
        <w:t xml:space="preserve">. </w:t>
      </w:r>
      <w:r w:rsidR="002F6EE5" w:rsidRPr="00D940AD">
        <w:rPr>
          <w:rFonts w:asciiTheme="minorHAnsi" w:hAnsiTheme="minorHAnsi"/>
          <w:lang w:val="en-GB"/>
        </w:rPr>
        <w:t>In accordance with RBS's 2015 Annual Report, the firm took steps to improve its financial situation, includes raising capital through share issue and divesting non-core assets. This is consistent with the overall industry trend of banks bolstering their capital holdings in order to fulfil regulatory obligations.</w:t>
      </w:r>
    </w:p>
    <w:p w14:paraId="4B902A68" w14:textId="6EF75FD9" w:rsidR="0059397C" w:rsidRPr="00D940AD" w:rsidRDefault="0083062E" w:rsidP="00D940AD">
      <w:pPr>
        <w:pStyle w:val="Heading1"/>
        <w:rPr>
          <w:rFonts w:asciiTheme="minorHAnsi" w:hAnsiTheme="minorHAnsi" w:cstheme="minorHAnsi"/>
          <w:lang w:val="en-GB"/>
        </w:rPr>
      </w:pPr>
      <w:bookmarkStart w:id="13" w:name="_Toc142748496"/>
      <w:r w:rsidRPr="00D940AD">
        <w:rPr>
          <w:rFonts w:asciiTheme="minorHAnsi" w:hAnsiTheme="minorHAnsi" w:cstheme="minorHAnsi"/>
          <w:lang w:val="en-GB"/>
        </w:rPr>
        <w:t>Conclusion</w:t>
      </w:r>
      <w:bookmarkEnd w:id="13"/>
      <w:r w:rsidRPr="00D940AD">
        <w:rPr>
          <w:rFonts w:asciiTheme="minorHAnsi" w:hAnsiTheme="minorHAnsi" w:cstheme="minorHAnsi"/>
          <w:lang w:val="en-GB"/>
        </w:rPr>
        <w:t xml:space="preserve"> </w:t>
      </w:r>
    </w:p>
    <w:p w14:paraId="2A7E1F46" w14:textId="1C205820" w:rsidR="006014C3" w:rsidRPr="00D940AD" w:rsidRDefault="00E647E1" w:rsidP="00D940AD">
      <w:pPr>
        <w:rPr>
          <w:rFonts w:asciiTheme="minorHAnsi" w:hAnsiTheme="minorHAnsi"/>
          <w:lang w:val="en-GB"/>
        </w:rPr>
      </w:pPr>
      <w:r w:rsidRPr="00D940AD">
        <w:rPr>
          <w:rFonts w:asciiTheme="minorHAnsi" w:hAnsiTheme="minorHAnsi"/>
          <w:lang w:val="en-GB"/>
        </w:rPr>
        <w:br/>
      </w:r>
      <w:r w:rsidR="006014C3" w:rsidRPr="00D940AD">
        <w:rPr>
          <w:rFonts w:asciiTheme="minorHAnsi" w:hAnsiTheme="minorHAnsi"/>
          <w:lang w:val="en-GB"/>
        </w:rPr>
        <w:t>Finally, the global financial crisis of 2008 triggered substantial regulatory measures aimed at minimising systemic risks and building a safer financial landscape. The United Kingdom as well as global financial institutions both responded with a slew of legislation, rules, and agreements aimed at addressing the underlying causes of the crisis and improving financial resilience.</w:t>
      </w:r>
      <w:r w:rsidR="00D4729D" w:rsidRPr="00D940AD">
        <w:rPr>
          <w:rFonts w:asciiTheme="minorHAnsi" w:hAnsiTheme="minorHAnsi"/>
          <w:lang w:val="en-GB"/>
        </w:rPr>
        <w:t xml:space="preserve"> </w:t>
      </w:r>
      <w:r w:rsidR="006014C3" w:rsidRPr="00D940AD">
        <w:rPr>
          <w:rFonts w:asciiTheme="minorHAnsi" w:hAnsiTheme="minorHAnsi"/>
          <w:lang w:val="en-GB"/>
        </w:rPr>
        <w:t>In U</w:t>
      </w:r>
      <w:r w:rsidR="00736F6C">
        <w:rPr>
          <w:rFonts w:asciiTheme="minorHAnsi" w:hAnsiTheme="minorHAnsi"/>
          <w:lang w:val="en-GB"/>
        </w:rPr>
        <w:t>K</w:t>
      </w:r>
      <w:r w:rsidR="006014C3" w:rsidRPr="00D940AD">
        <w:rPr>
          <w:rFonts w:asciiTheme="minorHAnsi" w:hAnsiTheme="minorHAnsi"/>
          <w:lang w:val="en-GB"/>
        </w:rPr>
        <w:t xml:space="preserve">, regulatory authorities </w:t>
      </w:r>
      <w:r w:rsidR="00736F6C">
        <w:rPr>
          <w:rFonts w:asciiTheme="minorHAnsi" w:hAnsiTheme="minorHAnsi"/>
          <w:lang w:val="en-GB"/>
        </w:rPr>
        <w:t>like</w:t>
      </w:r>
      <w:r w:rsidR="006014C3" w:rsidRPr="00D940AD">
        <w:rPr>
          <w:rFonts w:asciiTheme="minorHAnsi" w:hAnsiTheme="minorHAnsi"/>
          <w:lang w:val="en-GB"/>
        </w:rPr>
        <w:t xml:space="preserve"> Prudential Regulation Authority (PRA) </w:t>
      </w:r>
      <w:r w:rsidR="00736F6C">
        <w:rPr>
          <w:rFonts w:asciiTheme="minorHAnsi" w:hAnsiTheme="minorHAnsi"/>
          <w:lang w:val="en-GB"/>
        </w:rPr>
        <w:t xml:space="preserve">and </w:t>
      </w:r>
      <w:r w:rsidR="006014C3" w:rsidRPr="00D940AD">
        <w:rPr>
          <w:rFonts w:asciiTheme="minorHAnsi" w:hAnsiTheme="minorHAnsi"/>
          <w:lang w:val="en-GB"/>
        </w:rPr>
        <w:t xml:space="preserve">Financial Conduct Authority (FCA) </w:t>
      </w:r>
      <w:r w:rsidR="00736F6C">
        <w:rPr>
          <w:rFonts w:asciiTheme="minorHAnsi" w:hAnsiTheme="minorHAnsi"/>
          <w:lang w:val="en-GB"/>
        </w:rPr>
        <w:t xml:space="preserve">they </w:t>
      </w:r>
      <w:r w:rsidR="006014C3" w:rsidRPr="00D940AD">
        <w:rPr>
          <w:rFonts w:asciiTheme="minorHAnsi" w:hAnsiTheme="minorHAnsi"/>
          <w:lang w:val="en-GB"/>
        </w:rPr>
        <w:t xml:space="preserve">were formed </w:t>
      </w:r>
      <w:r w:rsidR="00736F6C">
        <w:rPr>
          <w:rFonts w:asciiTheme="minorHAnsi" w:hAnsiTheme="minorHAnsi"/>
          <w:lang w:val="en-GB"/>
        </w:rPr>
        <w:t>for</w:t>
      </w:r>
      <w:r w:rsidR="006014C3" w:rsidRPr="00D940AD">
        <w:rPr>
          <w:rFonts w:asciiTheme="minorHAnsi" w:hAnsiTheme="minorHAnsi"/>
          <w:lang w:val="en-GB"/>
        </w:rPr>
        <w:t xml:space="preserve"> safeguard</w:t>
      </w:r>
      <w:r w:rsidR="00736F6C">
        <w:rPr>
          <w:rFonts w:asciiTheme="minorHAnsi" w:hAnsiTheme="minorHAnsi"/>
          <w:lang w:val="en-GB"/>
        </w:rPr>
        <w:t>ing</w:t>
      </w:r>
      <w:r w:rsidR="006014C3" w:rsidRPr="00D940AD">
        <w:rPr>
          <w:rFonts w:asciiTheme="minorHAnsi" w:hAnsiTheme="minorHAnsi"/>
          <w:lang w:val="en-GB"/>
        </w:rPr>
        <w:t xml:space="preserve"> stability of </w:t>
      </w:r>
      <w:r w:rsidR="00736F6C">
        <w:rPr>
          <w:rFonts w:asciiTheme="minorHAnsi" w:hAnsiTheme="minorHAnsi"/>
          <w:lang w:val="en-GB"/>
        </w:rPr>
        <w:t xml:space="preserve">the </w:t>
      </w:r>
      <w:r w:rsidR="006014C3" w:rsidRPr="00D940AD">
        <w:rPr>
          <w:rFonts w:asciiTheme="minorHAnsi" w:hAnsiTheme="minorHAnsi"/>
          <w:lang w:val="en-GB"/>
        </w:rPr>
        <w:t>financial institutions a</w:t>
      </w:r>
      <w:r w:rsidR="00736F6C">
        <w:rPr>
          <w:rFonts w:asciiTheme="minorHAnsi" w:hAnsiTheme="minorHAnsi"/>
          <w:lang w:val="en-GB"/>
        </w:rPr>
        <w:t>s well as</w:t>
      </w:r>
      <w:r w:rsidR="006014C3" w:rsidRPr="00D940AD">
        <w:rPr>
          <w:rFonts w:asciiTheme="minorHAnsi" w:hAnsiTheme="minorHAnsi"/>
          <w:lang w:val="en-GB"/>
        </w:rPr>
        <w:t xml:space="preserve"> defend</w:t>
      </w:r>
      <w:r w:rsidR="00736F6C">
        <w:rPr>
          <w:rFonts w:asciiTheme="minorHAnsi" w:hAnsiTheme="minorHAnsi"/>
          <w:lang w:val="en-GB"/>
        </w:rPr>
        <w:t xml:space="preserve">ing </w:t>
      </w:r>
      <w:r w:rsidR="006014C3" w:rsidRPr="00D940AD">
        <w:rPr>
          <w:rFonts w:asciiTheme="minorHAnsi" w:hAnsiTheme="minorHAnsi"/>
          <w:lang w:val="en-GB"/>
        </w:rPr>
        <w:t>the interests of</w:t>
      </w:r>
      <w:r w:rsidR="00736F6C">
        <w:rPr>
          <w:rFonts w:asciiTheme="minorHAnsi" w:hAnsiTheme="minorHAnsi"/>
          <w:lang w:val="en-GB"/>
        </w:rPr>
        <w:t xml:space="preserve"> the</w:t>
      </w:r>
      <w:r w:rsidR="006014C3" w:rsidRPr="00D940AD">
        <w:rPr>
          <w:rFonts w:asciiTheme="minorHAnsi" w:hAnsiTheme="minorHAnsi"/>
          <w:lang w:val="en-GB"/>
        </w:rPr>
        <w:t xml:space="preserve"> consumers. The PRA</w:t>
      </w:r>
      <w:r w:rsidR="00736F6C">
        <w:rPr>
          <w:rFonts w:asciiTheme="minorHAnsi" w:hAnsiTheme="minorHAnsi"/>
          <w:lang w:val="en-GB"/>
        </w:rPr>
        <w:t xml:space="preserve"> </w:t>
      </w:r>
      <w:r w:rsidR="00736F6C" w:rsidRPr="00D940AD">
        <w:rPr>
          <w:rFonts w:asciiTheme="minorHAnsi" w:hAnsiTheme="minorHAnsi"/>
          <w:lang w:val="en-GB"/>
        </w:rPr>
        <w:t>establishment</w:t>
      </w:r>
      <w:r w:rsidR="006014C3" w:rsidRPr="00D940AD">
        <w:rPr>
          <w:rFonts w:asciiTheme="minorHAnsi" w:hAnsiTheme="minorHAnsi"/>
          <w:lang w:val="en-GB"/>
        </w:rPr>
        <w:t xml:space="preserve"> enabled more specialised approach </w:t>
      </w:r>
      <w:r w:rsidR="00736F6C">
        <w:rPr>
          <w:rFonts w:asciiTheme="minorHAnsi" w:hAnsiTheme="minorHAnsi"/>
          <w:lang w:val="en-GB"/>
        </w:rPr>
        <w:t xml:space="preserve">for </w:t>
      </w:r>
      <w:r w:rsidR="006014C3" w:rsidRPr="00D940AD">
        <w:rPr>
          <w:rFonts w:asciiTheme="minorHAnsi" w:hAnsiTheme="minorHAnsi"/>
          <w:lang w:val="en-GB"/>
        </w:rPr>
        <w:t xml:space="preserve">prudential oversight, whereas FCA </w:t>
      </w:r>
      <w:r w:rsidR="00736F6C">
        <w:rPr>
          <w:rFonts w:asciiTheme="minorHAnsi" w:hAnsiTheme="minorHAnsi"/>
          <w:lang w:val="en-GB"/>
        </w:rPr>
        <w:t xml:space="preserve">are mainly </w:t>
      </w:r>
      <w:r w:rsidR="006014C3" w:rsidRPr="00D940AD">
        <w:rPr>
          <w:rFonts w:asciiTheme="minorHAnsi" w:hAnsiTheme="minorHAnsi"/>
          <w:lang w:val="en-GB"/>
        </w:rPr>
        <w:t xml:space="preserve">focused on </w:t>
      </w:r>
      <w:r w:rsidR="00736F6C">
        <w:rPr>
          <w:rFonts w:asciiTheme="minorHAnsi" w:hAnsiTheme="minorHAnsi"/>
          <w:lang w:val="en-GB"/>
        </w:rPr>
        <w:t xml:space="preserve">the </w:t>
      </w:r>
      <w:r w:rsidR="006014C3" w:rsidRPr="00D940AD">
        <w:rPr>
          <w:rFonts w:asciiTheme="minorHAnsi" w:hAnsiTheme="minorHAnsi"/>
          <w:lang w:val="en-GB"/>
        </w:rPr>
        <w:t>market conduct a</w:t>
      </w:r>
      <w:r w:rsidR="00736F6C">
        <w:rPr>
          <w:rFonts w:asciiTheme="minorHAnsi" w:hAnsiTheme="minorHAnsi"/>
          <w:lang w:val="en-GB"/>
        </w:rPr>
        <w:t>nd the</w:t>
      </w:r>
      <w:r w:rsidR="006014C3" w:rsidRPr="00D940AD">
        <w:rPr>
          <w:rFonts w:asciiTheme="minorHAnsi" w:hAnsiTheme="minorHAnsi"/>
          <w:lang w:val="en-GB"/>
        </w:rPr>
        <w:t xml:space="preserve"> consumer protection. </w:t>
      </w:r>
      <w:r w:rsidR="00736F6C">
        <w:rPr>
          <w:rFonts w:asciiTheme="minorHAnsi" w:hAnsiTheme="minorHAnsi"/>
          <w:lang w:val="en-GB"/>
        </w:rPr>
        <w:t xml:space="preserve">Various </w:t>
      </w:r>
      <w:r w:rsidR="006014C3" w:rsidRPr="00D940AD">
        <w:rPr>
          <w:rFonts w:asciiTheme="minorHAnsi" w:hAnsiTheme="minorHAnsi"/>
          <w:lang w:val="en-GB"/>
        </w:rPr>
        <w:t xml:space="preserve">Reforms </w:t>
      </w:r>
      <w:r w:rsidR="00736F6C">
        <w:rPr>
          <w:rFonts w:asciiTheme="minorHAnsi" w:hAnsiTheme="minorHAnsi"/>
          <w:lang w:val="en-GB"/>
        </w:rPr>
        <w:t xml:space="preserve">like </w:t>
      </w:r>
      <w:r w:rsidR="006014C3" w:rsidRPr="00D940AD">
        <w:rPr>
          <w:rFonts w:asciiTheme="minorHAnsi" w:hAnsiTheme="minorHAnsi"/>
          <w:lang w:val="en-GB"/>
        </w:rPr>
        <w:t>MiFID II a</w:t>
      </w:r>
      <w:r w:rsidR="00736F6C">
        <w:rPr>
          <w:rFonts w:asciiTheme="minorHAnsi" w:hAnsiTheme="minorHAnsi"/>
          <w:lang w:val="en-GB"/>
        </w:rPr>
        <w:t>s well as</w:t>
      </w:r>
      <w:r w:rsidR="006014C3" w:rsidRPr="00D940AD">
        <w:rPr>
          <w:rFonts w:asciiTheme="minorHAnsi" w:hAnsiTheme="minorHAnsi"/>
          <w:lang w:val="en-GB"/>
        </w:rPr>
        <w:t xml:space="preserve"> Dodd-Frank </w:t>
      </w:r>
      <w:r w:rsidR="00736F6C">
        <w:rPr>
          <w:rFonts w:asciiTheme="minorHAnsi" w:hAnsiTheme="minorHAnsi"/>
          <w:lang w:val="en-GB"/>
        </w:rPr>
        <w:t xml:space="preserve">which </w:t>
      </w:r>
      <w:r w:rsidR="006014C3" w:rsidRPr="00D940AD">
        <w:rPr>
          <w:rFonts w:asciiTheme="minorHAnsi" w:hAnsiTheme="minorHAnsi"/>
          <w:lang w:val="en-GB"/>
        </w:rPr>
        <w:t>increase</w:t>
      </w:r>
      <w:r w:rsidR="00736F6C">
        <w:rPr>
          <w:rFonts w:asciiTheme="minorHAnsi" w:hAnsiTheme="minorHAnsi"/>
          <w:lang w:val="en-GB"/>
        </w:rPr>
        <w:t xml:space="preserve"> the</w:t>
      </w:r>
      <w:r w:rsidR="006014C3" w:rsidRPr="00D940AD">
        <w:rPr>
          <w:rFonts w:asciiTheme="minorHAnsi" w:hAnsiTheme="minorHAnsi"/>
          <w:lang w:val="en-GB"/>
        </w:rPr>
        <w:t xml:space="preserve"> openness in </w:t>
      </w:r>
      <w:r w:rsidR="00736F6C">
        <w:rPr>
          <w:rFonts w:asciiTheme="minorHAnsi" w:hAnsiTheme="minorHAnsi"/>
          <w:lang w:val="en-GB"/>
        </w:rPr>
        <w:t xml:space="preserve">the </w:t>
      </w:r>
      <w:r w:rsidR="006014C3" w:rsidRPr="00D940AD">
        <w:rPr>
          <w:rFonts w:asciiTheme="minorHAnsi" w:hAnsiTheme="minorHAnsi"/>
          <w:lang w:val="en-GB"/>
        </w:rPr>
        <w:t xml:space="preserve">financial markets, </w:t>
      </w:r>
      <w:r w:rsidR="00736F6C">
        <w:rPr>
          <w:rFonts w:asciiTheme="minorHAnsi" w:hAnsiTheme="minorHAnsi"/>
          <w:lang w:val="en-GB"/>
        </w:rPr>
        <w:t xml:space="preserve">which is </w:t>
      </w:r>
      <w:r w:rsidR="006014C3" w:rsidRPr="00D940AD">
        <w:rPr>
          <w:rFonts w:asciiTheme="minorHAnsi" w:hAnsiTheme="minorHAnsi"/>
          <w:lang w:val="en-GB"/>
        </w:rPr>
        <w:t xml:space="preserve">allowing investors </w:t>
      </w:r>
      <w:r w:rsidR="00736F6C">
        <w:rPr>
          <w:rFonts w:asciiTheme="minorHAnsi" w:hAnsiTheme="minorHAnsi"/>
          <w:lang w:val="en-GB"/>
        </w:rPr>
        <w:t>in</w:t>
      </w:r>
      <w:r w:rsidR="006014C3" w:rsidRPr="00D940AD">
        <w:rPr>
          <w:rFonts w:asciiTheme="minorHAnsi" w:hAnsiTheme="minorHAnsi"/>
          <w:lang w:val="en-GB"/>
        </w:rPr>
        <w:t xml:space="preserve"> mak</w:t>
      </w:r>
      <w:r w:rsidR="00736F6C">
        <w:rPr>
          <w:rFonts w:asciiTheme="minorHAnsi" w:hAnsiTheme="minorHAnsi"/>
          <w:lang w:val="en-GB"/>
        </w:rPr>
        <w:t>ing</w:t>
      </w:r>
      <w:r w:rsidR="006014C3" w:rsidRPr="00D940AD">
        <w:rPr>
          <w:rFonts w:asciiTheme="minorHAnsi" w:hAnsiTheme="minorHAnsi"/>
          <w:lang w:val="en-GB"/>
        </w:rPr>
        <w:t xml:space="preserve"> more informed decisions. </w:t>
      </w:r>
      <w:r w:rsidR="00736F6C">
        <w:rPr>
          <w:rFonts w:asciiTheme="minorHAnsi" w:hAnsiTheme="minorHAnsi"/>
          <w:lang w:val="en-GB"/>
        </w:rPr>
        <w:t>It also</w:t>
      </w:r>
      <w:r w:rsidR="006014C3" w:rsidRPr="00D940AD">
        <w:rPr>
          <w:rFonts w:asciiTheme="minorHAnsi" w:hAnsiTheme="minorHAnsi"/>
          <w:lang w:val="en-GB"/>
        </w:rPr>
        <w:t xml:space="preserve"> emphasis on </w:t>
      </w:r>
      <w:r w:rsidR="00736F6C">
        <w:rPr>
          <w:rFonts w:asciiTheme="minorHAnsi" w:hAnsiTheme="minorHAnsi"/>
          <w:lang w:val="en-GB"/>
        </w:rPr>
        <w:t xml:space="preserve">the </w:t>
      </w:r>
      <w:r w:rsidR="006014C3" w:rsidRPr="00D940AD">
        <w:rPr>
          <w:rFonts w:asciiTheme="minorHAnsi" w:hAnsiTheme="minorHAnsi"/>
          <w:lang w:val="en-GB"/>
        </w:rPr>
        <w:t xml:space="preserve">openness </w:t>
      </w:r>
      <w:r w:rsidR="00736F6C">
        <w:rPr>
          <w:rFonts w:asciiTheme="minorHAnsi" w:hAnsiTheme="minorHAnsi"/>
          <w:lang w:val="en-GB"/>
        </w:rPr>
        <w:t xml:space="preserve">which </w:t>
      </w:r>
      <w:r w:rsidR="006014C3" w:rsidRPr="00D940AD">
        <w:rPr>
          <w:rFonts w:asciiTheme="minorHAnsi" w:hAnsiTheme="minorHAnsi"/>
          <w:lang w:val="en-GB"/>
        </w:rPr>
        <w:t xml:space="preserve">was intended </w:t>
      </w:r>
      <w:r w:rsidR="00736F6C">
        <w:rPr>
          <w:rFonts w:asciiTheme="minorHAnsi" w:hAnsiTheme="minorHAnsi"/>
          <w:lang w:val="en-GB"/>
        </w:rPr>
        <w:t>of</w:t>
      </w:r>
      <w:r w:rsidR="006014C3" w:rsidRPr="00D940AD">
        <w:rPr>
          <w:rFonts w:asciiTheme="minorHAnsi" w:hAnsiTheme="minorHAnsi"/>
          <w:lang w:val="en-GB"/>
        </w:rPr>
        <w:t xml:space="preserve"> reduc</w:t>
      </w:r>
      <w:r w:rsidR="00736F6C">
        <w:rPr>
          <w:rFonts w:asciiTheme="minorHAnsi" w:hAnsiTheme="minorHAnsi"/>
          <w:lang w:val="en-GB"/>
        </w:rPr>
        <w:t>ing the</w:t>
      </w:r>
      <w:r w:rsidR="006014C3" w:rsidRPr="00D940AD">
        <w:rPr>
          <w:rFonts w:asciiTheme="minorHAnsi" w:hAnsiTheme="minorHAnsi"/>
          <w:lang w:val="en-GB"/>
        </w:rPr>
        <w:t xml:space="preserve"> abusive market practises a</w:t>
      </w:r>
      <w:r w:rsidR="00736F6C">
        <w:rPr>
          <w:rFonts w:asciiTheme="minorHAnsi" w:hAnsiTheme="minorHAnsi"/>
          <w:lang w:val="en-GB"/>
        </w:rPr>
        <w:t>s well as</w:t>
      </w:r>
      <w:r w:rsidR="006014C3" w:rsidRPr="00D940AD">
        <w:rPr>
          <w:rFonts w:asciiTheme="minorHAnsi" w:hAnsiTheme="minorHAnsi"/>
          <w:lang w:val="en-GB"/>
        </w:rPr>
        <w:t xml:space="preserve"> increas</w:t>
      </w:r>
      <w:r w:rsidR="00736F6C">
        <w:rPr>
          <w:rFonts w:asciiTheme="minorHAnsi" w:hAnsiTheme="minorHAnsi"/>
          <w:lang w:val="en-GB"/>
        </w:rPr>
        <w:t>ing the</w:t>
      </w:r>
      <w:r w:rsidR="006014C3" w:rsidRPr="00D940AD">
        <w:rPr>
          <w:rFonts w:asciiTheme="minorHAnsi" w:hAnsiTheme="minorHAnsi"/>
          <w:lang w:val="en-GB"/>
        </w:rPr>
        <w:t xml:space="preserve"> responsible financing, </w:t>
      </w:r>
      <w:r w:rsidR="00BD05F5">
        <w:rPr>
          <w:rFonts w:asciiTheme="minorHAnsi" w:hAnsiTheme="minorHAnsi"/>
          <w:lang w:val="en-GB"/>
        </w:rPr>
        <w:t xml:space="preserve">and </w:t>
      </w:r>
      <w:r w:rsidR="006014C3" w:rsidRPr="00D940AD">
        <w:rPr>
          <w:rFonts w:asciiTheme="minorHAnsi" w:hAnsiTheme="minorHAnsi"/>
          <w:lang w:val="en-GB"/>
        </w:rPr>
        <w:t>eventually strengthening</w:t>
      </w:r>
      <w:r w:rsidR="00BD05F5">
        <w:rPr>
          <w:rFonts w:asciiTheme="minorHAnsi" w:hAnsiTheme="minorHAnsi"/>
          <w:lang w:val="en-GB"/>
        </w:rPr>
        <w:t xml:space="preserve"> the</w:t>
      </w:r>
      <w:r w:rsidR="006014C3" w:rsidRPr="00D940AD">
        <w:rPr>
          <w:rFonts w:asciiTheme="minorHAnsi" w:hAnsiTheme="minorHAnsi"/>
          <w:lang w:val="en-GB"/>
        </w:rPr>
        <w:t xml:space="preserve"> market integrity.</w:t>
      </w:r>
    </w:p>
    <w:p w14:paraId="729C38AB" w14:textId="63A93BB4" w:rsidR="0059397C" w:rsidRPr="00D940AD" w:rsidRDefault="00333CE7" w:rsidP="00D940AD">
      <w:pPr>
        <w:rPr>
          <w:rFonts w:asciiTheme="minorHAnsi" w:hAnsiTheme="minorHAnsi"/>
          <w:lang w:val="en-GB"/>
        </w:rPr>
      </w:pPr>
      <w:r>
        <w:rPr>
          <w:rFonts w:asciiTheme="minorHAnsi" w:hAnsiTheme="minorHAnsi"/>
          <w:lang w:val="en-GB"/>
        </w:rPr>
        <w:t>For</w:t>
      </w:r>
      <w:r w:rsidR="006014C3" w:rsidRPr="00D940AD">
        <w:rPr>
          <w:rFonts w:asciiTheme="minorHAnsi" w:hAnsiTheme="minorHAnsi"/>
          <w:lang w:val="en-GB"/>
        </w:rPr>
        <w:t xml:space="preserve"> improv</w:t>
      </w:r>
      <w:r>
        <w:rPr>
          <w:rFonts w:asciiTheme="minorHAnsi" w:hAnsiTheme="minorHAnsi"/>
          <w:lang w:val="en-GB"/>
        </w:rPr>
        <w:t>ing the</w:t>
      </w:r>
      <w:r w:rsidR="006014C3" w:rsidRPr="00D940AD">
        <w:rPr>
          <w:rFonts w:asciiTheme="minorHAnsi" w:hAnsiTheme="minorHAnsi"/>
          <w:lang w:val="en-GB"/>
        </w:rPr>
        <w:t xml:space="preserve"> financial institutions' </w:t>
      </w:r>
      <w:r>
        <w:rPr>
          <w:rFonts w:asciiTheme="minorHAnsi" w:hAnsiTheme="minorHAnsi"/>
          <w:lang w:val="en-GB"/>
        </w:rPr>
        <w:t xml:space="preserve">as well as </w:t>
      </w:r>
      <w:r w:rsidR="006014C3" w:rsidRPr="00D940AD">
        <w:rPr>
          <w:rFonts w:asciiTheme="minorHAnsi" w:hAnsiTheme="minorHAnsi"/>
          <w:lang w:val="en-GB"/>
        </w:rPr>
        <w:t>risk management skills</w:t>
      </w:r>
      <w:r>
        <w:rPr>
          <w:rFonts w:asciiTheme="minorHAnsi" w:hAnsiTheme="minorHAnsi"/>
          <w:lang w:val="en-GB"/>
        </w:rPr>
        <w:t xml:space="preserve"> and </w:t>
      </w:r>
      <w:r w:rsidR="006014C3" w:rsidRPr="00D940AD">
        <w:rPr>
          <w:rFonts w:asciiTheme="minorHAnsi" w:hAnsiTheme="minorHAnsi"/>
          <w:lang w:val="en-GB"/>
        </w:rPr>
        <w:t xml:space="preserve">regulatory procedures </w:t>
      </w:r>
      <w:r>
        <w:rPr>
          <w:rFonts w:asciiTheme="minorHAnsi" w:hAnsiTheme="minorHAnsi"/>
          <w:lang w:val="en-GB"/>
        </w:rPr>
        <w:t>such as</w:t>
      </w:r>
      <w:r w:rsidR="006014C3" w:rsidRPr="00D940AD">
        <w:rPr>
          <w:rFonts w:asciiTheme="minorHAnsi" w:hAnsiTheme="minorHAnsi"/>
          <w:lang w:val="en-GB"/>
        </w:rPr>
        <w:t xml:space="preserve"> stress testing a</w:t>
      </w:r>
      <w:r>
        <w:rPr>
          <w:rFonts w:asciiTheme="minorHAnsi" w:hAnsiTheme="minorHAnsi"/>
          <w:lang w:val="en-GB"/>
        </w:rPr>
        <w:t xml:space="preserve">s well as </w:t>
      </w:r>
      <w:r w:rsidR="006014C3" w:rsidRPr="00D940AD">
        <w:rPr>
          <w:rFonts w:asciiTheme="minorHAnsi" w:hAnsiTheme="minorHAnsi"/>
          <w:lang w:val="en-GB"/>
        </w:rPr>
        <w:t xml:space="preserve">capital adequacy requirements, </w:t>
      </w:r>
      <w:r>
        <w:rPr>
          <w:rFonts w:asciiTheme="minorHAnsi" w:hAnsiTheme="minorHAnsi"/>
          <w:lang w:val="en-GB"/>
        </w:rPr>
        <w:t>which is</w:t>
      </w:r>
      <w:r w:rsidR="006014C3" w:rsidRPr="00D940AD">
        <w:rPr>
          <w:rFonts w:asciiTheme="minorHAnsi" w:hAnsiTheme="minorHAnsi"/>
          <w:lang w:val="en-GB"/>
        </w:rPr>
        <w:t xml:space="preserve"> illustrated by Basel III. </w:t>
      </w:r>
      <w:r>
        <w:rPr>
          <w:rFonts w:asciiTheme="minorHAnsi" w:hAnsiTheme="minorHAnsi"/>
          <w:lang w:val="en-GB"/>
        </w:rPr>
        <w:t xml:space="preserve">It is important </w:t>
      </w:r>
      <w:r w:rsidR="006014C3" w:rsidRPr="00D940AD">
        <w:rPr>
          <w:rFonts w:asciiTheme="minorHAnsi" w:hAnsiTheme="minorHAnsi"/>
          <w:lang w:val="en-GB"/>
        </w:rPr>
        <w:t xml:space="preserve">to guarantee that </w:t>
      </w:r>
      <w:r>
        <w:rPr>
          <w:rFonts w:asciiTheme="minorHAnsi" w:hAnsiTheme="minorHAnsi"/>
          <w:lang w:val="en-GB"/>
        </w:rPr>
        <w:t xml:space="preserve">the </w:t>
      </w:r>
      <w:r w:rsidR="006014C3" w:rsidRPr="00D940AD">
        <w:rPr>
          <w:rFonts w:asciiTheme="minorHAnsi" w:hAnsiTheme="minorHAnsi"/>
          <w:lang w:val="en-GB"/>
        </w:rPr>
        <w:t xml:space="preserve">banks were able to </w:t>
      </w:r>
      <w:r w:rsidRPr="00D940AD">
        <w:rPr>
          <w:rFonts w:asciiTheme="minorHAnsi" w:hAnsiTheme="minorHAnsi"/>
          <w:lang w:val="en-GB"/>
        </w:rPr>
        <w:t>undergo</w:t>
      </w:r>
      <w:r w:rsidR="006014C3" w:rsidRPr="00D940AD">
        <w:rPr>
          <w:rFonts w:asciiTheme="minorHAnsi" w:hAnsiTheme="minorHAnsi"/>
          <w:lang w:val="en-GB"/>
        </w:rPr>
        <w:t xml:space="preserve"> economic shocks a</w:t>
      </w:r>
      <w:r>
        <w:rPr>
          <w:rFonts w:asciiTheme="minorHAnsi" w:hAnsiTheme="minorHAnsi"/>
          <w:lang w:val="en-GB"/>
        </w:rPr>
        <w:t>s well as</w:t>
      </w:r>
      <w:r w:rsidR="006014C3" w:rsidRPr="00D940AD">
        <w:rPr>
          <w:rFonts w:asciiTheme="minorHAnsi" w:hAnsiTheme="minorHAnsi"/>
          <w:lang w:val="en-GB"/>
        </w:rPr>
        <w:t xml:space="preserve"> avoid liquidity and </w:t>
      </w:r>
      <w:r>
        <w:rPr>
          <w:rFonts w:asciiTheme="minorHAnsi" w:hAnsiTheme="minorHAnsi"/>
          <w:lang w:val="en-GB"/>
        </w:rPr>
        <w:t xml:space="preserve">the </w:t>
      </w:r>
      <w:r w:rsidR="006014C3" w:rsidRPr="00D940AD">
        <w:rPr>
          <w:rFonts w:asciiTheme="minorHAnsi" w:hAnsiTheme="minorHAnsi"/>
          <w:lang w:val="en-GB"/>
        </w:rPr>
        <w:t xml:space="preserve">solvency crises </w:t>
      </w:r>
      <w:r>
        <w:rPr>
          <w:rFonts w:asciiTheme="minorHAnsi" w:hAnsiTheme="minorHAnsi"/>
          <w:lang w:val="en-GB"/>
        </w:rPr>
        <w:t>which has been</w:t>
      </w:r>
      <w:r w:rsidR="006014C3" w:rsidRPr="00D940AD">
        <w:rPr>
          <w:rFonts w:asciiTheme="minorHAnsi" w:hAnsiTheme="minorHAnsi"/>
          <w:lang w:val="en-GB"/>
        </w:rPr>
        <w:t xml:space="preserve"> occurred during 2008 financial crisis. </w:t>
      </w:r>
      <w:r>
        <w:rPr>
          <w:rFonts w:asciiTheme="minorHAnsi" w:hAnsiTheme="minorHAnsi"/>
          <w:lang w:val="en-GB"/>
        </w:rPr>
        <w:t xml:space="preserve">Various </w:t>
      </w:r>
      <w:r w:rsidR="006014C3" w:rsidRPr="00D940AD">
        <w:rPr>
          <w:rFonts w:asciiTheme="minorHAnsi" w:hAnsiTheme="minorHAnsi"/>
          <w:lang w:val="en-GB"/>
        </w:rPr>
        <w:t xml:space="preserve">Reforms </w:t>
      </w:r>
      <w:r>
        <w:rPr>
          <w:rFonts w:asciiTheme="minorHAnsi" w:hAnsiTheme="minorHAnsi"/>
          <w:lang w:val="en-GB"/>
        </w:rPr>
        <w:t>like</w:t>
      </w:r>
      <w:r w:rsidR="006014C3" w:rsidRPr="00D940AD">
        <w:rPr>
          <w:rFonts w:asciiTheme="minorHAnsi" w:hAnsiTheme="minorHAnsi"/>
          <w:lang w:val="en-GB"/>
        </w:rPr>
        <w:t xml:space="preserve"> establishment of the Consumer Financial </w:t>
      </w:r>
      <w:r w:rsidR="006014C3" w:rsidRPr="00D940AD">
        <w:rPr>
          <w:rFonts w:asciiTheme="minorHAnsi" w:hAnsiTheme="minorHAnsi"/>
          <w:lang w:val="en-GB"/>
        </w:rPr>
        <w:lastRenderedPageBreak/>
        <w:t>Protection Bureau in the U</w:t>
      </w:r>
      <w:r>
        <w:rPr>
          <w:rFonts w:asciiTheme="minorHAnsi" w:hAnsiTheme="minorHAnsi"/>
          <w:lang w:val="en-GB"/>
        </w:rPr>
        <w:t>S</w:t>
      </w:r>
      <w:r w:rsidR="006014C3" w:rsidRPr="00D940AD">
        <w:rPr>
          <w:rFonts w:asciiTheme="minorHAnsi" w:hAnsiTheme="minorHAnsi"/>
          <w:lang w:val="en-GB"/>
        </w:rPr>
        <w:t xml:space="preserve"> a</w:t>
      </w:r>
      <w:r>
        <w:rPr>
          <w:rFonts w:asciiTheme="minorHAnsi" w:hAnsiTheme="minorHAnsi"/>
          <w:lang w:val="en-GB"/>
        </w:rPr>
        <w:t>s well as</w:t>
      </w:r>
      <w:r w:rsidR="006014C3" w:rsidRPr="00D940AD">
        <w:rPr>
          <w:rFonts w:asciiTheme="minorHAnsi" w:hAnsiTheme="minorHAnsi"/>
          <w:lang w:val="en-GB"/>
        </w:rPr>
        <w:t xml:space="preserve"> increased </w:t>
      </w:r>
      <w:r>
        <w:rPr>
          <w:rFonts w:asciiTheme="minorHAnsi" w:hAnsiTheme="minorHAnsi"/>
          <w:lang w:val="en-GB"/>
        </w:rPr>
        <w:t xml:space="preserve">the </w:t>
      </w:r>
      <w:r w:rsidR="006014C3" w:rsidRPr="00D940AD">
        <w:rPr>
          <w:rFonts w:asciiTheme="minorHAnsi" w:hAnsiTheme="minorHAnsi"/>
          <w:lang w:val="en-GB"/>
        </w:rPr>
        <w:t xml:space="preserve">consumer protection regulations in </w:t>
      </w:r>
      <w:r>
        <w:rPr>
          <w:rFonts w:asciiTheme="minorHAnsi" w:hAnsiTheme="minorHAnsi"/>
          <w:lang w:val="en-GB"/>
        </w:rPr>
        <w:t>UK</w:t>
      </w:r>
      <w:r w:rsidR="006014C3" w:rsidRPr="00D940AD">
        <w:rPr>
          <w:rFonts w:asciiTheme="minorHAnsi" w:hAnsiTheme="minorHAnsi"/>
          <w:lang w:val="en-GB"/>
        </w:rPr>
        <w:t xml:space="preserve"> seek </w:t>
      </w:r>
      <w:r>
        <w:rPr>
          <w:rFonts w:asciiTheme="minorHAnsi" w:hAnsiTheme="minorHAnsi"/>
          <w:lang w:val="en-GB"/>
        </w:rPr>
        <w:t>of</w:t>
      </w:r>
      <w:r w:rsidR="006014C3" w:rsidRPr="00D940AD">
        <w:rPr>
          <w:rFonts w:asciiTheme="minorHAnsi" w:hAnsiTheme="minorHAnsi"/>
          <w:lang w:val="en-GB"/>
        </w:rPr>
        <w:t xml:space="preserve"> prohibit</w:t>
      </w:r>
      <w:r>
        <w:rPr>
          <w:rFonts w:asciiTheme="minorHAnsi" w:hAnsiTheme="minorHAnsi"/>
          <w:lang w:val="en-GB"/>
        </w:rPr>
        <w:t>ing the</w:t>
      </w:r>
      <w:r w:rsidR="006014C3" w:rsidRPr="00D940AD">
        <w:rPr>
          <w:rFonts w:asciiTheme="minorHAnsi" w:hAnsiTheme="minorHAnsi"/>
          <w:lang w:val="en-GB"/>
        </w:rPr>
        <w:t xml:space="preserve"> predatory lending practises a</w:t>
      </w:r>
      <w:r>
        <w:rPr>
          <w:rFonts w:asciiTheme="minorHAnsi" w:hAnsiTheme="minorHAnsi"/>
          <w:lang w:val="en-GB"/>
        </w:rPr>
        <w:t>s well as</w:t>
      </w:r>
      <w:r w:rsidR="006014C3" w:rsidRPr="00D940AD">
        <w:rPr>
          <w:rFonts w:asciiTheme="minorHAnsi" w:hAnsiTheme="minorHAnsi"/>
          <w:lang w:val="en-GB"/>
        </w:rPr>
        <w:t xml:space="preserve"> misleading </w:t>
      </w:r>
      <w:r>
        <w:rPr>
          <w:rFonts w:asciiTheme="minorHAnsi" w:hAnsiTheme="minorHAnsi"/>
          <w:lang w:val="en-GB"/>
        </w:rPr>
        <w:t xml:space="preserve">the </w:t>
      </w:r>
      <w:r w:rsidR="006014C3" w:rsidRPr="00D940AD">
        <w:rPr>
          <w:rFonts w:asciiTheme="minorHAnsi" w:hAnsiTheme="minorHAnsi"/>
          <w:lang w:val="en-GB"/>
        </w:rPr>
        <w:t xml:space="preserve">financial </w:t>
      </w:r>
      <w:proofErr w:type="gramStart"/>
      <w:r w:rsidR="006014C3" w:rsidRPr="00D940AD">
        <w:rPr>
          <w:rFonts w:asciiTheme="minorHAnsi" w:hAnsiTheme="minorHAnsi"/>
          <w:lang w:val="en-GB"/>
        </w:rPr>
        <w:t xml:space="preserve">products, </w:t>
      </w:r>
      <w:r>
        <w:rPr>
          <w:rFonts w:asciiTheme="minorHAnsi" w:hAnsiTheme="minorHAnsi"/>
          <w:lang w:val="en-GB"/>
        </w:rPr>
        <w:t>and</w:t>
      </w:r>
      <w:proofErr w:type="gramEnd"/>
      <w:r>
        <w:rPr>
          <w:rFonts w:asciiTheme="minorHAnsi" w:hAnsiTheme="minorHAnsi"/>
          <w:lang w:val="en-GB"/>
        </w:rPr>
        <w:t xml:space="preserve"> </w:t>
      </w:r>
      <w:r w:rsidR="006014C3" w:rsidRPr="00D940AD">
        <w:rPr>
          <w:rFonts w:asciiTheme="minorHAnsi" w:hAnsiTheme="minorHAnsi"/>
          <w:lang w:val="en-GB"/>
        </w:rPr>
        <w:t>assuring</w:t>
      </w:r>
      <w:r>
        <w:rPr>
          <w:rFonts w:asciiTheme="minorHAnsi" w:hAnsiTheme="minorHAnsi"/>
          <w:lang w:val="en-GB"/>
        </w:rPr>
        <w:t xml:space="preserve"> the</w:t>
      </w:r>
      <w:r w:rsidR="006014C3" w:rsidRPr="00D940AD">
        <w:rPr>
          <w:rFonts w:asciiTheme="minorHAnsi" w:hAnsiTheme="minorHAnsi"/>
          <w:lang w:val="en-GB"/>
        </w:rPr>
        <w:t xml:space="preserve"> customers' equitable treatment. While </w:t>
      </w:r>
      <w:r>
        <w:rPr>
          <w:rFonts w:asciiTheme="minorHAnsi" w:hAnsiTheme="minorHAnsi"/>
          <w:lang w:val="en-GB"/>
        </w:rPr>
        <w:t xml:space="preserve">all </w:t>
      </w:r>
      <w:r w:rsidR="006014C3" w:rsidRPr="00D940AD">
        <w:rPr>
          <w:rFonts w:asciiTheme="minorHAnsi" w:hAnsiTheme="minorHAnsi"/>
          <w:lang w:val="en-GB"/>
        </w:rPr>
        <w:t>the changes were</w:t>
      </w:r>
      <w:r>
        <w:rPr>
          <w:rFonts w:asciiTheme="minorHAnsi" w:hAnsiTheme="minorHAnsi"/>
          <w:lang w:val="en-GB"/>
        </w:rPr>
        <w:t xml:space="preserve"> mainly</w:t>
      </w:r>
      <w:r w:rsidR="006014C3" w:rsidRPr="00D940AD">
        <w:rPr>
          <w:rFonts w:asciiTheme="minorHAnsi" w:hAnsiTheme="minorHAnsi"/>
          <w:lang w:val="en-GB"/>
        </w:rPr>
        <w:t xml:space="preserve"> intended </w:t>
      </w:r>
      <w:r>
        <w:rPr>
          <w:rFonts w:asciiTheme="minorHAnsi" w:hAnsiTheme="minorHAnsi"/>
          <w:lang w:val="en-GB"/>
        </w:rPr>
        <w:t>in</w:t>
      </w:r>
      <w:r w:rsidR="006014C3" w:rsidRPr="00D940AD">
        <w:rPr>
          <w:rFonts w:asciiTheme="minorHAnsi" w:hAnsiTheme="minorHAnsi"/>
          <w:lang w:val="en-GB"/>
        </w:rPr>
        <w:t xml:space="preserve"> increas</w:t>
      </w:r>
      <w:r>
        <w:rPr>
          <w:rFonts w:asciiTheme="minorHAnsi" w:hAnsiTheme="minorHAnsi"/>
          <w:lang w:val="en-GB"/>
        </w:rPr>
        <w:t>ing</w:t>
      </w:r>
      <w:r w:rsidR="006014C3" w:rsidRPr="00D940AD">
        <w:rPr>
          <w:rFonts w:asciiTheme="minorHAnsi" w:hAnsiTheme="minorHAnsi"/>
          <w:lang w:val="en-GB"/>
        </w:rPr>
        <w:t xml:space="preserve"> the reliability of financial system, </w:t>
      </w:r>
      <w:r>
        <w:rPr>
          <w:rFonts w:asciiTheme="minorHAnsi" w:hAnsiTheme="minorHAnsi"/>
          <w:lang w:val="en-GB"/>
        </w:rPr>
        <w:t>which</w:t>
      </w:r>
      <w:r w:rsidR="006014C3" w:rsidRPr="00D940AD">
        <w:rPr>
          <w:rFonts w:asciiTheme="minorHAnsi" w:hAnsiTheme="minorHAnsi"/>
          <w:lang w:val="en-GB"/>
        </w:rPr>
        <w:t xml:space="preserve"> also provided problems to </w:t>
      </w:r>
      <w:r>
        <w:rPr>
          <w:rFonts w:asciiTheme="minorHAnsi" w:hAnsiTheme="minorHAnsi"/>
          <w:lang w:val="en-GB"/>
        </w:rPr>
        <w:t xml:space="preserve">the </w:t>
      </w:r>
      <w:r w:rsidR="006014C3" w:rsidRPr="00D940AD">
        <w:rPr>
          <w:rFonts w:asciiTheme="minorHAnsi" w:hAnsiTheme="minorHAnsi"/>
          <w:lang w:val="en-GB"/>
        </w:rPr>
        <w:t xml:space="preserve">financial institutions. Stricter rules and compliance requirements raised operational difficulties and expenses, which might </w:t>
      </w:r>
      <w:r w:rsidR="00D4729D" w:rsidRPr="00D940AD">
        <w:rPr>
          <w:rFonts w:asciiTheme="minorHAnsi" w:hAnsiTheme="minorHAnsi"/>
          <w:lang w:val="en-GB"/>
        </w:rPr>
        <w:t>influence</w:t>
      </w:r>
      <w:r w:rsidR="006014C3" w:rsidRPr="00D940AD">
        <w:rPr>
          <w:rFonts w:asciiTheme="minorHAnsi" w:hAnsiTheme="minorHAnsi"/>
          <w:lang w:val="en-GB"/>
        </w:rPr>
        <w:t xml:space="preserve"> lending practises and profitability.</w:t>
      </w:r>
      <w:r w:rsidR="0059397C" w:rsidRPr="00D940AD">
        <w:rPr>
          <w:rFonts w:asciiTheme="minorHAnsi" w:hAnsiTheme="minorHAnsi"/>
          <w:lang w:val="en-GB"/>
        </w:rPr>
        <w:br w:type="page"/>
      </w:r>
    </w:p>
    <w:p w14:paraId="6E36FA58" w14:textId="77777777" w:rsidR="0059397C" w:rsidRPr="00D940AD" w:rsidRDefault="0000025B" w:rsidP="00D940AD">
      <w:pPr>
        <w:pStyle w:val="Heading1"/>
        <w:rPr>
          <w:rFonts w:asciiTheme="minorHAnsi" w:hAnsiTheme="minorHAnsi" w:cstheme="minorHAnsi"/>
          <w:lang w:val="en-GB"/>
        </w:rPr>
      </w:pPr>
      <w:bookmarkStart w:id="14" w:name="_Toc142748497"/>
      <w:r w:rsidRPr="00D940AD">
        <w:rPr>
          <w:rFonts w:asciiTheme="minorHAnsi" w:hAnsiTheme="minorHAnsi" w:cstheme="minorHAnsi"/>
          <w:lang w:val="en-GB"/>
        </w:rPr>
        <w:lastRenderedPageBreak/>
        <w:t>References</w:t>
      </w:r>
      <w:bookmarkEnd w:id="14"/>
    </w:p>
    <w:p w14:paraId="5F916A6A"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 xml:space="preserve">Abboud, A., Duncan, E., Horvath, A., </w:t>
      </w:r>
      <w:proofErr w:type="spellStart"/>
      <w:r w:rsidRPr="00D940AD">
        <w:rPr>
          <w:rFonts w:asciiTheme="minorHAnsi" w:hAnsiTheme="minorHAnsi"/>
          <w:color w:val="222222"/>
          <w:szCs w:val="24"/>
          <w:shd w:val="clear" w:color="auto" w:fill="FFFFFF"/>
          <w:lang w:val="en-GB"/>
        </w:rPr>
        <w:t>Iercosan</w:t>
      </w:r>
      <w:proofErr w:type="spellEnd"/>
      <w:r w:rsidRPr="00D940AD">
        <w:rPr>
          <w:rFonts w:asciiTheme="minorHAnsi" w:hAnsiTheme="minorHAnsi"/>
          <w:color w:val="222222"/>
          <w:szCs w:val="24"/>
          <w:shd w:val="clear" w:color="auto" w:fill="FFFFFF"/>
          <w:lang w:val="en-GB"/>
        </w:rPr>
        <w:t xml:space="preserve">, D.A., Loudis, B., Martinez, F., Mooney, T., Ranish, B., Wang, K., </w:t>
      </w:r>
      <w:proofErr w:type="spellStart"/>
      <w:r w:rsidRPr="00D940AD">
        <w:rPr>
          <w:rFonts w:asciiTheme="minorHAnsi" w:hAnsiTheme="minorHAnsi"/>
          <w:color w:val="222222"/>
          <w:szCs w:val="24"/>
          <w:shd w:val="clear" w:color="auto" w:fill="FFFFFF"/>
          <w:lang w:val="en-GB"/>
        </w:rPr>
        <w:t>Warusawitharana</w:t>
      </w:r>
      <w:proofErr w:type="spellEnd"/>
      <w:r w:rsidRPr="00D940AD">
        <w:rPr>
          <w:rFonts w:asciiTheme="minorHAnsi" w:hAnsiTheme="minorHAnsi"/>
          <w:color w:val="222222"/>
          <w:szCs w:val="24"/>
          <w:shd w:val="clear" w:color="auto" w:fill="FFFFFF"/>
          <w:lang w:val="en-GB"/>
        </w:rPr>
        <w:t xml:space="preserve">, M. and </w:t>
      </w:r>
      <w:proofErr w:type="spellStart"/>
      <w:r w:rsidRPr="00D940AD">
        <w:rPr>
          <w:rFonts w:asciiTheme="minorHAnsi" w:hAnsiTheme="minorHAnsi"/>
          <w:color w:val="222222"/>
          <w:szCs w:val="24"/>
          <w:shd w:val="clear" w:color="auto" w:fill="FFFFFF"/>
          <w:lang w:val="en-GB"/>
        </w:rPr>
        <w:t>Wix</w:t>
      </w:r>
      <w:proofErr w:type="spellEnd"/>
      <w:r w:rsidRPr="00D940AD">
        <w:rPr>
          <w:rFonts w:asciiTheme="minorHAnsi" w:hAnsiTheme="minorHAnsi"/>
          <w:color w:val="222222"/>
          <w:szCs w:val="24"/>
          <w:shd w:val="clear" w:color="auto" w:fill="FFFFFF"/>
          <w:lang w:val="en-GB"/>
        </w:rPr>
        <w:t xml:space="preserve">, C., 2021. COVID-19 as a stress test: assessing the bank regulatory framework. </w:t>
      </w:r>
      <w:hyperlink r:id="rId16" w:history="1">
        <w:r w:rsidRPr="00D940AD">
          <w:rPr>
            <w:rStyle w:val="Hyperlink"/>
            <w:rFonts w:asciiTheme="minorHAnsi" w:hAnsiTheme="minorHAnsi"/>
            <w:szCs w:val="24"/>
            <w:shd w:val="clear" w:color="auto" w:fill="FFFFFF"/>
            <w:lang w:val="en-GB"/>
          </w:rPr>
          <w:t>https://papers.ssrn.com/sol3/papers.cfm?abstract_id=3965801</w:t>
        </w:r>
      </w:hyperlink>
    </w:p>
    <w:p w14:paraId="68AC551F"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Aditya, P.D., 2013. European Markets Infrastructure Regulation (EMIR) and Dodd-Frank Wall Street Reform and Consumer Protection Act (DFA): A New Revolution of OTC Derivatives Towards Transparency. </w:t>
      </w:r>
      <w:r w:rsidRPr="00D940AD">
        <w:rPr>
          <w:rFonts w:asciiTheme="minorHAnsi" w:hAnsiTheme="minorHAnsi"/>
          <w:i/>
          <w:iCs/>
          <w:color w:val="222222"/>
          <w:szCs w:val="24"/>
          <w:shd w:val="clear" w:color="auto" w:fill="FFFFFF"/>
          <w:lang w:val="en-GB"/>
        </w:rPr>
        <w:t>Available at SSRN 2314998</w:t>
      </w:r>
      <w:r w:rsidRPr="00D940AD">
        <w:rPr>
          <w:rFonts w:asciiTheme="minorHAnsi" w:hAnsiTheme="minorHAnsi"/>
          <w:color w:val="222222"/>
          <w:szCs w:val="24"/>
          <w:shd w:val="clear" w:color="auto" w:fill="FFFFFF"/>
          <w:lang w:val="en-GB"/>
        </w:rPr>
        <w:t>.</w:t>
      </w:r>
    </w:p>
    <w:p w14:paraId="364A86B1"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 xml:space="preserve">Anago, J.C., 2023. Addressing FinTech Regulatory Gap Through Regulatory Co-Opetition Theory: A Meta-Analysis Study. </w:t>
      </w:r>
      <w:hyperlink r:id="rId17" w:history="1">
        <w:r w:rsidRPr="00D940AD">
          <w:rPr>
            <w:rStyle w:val="Hyperlink"/>
            <w:rFonts w:asciiTheme="minorHAnsi" w:hAnsiTheme="minorHAnsi"/>
            <w:szCs w:val="24"/>
            <w:shd w:val="clear" w:color="auto" w:fill="FFFFFF"/>
            <w:lang w:val="en-GB"/>
          </w:rPr>
          <w:t>https://ijisrt.com/assets/upload/files/IJISRT23JUN516.pdf</w:t>
        </w:r>
      </w:hyperlink>
    </w:p>
    <w:p w14:paraId="641DF483"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Authority, P.R., 2021. Climate-related financial risk management and the role of capital requirements. </w:t>
      </w:r>
      <w:r w:rsidRPr="00D940AD">
        <w:rPr>
          <w:rFonts w:asciiTheme="minorHAnsi" w:hAnsiTheme="minorHAnsi"/>
          <w:i/>
          <w:iCs/>
          <w:color w:val="222222"/>
          <w:szCs w:val="24"/>
          <w:shd w:val="clear" w:color="auto" w:fill="FFFFFF"/>
          <w:lang w:val="en-GB"/>
        </w:rPr>
        <w:t>Bank of England</w:t>
      </w:r>
      <w:r w:rsidRPr="00D940AD">
        <w:rPr>
          <w:rFonts w:asciiTheme="minorHAnsi" w:hAnsiTheme="minorHAnsi"/>
          <w:color w:val="222222"/>
          <w:szCs w:val="24"/>
          <w:shd w:val="clear" w:color="auto" w:fill="FFFFFF"/>
          <w:lang w:val="en-GB"/>
        </w:rPr>
        <w:t xml:space="preserve">. </w:t>
      </w:r>
      <w:hyperlink r:id="rId18" w:history="1">
        <w:r w:rsidRPr="00D940AD">
          <w:rPr>
            <w:rStyle w:val="Hyperlink"/>
            <w:rFonts w:asciiTheme="minorHAnsi" w:hAnsiTheme="minorHAnsi"/>
            <w:szCs w:val="24"/>
            <w:shd w:val="clear" w:color="auto" w:fill="FFFFFF"/>
            <w:lang w:val="en-GB"/>
          </w:rPr>
          <w:t>https://www.bankofengland.co.uk/-/media/boe/files/prudential-regulation/publication/2021/%E2%80%8Coctober/climate-change-adaptation-report-2021.pdf</w:t>
        </w:r>
      </w:hyperlink>
    </w:p>
    <w:p w14:paraId="6C3A38FA" w14:textId="77777777" w:rsidR="005138F2" w:rsidRPr="00D940AD" w:rsidRDefault="005138F2" w:rsidP="00D940AD">
      <w:pPr>
        <w:pStyle w:val="NormalWeb"/>
        <w:shd w:val="clear" w:color="auto" w:fill="FFFFFF"/>
        <w:spacing w:before="0" w:beforeAutospacing="0" w:after="160" w:afterAutospacing="0" w:line="360" w:lineRule="auto"/>
        <w:jc w:val="both"/>
        <w:rPr>
          <w:rFonts w:asciiTheme="minorHAnsi" w:hAnsiTheme="minorHAnsi" w:cstheme="minorHAnsi"/>
          <w:color w:val="000000"/>
          <w:lang w:val="en-GB"/>
        </w:rPr>
      </w:pPr>
      <w:r w:rsidRPr="00D940AD">
        <w:rPr>
          <w:rFonts w:asciiTheme="minorHAnsi" w:hAnsiTheme="minorHAnsi" w:cstheme="minorHAnsi"/>
          <w:color w:val="000000"/>
          <w:lang w:val="en-GB"/>
        </w:rPr>
        <w:t>Bank for International Settlements, 2017. </w:t>
      </w:r>
      <w:r w:rsidRPr="00D940AD">
        <w:rPr>
          <w:rFonts w:asciiTheme="minorHAnsi" w:hAnsiTheme="minorHAnsi" w:cstheme="minorHAnsi"/>
          <w:i/>
          <w:iCs/>
          <w:color w:val="000000"/>
          <w:lang w:val="en-GB"/>
        </w:rPr>
        <w:t>Basel III: international regulatory framework for banks</w:t>
      </w:r>
      <w:r w:rsidRPr="00D940AD">
        <w:rPr>
          <w:rFonts w:asciiTheme="minorHAnsi" w:hAnsiTheme="minorHAnsi" w:cstheme="minorHAnsi"/>
          <w:color w:val="000000"/>
          <w:lang w:val="en-GB"/>
        </w:rPr>
        <w:t xml:space="preserve">. [online] Bis.org. Available at: </w:t>
      </w:r>
      <w:hyperlink r:id="rId19" w:history="1">
        <w:r w:rsidRPr="00D940AD">
          <w:rPr>
            <w:rStyle w:val="Hyperlink"/>
            <w:rFonts w:asciiTheme="minorHAnsi" w:hAnsiTheme="minorHAnsi" w:cstheme="minorHAnsi"/>
            <w:lang w:val="en-GB"/>
          </w:rPr>
          <w:t>https://www.bis.org/bcbs/basel3.htm</w:t>
        </w:r>
      </w:hyperlink>
      <w:r w:rsidRPr="00D940AD">
        <w:rPr>
          <w:rFonts w:asciiTheme="minorHAnsi" w:hAnsiTheme="minorHAnsi" w:cstheme="minorHAnsi"/>
          <w:color w:val="000000"/>
          <w:lang w:val="en-GB"/>
        </w:rPr>
        <w:t xml:space="preserve">  [Accessed 7 August 2023].</w:t>
      </w:r>
    </w:p>
    <w:p w14:paraId="10A8C489"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Beker, V.A., 2021. </w:t>
      </w:r>
      <w:r w:rsidRPr="00D940AD">
        <w:rPr>
          <w:rFonts w:asciiTheme="minorHAnsi" w:hAnsiTheme="minorHAnsi"/>
          <w:i/>
          <w:iCs/>
          <w:color w:val="222222"/>
          <w:szCs w:val="24"/>
          <w:shd w:val="clear" w:color="auto" w:fill="FFFFFF"/>
          <w:lang w:val="en-GB"/>
        </w:rPr>
        <w:t>Preventing the next financial crisis</w:t>
      </w:r>
      <w:r w:rsidRPr="00D940AD">
        <w:rPr>
          <w:rFonts w:asciiTheme="minorHAnsi" w:hAnsiTheme="minorHAnsi"/>
          <w:color w:val="222222"/>
          <w:szCs w:val="24"/>
          <w:shd w:val="clear" w:color="auto" w:fill="FFFFFF"/>
          <w:lang w:val="en-GB"/>
        </w:rPr>
        <w:t>. Taylor &amp; Francis.</w:t>
      </w:r>
    </w:p>
    <w:p w14:paraId="35887D08"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 xml:space="preserve">Bottineau, I., </w:t>
      </w:r>
      <w:proofErr w:type="spellStart"/>
      <w:r w:rsidRPr="00D940AD">
        <w:rPr>
          <w:rFonts w:asciiTheme="minorHAnsi" w:hAnsiTheme="minorHAnsi"/>
          <w:color w:val="222222"/>
          <w:szCs w:val="24"/>
          <w:shd w:val="clear" w:color="auto" w:fill="FFFFFF"/>
          <w:lang w:val="en-GB"/>
        </w:rPr>
        <w:t>Coffinet</w:t>
      </w:r>
      <w:proofErr w:type="spellEnd"/>
      <w:r w:rsidRPr="00D940AD">
        <w:rPr>
          <w:rFonts w:asciiTheme="minorHAnsi" w:hAnsiTheme="minorHAnsi"/>
          <w:color w:val="222222"/>
          <w:szCs w:val="24"/>
          <w:shd w:val="clear" w:color="auto" w:fill="FFFFFF"/>
          <w:lang w:val="en-GB"/>
        </w:rPr>
        <w:t>, J. and Le Meur, C., 2022. Large French banking groups are increasingly concentrating their international activities in the euro area. </w:t>
      </w:r>
      <w:r w:rsidRPr="00D940AD">
        <w:rPr>
          <w:rFonts w:asciiTheme="minorHAnsi" w:hAnsiTheme="minorHAnsi"/>
          <w:i/>
          <w:iCs/>
          <w:color w:val="222222"/>
          <w:szCs w:val="24"/>
          <w:shd w:val="clear" w:color="auto" w:fill="FFFFFF"/>
          <w:lang w:val="en-GB"/>
        </w:rPr>
        <w:t>Bulletin de la Banque de France</w:t>
      </w:r>
      <w:r w:rsidRPr="00D940AD">
        <w:rPr>
          <w:rFonts w:asciiTheme="minorHAnsi" w:hAnsiTheme="minorHAnsi"/>
          <w:color w:val="222222"/>
          <w:szCs w:val="24"/>
          <w:shd w:val="clear" w:color="auto" w:fill="FFFFFF"/>
          <w:lang w:val="en-GB"/>
        </w:rPr>
        <w:t xml:space="preserve">, (241). </w:t>
      </w:r>
      <w:hyperlink r:id="rId20" w:history="1">
        <w:r w:rsidRPr="00D940AD">
          <w:rPr>
            <w:rStyle w:val="Hyperlink"/>
            <w:rFonts w:asciiTheme="minorHAnsi" w:hAnsiTheme="minorHAnsi"/>
            <w:szCs w:val="24"/>
            <w:shd w:val="clear" w:color="auto" w:fill="FFFFFF"/>
            <w:lang w:val="en-GB"/>
          </w:rPr>
          <w:t>https://particuliers.banque-france.fr/sites/default/files/medias/documents/822240_bdf241-4_en_grands_groupes_vfinale.pdf</w:t>
        </w:r>
      </w:hyperlink>
    </w:p>
    <w:p w14:paraId="50317DC3"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 xml:space="preserve">Bureau, C.F.P., 2022. Background on Small Businesses. </w:t>
      </w:r>
      <w:hyperlink r:id="rId21" w:history="1">
        <w:r w:rsidRPr="00D940AD">
          <w:rPr>
            <w:rStyle w:val="Hyperlink"/>
            <w:rFonts w:asciiTheme="minorHAnsi" w:hAnsiTheme="minorHAnsi"/>
            <w:szCs w:val="24"/>
            <w:shd w:val="clear" w:color="auto" w:fill="FFFFFF"/>
            <w:lang w:val="en-GB"/>
          </w:rPr>
          <w:t>https://www.urban.org/sites/default/files/publication/105315/urban-public-comment-letter-on-section-1071-small-business-lending-data-collection_1.pdf</w:t>
        </w:r>
      </w:hyperlink>
    </w:p>
    <w:p w14:paraId="15B28439" w14:textId="77777777" w:rsidR="005138F2" w:rsidRPr="00D940AD" w:rsidRDefault="005138F2" w:rsidP="00D940AD">
      <w:pPr>
        <w:rPr>
          <w:rFonts w:asciiTheme="minorHAnsi" w:hAnsiTheme="minorHAnsi"/>
          <w:szCs w:val="24"/>
          <w:lang w:val="en-GB"/>
        </w:rPr>
      </w:pPr>
      <w:proofErr w:type="spellStart"/>
      <w:r w:rsidRPr="00D940AD">
        <w:rPr>
          <w:rFonts w:asciiTheme="minorHAnsi" w:hAnsiTheme="minorHAnsi"/>
          <w:szCs w:val="24"/>
          <w:lang w:val="en-GB"/>
        </w:rPr>
        <w:lastRenderedPageBreak/>
        <w:t>Center</w:t>
      </w:r>
      <w:proofErr w:type="spellEnd"/>
      <w:r w:rsidRPr="00D940AD">
        <w:rPr>
          <w:rFonts w:asciiTheme="minorHAnsi" w:hAnsiTheme="minorHAnsi"/>
          <w:szCs w:val="24"/>
          <w:lang w:val="en-GB"/>
        </w:rPr>
        <w:t xml:space="preserve"> for American Progress, 2017. </w:t>
      </w:r>
      <w:r w:rsidRPr="00D940AD">
        <w:rPr>
          <w:rFonts w:asciiTheme="minorHAnsi" w:hAnsiTheme="minorHAnsi"/>
          <w:i/>
          <w:iCs/>
          <w:szCs w:val="24"/>
          <w:lang w:val="en-GB"/>
        </w:rPr>
        <w:t>The Importance of Dodd-Frank, in 6 Charts</w:t>
      </w:r>
      <w:r w:rsidRPr="00D940AD">
        <w:rPr>
          <w:rFonts w:asciiTheme="minorHAnsi" w:hAnsiTheme="minorHAnsi"/>
          <w:szCs w:val="24"/>
          <w:lang w:val="en-GB"/>
        </w:rPr>
        <w:t xml:space="preserve">. [Online] Available at: </w:t>
      </w:r>
      <w:hyperlink r:id="rId22" w:history="1">
        <w:r w:rsidRPr="00D940AD">
          <w:rPr>
            <w:rStyle w:val="Hyperlink"/>
            <w:rFonts w:asciiTheme="minorHAnsi" w:hAnsiTheme="minorHAnsi"/>
            <w:szCs w:val="24"/>
            <w:lang w:val="en-GB"/>
          </w:rPr>
          <w:t>https://www.americanprogress.org/article/importance-dodd-frank-6-charts/</w:t>
        </w:r>
      </w:hyperlink>
      <w:r w:rsidRPr="00D940AD">
        <w:rPr>
          <w:rFonts w:asciiTheme="minorHAnsi" w:hAnsiTheme="minorHAnsi"/>
          <w:szCs w:val="24"/>
          <w:lang w:val="en-GB"/>
        </w:rPr>
        <w:t xml:space="preserve"> [Accessed 10 Aug 2023]. </w:t>
      </w:r>
    </w:p>
    <w:p w14:paraId="7C874523"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Chapelle, A., 2019. </w:t>
      </w:r>
      <w:r w:rsidRPr="00D940AD">
        <w:rPr>
          <w:rFonts w:asciiTheme="minorHAnsi" w:hAnsiTheme="minorHAnsi"/>
          <w:i/>
          <w:iCs/>
          <w:color w:val="222222"/>
          <w:szCs w:val="24"/>
          <w:shd w:val="clear" w:color="auto" w:fill="FFFFFF"/>
          <w:lang w:val="en-GB"/>
        </w:rPr>
        <w:t xml:space="preserve">Operational risk management: </w:t>
      </w:r>
      <w:proofErr w:type="gramStart"/>
      <w:r w:rsidRPr="00D940AD">
        <w:rPr>
          <w:rFonts w:asciiTheme="minorHAnsi" w:hAnsiTheme="minorHAnsi"/>
          <w:i/>
          <w:iCs/>
          <w:color w:val="222222"/>
          <w:szCs w:val="24"/>
          <w:shd w:val="clear" w:color="auto" w:fill="FFFFFF"/>
          <w:lang w:val="en-GB"/>
        </w:rPr>
        <w:t>Best</w:t>
      </w:r>
      <w:proofErr w:type="gramEnd"/>
      <w:r w:rsidRPr="00D940AD">
        <w:rPr>
          <w:rFonts w:asciiTheme="minorHAnsi" w:hAnsiTheme="minorHAnsi"/>
          <w:i/>
          <w:iCs/>
          <w:color w:val="222222"/>
          <w:szCs w:val="24"/>
          <w:shd w:val="clear" w:color="auto" w:fill="FFFFFF"/>
          <w:lang w:val="en-GB"/>
        </w:rPr>
        <w:t xml:space="preserve"> practices in the financial services industry</w:t>
      </w:r>
      <w:r w:rsidRPr="00D940AD">
        <w:rPr>
          <w:rFonts w:asciiTheme="minorHAnsi" w:hAnsiTheme="minorHAnsi"/>
          <w:color w:val="222222"/>
          <w:szCs w:val="24"/>
          <w:shd w:val="clear" w:color="auto" w:fill="FFFFFF"/>
          <w:lang w:val="en-GB"/>
        </w:rPr>
        <w:t>. John Wiley &amp; Sons.</w:t>
      </w:r>
    </w:p>
    <w:p w14:paraId="6C744606"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 xml:space="preserve">Csengoi, A.H. and Ayadi, N., 2023. Banks' Adjustments to Basel III Capital Requirements: Empirical research on a sample of 359 banks between 2015 and 2021. </w:t>
      </w:r>
      <w:hyperlink r:id="rId23" w:history="1">
        <w:r w:rsidRPr="00D940AD">
          <w:rPr>
            <w:rStyle w:val="Hyperlink"/>
            <w:rFonts w:asciiTheme="minorHAnsi" w:hAnsiTheme="minorHAnsi"/>
            <w:szCs w:val="24"/>
            <w:shd w:val="clear" w:color="auto" w:fill="FFFFFF"/>
            <w:lang w:val="en-GB"/>
          </w:rPr>
          <w:t>https://www.diva-portal.org/smash/record.jsf?pid=diva2%3A1765296&amp;dswid=1371</w:t>
        </w:r>
      </w:hyperlink>
    </w:p>
    <w:p w14:paraId="43AF4D30"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DOLMA, Ö., 2023. Cybersecurity Whistleblower Protection: A Comparison of the US and the EU Approaches. </w:t>
      </w:r>
      <w:proofErr w:type="spellStart"/>
      <w:r w:rsidRPr="00D940AD">
        <w:rPr>
          <w:rFonts w:asciiTheme="minorHAnsi" w:hAnsiTheme="minorHAnsi"/>
          <w:i/>
          <w:iCs/>
          <w:color w:val="222222"/>
          <w:szCs w:val="24"/>
          <w:shd w:val="clear" w:color="auto" w:fill="FFFFFF"/>
          <w:lang w:val="en-GB"/>
        </w:rPr>
        <w:t>Pamukkale</w:t>
      </w:r>
      <w:proofErr w:type="spellEnd"/>
      <w:r w:rsidRPr="00D940AD">
        <w:rPr>
          <w:rFonts w:asciiTheme="minorHAnsi" w:hAnsiTheme="minorHAnsi"/>
          <w:i/>
          <w:iCs/>
          <w:color w:val="222222"/>
          <w:szCs w:val="24"/>
          <w:shd w:val="clear" w:color="auto" w:fill="FFFFFF"/>
          <w:lang w:val="en-GB"/>
        </w:rPr>
        <w:t xml:space="preserve"> </w:t>
      </w:r>
      <w:proofErr w:type="spellStart"/>
      <w:r w:rsidRPr="00D940AD">
        <w:rPr>
          <w:rFonts w:asciiTheme="minorHAnsi" w:hAnsiTheme="minorHAnsi"/>
          <w:i/>
          <w:iCs/>
          <w:color w:val="222222"/>
          <w:szCs w:val="24"/>
          <w:shd w:val="clear" w:color="auto" w:fill="FFFFFF"/>
          <w:lang w:val="en-GB"/>
        </w:rPr>
        <w:t>Üniversitesi</w:t>
      </w:r>
      <w:proofErr w:type="spellEnd"/>
      <w:r w:rsidRPr="00D940AD">
        <w:rPr>
          <w:rFonts w:asciiTheme="minorHAnsi" w:hAnsiTheme="minorHAnsi"/>
          <w:i/>
          <w:iCs/>
          <w:color w:val="222222"/>
          <w:szCs w:val="24"/>
          <w:shd w:val="clear" w:color="auto" w:fill="FFFFFF"/>
          <w:lang w:val="en-GB"/>
        </w:rPr>
        <w:t xml:space="preserve"> </w:t>
      </w:r>
      <w:proofErr w:type="spellStart"/>
      <w:r w:rsidRPr="00D940AD">
        <w:rPr>
          <w:rFonts w:asciiTheme="minorHAnsi" w:hAnsiTheme="minorHAnsi"/>
          <w:i/>
          <w:iCs/>
          <w:color w:val="222222"/>
          <w:szCs w:val="24"/>
          <w:shd w:val="clear" w:color="auto" w:fill="FFFFFF"/>
          <w:lang w:val="en-GB"/>
        </w:rPr>
        <w:t>İşletme</w:t>
      </w:r>
      <w:proofErr w:type="spellEnd"/>
      <w:r w:rsidRPr="00D940AD">
        <w:rPr>
          <w:rFonts w:asciiTheme="minorHAnsi" w:hAnsiTheme="minorHAnsi"/>
          <w:i/>
          <w:iCs/>
          <w:color w:val="222222"/>
          <w:szCs w:val="24"/>
          <w:shd w:val="clear" w:color="auto" w:fill="FFFFFF"/>
          <w:lang w:val="en-GB"/>
        </w:rPr>
        <w:t xml:space="preserve"> </w:t>
      </w:r>
      <w:proofErr w:type="spellStart"/>
      <w:r w:rsidRPr="00D940AD">
        <w:rPr>
          <w:rFonts w:asciiTheme="minorHAnsi" w:hAnsiTheme="minorHAnsi"/>
          <w:i/>
          <w:iCs/>
          <w:color w:val="222222"/>
          <w:szCs w:val="24"/>
          <w:shd w:val="clear" w:color="auto" w:fill="FFFFFF"/>
          <w:lang w:val="en-GB"/>
        </w:rPr>
        <w:t>Araştırmaları</w:t>
      </w:r>
      <w:proofErr w:type="spellEnd"/>
      <w:r w:rsidRPr="00D940AD">
        <w:rPr>
          <w:rFonts w:asciiTheme="minorHAnsi" w:hAnsiTheme="minorHAnsi"/>
          <w:i/>
          <w:iCs/>
          <w:color w:val="222222"/>
          <w:szCs w:val="24"/>
          <w:shd w:val="clear" w:color="auto" w:fill="FFFFFF"/>
          <w:lang w:val="en-GB"/>
        </w:rPr>
        <w:t xml:space="preserve"> </w:t>
      </w:r>
      <w:proofErr w:type="spellStart"/>
      <w:r w:rsidRPr="00D940AD">
        <w:rPr>
          <w:rFonts w:asciiTheme="minorHAnsi" w:hAnsiTheme="minorHAnsi"/>
          <w:i/>
          <w:iCs/>
          <w:color w:val="222222"/>
          <w:szCs w:val="24"/>
          <w:shd w:val="clear" w:color="auto" w:fill="FFFFFF"/>
          <w:lang w:val="en-GB"/>
        </w:rPr>
        <w:t>Dergisi</w:t>
      </w:r>
      <w:proofErr w:type="spellEnd"/>
      <w:r w:rsidRPr="00D940AD">
        <w:rPr>
          <w:rFonts w:asciiTheme="minorHAnsi" w:hAnsiTheme="minorHAnsi"/>
          <w:color w:val="222222"/>
          <w:szCs w:val="24"/>
          <w:shd w:val="clear" w:color="auto" w:fill="FFFFFF"/>
          <w:lang w:val="en-GB"/>
        </w:rPr>
        <w:t>, </w:t>
      </w:r>
      <w:r w:rsidRPr="00D940AD">
        <w:rPr>
          <w:rFonts w:asciiTheme="minorHAnsi" w:hAnsiTheme="minorHAnsi"/>
          <w:i/>
          <w:iCs/>
          <w:color w:val="222222"/>
          <w:szCs w:val="24"/>
          <w:shd w:val="clear" w:color="auto" w:fill="FFFFFF"/>
          <w:lang w:val="en-GB"/>
        </w:rPr>
        <w:t>10</w:t>
      </w:r>
      <w:r w:rsidRPr="00D940AD">
        <w:rPr>
          <w:rFonts w:asciiTheme="minorHAnsi" w:hAnsiTheme="minorHAnsi"/>
          <w:color w:val="222222"/>
          <w:szCs w:val="24"/>
          <w:shd w:val="clear" w:color="auto" w:fill="FFFFFF"/>
          <w:lang w:val="en-GB"/>
        </w:rPr>
        <w:t xml:space="preserve">(2), pp.615-631. </w:t>
      </w:r>
      <w:hyperlink r:id="rId24" w:history="1">
        <w:r w:rsidRPr="00D940AD">
          <w:rPr>
            <w:rStyle w:val="Hyperlink"/>
            <w:rFonts w:asciiTheme="minorHAnsi" w:hAnsiTheme="minorHAnsi"/>
            <w:szCs w:val="24"/>
            <w:shd w:val="clear" w:color="auto" w:fill="FFFFFF"/>
            <w:lang w:val="en-GB"/>
          </w:rPr>
          <w:t>https://dergipark.org.tr/en/pub/piar/issue/78771/1281937</w:t>
        </w:r>
      </w:hyperlink>
    </w:p>
    <w:p w14:paraId="373111C4" w14:textId="77777777" w:rsidR="005138F2" w:rsidRPr="00D940AD" w:rsidRDefault="005138F2" w:rsidP="00D940AD">
      <w:pPr>
        <w:rPr>
          <w:rFonts w:asciiTheme="minorHAnsi" w:hAnsiTheme="minorHAnsi"/>
          <w:szCs w:val="24"/>
          <w:lang w:val="en-GB"/>
        </w:rPr>
      </w:pPr>
      <w:r w:rsidRPr="00D940AD">
        <w:rPr>
          <w:rFonts w:asciiTheme="minorHAnsi" w:hAnsiTheme="minorHAnsi"/>
          <w:szCs w:val="24"/>
          <w:lang w:val="en-GB"/>
        </w:rPr>
        <w:t xml:space="preserve">Economic Research Council, 2016. </w:t>
      </w:r>
      <w:r w:rsidRPr="00D940AD">
        <w:rPr>
          <w:rFonts w:asciiTheme="minorHAnsi" w:hAnsiTheme="minorHAnsi"/>
          <w:i/>
          <w:iCs/>
          <w:szCs w:val="24"/>
          <w:lang w:val="en-GB"/>
        </w:rPr>
        <w:t>Chart of the Week: Week 10, 2016: UK Interest Rate.</w:t>
      </w:r>
      <w:r w:rsidRPr="00D940AD">
        <w:rPr>
          <w:rFonts w:asciiTheme="minorHAnsi" w:hAnsiTheme="minorHAnsi"/>
          <w:szCs w:val="24"/>
          <w:lang w:val="en-GB"/>
        </w:rPr>
        <w:t xml:space="preserve"> [Online] Available at: </w:t>
      </w:r>
      <w:hyperlink r:id="rId25" w:history="1">
        <w:r w:rsidRPr="00D940AD">
          <w:rPr>
            <w:rStyle w:val="Hyperlink"/>
            <w:rFonts w:asciiTheme="minorHAnsi" w:hAnsiTheme="minorHAnsi"/>
            <w:szCs w:val="24"/>
            <w:lang w:val="en-GB"/>
          </w:rPr>
          <w:t>https://ercouncil.org/2016/chart-of-the-week-week-10-2016-uk-interest-rate/</w:t>
        </w:r>
      </w:hyperlink>
      <w:r w:rsidRPr="00D940AD">
        <w:rPr>
          <w:rFonts w:asciiTheme="minorHAnsi" w:hAnsiTheme="minorHAnsi"/>
          <w:szCs w:val="24"/>
          <w:lang w:val="en-GB"/>
        </w:rPr>
        <w:t xml:space="preserve"> [accessed 10 August 2023]. </w:t>
      </w:r>
    </w:p>
    <w:p w14:paraId="7083522F" w14:textId="77777777" w:rsidR="005138F2" w:rsidRPr="00D940AD" w:rsidRDefault="005138F2" w:rsidP="00D940AD">
      <w:pPr>
        <w:pStyle w:val="NormalWeb"/>
        <w:shd w:val="clear" w:color="auto" w:fill="FFFFFF"/>
        <w:spacing w:before="0" w:beforeAutospacing="0" w:after="160" w:afterAutospacing="0" w:line="360" w:lineRule="auto"/>
        <w:jc w:val="both"/>
        <w:rPr>
          <w:rFonts w:asciiTheme="minorHAnsi" w:hAnsiTheme="minorHAnsi" w:cstheme="minorHAnsi"/>
          <w:color w:val="000000"/>
          <w:lang w:val="en-GB"/>
        </w:rPr>
      </w:pPr>
      <w:r w:rsidRPr="00D940AD">
        <w:rPr>
          <w:rFonts w:asciiTheme="minorHAnsi" w:hAnsiTheme="minorHAnsi" w:cstheme="minorHAnsi"/>
          <w:color w:val="000000"/>
          <w:lang w:val="en-GB"/>
        </w:rPr>
        <w:t>European Commission, 2023. </w:t>
      </w:r>
      <w:r w:rsidRPr="00D940AD">
        <w:rPr>
          <w:rFonts w:asciiTheme="minorHAnsi" w:hAnsiTheme="minorHAnsi" w:cstheme="minorHAnsi"/>
          <w:i/>
          <w:iCs/>
          <w:color w:val="000000"/>
          <w:lang w:val="en-GB"/>
        </w:rPr>
        <w:t>Markets in Financial Instruments Directive II</w:t>
      </w:r>
      <w:r w:rsidRPr="00D940AD">
        <w:rPr>
          <w:rFonts w:asciiTheme="minorHAnsi" w:hAnsiTheme="minorHAnsi" w:cstheme="minorHAnsi"/>
          <w:color w:val="000000"/>
          <w:lang w:val="en-GB"/>
        </w:rPr>
        <w:t xml:space="preserve">. [online] finance.ec.europa.eu. Available at: </w:t>
      </w:r>
      <w:hyperlink r:id="rId26" w:history="1">
        <w:r w:rsidRPr="00D940AD">
          <w:rPr>
            <w:rStyle w:val="Hyperlink"/>
            <w:rFonts w:asciiTheme="minorHAnsi" w:hAnsiTheme="minorHAnsi" w:cstheme="minorHAnsi"/>
            <w:lang w:val="en-GB"/>
          </w:rPr>
          <w:t>https://finance.ec.europa.eu/regulation-and-supervision/financial-services-legislation/implementing-and-delegated-acts/markets-financial-instruments-directive-ii_en</w:t>
        </w:r>
      </w:hyperlink>
      <w:r w:rsidRPr="00D940AD">
        <w:rPr>
          <w:rFonts w:asciiTheme="minorHAnsi" w:hAnsiTheme="minorHAnsi" w:cstheme="minorHAnsi"/>
          <w:color w:val="000000"/>
          <w:lang w:val="en-GB"/>
        </w:rPr>
        <w:t xml:space="preserve"> [Accessed 7 August 2023].</w:t>
      </w:r>
    </w:p>
    <w:p w14:paraId="78F4C7F0" w14:textId="77777777" w:rsidR="005138F2" w:rsidRPr="00D940AD" w:rsidRDefault="005138F2" w:rsidP="00D940AD">
      <w:pPr>
        <w:rPr>
          <w:rFonts w:asciiTheme="minorHAnsi" w:hAnsiTheme="minorHAnsi"/>
          <w:lang w:val="en-GB"/>
        </w:rPr>
      </w:pPr>
      <w:r w:rsidRPr="00D940AD">
        <w:rPr>
          <w:rFonts w:asciiTheme="minorHAnsi" w:hAnsiTheme="minorHAnsi"/>
          <w:lang w:val="en-GB"/>
        </w:rPr>
        <w:t xml:space="preserve">European Securities and Markets Authority, 2023. </w:t>
      </w:r>
      <w:r w:rsidRPr="00D940AD">
        <w:rPr>
          <w:rFonts w:asciiTheme="minorHAnsi" w:hAnsiTheme="minorHAnsi"/>
          <w:i/>
          <w:iCs/>
          <w:lang w:val="en-GB"/>
        </w:rPr>
        <w:t>2022 Report on Quality and Use of Transaction Dat</w:t>
      </w:r>
      <w:r w:rsidRPr="00D940AD">
        <w:rPr>
          <w:rFonts w:asciiTheme="minorHAnsi" w:hAnsiTheme="minorHAnsi"/>
          <w:lang w:val="en-GB"/>
        </w:rPr>
        <w:t xml:space="preserve">a. [Online] Available at: </w:t>
      </w:r>
      <w:hyperlink r:id="rId27" w:history="1">
        <w:r w:rsidRPr="00D940AD">
          <w:rPr>
            <w:rStyle w:val="Hyperlink"/>
            <w:rFonts w:asciiTheme="minorHAnsi" w:hAnsiTheme="minorHAnsi"/>
            <w:lang w:val="en-GB"/>
          </w:rPr>
          <w:t>https://www.esma.europa.eu/sites/default/files/2023-04/ESMA74-427-719_2022_Report_on_Quality_and_Use_of_Transaction_Data.pdf</w:t>
        </w:r>
      </w:hyperlink>
      <w:r w:rsidRPr="00D940AD">
        <w:rPr>
          <w:rFonts w:asciiTheme="minorHAnsi" w:hAnsiTheme="minorHAnsi"/>
          <w:lang w:val="en-GB"/>
        </w:rPr>
        <w:t xml:space="preserve"> [Accessed 10 August 2023]. </w:t>
      </w:r>
    </w:p>
    <w:p w14:paraId="61A72D8F"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Evanoff, D.D. and Moeller, W.F. eds., 2014. </w:t>
      </w:r>
      <w:r w:rsidRPr="00D940AD">
        <w:rPr>
          <w:rFonts w:asciiTheme="minorHAnsi" w:hAnsiTheme="minorHAnsi"/>
          <w:i/>
          <w:iCs/>
          <w:color w:val="222222"/>
          <w:szCs w:val="24"/>
          <w:shd w:val="clear" w:color="auto" w:fill="FFFFFF"/>
          <w:lang w:val="en-GB"/>
        </w:rPr>
        <w:t>Dodd-Frank Wall Street reform and consumer protection act: purpose, critique, implementation status and policy issues</w:t>
      </w:r>
      <w:r w:rsidRPr="00D940AD">
        <w:rPr>
          <w:rFonts w:asciiTheme="minorHAnsi" w:hAnsiTheme="minorHAnsi"/>
          <w:color w:val="222222"/>
          <w:szCs w:val="24"/>
          <w:shd w:val="clear" w:color="auto" w:fill="FFFFFF"/>
          <w:lang w:val="en-GB"/>
        </w:rPr>
        <w:t xml:space="preserve"> (Vol. 2). World Scientific. </w:t>
      </w:r>
    </w:p>
    <w:p w14:paraId="658BAC07"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 xml:space="preserve">Feenan, S., Heller, D., Lipton, A., Morini, M., Ram, R., Sams, R., Swanson, T., Yong, S. and </w:t>
      </w:r>
      <w:proofErr w:type="spellStart"/>
      <w:r w:rsidRPr="00D940AD">
        <w:rPr>
          <w:rFonts w:asciiTheme="minorHAnsi" w:hAnsiTheme="minorHAnsi"/>
          <w:color w:val="222222"/>
          <w:szCs w:val="24"/>
          <w:shd w:val="clear" w:color="auto" w:fill="FFFFFF"/>
          <w:lang w:val="en-GB"/>
        </w:rPr>
        <w:t>Zalles</w:t>
      </w:r>
      <w:proofErr w:type="spellEnd"/>
      <w:r w:rsidRPr="00D940AD">
        <w:rPr>
          <w:rFonts w:asciiTheme="minorHAnsi" w:hAnsiTheme="minorHAnsi"/>
          <w:color w:val="222222"/>
          <w:szCs w:val="24"/>
          <w:shd w:val="clear" w:color="auto" w:fill="FFFFFF"/>
          <w:lang w:val="en-GB"/>
        </w:rPr>
        <w:t xml:space="preserve">, D.B., 2021. Decentralized financial market infrastructures: Evolution from intermediated </w:t>
      </w:r>
      <w:r w:rsidRPr="00D940AD">
        <w:rPr>
          <w:rFonts w:asciiTheme="minorHAnsi" w:hAnsiTheme="minorHAnsi"/>
          <w:color w:val="222222"/>
          <w:szCs w:val="24"/>
          <w:shd w:val="clear" w:color="auto" w:fill="FFFFFF"/>
          <w:lang w:val="en-GB"/>
        </w:rPr>
        <w:lastRenderedPageBreak/>
        <w:t>structures to decentralized structures for financial agreements. </w:t>
      </w:r>
      <w:r w:rsidRPr="00D940AD">
        <w:rPr>
          <w:rFonts w:asciiTheme="minorHAnsi" w:hAnsiTheme="minorHAnsi"/>
          <w:i/>
          <w:iCs/>
          <w:color w:val="222222"/>
          <w:szCs w:val="24"/>
          <w:shd w:val="clear" w:color="auto" w:fill="FFFFFF"/>
          <w:lang w:val="en-GB"/>
        </w:rPr>
        <w:t>The Journal of FinTech</w:t>
      </w:r>
      <w:r w:rsidRPr="00D940AD">
        <w:rPr>
          <w:rFonts w:asciiTheme="minorHAnsi" w:hAnsiTheme="minorHAnsi"/>
          <w:color w:val="222222"/>
          <w:szCs w:val="24"/>
          <w:shd w:val="clear" w:color="auto" w:fill="FFFFFF"/>
          <w:lang w:val="en-GB"/>
        </w:rPr>
        <w:t>, </w:t>
      </w:r>
      <w:r w:rsidRPr="00D940AD">
        <w:rPr>
          <w:rFonts w:asciiTheme="minorHAnsi" w:hAnsiTheme="minorHAnsi"/>
          <w:i/>
          <w:iCs/>
          <w:color w:val="222222"/>
          <w:szCs w:val="24"/>
          <w:shd w:val="clear" w:color="auto" w:fill="FFFFFF"/>
          <w:lang w:val="en-GB"/>
        </w:rPr>
        <w:t>1</w:t>
      </w:r>
      <w:r w:rsidRPr="00D940AD">
        <w:rPr>
          <w:rFonts w:asciiTheme="minorHAnsi" w:hAnsiTheme="minorHAnsi"/>
          <w:color w:val="222222"/>
          <w:szCs w:val="24"/>
          <w:shd w:val="clear" w:color="auto" w:fill="FFFFFF"/>
          <w:lang w:val="en-GB"/>
        </w:rPr>
        <w:t xml:space="preserve">(02), p.2150002. </w:t>
      </w:r>
      <w:hyperlink r:id="rId28" w:history="1">
        <w:r w:rsidRPr="00D940AD">
          <w:rPr>
            <w:rStyle w:val="Hyperlink"/>
            <w:rFonts w:asciiTheme="minorHAnsi" w:hAnsiTheme="minorHAnsi"/>
            <w:szCs w:val="24"/>
            <w:shd w:val="clear" w:color="auto" w:fill="FFFFFF"/>
            <w:lang w:val="en-GB"/>
          </w:rPr>
          <w:t>https://www.worldscientific.com/doi/abs/10.1142/S2705109921500024</w:t>
        </w:r>
      </w:hyperlink>
    </w:p>
    <w:p w14:paraId="3A5363A8" w14:textId="77777777" w:rsidR="005138F2" w:rsidRPr="00D940AD" w:rsidRDefault="005138F2" w:rsidP="00D940AD">
      <w:pPr>
        <w:rPr>
          <w:rFonts w:asciiTheme="minorHAnsi" w:hAnsiTheme="minorHAnsi"/>
          <w:szCs w:val="24"/>
          <w:lang w:val="en-GB"/>
        </w:rPr>
      </w:pPr>
      <w:r w:rsidRPr="00D940AD">
        <w:rPr>
          <w:rFonts w:asciiTheme="minorHAnsi" w:hAnsiTheme="minorHAnsi"/>
          <w:szCs w:val="24"/>
          <w:lang w:val="en-GB"/>
        </w:rPr>
        <w:t xml:space="preserve">Financial Conduct Authority, 2023. Financial promotions quarterly data 2023 Q1. [Online] Available at: </w:t>
      </w:r>
      <w:hyperlink r:id="rId29" w:history="1">
        <w:r w:rsidRPr="00D940AD">
          <w:rPr>
            <w:rStyle w:val="Hyperlink"/>
            <w:rFonts w:asciiTheme="minorHAnsi" w:hAnsiTheme="minorHAnsi"/>
            <w:szCs w:val="24"/>
            <w:lang w:val="en-GB"/>
          </w:rPr>
          <w:t>https://www.fca.org.uk/data/financial-promotions-quarterly-data-2023-q1</w:t>
        </w:r>
      </w:hyperlink>
      <w:r w:rsidRPr="00D940AD">
        <w:rPr>
          <w:rFonts w:asciiTheme="minorHAnsi" w:hAnsiTheme="minorHAnsi"/>
          <w:szCs w:val="24"/>
          <w:lang w:val="en-GB"/>
        </w:rPr>
        <w:t xml:space="preserve"> [Accessed 10 August 2023]. </w:t>
      </w:r>
    </w:p>
    <w:p w14:paraId="2C22F914"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Gallagher, K.P., Gao, H., Kring, W.N., Ocampo, J.A. and Volz, U., 2021. Safety first: Expanding the global financial safety net in response to COVID‐19. </w:t>
      </w:r>
      <w:r w:rsidRPr="00D940AD">
        <w:rPr>
          <w:rFonts w:asciiTheme="minorHAnsi" w:hAnsiTheme="minorHAnsi"/>
          <w:i/>
          <w:iCs/>
          <w:color w:val="222222"/>
          <w:szCs w:val="24"/>
          <w:shd w:val="clear" w:color="auto" w:fill="FFFFFF"/>
          <w:lang w:val="en-GB"/>
        </w:rPr>
        <w:t>Global Policy</w:t>
      </w:r>
      <w:r w:rsidRPr="00D940AD">
        <w:rPr>
          <w:rFonts w:asciiTheme="minorHAnsi" w:hAnsiTheme="minorHAnsi"/>
          <w:color w:val="222222"/>
          <w:szCs w:val="24"/>
          <w:shd w:val="clear" w:color="auto" w:fill="FFFFFF"/>
          <w:lang w:val="en-GB"/>
        </w:rPr>
        <w:t>, </w:t>
      </w:r>
      <w:r w:rsidRPr="00D940AD">
        <w:rPr>
          <w:rFonts w:asciiTheme="minorHAnsi" w:hAnsiTheme="minorHAnsi"/>
          <w:i/>
          <w:iCs/>
          <w:color w:val="222222"/>
          <w:szCs w:val="24"/>
          <w:shd w:val="clear" w:color="auto" w:fill="FFFFFF"/>
          <w:lang w:val="en-GB"/>
        </w:rPr>
        <w:t>12</w:t>
      </w:r>
      <w:r w:rsidRPr="00D940AD">
        <w:rPr>
          <w:rFonts w:asciiTheme="minorHAnsi" w:hAnsiTheme="minorHAnsi"/>
          <w:color w:val="222222"/>
          <w:szCs w:val="24"/>
          <w:shd w:val="clear" w:color="auto" w:fill="FFFFFF"/>
          <w:lang w:val="en-GB"/>
        </w:rPr>
        <w:t xml:space="preserve">(1), pp.140-148. </w:t>
      </w:r>
      <w:hyperlink r:id="rId30" w:history="1">
        <w:r w:rsidRPr="00D940AD">
          <w:rPr>
            <w:rStyle w:val="Hyperlink"/>
            <w:rFonts w:asciiTheme="minorHAnsi" w:hAnsiTheme="minorHAnsi"/>
            <w:szCs w:val="24"/>
            <w:shd w:val="clear" w:color="auto" w:fill="FFFFFF"/>
            <w:lang w:val="en-GB"/>
          </w:rPr>
          <w:t>https://onlinelibrary.wiley.com/doi/full/10.1111/1758-5899.12871</w:t>
        </w:r>
      </w:hyperlink>
    </w:p>
    <w:p w14:paraId="54BA2DF6"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Gerba, E. and Katsoulis, P., 2022. The repo market under Basel III. </w:t>
      </w:r>
      <w:r w:rsidRPr="00D940AD">
        <w:rPr>
          <w:rFonts w:asciiTheme="minorHAnsi" w:hAnsiTheme="minorHAnsi"/>
          <w:i/>
          <w:iCs/>
          <w:color w:val="222222"/>
          <w:szCs w:val="24"/>
          <w:shd w:val="clear" w:color="auto" w:fill="FFFFFF"/>
          <w:lang w:val="en-GB"/>
        </w:rPr>
        <w:t>Available at SSRN 4394454</w:t>
      </w:r>
      <w:r w:rsidRPr="00D940AD">
        <w:rPr>
          <w:rFonts w:asciiTheme="minorHAnsi" w:hAnsiTheme="minorHAnsi"/>
          <w:color w:val="222222"/>
          <w:szCs w:val="24"/>
          <w:shd w:val="clear" w:color="auto" w:fill="FFFFFF"/>
          <w:lang w:val="en-GB"/>
        </w:rPr>
        <w:t xml:space="preserve">. </w:t>
      </w:r>
      <w:hyperlink r:id="rId31" w:history="1">
        <w:r w:rsidRPr="00D940AD">
          <w:rPr>
            <w:rStyle w:val="Hyperlink"/>
            <w:rFonts w:asciiTheme="minorHAnsi" w:hAnsiTheme="minorHAnsi"/>
            <w:szCs w:val="24"/>
            <w:shd w:val="clear" w:color="auto" w:fill="FFFFFF"/>
            <w:lang w:val="en-GB"/>
          </w:rPr>
          <w:t>https://papers.ssrn.com/sol3/papers.cfm?abstract_id=4394454</w:t>
        </w:r>
      </w:hyperlink>
    </w:p>
    <w:p w14:paraId="05820AF7" w14:textId="77777777" w:rsidR="005138F2" w:rsidRPr="00D940AD" w:rsidRDefault="005138F2" w:rsidP="00D940AD">
      <w:pPr>
        <w:rPr>
          <w:rFonts w:asciiTheme="minorHAnsi" w:hAnsiTheme="minorHAnsi"/>
          <w:szCs w:val="24"/>
          <w:lang w:val="en-GB"/>
        </w:rPr>
      </w:pPr>
      <w:r w:rsidRPr="00D940AD">
        <w:rPr>
          <w:rFonts w:asciiTheme="minorHAnsi" w:hAnsiTheme="minorHAnsi"/>
          <w:color w:val="222222"/>
          <w:szCs w:val="24"/>
          <w:shd w:val="clear" w:color="auto" w:fill="FFFFFF"/>
          <w:lang w:val="en-GB"/>
        </w:rPr>
        <w:t>Healy, J., 2019. </w:t>
      </w:r>
      <w:r w:rsidRPr="00D940AD">
        <w:rPr>
          <w:rFonts w:asciiTheme="minorHAnsi" w:hAnsiTheme="minorHAnsi"/>
          <w:i/>
          <w:iCs/>
          <w:color w:val="222222"/>
          <w:szCs w:val="24"/>
          <w:shd w:val="clear" w:color="auto" w:fill="FFFFFF"/>
          <w:lang w:val="en-GB"/>
        </w:rPr>
        <w:t xml:space="preserve">Breaking the Banks: What went wrong with Australian </w:t>
      </w:r>
      <w:proofErr w:type="gramStart"/>
      <w:r w:rsidRPr="00D940AD">
        <w:rPr>
          <w:rFonts w:asciiTheme="minorHAnsi" w:hAnsiTheme="minorHAnsi"/>
          <w:i/>
          <w:iCs/>
          <w:color w:val="222222"/>
          <w:szCs w:val="24"/>
          <w:shd w:val="clear" w:color="auto" w:fill="FFFFFF"/>
          <w:lang w:val="en-GB"/>
        </w:rPr>
        <w:t>banking?</w:t>
      </w:r>
      <w:r w:rsidRPr="00D940AD">
        <w:rPr>
          <w:rFonts w:asciiTheme="minorHAnsi" w:hAnsiTheme="minorHAnsi"/>
          <w:color w:val="222222"/>
          <w:szCs w:val="24"/>
          <w:shd w:val="clear" w:color="auto" w:fill="FFFFFF"/>
          <w:lang w:val="en-GB"/>
        </w:rPr>
        <w:t>.</w:t>
      </w:r>
      <w:proofErr w:type="gramEnd"/>
      <w:r w:rsidRPr="00D940AD">
        <w:rPr>
          <w:rFonts w:asciiTheme="minorHAnsi" w:hAnsiTheme="minorHAnsi"/>
          <w:color w:val="222222"/>
          <w:szCs w:val="24"/>
          <w:shd w:val="clear" w:color="auto" w:fill="FFFFFF"/>
          <w:lang w:val="en-GB"/>
        </w:rPr>
        <w:t xml:space="preserve"> Simon and Schuster.</w:t>
      </w:r>
    </w:p>
    <w:p w14:paraId="68EB5BFA"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Horton, R., 2021. </w:t>
      </w:r>
      <w:r w:rsidRPr="00D940AD">
        <w:rPr>
          <w:rFonts w:asciiTheme="minorHAnsi" w:hAnsiTheme="minorHAnsi"/>
          <w:i/>
          <w:iCs/>
          <w:color w:val="222222"/>
          <w:szCs w:val="24"/>
          <w:shd w:val="clear" w:color="auto" w:fill="FFFFFF"/>
          <w:lang w:val="en-GB"/>
        </w:rPr>
        <w:t>The COVID-19 catastrophe: What's gone wrong and how to stop it happening again</w:t>
      </w:r>
      <w:r w:rsidRPr="00D940AD">
        <w:rPr>
          <w:rFonts w:asciiTheme="minorHAnsi" w:hAnsiTheme="minorHAnsi"/>
          <w:color w:val="222222"/>
          <w:szCs w:val="24"/>
          <w:shd w:val="clear" w:color="auto" w:fill="FFFFFF"/>
          <w:lang w:val="en-GB"/>
        </w:rPr>
        <w:t>. John Wiley &amp; Sons.</w:t>
      </w:r>
    </w:p>
    <w:p w14:paraId="28347324" w14:textId="77777777" w:rsidR="005138F2" w:rsidRPr="00D940AD" w:rsidRDefault="005138F2" w:rsidP="00D940AD">
      <w:pPr>
        <w:rPr>
          <w:rFonts w:asciiTheme="minorHAnsi" w:hAnsiTheme="minorHAnsi"/>
          <w:szCs w:val="24"/>
          <w:lang w:val="en-GB"/>
        </w:rPr>
      </w:pPr>
      <w:r w:rsidRPr="00D940AD">
        <w:rPr>
          <w:rFonts w:asciiTheme="minorHAnsi" w:hAnsiTheme="minorHAnsi"/>
          <w:szCs w:val="24"/>
          <w:lang w:val="en-GB" w:eastAsia="en-IN"/>
        </w:rPr>
        <w:t xml:space="preserve">International Monetary Fund, 2023. </w:t>
      </w:r>
      <w:r w:rsidRPr="00D940AD">
        <w:rPr>
          <w:rFonts w:asciiTheme="minorHAnsi" w:hAnsiTheme="minorHAnsi"/>
          <w:i/>
          <w:iCs/>
          <w:szCs w:val="24"/>
          <w:lang w:val="en-GB"/>
        </w:rPr>
        <w:t>G—20 MUTUAL ASSESSMENT PROCES: FROM PITTSBURGH TO CANNES——IMF UMBRELLA REPORT</w:t>
      </w:r>
      <w:r w:rsidRPr="00D940AD">
        <w:rPr>
          <w:rFonts w:asciiTheme="minorHAnsi" w:hAnsiTheme="minorHAnsi"/>
          <w:szCs w:val="24"/>
          <w:lang w:val="en-GB"/>
        </w:rPr>
        <w:t xml:space="preserve">. [Online] Available at: </w:t>
      </w:r>
      <w:hyperlink r:id="rId32" w:history="1">
        <w:r w:rsidRPr="00D940AD">
          <w:rPr>
            <w:rStyle w:val="Hyperlink"/>
            <w:rFonts w:asciiTheme="minorHAnsi" w:hAnsiTheme="minorHAnsi"/>
            <w:szCs w:val="24"/>
            <w:lang w:val="en-GB"/>
          </w:rPr>
          <w:t>https://www.imf.org/external/np/g20/pdf/map2011/umbrella.pdf</w:t>
        </w:r>
      </w:hyperlink>
      <w:r w:rsidRPr="00D940AD">
        <w:rPr>
          <w:rFonts w:asciiTheme="minorHAnsi" w:hAnsiTheme="minorHAnsi"/>
          <w:szCs w:val="24"/>
          <w:lang w:val="en-GB"/>
        </w:rPr>
        <w:t xml:space="preserve">  [Accessed 10 August 2023]. </w:t>
      </w:r>
    </w:p>
    <w:p w14:paraId="7F320670"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Kovas, A., 2015. </w:t>
      </w:r>
      <w:r w:rsidRPr="00D940AD">
        <w:rPr>
          <w:rFonts w:asciiTheme="minorHAnsi" w:hAnsiTheme="minorHAnsi"/>
          <w:i/>
          <w:iCs/>
          <w:color w:val="222222"/>
          <w:szCs w:val="24"/>
          <w:shd w:val="clear" w:color="auto" w:fill="FFFFFF"/>
          <w:lang w:val="en-GB"/>
        </w:rPr>
        <w:t>Understanding the financial conduct authority: a guide for senior managers</w:t>
      </w:r>
      <w:r w:rsidRPr="00D940AD">
        <w:rPr>
          <w:rFonts w:asciiTheme="minorHAnsi" w:hAnsiTheme="minorHAnsi"/>
          <w:color w:val="222222"/>
          <w:szCs w:val="24"/>
          <w:shd w:val="clear" w:color="auto" w:fill="FFFFFF"/>
          <w:lang w:val="en-GB"/>
        </w:rPr>
        <w:t xml:space="preserve">. </w:t>
      </w:r>
      <w:proofErr w:type="spellStart"/>
      <w:r w:rsidRPr="00D940AD">
        <w:rPr>
          <w:rFonts w:asciiTheme="minorHAnsi" w:hAnsiTheme="minorHAnsi"/>
          <w:color w:val="222222"/>
          <w:szCs w:val="24"/>
          <w:shd w:val="clear" w:color="auto" w:fill="FFFFFF"/>
          <w:lang w:val="en-GB"/>
        </w:rPr>
        <w:t>Troubador</w:t>
      </w:r>
      <w:proofErr w:type="spellEnd"/>
      <w:r w:rsidRPr="00D940AD">
        <w:rPr>
          <w:rFonts w:asciiTheme="minorHAnsi" w:hAnsiTheme="minorHAnsi"/>
          <w:color w:val="222222"/>
          <w:szCs w:val="24"/>
          <w:shd w:val="clear" w:color="auto" w:fill="FFFFFF"/>
          <w:lang w:val="en-GB"/>
        </w:rPr>
        <w:t xml:space="preserve"> Publishing Ltd.</w:t>
      </w:r>
    </w:p>
    <w:p w14:paraId="3D2DF923"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 xml:space="preserve">Kumar, S., 2020. Cost of Remittance: A Priority Area for G20 Member Countries. </w:t>
      </w:r>
      <w:hyperlink r:id="rId33" w:history="1">
        <w:r w:rsidRPr="00D940AD">
          <w:rPr>
            <w:rStyle w:val="Hyperlink"/>
            <w:rFonts w:asciiTheme="minorHAnsi" w:hAnsiTheme="minorHAnsi"/>
            <w:szCs w:val="24"/>
            <w:shd w:val="clear" w:color="auto" w:fill="FFFFFF"/>
            <w:lang w:val="en-GB"/>
          </w:rPr>
          <w:t>https://ris.org.in/sites/default/files/Publication/DP-281-Dr-Sushil-Kumar.pdf</w:t>
        </w:r>
      </w:hyperlink>
    </w:p>
    <w:p w14:paraId="27BB96B2"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 xml:space="preserve">Lapin, M.I.X., 2021. EXPOSÉ OF THE DISSERTATION. </w:t>
      </w:r>
      <w:hyperlink r:id="rId34" w:history="1">
        <w:r w:rsidRPr="00D940AD">
          <w:rPr>
            <w:rStyle w:val="Hyperlink"/>
            <w:rFonts w:asciiTheme="minorHAnsi" w:hAnsiTheme="minorHAnsi"/>
            <w:szCs w:val="24"/>
            <w:shd w:val="clear" w:color="auto" w:fill="FFFFFF"/>
            <w:lang w:val="en-GB"/>
          </w:rPr>
          <w:t>https://ssc-rechtswissenschaften.univie.ac.at/fileadmin/user_upload/s_rechtswissenschaft_neu/Neu/Doktorat_Expose/Expose1/Voelkerrecht/The_Impact_of_Margin_Requirements_for_Non-Centrally_Cleared_Derivatives.pdf</w:t>
        </w:r>
      </w:hyperlink>
    </w:p>
    <w:p w14:paraId="6291027A" w14:textId="77777777" w:rsidR="005138F2" w:rsidRPr="00D940AD" w:rsidRDefault="005138F2" w:rsidP="00D940AD">
      <w:pPr>
        <w:rPr>
          <w:rFonts w:asciiTheme="minorHAnsi" w:hAnsiTheme="minorHAnsi"/>
          <w:szCs w:val="24"/>
          <w:lang w:val="en-GB"/>
        </w:rPr>
      </w:pPr>
      <w:r w:rsidRPr="00D940AD">
        <w:rPr>
          <w:rFonts w:asciiTheme="minorHAnsi" w:hAnsiTheme="minorHAnsi"/>
          <w:szCs w:val="24"/>
          <w:lang w:val="en-GB"/>
        </w:rPr>
        <w:lastRenderedPageBreak/>
        <w:t xml:space="preserve">Legislation.gov.uk. 2012. </w:t>
      </w:r>
      <w:r w:rsidRPr="00D940AD">
        <w:rPr>
          <w:rFonts w:asciiTheme="minorHAnsi" w:hAnsiTheme="minorHAnsi"/>
          <w:i/>
          <w:iCs/>
          <w:szCs w:val="24"/>
          <w:lang w:val="en-GB"/>
        </w:rPr>
        <w:t>Financial Services Act 2012</w:t>
      </w:r>
      <w:r w:rsidRPr="00D940AD">
        <w:rPr>
          <w:rFonts w:asciiTheme="minorHAnsi" w:hAnsiTheme="minorHAnsi"/>
          <w:szCs w:val="24"/>
          <w:lang w:val="en-GB"/>
        </w:rPr>
        <w:t xml:space="preserve">. [Online] Available at: </w:t>
      </w:r>
      <w:hyperlink r:id="rId35" w:history="1">
        <w:r w:rsidRPr="00D940AD">
          <w:rPr>
            <w:rStyle w:val="Hyperlink"/>
            <w:rFonts w:asciiTheme="minorHAnsi" w:hAnsiTheme="minorHAnsi"/>
            <w:szCs w:val="24"/>
            <w:lang w:val="en-GB"/>
          </w:rPr>
          <w:t>https://www.legislation.gov.uk/ukpga/2012/21/contents/enacted</w:t>
        </w:r>
      </w:hyperlink>
      <w:r w:rsidRPr="00D940AD">
        <w:rPr>
          <w:rFonts w:asciiTheme="minorHAnsi" w:hAnsiTheme="minorHAnsi"/>
          <w:szCs w:val="24"/>
          <w:lang w:val="en-GB"/>
        </w:rPr>
        <w:t xml:space="preserve"> [accessed 10 August 2023].</w:t>
      </w:r>
    </w:p>
    <w:p w14:paraId="7018FE06" w14:textId="77777777" w:rsidR="005138F2" w:rsidRPr="00D940AD" w:rsidRDefault="005138F2" w:rsidP="00D940AD">
      <w:pPr>
        <w:rPr>
          <w:rFonts w:asciiTheme="minorHAnsi" w:hAnsiTheme="minorHAnsi"/>
          <w:szCs w:val="24"/>
          <w:lang w:val="en-GB"/>
        </w:rPr>
      </w:pPr>
      <w:r w:rsidRPr="00D940AD">
        <w:rPr>
          <w:rFonts w:asciiTheme="minorHAnsi" w:hAnsiTheme="minorHAnsi"/>
          <w:szCs w:val="24"/>
          <w:lang w:val="en-GB"/>
        </w:rPr>
        <w:t xml:space="preserve">Legislation.gov.uk. 2016. </w:t>
      </w:r>
      <w:r w:rsidRPr="00D940AD">
        <w:rPr>
          <w:rFonts w:asciiTheme="minorHAnsi" w:hAnsiTheme="minorHAnsi"/>
          <w:i/>
          <w:iCs/>
          <w:szCs w:val="24"/>
          <w:lang w:val="en-GB"/>
        </w:rPr>
        <w:t>Bank of England and Financial Services Act 2016</w:t>
      </w:r>
      <w:r w:rsidRPr="00D940AD">
        <w:rPr>
          <w:rFonts w:asciiTheme="minorHAnsi" w:hAnsiTheme="minorHAnsi"/>
          <w:szCs w:val="24"/>
          <w:lang w:val="en-GB"/>
        </w:rPr>
        <w:t xml:space="preserve">. [Online] Available at: </w:t>
      </w:r>
      <w:hyperlink r:id="rId36" w:history="1">
        <w:r w:rsidRPr="00D940AD">
          <w:rPr>
            <w:rStyle w:val="Hyperlink"/>
            <w:rFonts w:asciiTheme="minorHAnsi" w:hAnsiTheme="minorHAnsi"/>
            <w:szCs w:val="24"/>
            <w:lang w:val="en-GB"/>
          </w:rPr>
          <w:t>https://www.legislation.gov.uk/ukpga/2016/14/contents/enacted</w:t>
        </w:r>
      </w:hyperlink>
      <w:r w:rsidRPr="00D940AD">
        <w:rPr>
          <w:rFonts w:asciiTheme="minorHAnsi" w:hAnsiTheme="minorHAnsi"/>
          <w:szCs w:val="24"/>
          <w:lang w:val="en-GB"/>
        </w:rPr>
        <w:t xml:space="preserve"> [accessed 10 August 2023].</w:t>
      </w:r>
    </w:p>
    <w:p w14:paraId="09D6281D"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Lloyd, J., 2021. </w:t>
      </w:r>
      <w:r w:rsidRPr="00D940AD">
        <w:rPr>
          <w:rFonts w:asciiTheme="minorHAnsi" w:hAnsiTheme="minorHAnsi"/>
          <w:i/>
          <w:iCs/>
          <w:color w:val="222222"/>
          <w:szCs w:val="24"/>
          <w:shd w:val="clear" w:color="auto" w:fill="FFFFFF"/>
          <w:lang w:val="en-GB"/>
        </w:rPr>
        <w:t>Impacts of a new harmonised regulatory index on a small open–economy DSGE model of UK regulation</w:t>
      </w:r>
      <w:r w:rsidRPr="00D940AD">
        <w:rPr>
          <w:rFonts w:asciiTheme="minorHAnsi" w:hAnsiTheme="minorHAnsi"/>
          <w:color w:val="222222"/>
          <w:szCs w:val="24"/>
          <w:shd w:val="clear" w:color="auto" w:fill="FFFFFF"/>
          <w:lang w:val="en-GB"/>
        </w:rPr>
        <w:t xml:space="preserve"> (Doctoral dissertation, Cardiff University). </w:t>
      </w:r>
      <w:hyperlink r:id="rId37" w:history="1">
        <w:r w:rsidRPr="00D940AD">
          <w:rPr>
            <w:rStyle w:val="Hyperlink"/>
            <w:rFonts w:asciiTheme="minorHAnsi" w:hAnsiTheme="minorHAnsi"/>
            <w:szCs w:val="24"/>
            <w:shd w:val="clear" w:color="auto" w:fill="FFFFFF"/>
            <w:lang w:val="en-GB"/>
          </w:rPr>
          <w:t>https://orca.cardiff.ac.uk/id/eprint/145518/</w:t>
        </w:r>
      </w:hyperlink>
    </w:p>
    <w:p w14:paraId="77CDA4CB"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Marano, P., 2021. The Contribution of Product Oversight and Governance (POG) to the Single Market: a set of organisational rules for business conduct. </w:t>
      </w:r>
      <w:r w:rsidRPr="00D940AD">
        <w:rPr>
          <w:rFonts w:asciiTheme="minorHAnsi" w:hAnsiTheme="minorHAnsi"/>
          <w:i/>
          <w:iCs/>
          <w:color w:val="222222"/>
          <w:szCs w:val="24"/>
          <w:shd w:val="clear" w:color="auto" w:fill="FFFFFF"/>
          <w:lang w:val="en-GB"/>
        </w:rPr>
        <w:t>Insurance distribution directive: a legal analysis</w:t>
      </w:r>
      <w:r w:rsidRPr="00D940AD">
        <w:rPr>
          <w:rFonts w:asciiTheme="minorHAnsi" w:hAnsiTheme="minorHAnsi"/>
          <w:color w:val="222222"/>
          <w:szCs w:val="24"/>
          <w:shd w:val="clear" w:color="auto" w:fill="FFFFFF"/>
          <w:lang w:val="en-GB"/>
        </w:rPr>
        <w:t xml:space="preserve">, pp.55-74. </w:t>
      </w:r>
      <w:hyperlink r:id="rId38" w:anchor="page=66" w:history="1">
        <w:r w:rsidRPr="00D940AD">
          <w:rPr>
            <w:rStyle w:val="Hyperlink"/>
            <w:rFonts w:asciiTheme="minorHAnsi" w:hAnsiTheme="minorHAnsi"/>
            <w:szCs w:val="24"/>
            <w:shd w:val="clear" w:color="auto" w:fill="FFFFFF"/>
            <w:lang w:val="en-GB"/>
          </w:rPr>
          <w:t>https://library.oapen.org/bitstream/handle/20.500.12657/43280/2021_Book_InsuranceDistributionDirective.pdf?sequence=1#page=66</w:t>
        </w:r>
      </w:hyperlink>
    </w:p>
    <w:p w14:paraId="2737EBCB"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Meier, H.B., Marthinsen, J.E., Gantenbein, P.A. and Weber, S.S., 2023. Swiss Derivative Markets. In </w:t>
      </w:r>
      <w:r w:rsidRPr="00D940AD">
        <w:rPr>
          <w:rFonts w:asciiTheme="minorHAnsi" w:hAnsiTheme="minorHAnsi"/>
          <w:i/>
          <w:iCs/>
          <w:color w:val="222222"/>
          <w:szCs w:val="24"/>
          <w:shd w:val="clear" w:color="auto" w:fill="FFFFFF"/>
          <w:lang w:val="en-GB"/>
        </w:rPr>
        <w:t>Swiss Finance: Banking, Finance, and Digitalization</w:t>
      </w:r>
      <w:r w:rsidRPr="00D940AD">
        <w:rPr>
          <w:rFonts w:asciiTheme="minorHAnsi" w:hAnsiTheme="minorHAnsi"/>
          <w:color w:val="222222"/>
          <w:szCs w:val="24"/>
          <w:shd w:val="clear" w:color="auto" w:fill="FFFFFF"/>
          <w:lang w:val="en-GB"/>
        </w:rPr>
        <w:t xml:space="preserve"> (pp. 501-526). Cham: Springer International Publishing. </w:t>
      </w:r>
      <w:hyperlink r:id="rId39" w:history="1">
        <w:r w:rsidRPr="00D940AD">
          <w:rPr>
            <w:rStyle w:val="Hyperlink"/>
            <w:rFonts w:asciiTheme="minorHAnsi" w:hAnsiTheme="minorHAnsi"/>
            <w:szCs w:val="24"/>
            <w:shd w:val="clear" w:color="auto" w:fill="FFFFFF"/>
            <w:lang w:val="en-GB"/>
          </w:rPr>
          <w:t>https://link.springer.com/chapter/10.1007/978-3-031-23194-0_10</w:t>
        </w:r>
      </w:hyperlink>
    </w:p>
    <w:p w14:paraId="275DA1E4"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 xml:space="preserve">Mustary, T., 2021. Implementation of Basel III accords in Mutual Trust Bank: </w:t>
      </w:r>
      <w:proofErr w:type="gramStart"/>
      <w:r w:rsidRPr="00D940AD">
        <w:rPr>
          <w:rFonts w:asciiTheme="minorHAnsi" w:hAnsiTheme="minorHAnsi"/>
          <w:color w:val="222222"/>
          <w:szCs w:val="24"/>
          <w:shd w:val="clear" w:color="auto" w:fill="FFFFFF"/>
          <w:lang w:val="en-GB"/>
        </w:rPr>
        <w:t>risk based</w:t>
      </w:r>
      <w:proofErr w:type="gramEnd"/>
      <w:r w:rsidRPr="00D940AD">
        <w:rPr>
          <w:rFonts w:asciiTheme="minorHAnsi" w:hAnsiTheme="minorHAnsi"/>
          <w:color w:val="222222"/>
          <w:szCs w:val="24"/>
          <w:shd w:val="clear" w:color="auto" w:fill="FFFFFF"/>
          <w:lang w:val="en-GB"/>
        </w:rPr>
        <w:t xml:space="preserve"> capital adequacy ratios requirement of Bangladesh Bank. </w:t>
      </w:r>
      <w:hyperlink r:id="rId40" w:history="1">
        <w:r w:rsidRPr="00D940AD">
          <w:rPr>
            <w:rStyle w:val="Hyperlink"/>
            <w:rFonts w:asciiTheme="minorHAnsi" w:hAnsiTheme="minorHAnsi"/>
            <w:szCs w:val="24"/>
            <w:shd w:val="clear" w:color="auto" w:fill="FFFFFF"/>
            <w:lang w:val="en-GB"/>
          </w:rPr>
          <w:t>https://dspace.bracu.ac.bd/xmlui/handle/10361/16232</w:t>
        </w:r>
      </w:hyperlink>
    </w:p>
    <w:p w14:paraId="4E1864D2" w14:textId="77777777" w:rsidR="005138F2" w:rsidRPr="00D940AD" w:rsidRDefault="005138F2" w:rsidP="00D940AD">
      <w:pPr>
        <w:rPr>
          <w:rFonts w:asciiTheme="minorHAnsi" w:hAnsiTheme="minorHAnsi"/>
          <w:szCs w:val="24"/>
          <w:lang w:val="en-GB"/>
        </w:rPr>
      </w:pPr>
      <w:r w:rsidRPr="00D940AD">
        <w:rPr>
          <w:rFonts w:asciiTheme="minorHAnsi" w:hAnsiTheme="minorHAnsi"/>
          <w:szCs w:val="24"/>
          <w:lang w:val="en-GB"/>
        </w:rPr>
        <w:t xml:space="preserve">NatWest Group, 2023. NatWest Group plc 2022 Annual Report and Accounts. [Online] Available at: </w:t>
      </w:r>
      <w:hyperlink r:id="rId41" w:history="1">
        <w:r w:rsidRPr="00D940AD">
          <w:rPr>
            <w:rStyle w:val="Hyperlink"/>
            <w:rFonts w:asciiTheme="minorHAnsi" w:hAnsiTheme="minorHAnsi"/>
            <w:szCs w:val="24"/>
            <w:lang w:val="en-GB"/>
          </w:rPr>
          <w:t>https://investors.natwestgroup.com/~/media/Files/R/RBS-IR-V2/results-center/17022023/nwg-annual-report-and-accounts.pdf</w:t>
        </w:r>
      </w:hyperlink>
      <w:r w:rsidRPr="00D940AD">
        <w:rPr>
          <w:rFonts w:asciiTheme="minorHAnsi" w:hAnsiTheme="minorHAnsi"/>
          <w:szCs w:val="24"/>
          <w:lang w:val="en-GB"/>
        </w:rPr>
        <w:t xml:space="preserve"> [Accessed 10 August 2023]. </w:t>
      </w:r>
    </w:p>
    <w:p w14:paraId="18E0A096" w14:textId="77777777" w:rsidR="005138F2" w:rsidRPr="00D940AD" w:rsidRDefault="005138F2" w:rsidP="00D940AD">
      <w:pPr>
        <w:pStyle w:val="NormalWeb"/>
        <w:shd w:val="clear" w:color="auto" w:fill="FFFFFF"/>
        <w:spacing w:before="0" w:beforeAutospacing="0" w:after="160" w:afterAutospacing="0" w:line="360" w:lineRule="auto"/>
        <w:jc w:val="both"/>
        <w:rPr>
          <w:rFonts w:asciiTheme="minorHAnsi" w:hAnsiTheme="minorHAnsi" w:cstheme="minorHAnsi"/>
          <w:color w:val="000000"/>
          <w:lang w:val="en-GB"/>
        </w:rPr>
      </w:pPr>
      <w:r w:rsidRPr="00D940AD">
        <w:rPr>
          <w:rFonts w:asciiTheme="minorHAnsi" w:hAnsiTheme="minorHAnsi" w:cstheme="minorHAnsi"/>
          <w:color w:val="000000"/>
          <w:lang w:val="en-GB"/>
        </w:rPr>
        <w:t>NatWest Group, 2023. </w:t>
      </w:r>
      <w:r w:rsidRPr="00D940AD">
        <w:rPr>
          <w:rFonts w:asciiTheme="minorHAnsi" w:hAnsiTheme="minorHAnsi" w:cstheme="minorHAnsi"/>
          <w:i/>
          <w:iCs/>
          <w:color w:val="000000"/>
          <w:lang w:val="en-GB"/>
        </w:rPr>
        <w:t>Chairman Howard Davies looks back at the financial crisis</w:t>
      </w:r>
      <w:r w:rsidRPr="00D940AD">
        <w:rPr>
          <w:rFonts w:asciiTheme="minorHAnsi" w:hAnsiTheme="minorHAnsi" w:cstheme="minorHAnsi"/>
          <w:color w:val="000000"/>
          <w:lang w:val="en-GB"/>
        </w:rPr>
        <w:t xml:space="preserve">. [online] www.natwestgroup.com. Available at: </w:t>
      </w:r>
      <w:hyperlink r:id="rId42" w:history="1">
        <w:r w:rsidRPr="00D940AD">
          <w:rPr>
            <w:rStyle w:val="Hyperlink"/>
            <w:rFonts w:asciiTheme="minorHAnsi" w:hAnsiTheme="minorHAnsi" w:cstheme="minorHAnsi"/>
            <w:lang w:val="en-GB"/>
          </w:rPr>
          <w:t>https://www.natwestgroup.com/news-and-insights/feature-content/our-updates/2011-2020/chairman_howard_davies_looks_back_at_the_financial_crisis.html</w:t>
        </w:r>
      </w:hyperlink>
      <w:r w:rsidRPr="00D940AD">
        <w:rPr>
          <w:rFonts w:asciiTheme="minorHAnsi" w:hAnsiTheme="minorHAnsi" w:cstheme="minorHAnsi"/>
          <w:color w:val="000000"/>
          <w:lang w:val="en-GB"/>
        </w:rPr>
        <w:t xml:space="preserve"> [Accessed 7 August 2023].</w:t>
      </w:r>
    </w:p>
    <w:p w14:paraId="7C7D5B3A" w14:textId="77777777" w:rsidR="005138F2" w:rsidRPr="00D940AD" w:rsidRDefault="005138F2" w:rsidP="00D940AD">
      <w:pPr>
        <w:pStyle w:val="NormalWeb"/>
        <w:shd w:val="clear" w:color="auto" w:fill="FFFFFF"/>
        <w:spacing w:before="0" w:beforeAutospacing="0" w:after="160" w:afterAutospacing="0" w:line="360" w:lineRule="auto"/>
        <w:jc w:val="both"/>
        <w:rPr>
          <w:rFonts w:asciiTheme="minorHAnsi" w:hAnsiTheme="minorHAnsi" w:cstheme="minorHAnsi"/>
          <w:color w:val="000000"/>
          <w:lang w:val="en-GB"/>
        </w:rPr>
      </w:pPr>
      <w:r w:rsidRPr="00D940AD">
        <w:rPr>
          <w:rFonts w:asciiTheme="minorHAnsi" w:hAnsiTheme="minorHAnsi" w:cstheme="minorHAnsi"/>
          <w:color w:val="000000"/>
          <w:lang w:val="en-GB"/>
        </w:rPr>
        <w:lastRenderedPageBreak/>
        <w:t>OBR, 2019. </w:t>
      </w:r>
      <w:r w:rsidRPr="00D940AD">
        <w:rPr>
          <w:rFonts w:asciiTheme="minorHAnsi" w:hAnsiTheme="minorHAnsi" w:cstheme="minorHAnsi"/>
          <w:i/>
          <w:iCs/>
          <w:color w:val="000000"/>
          <w:lang w:val="en-GB"/>
        </w:rPr>
        <w:t>The Government’s regulatory response to the financial crisis - Office for Budget Responsibility</w:t>
      </w:r>
      <w:r w:rsidRPr="00D940AD">
        <w:rPr>
          <w:rFonts w:asciiTheme="minorHAnsi" w:hAnsiTheme="minorHAnsi" w:cstheme="minorHAnsi"/>
          <w:color w:val="000000"/>
          <w:lang w:val="en-GB"/>
        </w:rPr>
        <w:t xml:space="preserve">. [online] Office for Budget Responsibility. Available at: </w:t>
      </w:r>
      <w:hyperlink r:id="rId43" w:history="1">
        <w:r w:rsidRPr="00D940AD">
          <w:rPr>
            <w:rStyle w:val="Hyperlink"/>
            <w:rFonts w:asciiTheme="minorHAnsi" w:hAnsiTheme="minorHAnsi" w:cstheme="minorHAnsi"/>
            <w:lang w:val="en-GB"/>
          </w:rPr>
          <w:t>https://obr.uk/box/the-governments-regulatory-response-to-the-financial-crisis/</w:t>
        </w:r>
      </w:hyperlink>
      <w:r w:rsidRPr="00D940AD">
        <w:rPr>
          <w:rFonts w:asciiTheme="minorHAnsi" w:hAnsiTheme="minorHAnsi" w:cstheme="minorHAnsi"/>
          <w:color w:val="000000"/>
          <w:lang w:val="en-GB"/>
        </w:rPr>
        <w:t xml:space="preserve"> [Accessed 7 August 2023].</w:t>
      </w:r>
    </w:p>
    <w:p w14:paraId="7021BDDF"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Park, H. and Kim, J.D., 2020. Transition towards green banking: role of financial regulators and financial institutions. </w:t>
      </w:r>
      <w:r w:rsidRPr="00D940AD">
        <w:rPr>
          <w:rFonts w:asciiTheme="minorHAnsi" w:hAnsiTheme="minorHAnsi"/>
          <w:i/>
          <w:iCs/>
          <w:color w:val="222222"/>
          <w:szCs w:val="24"/>
          <w:shd w:val="clear" w:color="auto" w:fill="FFFFFF"/>
          <w:lang w:val="en-GB"/>
        </w:rPr>
        <w:t>Asian Journal of Sustainability and Social Responsibility</w:t>
      </w:r>
      <w:r w:rsidRPr="00D940AD">
        <w:rPr>
          <w:rFonts w:asciiTheme="minorHAnsi" w:hAnsiTheme="minorHAnsi"/>
          <w:color w:val="222222"/>
          <w:szCs w:val="24"/>
          <w:shd w:val="clear" w:color="auto" w:fill="FFFFFF"/>
          <w:lang w:val="en-GB"/>
        </w:rPr>
        <w:t>, </w:t>
      </w:r>
      <w:r w:rsidRPr="00D940AD">
        <w:rPr>
          <w:rFonts w:asciiTheme="minorHAnsi" w:hAnsiTheme="minorHAnsi"/>
          <w:i/>
          <w:iCs/>
          <w:color w:val="222222"/>
          <w:szCs w:val="24"/>
          <w:shd w:val="clear" w:color="auto" w:fill="FFFFFF"/>
          <w:lang w:val="en-GB"/>
        </w:rPr>
        <w:t>5</w:t>
      </w:r>
      <w:r w:rsidRPr="00D940AD">
        <w:rPr>
          <w:rFonts w:asciiTheme="minorHAnsi" w:hAnsiTheme="minorHAnsi"/>
          <w:color w:val="222222"/>
          <w:szCs w:val="24"/>
          <w:shd w:val="clear" w:color="auto" w:fill="FFFFFF"/>
          <w:lang w:val="en-GB"/>
        </w:rPr>
        <w:t xml:space="preserve">(1), pp.1-25. </w:t>
      </w:r>
      <w:hyperlink r:id="rId44" w:history="1">
        <w:r w:rsidRPr="00D940AD">
          <w:rPr>
            <w:rStyle w:val="Hyperlink"/>
            <w:rFonts w:asciiTheme="minorHAnsi" w:hAnsiTheme="minorHAnsi"/>
            <w:szCs w:val="24"/>
            <w:shd w:val="clear" w:color="auto" w:fill="FFFFFF"/>
            <w:lang w:val="en-GB"/>
          </w:rPr>
          <w:t>https://link.springer.com/article/10.1186/s41180-020-00034-3</w:t>
        </w:r>
      </w:hyperlink>
    </w:p>
    <w:p w14:paraId="597E1350"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Pham, R. and Ausloos, M., 2022. Insider trading in the run‐up to merger announcements. Before and after the UK's Financial Services Act 2012. </w:t>
      </w:r>
      <w:r w:rsidRPr="00D940AD">
        <w:rPr>
          <w:rFonts w:asciiTheme="minorHAnsi" w:hAnsiTheme="minorHAnsi"/>
          <w:i/>
          <w:iCs/>
          <w:color w:val="222222"/>
          <w:szCs w:val="24"/>
          <w:shd w:val="clear" w:color="auto" w:fill="FFFFFF"/>
          <w:lang w:val="en-GB"/>
        </w:rPr>
        <w:t>International Journal of Finance &amp; Economics</w:t>
      </w:r>
      <w:r w:rsidRPr="00D940AD">
        <w:rPr>
          <w:rFonts w:asciiTheme="minorHAnsi" w:hAnsiTheme="minorHAnsi"/>
          <w:color w:val="222222"/>
          <w:szCs w:val="24"/>
          <w:shd w:val="clear" w:color="auto" w:fill="FFFFFF"/>
          <w:lang w:val="en-GB"/>
        </w:rPr>
        <w:t>, </w:t>
      </w:r>
      <w:r w:rsidRPr="00D940AD">
        <w:rPr>
          <w:rFonts w:asciiTheme="minorHAnsi" w:hAnsiTheme="minorHAnsi"/>
          <w:i/>
          <w:iCs/>
          <w:color w:val="222222"/>
          <w:szCs w:val="24"/>
          <w:shd w:val="clear" w:color="auto" w:fill="FFFFFF"/>
          <w:lang w:val="en-GB"/>
        </w:rPr>
        <w:t>27</w:t>
      </w:r>
      <w:r w:rsidRPr="00D940AD">
        <w:rPr>
          <w:rFonts w:asciiTheme="minorHAnsi" w:hAnsiTheme="minorHAnsi"/>
          <w:color w:val="222222"/>
          <w:szCs w:val="24"/>
          <w:shd w:val="clear" w:color="auto" w:fill="FFFFFF"/>
          <w:lang w:val="en-GB"/>
        </w:rPr>
        <w:t xml:space="preserve">(3), pp.3373-3385. </w:t>
      </w:r>
      <w:hyperlink r:id="rId45" w:history="1">
        <w:r w:rsidRPr="00D940AD">
          <w:rPr>
            <w:rStyle w:val="Hyperlink"/>
            <w:rFonts w:asciiTheme="minorHAnsi" w:hAnsiTheme="minorHAnsi"/>
            <w:szCs w:val="24"/>
            <w:shd w:val="clear" w:color="auto" w:fill="FFFFFF"/>
            <w:lang w:val="en-GB"/>
          </w:rPr>
          <w:t>https://onlinelibrary.wiley.com/doi/full/10.1002/ijfe.2325</w:t>
        </w:r>
      </w:hyperlink>
    </w:p>
    <w:p w14:paraId="54B7D547"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Piffer, M., 2023. Banks’ Leverage Evolution: The Case of Commercial Banks. </w:t>
      </w:r>
      <w:r w:rsidRPr="00D940AD">
        <w:rPr>
          <w:rFonts w:asciiTheme="minorHAnsi" w:hAnsiTheme="minorHAnsi"/>
          <w:i/>
          <w:iCs/>
          <w:color w:val="222222"/>
          <w:szCs w:val="24"/>
          <w:shd w:val="clear" w:color="auto" w:fill="FFFFFF"/>
          <w:lang w:val="en-GB"/>
        </w:rPr>
        <w:t>Mathematics</w:t>
      </w:r>
      <w:r w:rsidRPr="00D940AD">
        <w:rPr>
          <w:rFonts w:asciiTheme="minorHAnsi" w:hAnsiTheme="minorHAnsi"/>
          <w:color w:val="222222"/>
          <w:szCs w:val="24"/>
          <w:shd w:val="clear" w:color="auto" w:fill="FFFFFF"/>
          <w:lang w:val="en-GB"/>
        </w:rPr>
        <w:t>, </w:t>
      </w:r>
      <w:r w:rsidRPr="00D940AD">
        <w:rPr>
          <w:rFonts w:asciiTheme="minorHAnsi" w:hAnsiTheme="minorHAnsi"/>
          <w:i/>
          <w:iCs/>
          <w:color w:val="222222"/>
          <w:szCs w:val="24"/>
          <w:shd w:val="clear" w:color="auto" w:fill="FFFFFF"/>
          <w:lang w:val="en-GB"/>
        </w:rPr>
        <w:t>11</w:t>
      </w:r>
      <w:r w:rsidRPr="00D940AD">
        <w:rPr>
          <w:rFonts w:asciiTheme="minorHAnsi" w:hAnsiTheme="minorHAnsi"/>
          <w:color w:val="222222"/>
          <w:szCs w:val="24"/>
          <w:shd w:val="clear" w:color="auto" w:fill="FFFFFF"/>
          <w:lang w:val="en-GB"/>
        </w:rPr>
        <w:t xml:space="preserve">(13), p.2860. </w:t>
      </w:r>
      <w:hyperlink r:id="rId46" w:history="1">
        <w:r w:rsidRPr="00D940AD">
          <w:rPr>
            <w:rStyle w:val="Hyperlink"/>
            <w:rFonts w:asciiTheme="minorHAnsi" w:hAnsiTheme="minorHAnsi"/>
            <w:szCs w:val="24"/>
            <w:shd w:val="clear" w:color="auto" w:fill="FFFFFF"/>
            <w:lang w:val="en-GB"/>
          </w:rPr>
          <w:t>https://www.mdpi.com/2227-7390/11/13/2860</w:t>
        </w:r>
      </w:hyperlink>
    </w:p>
    <w:p w14:paraId="2B7DF03E"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PLC, M.B., 2020. COVID-19. </w:t>
      </w:r>
      <w:r w:rsidRPr="00D940AD">
        <w:rPr>
          <w:rFonts w:asciiTheme="minorHAnsi" w:hAnsiTheme="minorHAnsi"/>
          <w:i/>
          <w:iCs/>
          <w:color w:val="222222"/>
          <w:szCs w:val="24"/>
          <w:shd w:val="clear" w:color="auto" w:fill="FFFFFF"/>
          <w:lang w:val="en-GB"/>
        </w:rPr>
        <w:t>Change</w:t>
      </w:r>
      <w:r w:rsidRPr="00D940AD">
        <w:rPr>
          <w:rFonts w:asciiTheme="minorHAnsi" w:hAnsiTheme="minorHAnsi"/>
          <w:color w:val="222222"/>
          <w:szCs w:val="24"/>
          <w:shd w:val="clear" w:color="auto" w:fill="FFFFFF"/>
          <w:lang w:val="en-GB"/>
        </w:rPr>
        <w:t>, </w:t>
      </w:r>
      <w:r w:rsidRPr="00D940AD">
        <w:rPr>
          <w:rFonts w:asciiTheme="minorHAnsi" w:hAnsiTheme="minorHAnsi"/>
          <w:i/>
          <w:iCs/>
          <w:color w:val="222222"/>
          <w:szCs w:val="24"/>
          <w:shd w:val="clear" w:color="auto" w:fill="FFFFFF"/>
          <w:lang w:val="en-GB"/>
        </w:rPr>
        <w:t>31</w:t>
      </w:r>
      <w:r w:rsidRPr="00D940AD">
        <w:rPr>
          <w:rFonts w:asciiTheme="minorHAnsi" w:hAnsiTheme="minorHAnsi"/>
          <w:color w:val="222222"/>
          <w:szCs w:val="24"/>
          <w:shd w:val="clear" w:color="auto" w:fill="FFFFFF"/>
          <w:lang w:val="en-GB"/>
        </w:rPr>
        <w:t xml:space="preserve">, p.31. </w:t>
      </w:r>
      <w:hyperlink r:id="rId47" w:history="1">
        <w:r w:rsidRPr="00D940AD">
          <w:rPr>
            <w:rStyle w:val="Hyperlink"/>
            <w:rFonts w:asciiTheme="minorHAnsi" w:hAnsiTheme="minorHAnsi"/>
            <w:szCs w:val="24"/>
            <w:shd w:val="clear" w:color="auto" w:fill="FFFFFF"/>
            <w:lang w:val="en-GB"/>
          </w:rPr>
          <w:t>https://uploads4.craft.co/uploads/source/document/894144/51db08d7dcfe5da3.pdf</w:t>
        </w:r>
      </w:hyperlink>
    </w:p>
    <w:p w14:paraId="19764022" w14:textId="77777777" w:rsidR="005138F2" w:rsidRPr="00D940AD" w:rsidRDefault="005138F2" w:rsidP="00D940AD">
      <w:pPr>
        <w:rPr>
          <w:rFonts w:asciiTheme="minorHAnsi" w:hAnsiTheme="minorHAnsi"/>
          <w:lang w:val="en-GB"/>
        </w:rPr>
      </w:pPr>
      <w:r w:rsidRPr="00D940AD">
        <w:rPr>
          <w:rFonts w:asciiTheme="minorHAnsi" w:hAnsiTheme="minorHAnsi"/>
          <w:lang w:val="en-GB"/>
        </w:rPr>
        <w:t xml:space="preserve">Prajapati, N., 2018. </w:t>
      </w:r>
      <w:r w:rsidRPr="00D940AD">
        <w:rPr>
          <w:rFonts w:asciiTheme="minorHAnsi" w:hAnsiTheme="minorHAnsi"/>
          <w:i/>
          <w:iCs/>
          <w:lang w:val="en-GB"/>
        </w:rPr>
        <w:t>MIFID-II 101</w:t>
      </w:r>
      <w:r w:rsidRPr="00D940AD">
        <w:rPr>
          <w:rFonts w:asciiTheme="minorHAnsi" w:hAnsiTheme="minorHAnsi"/>
          <w:lang w:val="en-GB"/>
        </w:rPr>
        <w:t xml:space="preserve">. [Online] Available at: </w:t>
      </w:r>
      <w:hyperlink r:id="rId48" w:history="1">
        <w:r w:rsidRPr="00D940AD">
          <w:rPr>
            <w:rStyle w:val="Hyperlink"/>
            <w:rFonts w:asciiTheme="minorHAnsi" w:hAnsiTheme="minorHAnsi"/>
            <w:lang w:val="en-GB"/>
          </w:rPr>
          <w:t>https://pirimidtech.com/mifid-ii-101/</w:t>
        </w:r>
      </w:hyperlink>
      <w:r w:rsidRPr="00D940AD">
        <w:rPr>
          <w:rFonts w:asciiTheme="minorHAnsi" w:hAnsiTheme="minorHAnsi"/>
          <w:lang w:val="en-GB"/>
        </w:rPr>
        <w:t xml:space="preserve"> [Accessed 10 August 2023]. </w:t>
      </w:r>
    </w:p>
    <w:p w14:paraId="6887285F"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Rayner, T., 2021. Keeping it in the ground? Assessing global governance for fossil-fuel supply reduction. </w:t>
      </w:r>
      <w:r w:rsidRPr="00D940AD">
        <w:rPr>
          <w:rFonts w:asciiTheme="minorHAnsi" w:hAnsiTheme="minorHAnsi"/>
          <w:i/>
          <w:iCs/>
          <w:color w:val="222222"/>
          <w:szCs w:val="24"/>
          <w:shd w:val="clear" w:color="auto" w:fill="FFFFFF"/>
          <w:lang w:val="en-GB"/>
        </w:rPr>
        <w:t>Earth System Governance</w:t>
      </w:r>
      <w:r w:rsidRPr="00D940AD">
        <w:rPr>
          <w:rFonts w:asciiTheme="minorHAnsi" w:hAnsiTheme="minorHAnsi"/>
          <w:color w:val="222222"/>
          <w:szCs w:val="24"/>
          <w:shd w:val="clear" w:color="auto" w:fill="FFFFFF"/>
          <w:lang w:val="en-GB"/>
        </w:rPr>
        <w:t>, </w:t>
      </w:r>
      <w:r w:rsidRPr="00D940AD">
        <w:rPr>
          <w:rFonts w:asciiTheme="minorHAnsi" w:hAnsiTheme="minorHAnsi"/>
          <w:i/>
          <w:iCs/>
          <w:color w:val="222222"/>
          <w:szCs w:val="24"/>
          <w:shd w:val="clear" w:color="auto" w:fill="FFFFFF"/>
          <w:lang w:val="en-GB"/>
        </w:rPr>
        <w:t>8</w:t>
      </w:r>
      <w:r w:rsidRPr="00D940AD">
        <w:rPr>
          <w:rFonts w:asciiTheme="minorHAnsi" w:hAnsiTheme="minorHAnsi"/>
          <w:color w:val="222222"/>
          <w:szCs w:val="24"/>
          <w:shd w:val="clear" w:color="auto" w:fill="FFFFFF"/>
          <w:lang w:val="en-GB"/>
        </w:rPr>
        <w:t xml:space="preserve">, p.100061. </w:t>
      </w:r>
      <w:hyperlink r:id="rId49" w:history="1">
        <w:r w:rsidRPr="00D940AD">
          <w:rPr>
            <w:rStyle w:val="Hyperlink"/>
            <w:rFonts w:asciiTheme="minorHAnsi" w:hAnsiTheme="minorHAnsi"/>
            <w:szCs w:val="24"/>
            <w:shd w:val="clear" w:color="auto" w:fill="FFFFFF"/>
            <w:lang w:val="en-GB"/>
          </w:rPr>
          <w:t>https://www.sciencedirect.com/science/article/pii/S2589811620300203</w:t>
        </w:r>
      </w:hyperlink>
    </w:p>
    <w:p w14:paraId="2424C46B" w14:textId="77777777" w:rsidR="005138F2" w:rsidRPr="00D940AD" w:rsidRDefault="005138F2" w:rsidP="00D940AD">
      <w:pPr>
        <w:pStyle w:val="NormalWeb"/>
        <w:shd w:val="clear" w:color="auto" w:fill="FFFFFF"/>
        <w:spacing w:before="0" w:beforeAutospacing="0" w:after="160" w:afterAutospacing="0" w:line="360" w:lineRule="auto"/>
        <w:jc w:val="both"/>
        <w:rPr>
          <w:rFonts w:asciiTheme="minorHAnsi" w:hAnsiTheme="minorHAnsi" w:cstheme="minorHAnsi"/>
          <w:color w:val="000000"/>
          <w:lang w:val="en-GB"/>
        </w:rPr>
      </w:pPr>
      <w:r w:rsidRPr="00D940AD">
        <w:rPr>
          <w:rFonts w:asciiTheme="minorHAnsi" w:hAnsiTheme="minorHAnsi" w:cstheme="minorHAnsi"/>
          <w:color w:val="000000"/>
          <w:lang w:val="en-GB"/>
        </w:rPr>
        <w:t>RBS, 2015. </w:t>
      </w:r>
      <w:r w:rsidRPr="00D940AD">
        <w:rPr>
          <w:rFonts w:asciiTheme="minorHAnsi" w:hAnsiTheme="minorHAnsi" w:cstheme="minorHAnsi"/>
          <w:i/>
          <w:iCs/>
          <w:color w:val="000000"/>
          <w:lang w:val="en-GB"/>
        </w:rPr>
        <w:t>Building a strong, simple, fair bank</w:t>
      </w:r>
      <w:r w:rsidRPr="00D940AD">
        <w:rPr>
          <w:rFonts w:asciiTheme="minorHAnsi" w:hAnsiTheme="minorHAnsi" w:cstheme="minorHAnsi"/>
          <w:color w:val="000000"/>
          <w:lang w:val="en-GB"/>
        </w:rPr>
        <w:t xml:space="preserve">. [online] RBS. Available at: </w:t>
      </w:r>
      <w:hyperlink r:id="rId50" w:history="1">
        <w:r w:rsidRPr="00D940AD">
          <w:rPr>
            <w:rStyle w:val="Hyperlink"/>
            <w:rFonts w:asciiTheme="minorHAnsi" w:hAnsiTheme="minorHAnsi" w:cstheme="minorHAnsi"/>
            <w:lang w:val="en-GB"/>
          </w:rPr>
          <w:t>https://investors.natwestgroup.com/~/media/Files/R/RBS-IR-V2/results-center/ara-final-2015.pdf</w:t>
        </w:r>
      </w:hyperlink>
      <w:r w:rsidRPr="00D940AD">
        <w:rPr>
          <w:rFonts w:asciiTheme="minorHAnsi" w:hAnsiTheme="minorHAnsi" w:cstheme="minorHAnsi"/>
          <w:color w:val="000000"/>
          <w:lang w:val="en-GB"/>
        </w:rPr>
        <w:t xml:space="preserve"> [Accessed 7 August 2023].</w:t>
      </w:r>
    </w:p>
    <w:p w14:paraId="318FF2AC"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SoRelle, M.E., 2020. </w:t>
      </w:r>
      <w:r w:rsidRPr="00D940AD">
        <w:rPr>
          <w:rFonts w:asciiTheme="minorHAnsi" w:hAnsiTheme="minorHAnsi"/>
          <w:i/>
          <w:iCs/>
          <w:color w:val="222222"/>
          <w:szCs w:val="24"/>
          <w:shd w:val="clear" w:color="auto" w:fill="FFFFFF"/>
          <w:lang w:val="en-GB"/>
        </w:rPr>
        <w:t>Democracy Declined: The Failed Politics of Consumer Financial Protection</w:t>
      </w:r>
      <w:r w:rsidRPr="00D940AD">
        <w:rPr>
          <w:rFonts w:asciiTheme="minorHAnsi" w:hAnsiTheme="minorHAnsi"/>
          <w:color w:val="222222"/>
          <w:szCs w:val="24"/>
          <w:shd w:val="clear" w:color="auto" w:fill="FFFFFF"/>
          <w:lang w:val="en-GB"/>
        </w:rPr>
        <w:t>. University of Chicago Press.</w:t>
      </w:r>
    </w:p>
    <w:p w14:paraId="7A5D73FE"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Tadas, G.A., 2023. </w:t>
      </w:r>
      <w:r w:rsidRPr="00D940AD">
        <w:rPr>
          <w:rFonts w:asciiTheme="minorHAnsi" w:hAnsiTheme="minorHAnsi"/>
          <w:i/>
          <w:iCs/>
          <w:color w:val="222222"/>
          <w:szCs w:val="24"/>
          <w:shd w:val="clear" w:color="auto" w:fill="FFFFFF"/>
          <w:lang w:val="en-GB"/>
        </w:rPr>
        <w:t>G20 initiatives in infrastructure investment &amp; finance: Progress &amp; shortfalls</w:t>
      </w:r>
      <w:r w:rsidRPr="00D940AD">
        <w:rPr>
          <w:rFonts w:asciiTheme="minorHAnsi" w:hAnsiTheme="minorHAnsi"/>
          <w:color w:val="222222"/>
          <w:szCs w:val="24"/>
          <w:shd w:val="clear" w:color="auto" w:fill="FFFFFF"/>
          <w:lang w:val="en-GB"/>
        </w:rPr>
        <w:t xml:space="preserve">. RIS Discussion Paper </w:t>
      </w:r>
      <w:proofErr w:type="gramStart"/>
      <w:r w:rsidRPr="00D940AD">
        <w:rPr>
          <w:rFonts w:asciiTheme="minorHAnsi" w:hAnsiTheme="minorHAnsi"/>
          <w:color w:val="222222"/>
          <w:szCs w:val="24"/>
          <w:shd w:val="clear" w:color="auto" w:fill="FFFFFF"/>
          <w:lang w:val="en-GB"/>
        </w:rPr>
        <w:t>Series.(</w:t>
      </w:r>
      <w:proofErr w:type="gramEnd"/>
      <w:r w:rsidRPr="00D940AD">
        <w:rPr>
          <w:rFonts w:asciiTheme="minorHAnsi" w:hAnsiTheme="minorHAnsi"/>
          <w:color w:val="222222"/>
          <w:szCs w:val="24"/>
          <w:shd w:val="clear" w:color="auto" w:fill="FFFFFF"/>
          <w:lang w:val="en-GB"/>
        </w:rPr>
        <w:t xml:space="preserve">August 2023). New Delhi: India. Research and Information System for Developing Countries. Retrieved from https://ris. org. in/sites/default/files/Publication/DP-276-Dr-GA-Tadas. pdf. </w:t>
      </w:r>
      <w:hyperlink r:id="rId51" w:history="1">
        <w:r w:rsidRPr="00D940AD">
          <w:rPr>
            <w:rStyle w:val="Hyperlink"/>
            <w:rFonts w:asciiTheme="minorHAnsi" w:hAnsiTheme="minorHAnsi"/>
            <w:szCs w:val="24"/>
            <w:shd w:val="clear" w:color="auto" w:fill="FFFFFF"/>
            <w:lang w:val="en-GB"/>
          </w:rPr>
          <w:t>https://ris.org.in/sites/default/files/Publication/DP-276-Dr-GA-Tadas.pdf</w:t>
        </w:r>
      </w:hyperlink>
    </w:p>
    <w:p w14:paraId="6E37CA5C" w14:textId="77777777" w:rsidR="005138F2" w:rsidRPr="00D940AD" w:rsidRDefault="005138F2" w:rsidP="00D940AD">
      <w:pPr>
        <w:pStyle w:val="NormalWeb"/>
        <w:shd w:val="clear" w:color="auto" w:fill="FFFFFF"/>
        <w:spacing w:before="0" w:beforeAutospacing="0" w:after="160" w:afterAutospacing="0" w:line="360" w:lineRule="auto"/>
        <w:jc w:val="both"/>
        <w:rPr>
          <w:rFonts w:asciiTheme="minorHAnsi" w:hAnsiTheme="minorHAnsi" w:cstheme="minorHAnsi"/>
          <w:color w:val="000000"/>
          <w:lang w:val="en-GB"/>
        </w:rPr>
      </w:pPr>
      <w:r w:rsidRPr="00D940AD">
        <w:rPr>
          <w:rFonts w:asciiTheme="minorHAnsi" w:hAnsiTheme="minorHAnsi" w:cstheme="minorHAnsi"/>
          <w:color w:val="000000"/>
          <w:lang w:val="en-GB"/>
        </w:rPr>
        <w:lastRenderedPageBreak/>
        <w:t>Thakor, A.V., 2018. The Economic Consequences of Regulatory Protection &amp; Extraterritorial Reach. </w:t>
      </w:r>
      <w:r w:rsidRPr="00D940AD">
        <w:rPr>
          <w:rFonts w:asciiTheme="minorHAnsi" w:hAnsiTheme="minorHAnsi" w:cstheme="minorHAnsi"/>
          <w:i/>
          <w:iCs/>
          <w:color w:val="000000"/>
          <w:lang w:val="en-GB"/>
        </w:rPr>
        <w:t>SSRN Electronic Journal</w:t>
      </w:r>
      <w:r w:rsidRPr="00D940AD">
        <w:rPr>
          <w:rFonts w:asciiTheme="minorHAnsi" w:hAnsiTheme="minorHAnsi" w:cstheme="minorHAnsi"/>
          <w:color w:val="000000"/>
          <w:lang w:val="en-GB"/>
        </w:rPr>
        <w:t xml:space="preserve">. [online] </w:t>
      </w:r>
      <w:hyperlink r:id="rId52" w:history="1">
        <w:r w:rsidRPr="00D940AD">
          <w:rPr>
            <w:rStyle w:val="Hyperlink"/>
            <w:rFonts w:asciiTheme="minorHAnsi" w:hAnsiTheme="minorHAnsi" w:cstheme="minorHAnsi"/>
            <w:lang w:val="en-GB"/>
          </w:rPr>
          <w:t>https://doi.org/10.2139/ssrn.3176049</w:t>
        </w:r>
      </w:hyperlink>
      <w:r w:rsidRPr="00D940AD">
        <w:rPr>
          <w:rFonts w:asciiTheme="minorHAnsi" w:hAnsiTheme="minorHAnsi" w:cstheme="minorHAnsi"/>
          <w:color w:val="000000"/>
          <w:lang w:val="en-GB"/>
        </w:rPr>
        <w:t xml:space="preserve"> </w:t>
      </w:r>
    </w:p>
    <w:p w14:paraId="6D5B2B9F" w14:textId="77777777" w:rsidR="005138F2" w:rsidRPr="00D940AD" w:rsidRDefault="005138F2" w:rsidP="00D940AD">
      <w:pPr>
        <w:rPr>
          <w:rFonts w:asciiTheme="minorHAnsi" w:hAnsiTheme="minorHAnsi"/>
          <w:szCs w:val="24"/>
          <w:lang w:val="en-GB"/>
        </w:rPr>
      </w:pPr>
      <w:r w:rsidRPr="00D940AD">
        <w:rPr>
          <w:rFonts w:asciiTheme="minorHAnsi" w:hAnsiTheme="minorHAnsi"/>
          <w:szCs w:val="24"/>
          <w:lang w:val="en-GB"/>
        </w:rPr>
        <w:t xml:space="preserve">The Economist, 2017. </w:t>
      </w:r>
      <w:r w:rsidRPr="00D940AD">
        <w:rPr>
          <w:rFonts w:asciiTheme="minorHAnsi" w:hAnsiTheme="minorHAnsi"/>
          <w:i/>
          <w:iCs/>
          <w:szCs w:val="24"/>
          <w:lang w:val="en-GB"/>
        </w:rPr>
        <w:t>Basel 3, an international capital-adequacy standard, is unloved but much needed</w:t>
      </w:r>
      <w:r w:rsidRPr="00D940AD">
        <w:rPr>
          <w:rFonts w:asciiTheme="minorHAnsi" w:hAnsiTheme="minorHAnsi"/>
          <w:szCs w:val="24"/>
          <w:lang w:val="en-GB"/>
        </w:rPr>
        <w:t xml:space="preserve">. [Online] Available at: </w:t>
      </w:r>
      <w:hyperlink r:id="rId53" w:history="1">
        <w:r w:rsidRPr="00D940AD">
          <w:rPr>
            <w:rStyle w:val="Hyperlink"/>
            <w:rFonts w:asciiTheme="minorHAnsi" w:hAnsiTheme="minorHAnsi"/>
            <w:szCs w:val="24"/>
            <w:lang w:val="en-GB"/>
          </w:rPr>
          <w:t>https://www.economist.com/special-report/2017/05/04/basel-3-an-international-capital-adequacy-standard-is-unloved-but-much-needed</w:t>
        </w:r>
      </w:hyperlink>
      <w:r w:rsidRPr="00D940AD">
        <w:rPr>
          <w:rFonts w:asciiTheme="minorHAnsi" w:hAnsiTheme="minorHAnsi"/>
          <w:szCs w:val="24"/>
          <w:lang w:val="en-GB"/>
        </w:rPr>
        <w:t xml:space="preserve"> [Accessed 10 August 2023].</w:t>
      </w:r>
    </w:p>
    <w:p w14:paraId="5DA56ADF" w14:textId="77777777" w:rsidR="005138F2" w:rsidRPr="00D940AD" w:rsidRDefault="005138F2" w:rsidP="00D940AD">
      <w:pPr>
        <w:pStyle w:val="NormalWeb"/>
        <w:shd w:val="clear" w:color="auto" w:fill="FFFFFF"/>
        <w:spacing w:before="0" w:beforeAutospacing="0" w:after="160" w:afterAutospacing="0" w:line="360" w:lineRule="auto"/>
        <w:jc w:val="both"/>
        <w:rPr>
          <w:rFonts w:asciiTheme="minorHAnsi" w:hAnsiTheme="minorHAnsi" w:cstheme="minorHAnsi"/>
          <w:color w:val="000000"/>
          <w:lang w:val="en-GB"/>
        </w:rPr>
      </w:pPr>
      <w:r w:rsidRPr="00D940AD">
        <w:rPr>
          <w:rFonts w:asciiTheme="minorHAnsi" w:hAnsiTheme="minorHAnsi" w:cstheme="minorHAnsi"/>
          <w:color w:val="000000"/>
          <w:lang w:val="en-GB"/>
        </w:rPr>
        <w:t>UK Government, 2016. </w:t>
      </w:r>
      <w:r w:rsidRPr="00D940AD">
        <w:rPr>
          <w:rFonts w:asciiTheme="minorHAnsi" w:hAnsiTheme="minorHAnsi" w:cstheme="minorHAnsi"/>
          <w:i/>
          <w:iCs/>
          <w:color w:val="000000"/>
          <w:lang w:val="en-GB"/>
        </w:rPr>
        <w:t>Bank of England and Financial Services Act 2016</w:t>
      </w:r>
      <w:r w:rsidRPr="00D940AD">
        <w:rPr>
          <w:rFonts w:asciiTheme="minorHAnsi" w:hAnsiTheme="minorHAnsi" w:cstheme="minorHAnsi"/>
          <w:color w:val="000000"/>
          <w:lang w:val="en-GB"/>
        </w:rPr>
        <w:t xml:space="preserve">. [online] Legislation.gov.uk. Available at: </w:t>
      </w:r>
      <w:hyperlink r:id="rId54" w:history="1">
        <w:r w:rsidRPr="00D940AD">
          <w:rPr>
            <w:rStyle w:val="Hyperlink"/>
            <w:rFonts w:asciiTheme="minorHAnsi" w:hAnsiTheme="minorHAnsi" w:cstheme="minorHAnsi"/>
            <w:lang w:val="en-GB"/>
          </w:rPr>
          <w:t>https://www.legislation.gov.uk/ukpga/2016/14/contents/enacted</w:t>
        </w:r>
      </w:hyperlink>
      <w:r w:rsidRPr="00D940AD">
        <w:rPr>
          <w:rFonts w:asciiTheme="minorHAnsi" w:hAnsiTheme="minorHAnsi" w:cstheme="minorHAnsi"/>
          <w:color w:val="000000"/>
          <w:lang w:val="en-GB"/>
        </w:rPr>
        <w:t xml:space="preserve"> [Accessed 7 August 2023].</w:t>
      </w:r>
    </w:p>
    <w:p w14:paraId="2E01CD72"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Wewege, L. and Thomsett, M.C., 2019. </w:t>
      </w:r>
      <w:r w:rsidRPr="00D940AD">
        <w:rPr>
          <w:rFonts w:asciiTheme="minorHAnsi" w:hAnsiTheme="minorHAnsi"/>
          <w:i/>
          <w:iCs/>
          <w:color w:val="222222"/>
          <w:szCs w:val="24"/>
          <w:shd w:val="clear" w:color="auto" w:fill="FFFFFF"/>
          <w:lang w:val="en-GB"/>
        </w:rPr>
        <w:t>The digital banking revolution: how fintech companies are transforming the retail banking industry through disruptive financial innovation</w:t>
      </w:r>
      <w:r w:rsidRPr="00D940AD">
        <w:rPr>
          <w:rFonts w:asciiTheme="minorHAnsi" w:hAnsiTheme="minorHAnsi"/>
          <w:color w:val="222222"/>
          <w:szCs w:val="24"/>
          <w:shd w:val="clear" w:color="auto" w:fill="FFFFFF"/>
          <w:lang w:val="en-GB"/>
        </w:rPr>
        <w:t>. Walter de Gruyter GmbH &amp; Co KG.</w:t>
      </w:r>
    </w:p>
    <w:p w14:paraId="16335F7D" w14:textId="77777777" w:rsidR="005138F2" w:rsidRPr="00D940AD" w:rsidRDefault="005138F2" w:rsidP="00D940AD">
      <w:pPr>
        <w:rPr>
          <w:rFonts w:asciiTheme="minorHAnsi" w:hAnsiTheme="minorHAnsi"/>
          <w:szCs w:val="24"/>
          <w:lang w:val="en-GB"/>
        </w:rPr>
      </w:pPr>
      <w:r w:rsidRPr="00D940AD">
        <w:rPr>
          <w:rFonts w:asciiTheme="minorHAnsi" w:hAnsiTheme="minorHAnsi"/>
          <w:color w:val="222222"/>
          <w:szCs w:val="24"/>
          <w:shd w:val="clear" w:color="auto" w:fill="FFFFFF"/>
          <w:lang w:val="en-GB"/>
        </w:rPr>
        <w:t>Wilson, T.A., 2012. Supporting social enterprises to support vulnerable consumers: the example of community development finance institutions and financial exclusion. </w:t>
      </w:r>
      <w:r w:rsidRPr="00D940AD">
        <w:rPr>
          <w:rFonts w:asciiTheme="minorHAnsi" w:hAnsiTheme="minorHAnsi"/>
          <w:i/>
          <w:iCs/>
          <w:color w:val="222222"/>
          <w:szCs w:val="24"/>
          <w:shd w:val="clear" w:color="auto" w:fill="FFFFFF"/>
          <w:lang w:val="en-GB"/>
        </w:rPr>
        <w:t>Journal of consumer policy</w:t>
      </w:r>
      <w:r w:rsidRPr="00D940AD">
        <w:rPr>
          <w:rFonts w:asciiTheme="minorHAnsi" w:hAnsiTheme="minorHAnsi"/>
          <w:color w:val="222222"/>
          <w:szCs w:val="24"/>
          <w:shd w:val="clear" w:color="auto" w:fill="FFFFFF"/>
          <w:lang w:val="en-GB"/>
        </w:rPr>
        <w:t>, </w:t>
      </w:r>
      <w:r w:rsidRPr="00D940AD">
        <w:rPr>
          <w:rFonts w:asciiTheme="minorHAnsi" w:hAnsiTheme="minorHAnsi"/>
          <w:i/>
          <w:iCs/>
          <w:color w:val="222222"/>
          <w:szCs w:val="24"/>
          <w:shd w:val="clear" w:color="auto" w:fill="FFFFFF"/>
          <w:lang w:val="en-GB"/>
        </w:rPr>
        <w:t>35</w:t>
      </w:r>
      <w:r w:rsidRPr="00D940AD">
        <w:rPr>
          <w:rFonts w:asciiTheme="minorHAnsi" w:hAnsiTheme="minorHAnsi"/>
          <w:color w:val="222222"/>
          <w:szCs w:val="24"/>
          <w:shd w:val="clear" w:color="auto" w:fill="FFFFFF"/>
          <w:lang w:val="en-GB"/>
        </w:rPr>
        <w:t>, pp.197-213.</w:t>
      </w:r>
    </w:p>
    <w:p w14:paraId="4BE3066A"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Zetzsche, D.A. and Anker-Sørensen, L., 2022. Regulating sustainable finance in the dark. </w:t>
      </w:r>
      <w:r w:rsidRPr="00D940AD">
        <w:rPr>
          <w:rFonts w:asciiTheme="minorHAnsi" w:hAnsiTheme="minorHAnsi"/>
          <w:i/>
          <w:iCs/>
          <w:color w:val="222222"/>
          <w:szCs w:val="24"/>
          <w:shd w:val="clear" w:color="auto" w:fill="FFFFFF"/>
          <w:lang w:val="en-GB"/>
        </w:rPr>
        <w:t>European Business Organization Law Review</w:t>
      </w:r>
      <w:r w:rsidRPr="00D940AD">
        <w:rPr>
          <w:rFonts w:asciiTheme="minorHAnsi" w:hAnsiTheme="minorHAnsi"/>
          <w:color w:val="222222"/>
          <w:szCs w:val="24"/>
          <w:shd w:val="clear" w:color="auto" w:fill="FFFFFF"/>
          <w:lang w:val="en-GB"/>
        </w:rPr>
        <w:t>, </w:t>
      </w:r>
      <w:r w:rsidRPr="00D940AD">
        <w:rPr>
          <w:rFonts w:asciiTheme="minorHAnsi" w:hAnsiTheme="minorHAnsi"/>
          <w:i/>
          <w:iCs/>
          <w:color w:val="222222"/>
          <w:szCs w:val="24"/>
          <w:shd w:val="clear" w:color="auto" w:fill="FFFFFF"/>
          <w:lang w:val="en-GB"/>
        </w:rPr>
        <w:t>23</w:t>
      </w:r>
      <w:r w:rsidRPr="00D940AD">
        <w:rPr>
          <w:rFonts w:asciiTheme="minorHAnsi" w:hAnsiTheme="minorHAnsi"/>
          <w:color w:val="222222"/>
          <w:szCs w:val="24"/>
          <w:shd w:val="clear" w:color="auto" w:fill="FFFFFF"/>
          <w:lang w:val="en-GB"/>
        </w:rPr>
        <w:t xml:space="preserve">(1), pp.47-85. </w:t>
      </w:r>
      <w:hyperlink r:id="rId55" w:history="1">
        <w:r w:rsidRPr="00D940AD">
          <w:rPr>
            <w:rStyle w:val="Hyperlink"/>
            <w:rFonts w:asciiTheme="minorHAnsi" w:hAnsiTheme="minorHAnsi"/>
            <w:szCs w:val="24"/>
            <w:shd w:val="clear" w:color="auto" w:fill="FFFFFF"/>
            <w:lang w:val="en-GB"/>
          </w:rPr>
          <w:t>https://link.springer.com/article/10.1007/s40804-021-00237-9</w:t>
        </w:r>
      </w:hyperlink>
    </w:p>
    <w:p w14:paraId="5F79FFB3"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Zetzsche, D.A., Arner, D.W. and Buckley, R.P., 2020. Decentralized finance (defi). </w:t>
      </w:r>
      <w:r w:rsidRPr="00D940AD">
        <w:rPr>
          <w:rFonts w:asciiTheme="minorHAnsi" w:hAnsiTheme="minorHAnsi"/>
          <w:i/>
          <w:iCs/>
          <w:color w:val="222222"/>
          <w:szCs w:val="24"/>
          <w:shd w:val="clear" w:color="auto" w:fill="FFFFFF"/>
          <w:lang w:val="en-GB"/>
        </w:rPr>
        <w:t>Journal of Financial Regulation</w:t>
      </w:r>
      <w:r w:rsidRPr="00D940AD">
        <w:rPr>
          <w:rFonts w:asciiTheme="minorHAnsi" w:hAnsiTheme="minorHAnsi"/>
          <w:color w:val="222222"/>
          <w:szCs w:val="24"/>
          <w:shd w:val="clear" w:color="auto" w:fill="FFFFFF"/>
          <w:lang w:val="en-GB"/>
        </w:rPr>
        <w:t>, </w:t>
      </w:r>
      <w:r w:rsidRPr="00D940AD">
        <w:rPr>
          <w:rFonts w:asciiTheme="minorHAnsi" w:hAnsiTheme="minorHAnsi"/>
          <w:i/>
          <w:iCs/>
          <w:color w:val="222222"/>
          <w:szCs w:val="24"/>
          <w:shd w:val="clear" w:color="auto" w:fill="FFFFFF"/>
          <w:lang w:val="en-GB"/>
        </w:rPr>
        <w:t>6</w:t>
      </w:r>
      <w:r w:rsidRPr="00D940AD">
        <w:rPr>
          <w:rFonts w:asciiTheme="minorHAnsi" w:hAnsiTheme="minorHAnsi"/>
          <w:color w:val="222222"/>
          <w:szCs w:val="24"/>
          <w:shd w:val="clear" w:color="auto" w:fill="FFFFFF"/>
          <w:lang w:val="en-GB"/>
        </w:rPr>
        <w:t xml:space="preserve">, pp.172-203. </w:t>
      </w:r>
      <w:hyperlink r:id="rId56" w:history="1">
        <w:r w:rsidRPr="00D940AD">
          <w:rPr>
            <w:rStyle w:val="Hyperlink"/>
            <w:rFonts w:asciiTheme="minorHAnsi" w:hAnsiTheme="minorHAnsi"/>
            <w:szCs w:val="24"/>
            <w:shd w:val="clear" w:color="auto" w:fill="FFFFFF"/>
            <w:lang w:val="en-GB"/>
          </w:rPr>
          <w:t>https://papers.ssrn.com/sol3/Papers.cfm?abstract_id=3539194</w:t>
        </w:r>
      </w:hyperlink>
    </w:p>
    <w:p w14:paraId="66536525" w14:textId="77777777" w:rsidR="005138F2" w:rsidRPr="00D940AD" w:rsidRDefault="005138F2" w:rsidP="00D940AD">
      <w:pPr>
        <w:rPr>
          <w:rFonts w:asciiTheme="minorHAnsi" w:hAnsiTheme="minorHAnsi"/>
          <w:color w:val="222222"/>
          <w:szCs w:val="24"/>
          <w:shd w:val="clear" w:color="auto" w:fill="FFFFFF"/>
          <w:lang w:val="en-GB"/>
        </w:rPr>
      </w:pPr>
      <w:r w:rsidRPr="00D940AD">
        <w:rPr>
          <w:rFonts w:asciiTheme="minorHAnsi" w:hAnsiTheme="minorHAnsi"/>
          <w:color w:val="222222"/>
          <w:szCs w:val="24"/>
          <w:shd w:val="clear" w:color="auto" w:fill="FFFFFF"/>
          <w:lang w:val="en-GB"/>
        </w:rPr>
        <w:t>Zhao, Y., 2023. The Price of Risk: Exploring the Impact of the 2008 Global Financial Crisis. </w:t>
      </w:r>
      <w:r w:rsidRPr="00D940AD">
        <w:rPr>
          <w:rFonts w:asciiTheme="minorHAnsi" w:hAnsiTheme="minorHAnsi"/>
          <w:i/>
          <w:iCs/>
          <w:color w:val="222222"/>
          <w:szCs w:val="24"/>
          <w:shd w:val="clear" w:color="auto" w:fill="FFFFFF"/>
          <w:lang w:val="en-GB"/>
        </w:rPr>
        <w:t>Highlights in Business, Economics and Management</w:t>
      </w:r>
      <w:r w:rsidRPr="00D940AD">
        <w:rPr>
          <w:rFonts w:asciiTheme="minorHAnsi" w:hAnsiTheme="minorHAnsi"/>
          <w:color w:val="222222"/>
          <w:szCs w:val="24"/>
          <w:shd w:val="clear" w:color="auto" w:fill="FFFFFF"/>
          <w:lang w:val="en-GB"/>
        </w:rPr>
        <w:t>, </w:t>
      </w:r>
      <w:r w:rsidRPr="00D940AD">
        <w:rPr>
          <w:rFonts w:asciiTheme="minorHAnsi" w:hAnsiTheme="minorHAnsi"/>
          <w:i/>
          <w:iCs/>
          <w:color w:val="222222"/>
          <w:szCs w:val="24"/>
          <w:shd w:val="clear" w:color="auto" w:fill="FFFFFF"/>
          <w:lang w:val="en-GB"/>
        </w:rPr>
        <w:t>15</w:t>
      </w:r>
      <w:r w:rsidRPr="00D940AD">
        <w:rPr>
          <w:rFonts w:asciiTheme="minorHAnsi" w:hAnsiTheme="minorHAnsi"/>
          <w:color w:val="222222"/>
          <w:szCs w:val="24"/>
          <w:shd w:val="clear" w:color="auto" w:fill="FFFFFF"/>
          <w:lang w:val="en-GB"/>
        </w:rPr>
        <w:t xml:space="preserve">, pp.175-181. </w:t>
      </w:r>
      <w:hyperlink r:id="rId57" w:history="1">
        <w:r w:rsidRPr="00D940AD">
          <w:rPr>
            <w:rStyle w:val="Hyperlink"/>
            <w:rFonts w:asciiTheme="minorHAnsi" w:hAnsiTheme="minorHAnsi"/>
            <w:szCs w:val="24"/>
            <w:shd w:val="clear" w:color="auto" w:fill="FFFFFF"/>
            <w:lang w:val="en-GB"/>
          </w:rPr>
          <w:t>https://drpress.org/ojs/index.php/HBEM/article/view/9337</w:t>
        </w:r>
      </w:hyperlink>
    </w:p>
    <w:p w14:paraId="25878E7A" w14:textId="77777777" w:rsidR="00A60735" w:rsidRPr="00D940AD" w:rsidRDefault="00A60735" w:rsidP="00D940AD">
      <w:pPr>
        <w:rPr>
          <w:rFonts w:asciiTheme="minorHAnsi" w:hAnsiTheme="minorHAnsi"/>
          <w:lang w:val="en-GB"/>
        </w:rPr>
      </w:pPr>
    </w:p>
    <w:p w14:paraId="68438467" w14:textId="285C2498" w:rsidR="009B352C" w:rsidRPr="00D940AD" w:rsidRDefault="009B352C" w:rsidP="00D940AD">
      <w:pPr>
        <w:jc w:val="left"/>
        <w:rPr>
          <w:rFonts w:asciiTheme="minorHAnsi" w:hAnsiTheme="minorHAnsi"/>
          <w:lang w:val="en-GB"/>
        </w:rPr>
      </w:pPr>
    </w:p>
    <w:sectPr w:rsidR="009B352C" w:rsidRPr="00D940AD" w:rsidSect="00935C28">
      <w:headerReference w:type="default" r:id="rId5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D67D7" w14:textId="77777777" w:rsidR="00565C86" w:rsidRDefault="00565C86" w:rsidP="008F6B04">
      <w:pPr>
        <w:spacing w:after="0" w:line="240" w:lineRule="auto"/>
      </w:pPr>
      <w:r>
        <w:separator/>
      </w:r>
    </w:p>
  </w:endnote>
  <w:endnote w:type="continuationSeparator" w:id="0">
    <w:p w14:paraId="338426C3" w14:textId="77777777" w:rsidR="00565C86" w:rsidRDefault="00565C86" w:rsidP="008F6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7A462" w14:textId="77777777" w:rsidR="00565C86" w:rsidRDefault="00565C86" w:rsidP="008F6B04">
      <w:pPr>
        <w:spacing w:after="0" w:line="240" w:lineRule="auto"/>
      </w:pPr>
      <w:r>
        <w:separator/>
      </w:r>
    </w:p>
  </w:footnote>
  <w:footnote w:type="continuationSeparator" w:id="0">
    <w:p w14:paraId="30D9BEDC" w14:textId="77777777" w:rsidR="00565C86" w:rsidRDefault="00565C86" w:rsidP="008F6B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969052"/>
      <w:docPartObj>
        <w:docPartGallery w:val="Page Numbers (Top of Page)"/>
        <w:docPartUnique/>
      </w:docPartObj>
    </w:sdtPr>
    <w:sdtEndPr>
      <w:rPr>
        <w:noProof/>
      </w:rPr>
    </w:sdtEndPr>
    <w:sdtContent>
      <w:p w14:paraId="77732FE3" w14:textId="77777777" w:rsidR="008F6B04" w:rsidRDefault="008F6B0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901187E" w14:textId="77777777" w:rsidR="008F6B04" w:rsidRDefault="008F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54C38"/>
    <w:multiLevelType w:val="multilevel"/>
    <w:tmpl w:val="9FA0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336493"/>
    <w:multiLevelType w:val="multilevel"/>
    <w:tmpl w:val="72BAD80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0C71C91"/>
    <w:multiLevelType w:val="multilevel"/>
    <w:tmpl w:val="154E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1A174F4"/>
    <w:multiLevelType w:val="multilevel"/>
    <w:tmpl w:val="153AB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A420721"/>
    <w:multiLevelType w:val="multilevel"/>
    <w:tmpl w:val="6D2CAF00"/>
    <w:lvl w:ilvl="0">
      <w:start w:val="1"/>
      <w:numFmt w:val="decimal"/>
      <w:pStyle w:val="Heading1"/>
      <w:lvlText w:val="%1."/>
      <w:lvlJc w:val="left"/>
      <w:pPr>
        <w:ind w:left="720" w:hanging="360"/>
      </w:p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2129079545">
    <w:abstractNumId w:val="0"/>
  </w:num>
  <w:num w:numId="2" w16cid:durableId="1025131857">
    <w:abstractNumId w:val="3"/>
  </w:num>
  <w:num w:numId="3" w16cid:durableId="1958829264">
    <w:abstractNumId w:val="2"/>
  </w:num>
  <w:num w:numId="4" w16cid:durableId="1259217175">
    <w:abstractNumId w:val="1"/>
  </w:num>
  <w:num w:numId="5" w16cid:durableId="1757748945">
    <w:abstractNumId w:val="4"/>
  </w:num>
  <w:num w:numId="6" w16cid:durableId="10521467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UwM7Q0sTAxNDczNTJT0lEKTi0uzszPAykwqgUAYJvN9ywAAAA="/>
  </w:docVars>
  <w:rsids>
    <w:rsidRoot w:val="00A317DD"/>
    <w:rsid w:val="0000025B"/>
    <w:rsid w:val="00013093"/>
    <w:rsid w:val="000315F5"/>
    <w:rsid w:val="00032EE5"/>
    <w:rsid w:val="00035DBE"/>
    <w:rsid w:val="00041187"/>
    <w:rsid w:val="0004251A"/>
    <w:rsid w:val="00050AD0"/>
    <w:rsid w:val="00051444"/>
    <w:rsid w:val="000717EE"/>
    <w:rsid w:val="00132D6E"/>
    <w:rsid w:val="001373DC"/>
    <w:rsid w:val="00165CE7"/>
    <w:rsid w:val="00176CAE"/>
    <w:rsid w:val="001979E3"/>
    <w:rsid w:val="001A527B"/>
    <w:rsid w:val="001C4BD8"/>
    <w:rsid w:val="001D3A34"/>
    <w:rsid w:val="001E5CCA"/>
    <w:rsid w:val="001F16E6"/>
    <w:rsid w:val="00202FC4"/>
    <w:rsid w:val="002145FE"/>
    <w:rsid w:val="00231402"/>
    <w:rsid w:val="00241018"/>
    <w:rsid w:val="00270A3F"/>
    <w:rsid w:val="002729DB"/>
    <w:rsid w:val="00277C04"/>
    <w:rsid w:val="002A35FA"/>
    <w:rsid w:val="002A409D"/>
    <w:rsid w:val="002D3590"/>
    <w:rsid w:val="002E0F62"/>
    <w:rsid w:val="002F1EFE"/>
    <w:rsid w:val="002F6EE5"/>
    <w:rsid w:val="00333CE7"/>
    <w:rsid w:val="00342545"/>
    <w:rsid w:val="00362B7D"/>
    <w:rsid w:val="003E0ACE"/>
    <w:rsid w:val="003E3A7A"/>
    <w:rsid w:val="004103CA"/>
    <w:rsid w:val="00422738"/>
    <w:rsid w:val="00423662"/>
    <w:rsid w:val="004724BF"/>
    <w:rsid w:val="004C4CD2"/>
    <w:rsid w:val="004D0037"/>
    <w:rsid w:val="004E2E41"/>
    <w:rsid w:val="004F25B9"/>
    <w:rsid w:val="005138F2"/>
    <w:rsid w:val="00527CC5"/>
    <w:rsid w:val="00565C86"/>
    <w:rsid w:val="0056614B"/>
    <w:rsid w:val="00573398"/>
    <w:rsid w:val="0059397C"/>
    <w:rsid w:val="00595340"/>
    <w:rsid w:val="005B0D8E"/>
    <w:rsid w:val="005C392C"/>
    <w:rsid w:val="005E1A70"/>
    <w:rsid w:val="005F230A"/>
    <w:rsid w:val="006014C3"/>
    <w:rsid w:val="00620190"/>
    <w:rsid w:val="00621C87"/>
    <w:rsid w:val="00645BED"/>
    <w:rsid w:val="0066319A"/>
    <w:rsid w:val="006835AF"/>
    <w:rsid w:val="00686A06"/>
    <w:rsid w:val="006A24A2"/>
    <w:rsid w:val="006B3EDB"/>
    <w:rsid w:val="006C4C5D"/>
    <w:rsid w:val="006D333E"/>
    <w:rsid w:val="006D58E5"/>
    <w:rsid w:val="00721D17"/>
    <w:rsid w:val="00730D45"/>
    <w:rsid w:val="00736F6C"/>
    <w:rsid w:val="00737C87"/>
    <w:rsid w:val="00777166"/>
    <w:rsid w:val="0078457A"/>
    <w:rsid w:val="00784AA7"/>
    <w:rsid w:val="007B22C0"/>
    <w:rsid w:val="007B3652"/>
    <w:rsid w:val="008226F0"/>
    <w:rsid w:val="0083062E"/>
    <w:rsid w:val="008813AA"/>
    <w:rsid w:val="008A4DEB"/>
    <w:rsid w:val="008A5FD2"/>
    <w:rsid w:val="008E373A"/>
    <w:rsid w:val="008E5E5B"/>
    <w:rsid w:val="008F6B04"/>
    <w:rsid w:val="00934E8E"/>
    <w:rsid w:val="009357A1"/>
    <w:rsid w:val="00935C28"/>
    <w:rsid w:val="00973818"/>
    <w:rsid w:val="00980718"/>
    <w:rsid w:val="0098737D"/>
    <w:rsid w:val="009B352C"/>
    <w:rsid w:val="009B5DB1"/>
    <w:rsid w:val="009E31E1"/>
    <w:rsid w:val="00A1421A"/>
    <w:rsid w:val="00A14E4E"/>
    <w:rsid w:val="00A317DD"/>
    <w:rsid w:val="00A44883"/>
    <w:rsid w:val="00A54AA9"/>
    <w:rsid w:val="00A55BAF"/>
    <w:rsid w:val="00A60735"/>
    <w:rsid w:val="00A65291"/>
    <w:rsid w:val="00A74E51"/>
    <w:rsid w:val="00A8290D"/>
    <w:rsid w:val="00A83512"/>
    <w:rsid w:val="00AD0719"/>
    <w:rsid w:val="00AE3289"/>
    <w:rsid w:val="00AE3750"/>
    <w:rsid w:val="00AE41A4"/>
    <w:rsid w:val="00B0642B"/>
    <w:rsid w:val="00B12403"/>
    <w:rsid w:val="00B22492"/>
    <w:rsid w:val="00B30E05"/>
    <w:rsid w:val="00B63F3E"/>
    <w:rsid w:val="00B92BAE"/>
    <w:rsid w:val="00BD05F5"/>
    <w:rsid w:val="00BE3B05"/>
    <w:rsid w:val="00BE50D5"/>
    <w:rsid w:val="00C155AC"/>
    <w:rsid w:val="00C31EE4"/>
    <w:rsid w:val="00C53F0D"/>
    <w:rsid w:val="00C74D17"/>
    <w:rsid w:val="00C86B3E"/>
    <w:rsid w:val="00C87E65"/>
    <w:rsid w:val="00C963BC"/>
    <w:rsid w:val="00CB42B7"/>
    <w:rsid w:val="00CB6E5F"/>
    <w:rsid w:val="00CE0095"/>
    <w:rsid w:val="00CF274C"/>
    <w:rsid w:val="00CF3286"/>
    <w:rsid w:val="00D06174"/>
    <w:rsid w:val="00D15AE8"/>
    <w:rsid w:val="00D357BC"/>
    <w:rsid w:val="00D36498"/>
    <w:rsid w:val="00D40131"/>
    <w:rsid w:val="00D4729D"/>
    <w:rsid w:val="00D82E9E"/>
    <w:rsid w:val="00D92790"/>
    <w:rsid w:val="00D940AD"/>
    <w:rsid w:val="00D9628B"/>
    <w:rsid w:val="00DA2734"/>
    <w:rsid w:val="00DD62F4"/>
    <w:rsid w:val="00E24AFB"/>
    <w:rsid w:val="00E600F0"/>
    <w:rsid w:val="00E647E1"/>
    <w:rsid w:val="00E677EB"/>
    <w:rsid w:val="00E72718"/>
    <w:rsid w:val="00EE1606"/>
    <w:rsid w:val="00F0551F"/>
    <w:rsid w:val="00F265BC"/>
    <w:rsid w:val="00F36274"/>
    <w:rsid w:val="00F6496C"/>
    <w:rsid w:val="00F65193"/>
    <w:rsid w:val="00F726C8"/>
    <w:rsid w:val="00F83301"/>
    <w:rsid w:val="00F8784B"/>
    <w:rsid w:val="00FA4A26"/>
    <w:rsid w:val="00FB2316"/>
    <w:rsid w:val="00FC659C"/>
    <w:rsid w:val="00FD1A4F"/>
    <w:rsid w:val="00FE019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A36CA"/>
  <w15:chartTrackingRefBased/>
  <w15:docId w15:val="{4732E673-D98A-4A40-9F01-0FD790A0E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2"/>
        <w:lang w:val="en-IN"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719"/>
  </w:style>
  <w:style w:type="paragraph" w:styleId="Heading1">
    <w:name w:val="heading 1"/>
    <w:basedOn w:val="Normal"/>
    <w:next w:val="Normal"/>
    <w:link w:val="Heading1Char"/>
    <w:autoRedefine/>
    <w:uiPriority w:val="9"/>
    <w:qFormat/>
    <w:rsid w:val="005C392C"/>
    <w:pPr>
      <w:keepNext/>
      <w:keepLines/>
      <w:numPr>
        <w:numId w:val="5"/>
      </w:numPr>
      <w:pBdr>
        <w:bottom w:val="single" w:sz="4" w:space="1" w:color="4472C4" w:themeColor="accent1"/>
      </w:pBdr>
      <w:spacing w:before="520"/>
      <w:outlineLvl w:val="0"/>
    </w:pPr>
    <w:rPr>
      <w:rFonts w:eastAsiaTheme="majorEastAsia" w:cstheme="majorBidi"/>
      <w:b/>
      <w:color w:val="2F5496" w:themeColor="accent1" w:themeShade="BF"/>
      <w:kern w:val="2"/>
      <w:sz w:val="36"/>
      <w:szCs w:val="36"/>
      <w14:ligatures w14:val="standardContextual"/>
    </w:rPr>
  </w:style>
  <w:style w:type="paragraph" w:styleId="Heading2">
    <w:name w:val="heading 2"/>
    <w:basedOn w:val="Normal"/>
    <w:next w:val="Normal"/>
    <w:link w:val="Heading2Char"/>
    <w:autoRedefine/>
    <w:uiPriority w:val="9"/>
    <w:unhideWhenUsed/>
    <w:qFormat/>
    <w:rsid w:val="002145FE"/>
    <w:pPr>
      <w:keepNext/>
      <w:keepLines/>
      <w:numPr>
        <w:ilvl w:val="1"/>
        <w:numId w:val="5"/>
      </w:numPr>
      <w:spacing w:before="240" w:after="120" w:line="240" w:lineRule="auto"/>
      <w:outlineLvl w:val="1"/>
    </w:pPr>
    <w:rPr>
      <w:rFonts w:eastAsia="SimSun" w:cs="Times New Roman"/>
      <w:b/>
      <w:color w:val="2F5496" w:themeColor="accent1" w:themeShade="BF"/>
      <w:sz w:val="28"/>
      <w:szCs w:val="36"/>
      <w:lang w:val="en-US"/>
    </w:rPr>
  </w:style>
  <w:style w:type="paragraph" w:styleId="Heading3">
    <w:name w:val="heading 3"/>
    <w:basedOn w:val="Normal"/>
    <w:next w:val="Normal"/>
    <w:link w:val="Heading3Char"/>
    <w:uiPriority w:val="9"/>
    <w:unhideWhenUsed/>
    <w:qFormat/>
    <w:rsid w:val="00051444"/>
    <w:pPr>
      <w:keepNext/>
      <w:keepLines/>
      <w:spacing w:before="80" w:after="0" w:line="240" w:lineRule="auto"/>
      <w:outlineLvl w:val="2"/>
    </w:pPr>
    <w:rPr>
      <w:rFonts w:eastAsia="SimSun" w:cs="Times New Roman"/>
      <w:color w:val="4472C4" w:themeColor="accen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92C"/>
    <w:rPr>
      <w:rFonts w:ascii="Calibri" w:eastAsiaTheme="majorEastAsia" w:hAnsi="Calibri" w:cstheme="majorBidi"/>
      <w:b/>
      <w:color w:val="2F5496" w:themeColor="accent1" w:themeShade="BF"/>
      <w:sz w:val="36"/>
      <w:szCs w:val="36"/>
    </w:rPr>
  </w:style>
  <w:style w:type="character" w:customStyle="1" w:styleId="Heading3Char">
    <w:name w:val="Heading 3 Char"/>
    <w:link w:val="Heading3"/>
    <w:uiPriority w:val="9"/>
    <w:rsid w:val="00051444"/>
    <w:rPr>
      <w:rFonts w:ascii="Times New Roman" w:eastAsia="SimSun" w:hAnsi="Times New Roman" w:cs="Times New Roman"/>
      <w:color w:val="4472C4" w:themeColor="accent1"/>
      <w:kern w:val="0"/>
      <w:sz w:val="24"/>
      <w:szCs w:val="32"/>
      <w14:ligatures w14:val="none"/>
    </w:rPr>
  </w:style>
  <w:style w:type="character" w:customStyle="1" w:styleId="Heading2Char">
    <w:name w:val="Heading 2 Char"/>
    <w:link w:val="Heading2"/>
    <w:uiPriority w:val="9"/>
    <w:rsid w:val="002145FE"/>
    <w:rPr>
      <w:rFonts w:eastAsia="SimSun" w:cs="Times New Roman"/>
      <w:b/>
      <w:color w:val="2F5496" w:themeColor="accent1" w:themeShade="BF"/>
      <w:sz w:val="28"/>
      <w:szCs w:val="36"/>
      <w:lang w:val="en-US"/>
    </w:rPr>
  </w:style>
  <w:style w:type="character" w:styleId="Strong">
    <w:name w:val="Strong"/>
    <w:basedOn w:val="DefaultParagraphFont"/>
    <w:uiPriority w:val="22"/>
    <w:qFormat/>
    <w:rsid w:val="00A317DD"/>
    <w:rPr>
      <w:b/>
      <w:bCs/>
    </w:rPr>
  </w:style>
  <w:style w:type="character" w:styleId="Hyperlink">
    <w:name w:val="Hyperlink"/>
    <w:basedOn w:val="DefaultParagraphFont"/>
    <w:uiPriority w:val="99"/>
    <w:unhideWhenUsed/>
    <w:rsid w:val="00A317DD"/>
    <w:rPr>
      <w:color w:val="0000FF"/>
      <w:u w:val="single"/>
    </w:rPr>
  </w:style>
  <w:style w:type="paragraph" w:styleId="NormalWeb">
    <w:name w:val="Normal (Web)"/>
    <w:basedOn w:val="Normal"/>
    <w:uiPriority w:val="99"/>
    <w:semiHidden/>
    <w:unhideWhenUsed/>
    <w:rsid w:val="00621C87"/>
    <w:pPr>
      <w:spacing w:before="100" w:beforeAutospacing="1" w:after="100" w:afterAutospacing="1" w:line="240" w:lineRule="auto"/>
      <w:jc w:val="left"/>
    </w:pPr>
    <w:rPr>
      <w:rFonts w:eastAsia="Times New Roman" w:cs="Times New Roman"/>
      <w:szCs w:val="24"/>
      <w:lang w:eastAsia="en-IN" w:bidi="bn-IN"/>
    </w:rPr>
  </w:style>
  <w:style w:type="paragraph" w:styleId="Header">
    <w:name w:val="header"/>
    <w:basedOn w:val="Normal"/>
    <w:link w:val="HeaderChar"/>
    <w:uiPriority w:val="99"/>
    <w:unhideWhenUsed/>
    <w:rsid w:val="008F6B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6B04"/>
    <w:rPr>
      <w:rFonts w:ascii="Times New Roman" w:hAnsi="Times New Roman"/>
      <w:kern w:val="0"/>
      <w:sz w:val="24"/>
      <w14:ligatures w14:val="none"/>
    </w:rPr>
  </w:style>
  <w:style w:type="paragraph" w:styleId="Footer">
    <w:name w:val="footer"/>
    <w:basedOn w:val="Normal"/>
    <w:link w:val="FooterChar"/>
    <w:uiPriority w:val="99"/>
    <w:unhideWhenUsed/>
    <w:rsid w:val="008F6B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6B04"/>
    <w:rPr>
      <w:rFonts w:ascii="Times New Roman" w:hAnsi="Times New Roman"/>
      <w:kern w:val="0"/>
      <w:sz w:val="24"/>
      <w14:ligatures w14:val="none"/>
    </w:rPr>
  </w:style>
  <w:style w:type="paragraph" w:styleId="TOCHeading">
    <w:name w:val="TOC Heading"/>
    <w:basedOn w:val="Heading1"/>
    <w:next w:val="Normal"/>
    <w:uiPriority w:val="39"/>
    <w:unhideWhenUsed/>
    <w:qFormat/>
    <w:rsid w:val="008F6B04"/>
    <w:pPr>
      <w:pBdr>
        <w:bottom w:val="none" w:sz="0" w:space="0" w:color="auto"/>
      </w:pBdr>
      <w:spacing w:before="240" w:after="0" w:line="259" w:lineRule="auto"/>
      <w:jc w:val="left"/>
      <w:outlineLvl w:val="9"/>
    </w:pPr>
    <w:rPr>
      <w:rFonts w:asciiTheme="majorHAnsi" w:hAnsiTheme="majorHAnsi"/>
      <w:kern w:val="0"/>
      <w:sz w:val="32"/>
      <w:szCs w:val="32"/>
      <w:lang w:val="en-US"/>
      <w14:ligatures w14:val="none"/>
    </w:rPr>
  </w:style>
  <w:style w:type="paragraph" w:styleId="TOC2">
    <w:name w:val="toc 2"/>
    <w:basedOn w:val="Normal"/>
    <w:next w:val="Normal"/>
    <w:autoRedefine/>
    <w:uiPriority w:val="39"/>
    <w:unhideWhenUsed/>
    <w:rsid w:val="008F6B04"/>
    <w:pPr>
      <w:spacing w:after="100" w:line="259" w:lineRule="auto"/>
      <w:ind w:left="220"/>
      <w:jc w:val="left"/>
    </w:pPr>
    <w:rPr>
      <w:rFonts w:asciiTheme="minorHAnsi" w:eastAsiaTheme="minorEastAsia" w:hAnsiTheme="minorHAnsi" w:cs="Times New Roman"/>
      <w:sz w:val="22"/>
      <w:lang w:val="en-US"/>
    </w:rPr>
  </w:style>
  <w:style w:type="paragraph" w:styleId="TOC1">
    <w:name w:val="toc 1"/>
    <w:basedOn w:val="Normal"/>
    <w:next w:val="Normal"/>
    <w:autoRedefine/>
    <w:uiPriority w:val="39"/>
    <w:unhideWhenUsed/>
    <w:rsid w:val="008F6B04"/>
    <w:pPr>
      <w:spacing w:after="100" w:line="259" w:lineRule="auto"/>
      <w:jc w:val="left"/>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8F6B04"/>
    <w:pPr>
      <w:spacing w:after="100" w:line="259" w:lineRule="auto"/>
      <w:ind w:left="440"/>
      <w:jc w:val="left"/>
    </w:pPr>
    <w:rPr>
      <w:rFonts w:asciiTheme="minorHAnsi" w:eastAsiaTheme="minorEastAsia" w:hAnsiTheme="minorHAnsi" w:cs="Times New Roman"/>
      <w:sz w:val="22"/>
      <w:lang w:val="en-US"/>
    </w:rPr>
  </w:style>
  <w:style w:type="paragraph" w:styleId="NoSpacing">
    <w:name w:val="No Spacing"/>
    <w:link w:val="NoSpacingChar"/>
    <w:uiPriority w:val="1"/>
    <w:qFormat/>
    <w:rsid w:val="003425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42545"/>
    <w:rPr>
      <w:rFonts w:eastAsiaTheme="minorEastAsia"/>
      <w:kern w:val="0"/>
      <w:lang w:val="en-US"/>
      <w14:ligatures w14:val="none"/>
    </w:rPr>
  </w:style>
  <w:style w:type="paragraph" w:styleId="Caption">
    <w:name w:val="caption"/>
    <w:basedOn w:val="Normal"/>
    <w:next w:val="Normal"/>
    <w:uiPriority w:val="35"/>
    <w:unhideWhenUsed/>
    <w:qFormat/>
    <w:rsid w:val="009E31E1"/>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9E31E1"/>
    <w:rPr>
      <w:color w:val="605E5C"/>
      <w:shd w:val="clear" w:color="auto" w:fill="E1DFDD"/>
    </w:rPr>
  </w:style>
  <w:style w:type="paragraph" w:styleId="ListParagraph">
    <w:name w:val="List Paragraph"/>
    <w:basedOn w:val="Normal"/>
    <w:uiPriority w:val="34"/>
    <w:qFormat/>
    <w:rsid w:val="002A35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960254">
      <w:bodyDiv w:val="1"/>
      <w:marLeft w:val="0"/>
      <w:marRight w:val="0"/>
      <w:marTop w:val="0"/>
      <w:marBottom w:val="0"/>
      <w:divBdr>
        <w:top w:val="none" w:sz="0" w:space="0" w:color="auto"/>
        <w:left w:val="none" w:sz="0" w:space="0" w:color="auto"/>
        <w:bottom w:val="none" w:sz="0" w:space="0" w:color="auto"/>
        <w:right w:val="none" w:sz="0" w:space="0" w:color="auto"/>
      </w:divBdr>
    </w:div>
    <w:div w:id="332538886">
      <w:bodyDiv w:val="1"/>
      <w:marLeft w:val="0"/>
      <w:marRight w:val="0"/>
      <w:marTop w:val="0"/>
      <w:marBottom w:val="0"/>
      <w:divBdr>
        <w:top w:val="none" w:sz="0" w:space="0" w:color="auto"/>
        <w:left w:val="none" w:sz="0" w:space="0" w:color="auto"/>
        <w:bottom w:val="none" w:sz="0" w:space="0" w:color="auto"/>
        <w:right w:val="none" w:sz="0" w:space="0" w:color="auto"/>
      </w:divBdr>
    </w:div>
    <w:div w:id="555973509">
      <w:bodyDiv w:val="1"/>
      <w:marLeft w:val="0"/>
      <w:marRight w:val="0"/>
      <w:marTop w:val="0"/>
      <w:marBottom w:val="0"/>
      <w:divBdr>
        <w:top w:val="none" w:sz="0" w:space="0" w:color="auto"/>
        <w:left w:val="none" w:sz="0" w:space="0" w:color="auto"/>
        <w:bottom w:val="none" w:sz="0" w:space="0" w:color="auto"/>
        <w:right w:val="none" w:sz="0" w:space="0" w:color="auto"/>
      </w:divBdr>
    </w:div>
    <w:div w:id="606736304">
      <w:bodyDiv w:val="1"/>
      <w:marLeft w:val="0"/>
      <w:marRight w:val="0"/>
      <w:marTop w:val="0"/>
      <w:marBottom w:val="0"/>
      <w:divBdr>
        <w:top w:val="none" w:sz="0" w:space="0" w:color="auto"/>
        <w:left w:val="none" w:sz="0" w:space="0" w:color="auto"/>
        <w:bottom w:val="none" w:sz="0" w:space="0" w:color="auto"/>
        <w:right w:val="none" w:sz="0" w:space="0" w:color="auto"/>
      </w:divBdr>
    </w:div>
    <w:div w:id="810439542">
      <w:bodyDiv w:val="1"/>
      <w:marLeft w:val="0"/>
      <w:marRight w:val="0"/>
      <w:marTop w:val="0"/>
      <w:marBottom w:val="0"/>
      <w:divBdr>
        <w:top w:val="none" w:sz="0" w:space="0" w:color="auto"/>
        <w:left w:val="none" w:sz="0" w:space="0" w:color="auto"/>
        <w:bottom w:val="none" w:sz="0" w:space="0" w:color="auto"/>
        <w:right w:val="none" w:sz="0" w:space="0" w:color="auto"/>
      </w:divBdr>
    </w:div>
    <w:div w:id="829367191">
      <w:bodyDiv w:val="1"/>
      <w:marLeft w:val="0"/>
      <w:marRight w:val="0"/>
      <w:marTop w:val="0"/>
      <w:marBottom w:val="0"/>
      <w:divBdr>
        <w:top w:val="none" w:sz="0" w:space="0" w:color="auto"/>
        <w:left w:val="none" w:sz="0" w:space="0" w:color="auto"/>
        <w:bottom w:val="none" w:sz="0" w:space="0" w:color="auto"/>
        <w:right w:val="none" w:sz="0" w:space="0" w:color="auto"/>
      </w:divBdr>
    </w:div>
    <w:div w:id="865412416">
      <w:bodyDiv w:val="1"/>
      <w:marLeft w:val="0"/>
      <w:marRight w:val="0"/>
      <w:marTop w:val="0"/>
      <w:marBottom w:val="0"/>
      <w:divBdr>
        <w:top w:val="none" w:sz="0" w:space="0" w:color="auto"/>
        <w:left w:val="none" w:sz="0" w:space="0" w:color="auto"/>
        <w:bottom w:val="none" w:sz="0" w:space="0" w:color="auto"/>
        <w:right w:val="none" w:sz="0" w:space="0" w:color="auto"/>
      </w:divBdr>
    </w:div>
    <w:div w:id="941450626">
      <w:bodyDiv w:val="1"/>
      <w:marLeft w:val="0"/>
      <w:marRight w:val="0"/>
      <w:marTop w:val="0"/>
      <w:marBottom w:val="0"/>
      <w:divBdr>
        <w:top w:val="none" w:sz="0" w:space="0" w:color="auto"/>
        <w:left w:val="none" w:sz="0" w:space="0" w:color="auto"/>
        <w:bottom w:val="none" w:sz="0" w:space="0" w:color="auto"/>
        <w:right w:val="none" w:sz="0" w:space="0" w:color="auto"/>
      </w:divBdr>
    </w:div>
    <w:div w:id="1124545969">
      <w:bodyDiv w:val="1"/>
      <w:marLeft w:val="0"/>
      <w:marRight w:val="0"/>
      <w:marTop w:val="0"/>
      <w:marBottom w:val="0"/>
      <w:divBdr>
        <w:top w:val="none" w:sz="0" w:space="0" w:color="auto"/>
        <w:left w:val="none" w:sz="0" w:space="0" w:color="auto"/>
        <w:bottom w:val="none" w:sz="0" w:space="0" w:color="auto"/>
        <w:right w:val="none" w:sz="0" w:space="0" w:color="auto"/>
      </w:divBdr>
    </w:div>
    <w:div w:id="1203977338">
      <w:bodyDiv w:val="1"/>
      <w:marLeft w:val="0"/>
      <w:marRight w:val="0"/>
      <w:marTop w:val="0"/>
      <w:marBottom w:val="0"/>
      <w:divBdr>
        <w:top w:val="none" w:sz="0" w:space="0" w:color="auto"/>
        <w:left w:val="none" w:sz="0" w:space="0" w:color="auto"/>
        <w:bottom w:val="none" w:sz="0" w:space="0" w:color="auto"/>
        <w:right w:val="none" w:sz="0" w:space="0" w:color="auto"/>
      </w:divBdr>
    </w:div>
    <w:div w:id="1521699472">
      <w:bodyDiv w:val="1"/>
      <w:marLeft w:val="0"/>
      <w:marRight w:val="0"/>
      <w:marTop w:val="0"/>
      <w:marBottom w:val="0"/>
      <w:divBdr>
        <w:top w:val="none" w:sz="0" w:space="0" w:color="auto"/>
        <w:left w:val="none" w:sz="0" w:space="0" w:color="auto"/>
        <w:bottom w:val="none" w:sz="0" w:space="0" w:color="auto"/>
        <w:right w:val="none" w:sz="0" w:space="0" w:color="auto"/>
      </w:divBdr>
    </w:div>
    <w:div w:id="1590189813">
      <w:bodyDiv w:val="1"/>
      <w:marLeft w:val="0"/>
      <w:marRight w:val="0"/>
      <w:marTop w:val="0"/>
      <w:marBottom w:val="0"/>
      <w:divBdr>
        <w:top w:val="none" w:sz="0" w:space="0" w:color="auto"/>
        <w:left w:val="none" w:sz="0" w:space="0" w:color="auto"/>
        <w:bottom w:val="none" w:sz="0" w:space="0" w:color="auto"/>
        <w:right w:val="none" w:sz="0" w:space="0" w:color="auto"/>
      </w:divBdr>
    </w:div>
    <w:div w:id="1728264896">
      <w:bodyDiv w:val="1"/>
      <w:marLeft w:val="0"/>
      <w:marRight w:val="0"/>
      <w:marTop w:val="0"/>
      <w:marBottom w:val="0"/>
      <w:divBdr>
        <w:top w:val="none" w:sz="0" w:space="0" w:color="auto"/>
        <w:left w:val="none" w:sz="0" w:space="0" w:color="auto"/>
        <w:bottom w:val="none" w:sz="0" w:space="0" w:color="auto"/>
        <w:right w:val="none" w:sz="0" w:space="0" w:color="auto"/>
      </w:divBdr>
    </w:div>
    <w:div w:id="174479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ankofengland.co.uk/-/media/boe/files/prudential-regulation/publication/2021/%E2%80%8Coctober/climate-change-adaptation-report-2021.pdf" TargetMode="External"/><Relationship Id="rId26" Type="http://schemas.openxmlformats.org/officeDocument/2006/relationships/hyperlink" Target="https://finance.ec.europa.eu/regulation-and-supervision/financial-services-legislation/implementing-and-delegated-acts/markets-financial-instruments-directive-ii_en" TargetMode="External"/><Relationship Id="rId39" Type="http://schemas.openxmlformats.org/officeDocument/2006/relationships/hyperlink" Target="https://link.springer.com/chapter/10.1007/978-3-031-23194-0_10" TargetMode="External"/><Relationship Id="rId21" Type="http://schemas.openxmlformats.org/officeDocument/2006/relationships/hyperlink" Target="https://www.urban.org/sites/default/files/publication/105315/urban-public-comment-letter-on-section-1071-small-business-lending-data-collection_1.pdf" TargetMode="External"/><Relationship Id="rId34" Type="http://schemas.openxmlformats.org/officeDocument/2006/relationships/hyperlink" Target="https://ssc-rechtswissenschaften.univie.ac.at/fileadmin/user_upload/s_rechtswissenschaft_neu/Neu/Doktorat_Expose/Expose1/Voelkerrecht/The_Impact_of_Margin_Requirements_for_Non-Centrally_Cleared_Derivatives.pdf" TargetMode="External"/><Relationship Id="rId42" Type="http://schemas.openxmlformats.org/officeDocument/2006/relationships/hyperlink" Target="https://www.natwestgroup.com/news-and-insights/feature-content/our-updates/2011-2020/chairman_howard_davies_looks_back_at_the_financial_crisis.html" TargetMode="External"/><Relationship Id="rId47" Type="http://schemas.openxmlformats.org/officeDocument/2006/relationships/hyperlink" Target="https://uploads4.craft.co/uploads/source/document/894144/51db08d7dcfe5da3.pdf" TargetMode="External"/><Relationship Id="rId50" Type="http://schemas.openxmlformats.org/officeDocument/2006/relationships/hyperlink" Target="https://investors.natwestgroup.com/~/media/Files/R/RBS-IR-V2/results-center/ara-final-2015.pdf" TargetMode="External"/><Relationship Id="rId55" Type="http://schemas.openxmlformats.org/officeDocument/2006/relationships/hyperlink" Target="https://link.springer.com/article/10.1007/s40804-021-00237-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apers.ssrn.com/sol3/papers.cfm?abstract_id=3965801" TargetMode="External"/><Relationship Id="rId29" Type="http://schemas.openxmlformats.org/officeDocument/2006/relationships/hyperlink" Target="https://www.fca.org.uk/data/financial-promotions-quarterly-data-2023-q1" TargetMode="External"/><Relationship Id="rId11" Type="http://schemas.openxmlformats.org/officeDocument/2006/relationships/image" Target="media/image4.png"/><Relationship Id="rId24" Type="http://schemas.openxmlformats.org/officeDocument/2006/relationships/hyperlink" Target="https://dergipark.org.tr/en/pub/piar/issue/78771/1281937" TargetMode="External"/><Relationship Id="rId32" Type="http://schemas.openxmlformats.org/officeDocument/2006/relationships/hyperlink" Target="https://www.imf.org/external/np/g20/pdf/map2011/umbrella.pdf" TargetMode="External"/><Relationship Id="rId37" Type="http://schemas.openxmlformats.org/officeDocument/2006/relationships/hyperlink" Target="https://orca.cardiff.ac.uk/id/eprint/145518/" TargetMode="External"/><Relationship Id="rId40" Type="http://schemas.openxmlformats.org/officeDocument/2006/relationships/hyperlink" Target="https://dspace.bracu.ac.bd/xmlui/handle/10361/16232" TargetMode="External"/><Relationship Id="rId45" Type="http://schemas.openxmlformats.org/officeDocument/2006/relationships/hyperlink" Target="https://onlinelibrary.wiley.com/doi/full/10.1002/ijfe.2325" TargetMode="External"/><Relationship Id="rId53" Type="http://schemas.openxmlformats.org/officeDocument/2006/relationships/hyperlink" Target="https://www.economist.com/special-report/2017/05/04/basel-3-an-international-capital-adequacy-standard-is-unloved-but-much-needed" TargetMode="External"/><Relationship Id="rId58" Type="http://schemas.openxmlformats.org/officeDocument/2006/relationships/header" Target="header1.xml"/><Relationship Id="rId5" Type="http://schemas.openxmlformats.org/officeDocument/2006/relationships/webSettings" Target="webSettings.xml"/><Relationship Id="rId19" Type="http://schemas.openxmlformats.org/officeDocument/2006/relationships/hyperlink" Target="https://www.bis.org/bcbs/basel3.htm"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png"/><Relationship Id="rId22" Type="http://schemas.openxmlformats.org/officeDocument/2006/relationships/hyperlink" Target="https://www.americanprogress.org/article/importance-dodd-frank-6-charts/" TargetMode="External"/><Relationship Id="rId27" Type="http://schemas.openxmlformats.org/officeDocument/2006/relationships/hyperlink" Target="https://www.esma.europa.eu/sites/default/files/2023-04/ESMA74-427-719_2022_Report_on_Quality_and_Use_of_Transaction_Data.pdf" TargetMode="External"/><Relationship Id="rId30" Type="http://schemas.openxmlformats.org/officeDocument/2006/relationships/hyperlink" Target="https://onlinelibrary.wiley.com/doi/full/10.1111/1758-5899.12871" TargetMode="External"/><Relationship Id="rId35" Type="http://schemas.openxmlformats.org/officeDocument/2006/relationships/hyperlink" Target="https://www.legislation.gov.uk/ukpga/2012/21/contents/enacted" TargetMode="External"/><Relationship Id="rId43" Type="http://schemas.openxmlformats.org/officeDocument/2006/relationships/hyperlink" Target="https://obr.uk/box/the-governments-regulatory-response-to-the-financial-crisis/" TargetMode="External"/><Relationship Id="rId48" Type="http://schemas.openxmlformats.org/officeDocument/2006/relationships/hyperlink" Target="https://pirimidtech.com/mifid-ii-101/" TargetMode="External"/><Relationship Id="rId56" Type="http://schemas.openxmlformats.org/officeDocument/2006/relationships/hyperlink" Target="https://papers.ssrn.com/sol3/Papers.cfm?abstract_id=3539194" TargetMode="External"/><Relationship Id="rId8" Type="http://schemas.openxmlformats.org/officeDocument/2006/relationships/image" Target="media/image1.png"/><Relationship Id="rId51" Type="http://schemas.openxmlformats.org/officeDocument/2006/relationships/hyperlink" Target="https://ris.org.in/sites/default/files/Publication/DP-276-Dr-GA-Tadas.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ijisrt.com/assets/upload/files/IJISRT23JUN516.pdf" TargetMode="External"/><Relationship Id="rId25" Type="http://schemas.openxmlformats.org/officeDocument/2006/relationships/hyperlink" Target="https://ercouncil.org/2016/chart-of-the-week-week-10-2016-uk-interest-rate/" TargetMode="External"/><Relationship Id="rId33" Type="http://schemas.openxmlformats.org/officeDocument/2006/relationships/hyperlink" Target="https://ris.org.in/sites/default/files/Publication/DP-281-Dr-Sushil-Kumar.pdf" TargetMode="External"/><Relationship Id="rId38" Type="http://schemas.openxmlformats.org/officeDocument/2006/relationships/hyperlink" Target="https://library.oapen.org/bitstream/handle/20.500.12657/43280/2021_Book_InsuranceDistributionDirective.pdf?sequence=1" TargetMode="External"/><Relationship Id="rId46" Type="http://schemas.openxmlformats.org/officeDocument/2006/relationships/hyperlink" Target="https://www.mdpi.com/2227-7390/11/13/2860" TargetMode="External"/><Relationship Id="rId59" Type="http://schemas.openxmlformats.org/officeDocument/2006/relationships/fontTable" Target="fontTable.xml"/><Relationship Id="rId20" Type="http://schemas.openxmlformats.org/officeDocument/2006/relationships/hyperlink" Target="https://particuliers.banque-france.fr/sites/default/files/medias/documents/822240_bdf241-4_en_grands_groupes_vfinale.pdf" TargetMode="External"/><Relationship Id="rId41" Type="http://schemas.openxmlformats.org/officeDocument/2006/relationships/hyperlink" Target="https://investors.natwestgroup.com/~/media/Files/R/RBS-IR-V2/results-center/17022023/nwg-annual-report-and-accounts.pdf" TargetMode="External"/><Relationship Id="rId54" Type="http://schemas.openxmlformats.org/officeDocument/2006/relationships/hyperlink" Target="https://www.legislation.gov.uk/ukpga/2016/14/contents/enacted"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diva-portal.org/smash/record.jsf?pid=diva2%3A1765296&amp;dswid=1371" TargetMode="External"/><Relationship Id="rId28" Type="http://schemas.openxmlformats.org/officeDocument/2006/relationships/hyperlink" Target="https://www.worldscientific.com/doi/abs/10.1142/S2705109921500024" TargetMode="External"/><Relationship Id="rId36" Type="http://schemas.openxmlformats.org/officeDocument/2006/relationships/hyperlink" Target="https://www.legislation.gov.uk/ukpga/2016/14/contents/enacted" TargetMode="External"/><Relationship Id="rId49" Type="http://schemas.openxmlformats.org/officeDocument/2006/relationships/hyperlink" Target="https://www.sciencedirect.com/science/article/pii/S2589811620300203" TargetMode="External"/><Relationship Id="rId57" Type="http://schemas.openxmlformats.org/officeDocument/2006/relationships/hyperlink" Target="https://drpress.org/ojs/index.php/HBEM/article/view/9337" TargetMode="External"/><Relationship Id="rId10" Type="http://schemas.openxmlformats.org/officeDocument/2006/relationships/image" Target="media/image3.jpg"/><Relationship Id="rId31" Type="http://schemas.openxmlformats.org/officeDocument/2006/relationships/hyperlink" Target="https://papers.ssrn.com/sol3/papers.cfm?abstract_id=4394454" TargetMode="External"/><Relationship Id="rId44" Type="http://schemas.openxmlformats.org/officeDocument/2006/relationships/hyperlink" Target="https://link.springer.com/article/10.1186/s41180-020-00034-3" TargetMode="External"/><Relationship Id="rId52" Type="http://schemas.openxmlformats.org/officeDocument/2006/relationships/hyperlink" Target="https://doi.org/10.2139/ssrn.3176049"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96AD581-DB94-4B3E-A813-1B0E5BEC7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7692</Words>
  <Characters>43851</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Naved Momin</dc:creator>
  <cp:keywords/>
  <dc:description/>
  <cp:lastModifiedBy>Mohammed Naved Momin (2231710)</cp:lastModifiedBy>
  <cp:revision>2</cp:revision>
  <dcterms:created xsi:type="dcterms:W3CDTF">2023-08-18T20:38:00Z</dcterms:created>
  <dcterms:modified xsi:type="dcterms:W3CDTF">2023-08-18T20:38:00Z</dcterms:modified>
</cp:coreProperties>
</file>