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F7C0A3" w14:textId="7A7B0EC7" w:rsidR="002C5A26" w:rsidRDefault="002C5A26" w:rsidP="00861665">
      <w:pPr>
        <w:spacing w:line="360" w:lineRule="auto"/>
        <w:jc w:val="both"/>
        <w:rPr>
          <w:rFonts w:ascii="Arial" w:hAnsi="Arial" w:cs="Arial"/>
        </w:rPr>
      </w:pPr>
      <w:r>
        <w:rPr>
          <w:rFonts w:ascii="Arial" w:hAnsi="Arial" w:cs="Arial"/>
          <w:noProof/>
        </w:rPr>
        <w:drawing>
          <wp:inline distT="0" distB="0" distL="0" distR="0" wp14:anchorId="719DFC7D" wp14:editId="72FD4CDF">
            <wp:extent cx="3298190" cy="640080"/>
            <wp:effectExtent l="0" t="0" r="0" b="7620"/>
            <wp:docPr id="19977395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8190" cy="640080"/>
                    </a:xfrm>
                    <a:prstGeom prst="rect">
                      <a:avLst/>
                    </a:prstGeom>
                    <a:noFill/>
                  </pic:spPr>
                </pic:pic>
              </a:graphicData>
            </a:graphic>
          </wp:inline>
        </w:drawing>
      </w:r>
    </w:p>
    <w:p w14:paraId="769719EF" w14:textId="77777777" w:rsidR="00B13367" w:rsidRPr="00B13367" w:rsidRDefault="00B13367" w:rsidP="00B13367">
      <w:pPr>
        <w:spacing w:line="360" w:lineRule="auto"/>
        <w:jc w:val="both"/>
        <w:rPr>
          <w:rFonts w:ascii="Arial" w:hAnsi="Arial" w:cs="Arial"/>
        </w:rPr>
      </w:pPr>
    </w:p>
    <w:p w14:paraId="0769908A" w14:textId="77777777" w:rsidR="00AB114D" w:rsidRDefault="00AB114D" w:rsidP="00B13367">
      <w:pPr>
        <w:spacing w:line="360" w:lineRule="auto"/>
        <w:jc w:val="both"/>
        <w:rPr>
          <w:rFonts w:ascii="Arial" w:hAnsi="Arial" w:cs="Arial"/>
        </w:rPr>
      </w:pPr>
    </w:p>
    <w:p w14:paraId="1BCB401F" w14:textId="77777777" w:rsidR="00AB114D" w:rsidRDefault="00AB114D" w:rsidP="00B13367">
      <w:pPr>
        <w:spacing w:line="360" w:lineRule="auto"/>
        <w:jc w:val="both"/>
        <w:rPr>
          <w:rFonts w:ascii="Arial" w:hAnsi="Arial" w:cs="Arial"/>
        </w:rPr>
      </w:pPr>
    </w:p>
    <w:p w14:paraId="27FEB26F" w14:textId="77777777" w:rsidR="00AB114D" w:rsidRDefault="00AB114D" w:rsidP="00B13367">
      <w:pPr>
        <w:spacing w:line="360" w:lineRule="auto"/>
        <w:jc w:val="both"/>
        <w:rPr>
          <w:rFonts w:ascii="Arial" w:hAnsi="Arial" w:cs="Arial"/>
        </w:rPr>
      </w:pPr>
    </w:p>
    <w:p w14:paraId="0EE360FE" w14:textId="77777777" w:rsidR="00AB114D" w:rsidRDefault="00AB114D" w:rsidP="00B13367">
      <w:pPr>
        <w:spacing w:line="360" w:lineRule="auto"/>
        <w:jc w:val="both"/>
        <w:rPr>
          <w:rFonts w:ascii="Arial" w:hAnsi="Arial" w:cs="Arial"/>
        </w:rPr>
      </w:pPr>
    </w:p>
    <w:p w14:paraId="3351D5AA" w14:textId="77777777" w:rsidR="00AB114D" w:rsidRDefault="00AB114D" w:rsidP="00B13367">
      <w:pPr>
        <w:spacing w:line="360" w:lineRule="auto"/>
        <w:jc w:val="both"/>
        <w:rPr>
          <w:rFonts w:ascii="Arial" w:hAnsi="Arial" w:cs="Arial"/>
        </w:rPr>
      </w:pPr>
    </w:p>
    <w:p w14:paraId="1DCACFC6" w14:textId="440C9F8E" w:rsidR="00B13367" w:rsidRPr="00B13367" w:rsidRDefault="00B13367" w:rsidP="00B13367">
      <w:pPr>
        <w:spacing w:line="360" w:lineRule="auto"/>
        <w:jc w:val="both"/>
        <w:rPr>
          <w:rFonts w:ascii="Arial" w:hAnsi="Arial" w:cs="Arial"/>
        </w:rPr>
      </w:pPr>
      <w:r w:rsidRPr="00B13367">
        <w:rPr>
          <w:rFonts w:ascii="Arial" w:hAnsi="Arial" w:cs="Arial"/>
        </w:rPr>
        <w:t>Student name: Evaristo Freite De Melo</w:t>
      </w:r>
    </w:p>
    <w:p w14:paraId="0891B2C7" w14:textId="77777777" w:rsidR="00B13367" w:rsidRPr="00B13367" w:rsidRDefault="00B13367" w:rsidP="00B13367">
      <w:pPr>
        <w:spacing w:line="360" w:lineRule="auto"/>
        <w:jc w:val="both"/>
        <w:rPr>
          <w:rFonts w:ascii="Arial" w:hAnsi="Arial" w:cs="Arial"/>
        </w:rPr>
      </w:pPr>
      <w:r w:rsidRPr="00B13367">
        <w:rPr>
          <w:rFonts w:ascii="Arial" w:hAnsi="Arial" w:cs="Arial"/>
        </w:rPr>
        <w:t>Student ID Number:2129710</w:t>
      </w:r>
    </w:p>
    <w:p w14:paraId="58843995" w14:textId="77777777" w:rsidR="00B13367" w:rsidRPr="00B13367" w:rsidRDefault="00B13367" w:rsidP="00B13367">
      <w:pPr>
        <w:spacing w:line="360" w:lineRule="auto"/>
        <w:jc w:val="both"/>
        <w:rPr>
          <w:rFonts w:ascii="Arial" w:hAnsi="Arial" w:cs="Arial"/>
        </w:rPr>
      </w:pPr>
      <w:r w:rsidRPr="00B13367">
        <w:rPr>
          <w:rFonts w:ascii="Arial" w:hAnsi="Arial" w:cs="Arial"/>
        </w:rPr>
        <w:t>Programme: BA Leadership and Management Skills for the Workplace</w:t>
      </w:r>
    </w:p>
    <w:p w14:paraId="63A1F94B" w14:textId="77777777" w:rsidR="00B13367" w:rsidRPr="00B13367" w:rsidRDefault="00B13367" w:rsidP="00B13367">
      <w:pPr>
        <w:spacing w:line="360" w:lineRule="auto"/>
        <w:jc w:val="both"/>
        <w:rPr>
          <w:rFonts w:ascii="Arial" w:hAnsi="Arial" w:cs="Arial"/>
        </w:rPr>
      </w:pPr>
      <w:r w:rsidRPr="00B13367">
        <w:rPr>
          <w:rFonts w:ascii="Arial" w:hAnsi="Arial" w:cs="Arial"/>
        </w:rPr>
        <w:t>Module: Strategic Management for SMEs</w:t>
      </w:r>
    </w:p>
    <w:p w14:paraId="57E5AF3A" w14:textId="77777777" w:rsidR="00B13367" w:rsidRPr="00B13367" w:rsidRDefault="00B13367" w:rsidP="00B13367">
      <w:pPr>
        <w:spacing w:line="360" w:lineRule="auto"/>
        <w:jc w:val="both"/>
        <w:rPr>
          <w:rFonts w:ascii="Arial" w:hAnsi="Arial" w:cs="Arial"/>
        </w:rPr>
      </w:pPr>
      <w:r w:rsidRPr="00B13367">
        <w:rPr>
          <w:rFonts w:ascii="Arial" w:hAnsi="Arial" w:cs="Arial"/>
        </w:rPr>
        <w:t>Module code: BMSW 6104</w:t>
      </w:r>
    </w:p>
    <w:p w14:paraId="21801D03" w14:textId="44A6E63A" w:rsidR="00B13367" w:rsidRPr="00B13367" w:rsidRDefault="00B13367" w:rsidP="00B13367">
      <w:pPr>
        <w:spacing w:line="360" w:lineRule="auto"/>
        <w:jc w:val="both"/>
        <w:rPr>
          <w:rFonts w:ascii="Arial" w:hAnsi="Arial" w:cs="Arial"/>
        </w:rPr>
      </w:pPr>
      <w:r w:rsidRPr="00B13367">
        <w:rPr>
          <w:rFonts w:ascii="Arial" w:hAnsi="Arial" w:cs="Arial"/>
        </w:rPr>
        <w:t>Lecturer:</w:t>
      </w:r>
      <w:r w:rsidR="007467E2">
        <w:rPr>
          <w:rFonts w:ascii="Arial" w:hAnsi="Arial" w:cs="Arial"/>
        </w:rPr>
        <w:t xml:space="preserve"> </w:t>
      </w:r>
      <w:r w:rsidR="0078535F">
        <w:rPr>
          <w:rFonts w:ascii="Arial" w:hAnsi="Arial" w:cs="Arial"/>
        </w:rPr>
        <w:t>Dr</w:t>
      </w:r>
      <w:r w:rsidR="00336278">
        <w:rPr>
          <w:rFonts w:ascii="Arial" w:hAnsi="Arial" w:cs="Arial"/>
        </w:rPr>
        <w:t xml:space="preserve"> Eric Osei</w:t>
      </w:r>
    </w:p>
    <w:p w14:paraId="4AE5C6DE" w14:textId="77777777" w:rsidR="00B13367" w:rsidRPr="00B13367" w:rsidRDefault="00B13367" w:rsidP="00B13367">
      <w:pPr>
        <w:spacing w:line="360" w:lineRule="auto"/>
        <w:jc w:val="both"/>
        <w:rPr>
          <w:rFonts w:ascii="Arial" w:hAnsi="Arial" w:cs="Arial"/>
        </w:rPr>
      </w:pPr>
      <w:r w:rsidRPr="00B13367">
        <w:rPr>
          <w:rFonts w:ascii="Arial" w:hAnsi="Arial" w:cs="Arial"/>
        </w:rPr>
        <w:t>Assignment Title: Strategic Management for SMEs</w:t>
      </w:r>
    </w:p>
    <w:p w14:paraId="55F0AF81" w14:textId="77777777" w:rsidR="002C5A26" w:rsidRDefault="002C5A26" w:rsidP="00861665">
      <w:pPr>
        <w:spacing w:line="360" w:lineRule="auto"/>
        <w:jc w:val="both"/>
        <w:rPr>
          <w:rFonts w:ascii="Arial" w:hAnsi="Arial" w:cs="Arial"/>
        </w:rPr>
      </w:pPr>
    </w:p>
    <w:p w14:paraId="7B5FAAF6" w14:textId="77777777" w:rsidR="002C5A26" w:rsidRDefault="002C5A26" w:rsidP="00861665">
      <w:pPr>
        <w:spacing w:line="360" w:lineRule="auto"/>
        <w:jc w:val="both"/>
        <w:rPr>
          <w:rFonts w:ascii="Arial" w:hAnsi="Arial" w:cs="Arial"/>
        </w:rPr>
      </w:pPr>
    </w:p>
    <w:p w14:paraId="36A121E4" w14:textId="77777777" w:rsidR="002C5A26" w:rsidRDefault="002C5A26" w:rsidP="00861665">
      <w:pPr>
        <w:spacing w:line="360" w:lineRule="auto"/>
        <w:jc w:val="both"/>
        <w:rPr>
          <w:rFonts w:ascii="Arial" w:hAnsi="Arial" w:cs="Arial"/>
        </w:rPr>
      </w:pPr>
    </w:p>
    <w:p w14:paraId="6AEA1A60" w14:textId="77777777" w:rsidR="002C5A26" w:rsidRDefault="002C5A26" w:rsidP="00861665">
      <w:pPr>
        <w:spacing w:line="360" w:lineRule="auto"/>
        <w:jc w:val="both"/>
        <w:rPr>
          <w:rFonts w:ascii="Arial" w:hAnsi="Arial" w:cs="Arial"/>
        </w:rPr>
      </w:pPr>
    </w:p>
    <w:p w14:paraId="2D0C479C" w14:textId="77777777" w:rsidR="002C5A26" w:rsidRDefault="002C5A26" w:rsidP="00861665">
      <w:pPr>
        <w:spacing w:line="360" w:lineRule="auto"/>
        <w:jc w:val="both"/>
        <w:rPr>
          <w:rFonts w:ascii="Arial" w:hAnsi="Arial" w:cs="Arial"/>
        </w:rPr>
      </w:pPr>
    </w:p>
    <w:p w14:paraId="5E99D3B3" w14:textId="77777777" w:rsidR="00B13367" w:rsidRDefault="00B13367" w:rsidP="00861665">
      <w:pPr>
        <w:spacing w:line="360" w:lineRule="auto"/>
        <w:jc w:val="both"/>
        <w:rPr>
          <w:rFonts w:ascii="Arial" w:hAnsi="Arial" w:cs="Arial"/>
        </w:rPr>
      </w:pPr>
    </w:p>
    <w:p w14:paraId="200504A6" w14:textId="77777777" w:rsidR="002A3206" w:rsidRDefault="002A3206" w:rsidP="00E75244">
      <w:pPr>
        <w:pStyle w:val="Title"/>
        <w:rPr>
          <w:rFonts w:ascii="Arial" w:hAnsi="Arial" w:cs="Arial"/>
          <w:color w:val="4472C4" w:themeColor="accent1"/>
          <w:sz w:val="22"/>
          <w:szCs w:val="22"/>
        </w:rPr>
      </w:pPr>
    </w:p>
    <w:p w14:paraId="607BAA55" w14:textId="77777777" w:rsidR="002A3206" w:rsidRDefault="002A3206" w:rsidP="00E75244">
      <w:pPr>
        <w:pStyle w:val="Title"/>
        <w:rPr>
          <w:rFonts w:ascii="Arial" w:hAnsi="Arial" w:cs="Arial"/>
          <w:color w:val="4472C4" w:themeColor="accent1"/>
          <w:sz w:val="22"/>
          <w:szCs w:val="22"/>
        </w:rPr>
      </w:pPr>
    </w:p>
    <w:p w14:paraId="7E5B469A" w14:textId="77777777" w:rsidR="000659A9" w:rsidRDefault="000659A9" w:rsidP="00E75244">
      <w:pPr>
        <w:pStyle w:val="Title"/>
        <w:rPr>
          <w:rFonts w:ascii="Arial" w:hAnsi="Arial" w:cs="Arial"/>
          <w:color w:val="4472C4" w:themeColor="accent1"/>
          <w:sz w:val="22"/>
          <w:szCs w:val="22"/>
        </w:rPr>
      </w:pPr>
    </w:p>
    <w:p w14:paraId="2532EC69" w14:textId="77777777" w:rsidR="000659A9" w:rsidRDefault="000659A9" w:rsidP="00E75244">
      <w:pPr>
        <w:pStyle w:val="Title"/>
        <w:rPr>
          <w:rFonts w:ascii="Arial" w:hAnsi="Arial" w:cs="Arial"/>
          <w:color w:val="4472C4" w:themeColor="accent1"/>
          <w:sz w:val="22"/>
          <w:szCs w:val="22"/>
        </w:rPr>
      </w:pPr>
    </w:p>
    <w:p w14:paraId="0F1E9972" w14:textId="77777777" w:rsidR="000659A9" w:rsidRDefault="000659A9" w:rsidP="00E75244">
      <w:pPr>
        <w:pStyle w:val="Title"/>
        <w:rPr>
          <w:rFonts w:ascii="Arial" w:hAnsi="Arial" w:cs="Arial"/>
          <w:color w:val="4472C4" w:themeColor="accent1"/>
          <w:sz w:val="22"/>
          <w:szCs w:val="22"/>
        </w:rPr>
      </w:pPr>
    </w:p>
    <w:p w14:paraId="7DD5A992" w14:textId="77777777" w:rsidR="000659A9" w:rsidRDefault="000659A9" w:rsidP="00E75244">
      <w:pPr>
        <w:pStyle w:val="Title"/>
        <w:rPr>
          <w:rFonts w:ascii="Arial" w:hAnsi="Arial" w:cs="Arial"/>
          <w:noProof/>
          <w:color w:val="4472C4" w:themeColor="accent1"/>
          <w:sz w:val="22"/>
          <w:szCs w:val="22"/>
        </w:rPr>
      </w:pPr>
    </w:p>
    <w:p w14:paraId="4F0D55D8" w14:textId="573DEDB9" w:rsidR="001D2120" w:rsidRDefault="002A3206" w:rsidP="00E75244">
      <w:pPr>
        <w:pStyle w:val="Title"/>
        <w:rPr>
          <w:rFonts w:ascii="Arial" w:hAnsi="Arial" w:cs="Arial"/>
          <w:color w:val="4472C4" w:themeColor="accent1"/>
          <w:sz w:val="22"/>
          <w:szCs w:val="22"/>
        </w:rPr>
      </w:pPr>
      <w:r>
        <w:rPr>
          <w:rFonts w:ascii="Arial" w:hAnsi="Arial" w:cs="Arial"/>
          <w:noProof/>
          <w:color w:val="4472C4" w:themeColor="accent1"/>
          <w:sz w:val="22"/>
          <w:szCs w:val="22"/>
        </w:rPr>
        <w:lastRenderedPageBreak/>
        <w:drawing>
          <wp:anchor distT="0" distB="0" distL="114300" distR="114300" simplePos="0" relativeHeight="251662336" behindDoc="0" locked="0" layoutInCell="1" allowOverlap="1" wp14:anchorId="7B3CC031" wp14:editId="5DC32522">
            <wp:simplePos x="0" y="0"/>
            <wp:positionH relativeFrom="margin">
              <wp:align>left</wp:align>
            </wp:positionH>
            <wp:positionV relativeFrom="paragraph">
              <wp:posOffset>0</wp:posOffset>
            </wp:positionV>
            <wp:extent cx="5321300" cy="723900"/>
            <wp:effectExtent l="0" t="0" r="0" b="0"/>
            <wp:wrapSquare wrapText="bothSides"/>
            <wp:docPr id="13866120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1300" cy="723900"/>
                    </a:xfrm>
                    <a:prstGeom prst="rect">
                      <a:avLst/>
                    </a:prstGeom>
                    <a:noFill/>
                  </pic:spPr>
                </pic:pic>
              </a:graphicData>
            </a:graphic>
            <wp14:sizeRelH relativeFrom="margin">
              <wp14:pctWidth>0</wp14:pctWidth>
            </wp14:sizeRelH>
            <wp14:sizeRelV relativeFrom="margin">
              <wp14:pctHeight>0</wp14:pctHeight>
            </wp14:sizeRelV>
          </wp:anchor>
        </w:drawing>
      </w:r>
    </w:p>
    <w:p w14:paraId="11EBBD21" w14:textId="77777777" w:rsidR="002A3206" w:rsidRPr="002A3206" w:rsidRDefault="002A3206" w:rsidP="002A3206"/>
    <w:p w14:paraId="5685F9B8" w14:textId="77777777" w:rsidR="00A214BA" w:rsidRDefault="002C5A26" w:rsidP="00861665">
      <w:pPr>
        <w:spacing w:line="360" w:lineRule="auto"/>
        <w:jc w:val="both"/>
        <w:rPr>
          <w:rFonts w:ascii="Arial" w:hAnsi="Arial" w:cs="Arial"/>
          <w:i/>
          <w:iCs/>
        </w:rPr>
      </w:pPr>
      <w:r w:rsidRPr="004C2857">
        <w:rPr>
          <w:rFonts w:ascii="Arial" w:hAnsi="Arial" w:cs="Arial"/>
          <w:i/>
          <w:iCs/>
        </w:rPr>
        <w:t xml:space="preserve"> </w:t>
      </w:r>
    </w:p>
    <w:sdt>
      <w:sdtPr>
        <w:rPr>
          <w:rFonts w:asciiTheme="minorHAnsi" w:eastAsiaTheme="minorHAnsi" w:hAnsiTheme="minorHAnsi" w:cstheme="minorBidi"/>
          <w:color w:val="auto"/>
          <w:kern w:val="2"/>
          <w:sz w:val="22"/>
          <w:szCs w:val="22"/>
          <w:lang w:val="en-GB"/>
          <w14:ligatures w14:val="standardContextual"/>
        </w:rPr>
        <w:id w:val="2097358389"/>
        <w:docPartObj>
          <w:docPartGallery w:val="Table of Contents"/>
          <w:docPartUnique/>
        </w:docPartObj>
      </w:sdtPr>
      <w:sdtEndPr>
        <w:rPr>
          <w:b/>
          <w:bCs/>
          <w:noProof/>
        </w:rPr>
      </w:sdtEndPr>
      <w:sdtContent>
        <w:p w14:paraId="5945A045" w14:textId="4B616F5F" w:rsidR="00876C5A" w:rsidRDefault="00FE404F">
          <w:pPr>
            <w:pStyle w:val="TOCHeading"/>
          </w:pPr>
          <w:r>
            <w:rPr>
              <w:rFonts w:asciiTheme="minorHAnsi" w:eastAsiaTheme="minorHAnsi" w:hAnsiTheme="minorHAnsi" w:cstheme="minorBidi"/>
              <w:color w:val="auto"/>
              <w:kern w:val="2"/>
              <w:sz w:val="22"/>
              <w:szCs w:val="22"/>
              <w:lang w:val="en-GB"/>
              <w14:ligatures w14:val="standardContextual"/>
            </w:rPr>
            <w:t xml:space="preserve">                                             </w:t>
          </w:r>
          <w:r w:rsidR="00876C5A">
            <w:t>Table of Contents</w:t>
          </w:r>
        </w:p>
        <w:p w14:paraId="1FD0D0E6" w14:textId="1BC5A04C" w:rsidR="00876C5A" w:rsidRDefault="00876C5A">
          <w:pPr>
            <w:pStyle w:val="TOC1"/>
            <w:rPr>
              <w:rFonts w:eastAsiaTheme="minorEastAsia"/>
              <w:noProof/>
              <w:sz w:val="24"/>
              <w:szCs w:val="24"/>
              <w:lang w:eastAsia="en-GB"/>
            </w:rPr>
          </w:pPr>
          <w:r>
            <w:fldChar w:fldCharType="begin"/>
          </w:r>
          <w:r>
            <w:instrText xml:space="preserve"> TOC \o "1-3" \h \z \u </w:instrText>
          </w:r>
          <w:r>
            <w:fldChar w:fldCharType="separate"/>
          </w:r>
          <w:hyperlink w:anchor="_Toc181729967" w:history="1">
            <w:r w:rsidRPr="001B0989">
              <w:rPr>
                <w:rStyle w:val="Hyperlink"/>
                <w:noProof/>
              </w:rPr>
              <w:t>Introduction</w:t>
            </w:r>
            <w:r>
              <w:rPr>
                <w:noProof/>
                <w:webHidden/>
              </w:rPr>
              <w:tab/>
            </w:r>
            <w:r>
              <w:rPr>
                <w:noProof/>
                <w:webHidden/>
              </w:rPr>
              <w:fldChar w:fldCharType="begin"/>
            </w:r>
            <w:r>
              <w:rPr>
                <w:noProof/>
                <w:webHidden/>
              </w:rPr>
              <w:instrText xml:space="preserve"> PAGEREF _Toc181729967 \h </w:instrText>
            </w:r>
            <w:r>
              <w:rPr>
                <w:noProof/>
                <w:webHidden/>
              </w:rPr>
            </w:r>
            <w:r>
              <w:rPr>
                <w:noProof/>
                <w:webHidden/>
              </w:rPr>
              <w:fldChar w:fldCharType="separate"/>
            </w:r>
            <w:r>
              <w:rPr>
                <w:noProof/>
                <w:webHidden/>
              </w:rPr>
              <w:t>3</w:t>
            </w:r>
            <w:r>
              <w:rPr>
                <w:noProof/>
                <w:webHidden/>
              </w:rPr>
              <w:fldChar w:fldCharType="end"/>
            </w:r>
          </w:hyperlink>
        </w:p>
        <w:p w14:paraId="28EAD003" w14:textId="2F2BF134" w:rsidR="00876C5A" w:rsidRDefault="00876C5A">
          <w:pPr>
            <w:pStyle w:val="TOC1"/>
            <w:rPr>
              <w:rFonts w:eastAsiaTheme="minorEastAsia"/>
              <w:noProof/>
              <w:sz w:val="24"/>
              <w:szCs w:val="24"/>
              <w:lang w:eastAsia="en-GB"/>
            </w:rPr>
          </w:pPr>
          <w:hyperlink w:anchor="_Toc181729968" w:history="1">
            <w:r w:rsidRPr="001B0989">
              <w:rPr>
                <w:rStyle w:val="Hyperlink"/>
                <w:noProof/>
              </w:rPr>
              <w:t>Innocent Drinks overview</w:t>
            </w:r>
            <w:r>
              <w:rPr>
                <w:noProof/>
                <w:webHidden/>
              </w:rPr>
              <w:tab/>
            </w:r>
            <w:r>
              <w:rPr>
                <w:noProof/>
                <w:webHidden/>
              </w:rPr>
              <w:fldChar w:fldCharType="begin"/>
            </w:r>
            <w:r>
              <w:rPr>
                <w:noProof/>
                <w:webHidden/>
              </w:rPr>
              <w:instrText xml:space="preserve"> PAGEREF _Toc181729968 \h </w:instrText>
            </w:r>
            <w:r>
              <w:rPr>
                <w:noProof/>
                <w:webHidden/>
              </w:rPr>
            </w:r>
            <w:r>
              <w:rPr>
                <w:noProof/>
                <w:webHidden/>
              </w:rPr>
              <w:fldChar w:fldCharType="separate"/>
            </w:r>
            <w:r>
              <w:rPr>
                <w:noProof/>
                <w:webHidden/>
              </w:rPr>
              <w:t>4</w:t>
            </w:r>
            <w:r>
              <w:rPr>
                <w:noProof/>
                <w:webHidden/>
              </w:rPr>
              <w:fldChar w:fldCharType="end"/>
            </w:r>
          </w:hyperlink>
        </w:p>
        <w:p w14:paraId="533ACF5E" w14:textId="67F60BC9" w:rsidR="00876C5A" w:rsidRDefault="00876C5A" w:rsidP="00AB114D">
          <w:pPr>
            <w:pStyle w:val="TOC2"/>
            <w:ind w:left="0"/>
            <w:rPr>
              <w:rFonts w:asciiTheme="minorHAnsi" w:eastAsiaTheme="minorEastAsia" w:hAnsiTheme="minorHAnsi" w:cstheme="minorBidi"/>
              <w:sz w:val="24"/>
              <w:szCs w:val="24"/>
              <w:lang w:eastAsia="en-GB"/>
            </w:rPr>
          </w:pPr>
          <w:hyperlink w:anchor="_Toc181729969" w:history="1">
            <w:r w:rsidRPr="001B0989">
              <w:rPr>
                <w:rStyle w:val="Hyperlink"/>
              </w:rPr>
              <w:t>Vision and Mission</w:t>
            </w:r>
            <w:r>
              <w:rPr>
                <w:webHidden/>
              </w:rPr>
              <w:tab/>
            </w:r>
            <w:r>
              <w:rPr>
                <w:webHidden/>
              </w:rPr>
              <w:fldChar w:fldCharType="begin"/>
            </w:r>
            <w:r>
              <w:rPr>
                <w:webHidden/>
              </w:rPr>
              <w:instrText xml:space="preserve"> PAGEREF _Toc181729969 \h </w:instrText>
            </w:r>
            <w:r>
              <w:rPr>
                <w:webHidden/>
              </w:rPr>
            </w:r>
            <w:r>
              <w:rPr>
                <w:webHidden/>
              </w:rPr>
              <w:fldChar w:fldCharType="separate"/>
            </w:r>
            <w:r>
              <w:rPr>
                <w:webHidden/>
              </w:rPr>
              <w:t>5</w:t>
            </w:r>
            <w:r>
              <w:rPr>
                <w:webHidden/>
              </w:rPr>
              <w:fldChar w:fldCharType="end"/>
            </w:r>
          </w:hyperlink>
        </w:p>
        <w:p w14:paraId="12321F8B" w14:textId="2116FC0D" w:rsidR="00876C5A" w:rsidRDefault="00876C5A">
          <w:pPr>
            <w:pStyle w:val="TOC1"/>
            <w:rPr>
              <w:rFonts w:eastAsiaTheme="minorEastAsia"/>
              <w:noProof/>
              <w:sz w:val="24"/>
              <w:szCs w:val="24"/>
              <w:lang w:eastAsia="en-GB"/>
            </w:rPr>
          </w:pPr>
          <w:hyperlink w:anchor="_Toc181729970" w:history="1">
            <w:r w:rsidRPr="001B0989">
              <w:rPr>
                <w:rStyle w:val="Hyperlink"/>
                <w:noProof/>
              </w:rPr>
              <w:t>Critical Appraisal of Current Strategy</w:t>
            </w:r>
            <w:r>
              <w:rPr>
                <w:noProof/>
                <w:webHidden/>
              </w:rPr>
              <w:tab/>
            </w:r>
            <w:r>
              <w:rPr>
                <w:noProof/>
                <w:webHidden/>
              </w:rPr>
              <w:fldChar w:fldCharType="begin"/>
            </w:r>
            <w:r>
              <w:rPr>
                <w:noProof/>
                <w:webHidden/>
              </w:rPr>
              <w:instrText xml:space="preserve"> PAGEREF _Toc181729970 \h </w:instrText>
            </w:r>
            <w:r>
              <w:rPr>
                <w:noProof/>
                <w:webHidden/>
              </w:rPr>
            </w:r>
            <w:r>
              <w:rPr>
                <w:noProof/>
                <w:webHidden/>
              </w:rPr>
              <w:fldChar w:fldCharType="separate"/>
            </w:r>
            <w:r>
              <w:rPr>
                <w:noProof/>
                <w:webHidden/>
              </w:rPr>
              <w:t>5</w:t>
            </w:r>
            <w:r>
              <w:rPr>
                <w:noProof/>
                <w:webHidden/>
              </w:rPr>
              <w:fldChar w:fldCharType="end"/>
            </w:r>
          </w:hyperlink>
        </w:p>
        <w:p w14:paraId="27F0DB88" w14:textId="7AB965FD" w:rsidR="00876C5A" w:rsidRDefault="00876C5A">
          <w:pPr>
            <w:pStyle w:val="TOC1"/>
            <w:rPr>
              <w:rFonts w:eastAsiaTheme="minorEastAsia"/>
              <w:noProof/>
              <w:sz w:val="24"/>
              <w:szCs w:val="24"/>
              <w:lang w:eastAsia="en-GB"/>
            </w:rPr>
          </w:pPr>
          <w:hyperlink w:anchor="_Toc181729971" w:history="1">
            <w:r w:rsidRPr="001B0989">
              <w:rPr>
                <w:rStyle w:val="Hyperlink"/>
                <w:noProof/>
              </w:rPr>
              <w:t>Porter’s Five Forces Analysis</w:t>
            </w:r>
            <w:r>
              <w:rPr>
                <w:noProof/>
                <w:webHidden/>
              </w:rPr>
              <w:tab/>
            </w:r>
            <w:r>
              <w:rPr>
                <w:noProof/>
                <w:webHidden/>
              </w:rPr>
              <w:fldChar w:fldCharType="begin"/>
            </w:r>
            <w:r>
              <w:rPr>
                <w:noProof/>
                <w:webHidden/>
              </w:rPr>
              <w:instrText xml:space="preserve"> PAGEREF _Toc181729971 \h </w:instrText>
            </w:r>
            <w:r>
              <w:rPr>
                <w:noProof/>
                <w:webHidden/>
              </w:rPr>
            </w:r>
            <w:r>
              <w:rPr>
                <w:noProof/>
                <w:webHidden/>
              </w:rPr>
              <w:fldChar w:fldCharType="separate"/>
            </w:r>
            <w:r>
              <w:rPr>
                <w:noProof/>
                <w:webHidden/>
              </w:rPr>
              <w:t>5</w:t>
            </w:r>
            <w:r>
              <w:rPr>
                <w:noProof/>
                <w:webHidden/>
              </w:rPr>
              <w:fldChar w:fldCharType="end"/>
            </w:r>
          </w:hyperlink>
        </w:p>
        <w:p w14:paraId="5E22C78C" w14:textId="7E4632E6" w:rsidR="00876C5A" w:rsidRDefault="00876C5A" w:rsidP="00AB114D">
          <w:pPr>
            <w:pStyle w:val="TOC2"/>
            <w:ind w:left="0"/>
            <w:rPr>
              <w:rFonts w:asciiTheme="minorHAnsi" w:eastAsiaTheme="minorEastAsia" w:hAnsiTheme="minorHAnsi" w:cstheme="minorBidi"/>
              <w:sz w:val="24"/>
              <w:szCs w:val="24"/>
              <w:lang w:eastAsia="en-GB"/>
            </w:rPr>
          </w:pPr>
          <w:hyperlink w:anchor="_Toc181729972" w:history="1">
            <w:r w:rsidRPr="001B0989">
              <w:rPr>
                <w:rStyle w:val="Hyperlink"/>
              </w:rPr>
              <w:t>Threat of New Entrants</w:t>
            </w:r>
            <w:r>
              <w:rPr>
                <w:webHidden/>
              </w:rPr>
              <w:tab/>
            </w:r>
            <w:r>
              <w:rPr>
                <w:webHidden/>
              </w:rPr>
              <w:fldChar w:fldCharType="begin"/>
            </w:r>
            <w:r>
              <w:rPr>
                <w:webHidden/>
              </w:rPr>
              <w:instrText xml:space="preserve"> PAGEREF _Toc181729972 \h </w:instrText>
            </w:r>
            <w:r>
              <w:rPr>
                <w:webHidden/>
              </w:rPr>
            </w:r>
            <w:r>
              <w:rPr>
                <w:webHidden/>
              </w:rPr>
              <w:fldChar w:fldCharType="separate"/>
            </w:r>
            <w:r>
              <w:rPr>
                <w:webHidden/>
              </w:rPr>
              <w:t>5</w:t>
            </w:r>
            <w:r>
              <w:rPr>
                <w:webHidden/>
              </w:rPr>
              <w:fldChar w:fldCharType="end"/>
            </w:r>
          </w:hyperlink>
        </w:p>
        <w:p w14:paraId="774E2936" w14:textId="2F095B56" w:rsidR="00876C5A" w:rsidRDefault="00876C5A" w:rsidP="00AB114D">
          <w:pPr>
            <w:pStyle w:val="TOC2"/>
            <w:ind w:left="0"/>
            <w:rPr>
              <w:rFonts w:asciiTheme="minorHAnsi" w:eastAsiaTheme="minorEastAsia" w:hAnsiTheme="minorHAnsi" w:cstheme="minorBidi"/>
              <w:sz w:val="24"/>
              <w:szCs w:val="24"/>
              <w:lang w:eastAsia="en-GB"/>
            </w:rPr>
          </w:pPr>
          <w:hyperlink w:anchor="_Toc181729973" w:history="1">
            <w:r w:rsidRPr="001B0989">
              <w:rPr>
                <w:rStyle w:val="Hyperlink"/>
              </w:rPr>
              <w:t>Bargaining Power of Suppliers</w:t>
            </w:r>
            <w:r>
              <w:rPr>
                <w:webHidden/>
              </w:rPr>
              <w:tab/>
            </w:r>
            <w:r>
              <w:rPr>
                <w:webHidden/>
              </w:rPr>
              <w:fldChar w:fldCharType="begin"/>
            </w:r>
            <w:r>
              <w:rPr>
                <w:webHidden/>
              </w:rPr>
              <w:instrText xml:space="preserve"> PAGEREF _Toc181729973 \h </w:instrText>
            </w:r>
            <w:r>
              <w:rPr>
                <w:webHidden/>
              </w:rPr>
            </w:r>
            <w:r>
              <w:rPr>
                <w:webHidden/>
              </w:rPr>
              <w:fldChar w:fldCharType="separate"/>
            </w:r>
            <w:r>
              <w:rPr>
                <w:webHidden/>
              </w:rPr>
              <w:t>6</w:t>
            </w:r>
            <w:r>
              <w:rPr>
                <w:webHidden/>
              </w:rPr>
              <w:fldChar w:fldCharType="end"/>
            </w:r>
          </w:hyperlink>
        </w:p>
        <w:p w14:paraId="0C8FF747" w14:textId="07F945BD" w:rsidR="00876C5A" w:rsidRDefault="00876C5A" w:rsidP="00AB114D">
          <w:pPr>
            <w:pStyle w:val="TOC2"/>
            <w:ind w:left="0"/>
            <w:rPr>
              <w:rFonts w:asciiTheme="minorHAnsi" w:eastAsiaTheme="minorEastAsia" w:hAnsiTheme="minorHAnsi" w:cstheme="minorBidi"/>
              <w:sz w:val="24"/>
              <w:szCs w:val="24"/>
              <w:lang w:eastAsia="en-GB"/>
            </w:rPr>
          </w:pPr>
          <w:hyperlink w:anchor="_Toc181729974" w:history="1">
            <w:r w:rsidRPr="001B0989">
              <w:rPr>
                <w:rStyle w:val="Hyperlink"/>
              </w:rPr>
              <w:t>Buyers Bargaining Power</w:t>
            </w:r>
            <w:r>
              <w:rPr>
                <w:webHidden/>
              </w:rPr>
              <w:tab/>
            </w:r>
            <w:r>
              <w:rPr>
                <w:webHidden/>
              </w:rPr>
              <w:fldChar w:fldCharType="begin"/>
            </w:r>
            <w:r>
              <w:rPr>
                <w:webHidden/>
              </w:rPr>
              <w:instrText xml:space="preserve"> PAGEREF _Toc181729974 \h </w:instrText>
            </w:r>
            <w:r>
              <w:rPr>
                <w:webHidden/>
              </w:rPr>
            </w:r>
            <w:r>
              <w:rPr>
                <w:webHidden/>
              </w:rPr>
              <w:fldChar w:fldCharType="separate"/>
            </w:r>
            <w:r>
              <w:rPr>
                <w:webHidden/>
              </w:rPr>
              <w:t>6</w:t>
            </w:r>
            <w:r>
              <w:rPr>
                <w:webHidden/>
              </w:rPr>
              <w:fldChar w:fldCharType="end"/>
            </w:r>
          </w:hyperlink>
        </w:p>
        <w:p w14:paraId="0A0E1F9C" w14:textId="31E68C12" w:rsidR="00876C5A" w:rsidRDefault="00876C5A" w:rsidP="00AB114D">
          <w:pPr>
            <w:pStyle w:val="TOC2"/>
            <w:ind w:left="0"/>
            <w:rPr>
              <w:rFonts w:asciiTheme="minorHAnsi" w:eastAsiaTheme="minorEastAsia" w:hAnsiTheme="minorHAnsi" w:cstheme="minorBidi"/>
              <w:sz w:val="24"/>
              <w:szCs w:val="24"/>
              <w:lang w:eastAsia="en-GB"/>
            </w:rPr>
          </w:pPr>
          <w:hyperlink w:anchor="_Toc181729975" w:history="1">
            <w:r w:rsidRPr="001B0989">
              <w:rPr>
                <w:rStyle w:val="Hyperlink"/>
              </w:rPr>
              <w:t>Threat of Substitute Products</w:t>
            </w:r>
            <w:r>
              <w:rPr>
                <w:webHidden/>
              </w:rPr>
              <w:tab/>
            </w:r>
            <w:r>
              <w:rPr>
                <w:webHidden/>
              </w:rPr>
              <w:fldChar w:fldCharType="begin"/>
            </w:r>
            <w:r>
              <w:rPr>
                <w:webHidden/>
              </w:rPr>
              <w:instrText xml:space="preserve"> PAGEREF _Toc181729975 \h </w:instrText>
            </w:r>
            <w:r>
              <w:rPr>
                <w:webHidden/>
              </w:rPr>
            </w:r>
            <w:r>
              <w:rPr>
                <w:webHidden/>
              </w:rPr>
              <w:fldChar w:fldCharType="separate"/>
            </w:r>
            <w:r>
              <w:rPr>
                <w:webHidden/>
              </w:rPr>
              <w:t>6</w:t>
            </w:r>
            <w:r>
              <w:rPr>
                <w:webHidden/>
              </w:rPr>
              <w:fldChar w:fldCharType="end"/>
            </w:r>
          </w:hyperlink>
        </w:p>
        <w:p w14:paraId="5ADF5BB8" w14:textId="716906FB" w:rsidR="00876C5A" w:rsidRDefault="00876C5A" w:rsidP="00AB114D">
          <w:pPr>
            <w:pStyle w:val="TOC2"/>
            <w:ind w:left="0"/>
            <w:rPr>
              <w:rFonts w:asciiTheme="minorHAnsi" w:eastAsiaTheme="minorEastAsia" w:hAnsiTheme="minorHAnsi" w:cstheme="minorBidi"/>
              <w:sz w:val="24"/>
              <w:szCs w:val="24"/>
              <w:lang w:eastAsia="en-GB"/>
            </w:rPr>
          </w:pPr>
          <w:hyperlink w:anchor="_Toc181729976" w:history="1">
            <w:r w:rsidRPr="001B0989">
              <w:rPr>
                <w:rStyle w:val="Hyperlink"/>
              </w:rPr>
              <w:t>Industry Rivalry</w:t>
            </w:r>
            <w:r>
              <w:rPr>
                <w:webHidden/>
              </w:rPr>
              <w:tab/>
            </w:r>
            <w:r>
              <w:rPr>
                <w:webHidden/>
              </w:rPr>
              <w:fldChar w:fldCharType="begin"/>
            </w:r>
            <w:r>
              <w:rPr>
                <w:webHidden/>
              </w:rPr>
              <w:instrText xml:space="preserve"> PAGEREF _Toc181729976 \h </w:instrText>
            </w:r>
            <w:r>
              <w:rPr>
                <w:webHidden/>
              </w:rPr>
            </w:r>
            <w:r>
              <w:rPr>
                <w:webHidden/>
              </w:rPr>
              <w:fldChar w:fldCharType="separate"/>
            </w:r>
            <w:r>
              <w:rPr>
                <w:webHidden/>
              </w:rPr>
              <w:t>6</w:t>
            </w:r>
            <w:r>
              <w:rPr>
                <w:webHidden/>
              </w:rPr>
              <w:fldChar w:fldCharType="end"/>
            </w:r>
          </w:hyperlink>
        </w:p>
        <w:p w14:paraId="45CE7696" w14:textId="7CD1CB04" w:rsidR="00876C5A" w:rsidRDefault="00876C5A">
          <w:pPr>
            <w:pStyle w:val="TOC1"/>
            <w:rPr>
              <w:rFonts w:eastAsiaTheme="minorEastAsia"/>
              <w:noProof/>
              <w:sz w:val="24"/>
              <w:szCs w:val="24"/>
              <w:lang w:eastAsia="en-GB"/>
            </w:rPr>
          </w:pPr>
          <w:hyperlink w:anchor="_Toc181729977" w:history="1">
            <w:r w:rsidRPr="001B0989">
              <w:rPr>
                <w:rStyle w:val="Hyperlink"/>
                <w:noProof/>
              </w:rPr>
              <w:t>Critical Analysis External and Internal</w:t>
            </w:r>
            <w:r>
              <w:rPr>
                <w:noProof/>
                <w:webHidden/>
              </w:rPr>
              <w:tab/>
            </w:r>
            <w:r>
              <w:rPr>
                <w:noProof/>
                <w:webHidden/>
              </w:rPr>
              <w:fldChar w:fldCharType="begin"/>
            </w:r>
            <w:r>
              <w:rPr>
                <w:noProof/>
                <w:webHidden/>
              </w:rPr>
              <w:instrText xml:space="preserve"> PAGEREF _Toc181729977 \h </w:instrText>
            </w:r>
            <w:r>
              <w:rPr>
                <w:noProof/>
                <w:webHidden/>
              </w:rPr>
            </w:r>
            <w:r>
              <w:rPr>
                <w:noProof/>
                <w:webHidden/>
              </w:rPr>
              <w:fldChar w:fldCharType="separate"/>
            </w:r>
            <w:r>
              <w:rPr>
                <w:noProof/>
                <w:webHidden/>
              </w:rPr>
              <w:t>7</w:t>
            </w:r>
            <w:r>
              <w:rPr>
                <w:noProof/>
                <w:webHidden/>
              </w:rPr>
              <w:fldChar w:fldCharType="end"/>
            </w:r>
          </w:hyperlink>
        </w:p>
        <w:p w14:paraId="1CA8430B" w14:textId="594004FF" w:rsidR="00876C5A" w:rsidRDefault="00876C5A" w:rsidP="00AB114D">
          <w:pPr>
            <w:pStyle w:val="TOC2"/>
            <w:ind w:left="0"/>
            <w:rPr>
              <w:rFonts w:asciiTheme="minorHAnsi" w:eastAsiaTheme="minorEastAsia" w:hAnsiTheme="minorHAnsi" w:cstheme="minorBidi"/>
              <w:sz w:val="24"/>
              <w:szCs w:val="24"/>
              <w:lang w:eastAsia="en-GB"/>
            </w:rPr>
          </w:pPr>
          <w:hyperlink w:anchor="_Toc181729978" w:history="1">
            <w:r w:rsidRPr="001B0989">
              <w:rPr>
                <w:rStyle w:val="Hyperlink"/>
              </w:rPr>
              <w:t>PESTLE Analysis</w:t>
            </w:r>
            <w:r>
              <w:rPr>
                <w:webHidden/>
              </w:rPr>
              <w:tab/>
            </w:r>
            <w:r>
              <w:rPr>
                <w:webHidden/>
              </w:rPr>
              <w:fldChar w:fldCharType="begin"/>
            </w:r>
            <w:r>
              <w:rPr>
                <w:webHidden/>
              </w:rPr>
              <w:instrText xml:space="preserve"> PAGEREF _Toc181729978 \h </w:instrText>
            </w:r>
            <w:r>
              <w:rPr>
                <w:webHidden/>
              </w:rPr>
            </w:r>
            <w:r>
              <w:rPr>
                <w:webHidden/>
              </w:rPr>
              <w:fldChar w:fldCharType="separate"/>
            </w:r>
            <w:r>
              <w:rPr>
                <w:webHidden/>
              </w:rPr>
              <w:t>7</w:t>
            </w:r>
            <w:r>
              <w:rPr>
                <w:webHidden/>
              </w:rPr>
              <w:fldChar w:fldCharType="end"/>
            </w:r>
          </w:hyperlink>
        </w:p>
        <w:p w14:paraId="24517C7B" w14:textId="38350120" w:rsidR="00876C5A" w:rsidRDefault="00876C5A" w:rsidP="00AB114D">
          <w:pPr>
            <w:pStyle w:val="TOC2"/>
            <w:ind w:left="0"/>
            <w:rPr>
              <w:rFonts w:asciiTheme="minorHAnsi" w:eastAsiaTheme="minorEastAsia" w:hAnsiTheme="minorHAnsi" w:cstheme="minorBidi"/>
              <w:sz w:val="24"/>
              <w:szCs w:val="24"/>
              <w:lang w:eastAsia="en-GB"/>
            </w:rPr>
          </w:pPr>
          <w:hyperlink w:anchor="_Toc181729981" w:history="1">
            <w:r w:rsidRPr="001B0989">
              <w:rPr>
                <w:rStyle w:val="Hyperlink"/>
              </w:rPr>
              <w:t>Inflation and Consumer Spending Power</w:t>
            </w:r>
            <w:r>
              <w:rPr>
                <w:webHidden/>
              </w:rPr>
              <w:tab/>
            </w:r>
            <w:r>
              <w:rPr>
                <w:webHidden/>
              </w:rPr>
              <w:fldChar w:fldCharType="begin"/>
            </w:r>
            <w:r>
              <w:rPr>
                <w:webHidden/>
              </w:rPr>
              <w:instrText xml:space="preserve"> PAGEREF _Toc181729981 \h </w:instrText>
            </w:r>
            <w:r>
              <w:rPr>
                <w:webHidden/>
              </w:rPr>
            </w:r>
            <w:r>
              <w:rPr>
                <w:webHidden/>
              </w:rPr>
              <w:fldChar w:fldCharType="separate"/>
            </w:r>
            <w:r>
              <w:rPr>
                <w:webHidden/>
              </w:rPr>
              <w:t>8</w:t>
            </w:r>
            <w:r>
              <w:rPr>
                <w:webHidden/>
              </w:rPr>
              <w:fldChar w:fldCharType="end"/>
            </w:r>
          </w:hyperlink>
        </w:p>
        <w:p w14:paraId="65213460" w14:textId="4F37EFC2" w:rsidR="00876C5A" w:rsidRDefault="00876C5A" w:rsidP="00AB114D">
          <w:pPr>
            <w:pStyle w:val="TOC2"/>
            <w:ind w:left="0"/>
            <w:rPr>
              <w:rFonts w:asciiTheme="minorHAnsi" w:eastAsiaTheme="minorEastAsia" w:hAnsiTheme="minorHAnsi" w:cstheme="minorBidi"/>
              <w:sz w:val="24"/>
              <w:szCs w:val="24"/>
              <w:lang w:eastAsia="en-GB"/>
            </w:rPr>
          </w:pPr>
          <w:hyperlink w:anchor="_Toc181729982" w:history="1">
            <w:r w:rsidRPr="001B0989">
              <w:rPr>
                <w:rStyle w:val="Hyperlink"/>
              </w:rPr>
              <w:t>Currency Exchange Fluctuations</w:t>
            </w:r>
            <w:r>
              <w:rPr>
                <w:webHidden/>
              </w:rPr>
              <w:tab/>
            </w:r>
            <w:r>
              <w:rPr>
                <w:webHidden/>
              </w:rPr>
              <w:fldChar w:fldCharType="begin"/>
            </w:r>
            <w:r>
              <w:rPr>
                <w:webHidden/>
              </w:rPr>
              <w:instrText xml:space="preserve"> PAGEREF _Toc181729982 \h </w:instrText>
            </w:r>
            <w:r>
              <w:rPr>
                <w:webHidden/>
              </w:rPr>
            </w:r>
            <w:r>
              <w:rPr>
                <w:webHidden/>
              </w:rPr>
              <w:fldChar w:fldCharType="separate"/>
            </w:r>
            <w:r>
              <w:rPr>
                <w:webHidden/>
              </w:rPr>
              <w:t>8</w:t>
            </w:r>
            <w:r>
              <w:rPr>
                <w:webHidden/>
              </w:rPr>
              <w:fldChar w:fldCharType="end"/>
            </w:r>
          </w:hyperlink>
        </w:p>
        <w:p w14:paraId="45E341D5" w14:textId="738335B1" w:rsidR="00876C5A" w:rsidRDefault="00876C5A" w:rsidP="00AB114D">
          <w:pPr>
            <w:pStyle w:val="TOC2"/>
            <w:ind w:left="0"/>
            <w:rPr>
              <w:rFonts w:asciiTheme="minorHAnsi" w:eastAsiaTheme="minorEastAsia" w:hAnsiTheme="minorHAnsi" w:cstheme="minorBidi"/>
              <w:sz w:val="24"/>
              <w:szCs w:val="24"/>
              <w:lang w:eastAsia="en-GB"/>
            </w:rPr>
          </w:pPr>
          <w:hyperlink w:anchor="_Toc181729983" w:history="1">
            <w:r w:rsidRPr="001B0989">
              <w:rPr>
                <w:rStyle w:val="Hyperlink"/>
              </w:rPr>
              <w:t>Health-Conscious Market Growth</w:t>
            </w:r>
            <w:r>
              <w:rPr>
                <w:webHidden/>
              </w:rPr>
              <w:tab/>
            </w:r>
            <w:r>
              <w:rPr>
                <w:webHidden/>
              </w:rPr>
              <w:fldChar w:fldCharType="begin"/>
            </w:r>
            <w:r>
              <w:rPr>
                <w:webHidden/>
              </w:rPr>
              <w:instrText xml:space="preserve"> PAGEREF _Toc181729983 \h </w:instrText>
            </w:r>
            <w:r>
              <w:rPr>
                <w:webHidden/>
              </w:rPr>
            </w:r>
            <w:r>
              <w:rPr>
                <w:webHidden/>
              </w:rPr>
              <w:fldChar w:fldCharType="separate"/>
            </w:r>
            <w:r>
              <w:rPr>
                <w:webHidden/>
              </w:rPr>
              <w:t>8</w:t>
            </w:r>
            <w:r>
              <w:rPr>
                <w:webHidden/>
              </w:rPr>
              <w:fldChar w:fldCharType="end"/>
            </w:r>
          </w:hyperlink>
        </w:p>
        <w:p w14:paraId="3A6164FE" w14:textId="62A51B5C" w:rsidR="00876C5A" w:rsidRDefault="00876C5A" w:rsidP="00AB114D">
          <w:pPr>
            <w:pStyle w:val="TOC2"/>
            <w:ind w:left="0"/>
            <w:rPr>
              <w:rFonts w:asciiTheme="minorHAnsi" w:eastAsiaTheme="minorEastAsia" w:hAnsiTheme="minorHAnsi" w:cstheme="minorBidi"/>
              <w:sz w:val="24"/>
              <w:szCs w:val="24"/>
              <w:lang w:eastAsia="en-GB"/>
            </w:rPr>
          </w:pPr>
          <w:hyperlink w:anchor="_Toc181729984" w:history="1">
            <w:r w:rsidRPr="001B0989">
              <w:rPr>
                <w:rStyle w:val="Hyperlink"/>
              </w:rPr>
              <w:t>Legal Factors:</w:t>
            </w:r>
            <w:r>
              <w:rPr>
                <w:webHidden/>
              </w:rPr>
              <w:tab/>
            </w:r>
            <w:r>
              <w:rPr>
                <w:webHidden/>
              </w:rPr>
              <w:fldChar w:fldCharType="begin"/>
            </w:r>
            <w:r>
              <w:rPr>
                <w:webHidden/>
              </w:rPr>
              <w:instrText xml:space="preserve"> PAGEREF _Toc181729984 \h </w:instrText>
            </w:r>
            <w:r>
              <w:rPr>
                <w:webHidden/>
              </w:rPr>
            </w:r>
            <w:r>
              <w:rPr>
                <w:webHidden/>
              </w:rPr>
              <w:fldChar w:fldCharType="separate"/>
            </w:r>
            <w:r>
              <w:rPr>
                <w:webHidden/>
              </w:rPr>
              <w:t>8</w:t>
            </w:r>
            <w:r>
              <w:rPr>
                <w:webHidden/>
              </w:rPr>
              <w:fldChar w:fldCharType="end"/>
            </w:r>
          </w:hyperlink>
        </w:p>
        <w:p w14:paraId="456C2B3B" w14:textId="233033A2" w:rsidR="00876C5A" w:rsidRDefault="00876C5A">
          <w:pPr>
            <w:pStyle w:val="TOC1"/>
            <w:rPr>
              <w:rFonts w:eastAsiaTheme="minorEastAsia"/>
              <w:noProof/>
              <w:sz w:val="24"/>
              <w:szCs w:val="24"/>
              <w:lang w:eastAsia="en-GB"/>
            </w:rPr>
          </w:pPr>
          <w:hyperlink w:anchor="_Toc181729985" w:history="1">
            <w:r w:rsidRPr="001B0989">
              <w:rPr>
                <w:rStyle w:val="Hyperlink"/>
                <w:noProof/>
              </w:rPr>
              <w:t>SWOT Analysis:</w:t>
            </w:r>
            <w:r>
              <w:rPr>
                <w:noProof/>
                <w:webHidden/>
              </w:rPr>
              <w:tab/>
            </w:r>
            <w:r>
              <w:rPr>
                <w:noProof/>
                <w:webHidden/>
              </w:rPr>
              <w:fldChar w:fldCharType="begin"/>
            </w:r>
            <w:r>
              <w:rPr>
                <w:noProof/>
                <w:webHidden/>
              </w:rPr>
              <w:instrText xml:space="preserve"> PAGEREF _Toc181729985 \h </w:instrText>
            </w:r>
            <w:r>
              <w:rPr>
                <w:noProof/>
                <w:webHidden/>
              </w:rPr>
            </w:r>
            <w:r>
              <w:rPr>
                <w:noProof/>
                <w:webHidden/>
              </w:rPr>
              <w:fldChar w:fldCharType="separate"/>
            </w:r>
            <w:r>
              <w:rPr>
                <w:noProof/>
                <w:webHidden/>
              </w:rPr>
              <w:t>9</w:t>
            </w:r>
            <w:r>
              <w:rPr>
                <w:noProof/>
                <w:webHidden/>
              </w:rPr>
              <w:fldChar w:fldCharType="end"/>
            </w:r>
          </w:hyperlink>
        </w:p>
        <w:p w14:paraId="703AE56D" w14:textId="6B24E2D3" w:rsidR="00876C5A" w:rsidRDefault="00876C5A">
          <w:pPr>
            <w:pStyle w:val="TOC1"/>
            <w:rPr>
              <w:rFonts w:eastAsiaTheme="minorEastAsia"/>
              <w:noProof/>
              <w:sz w:val="24"/>
              <w:szCs w:val="24"/>
              <w:lang w:eastAsia="en-GB"/>
            </w:rPr>
          </w:pPr>
          <w:hyperlink w:anchor="_Toc181729990" w:history="1">
            <w:r w:rsidRPr="001B0989">
              <w:rPr>
                <w:rStyle w:val="Hyperlink"/>
                <w:noProof/>
              </w:rPr>
              <w:t>Stakeholder Analysis</w:t>
            </w:r>
            <w:r>
              <w:rPr>
                <w:noProof/>
                <w:webHidden/>
              </w:rPr>
              <w:tab/>
            </w:r>
            <w:r>
              <w:rPr>
                <w:noProof/>
                <w:webHidden/>
              </w:rPr>
              <w:fldChar w:fldCharType="begin"/>
            </w:r>
            <w:r>
              <w:rPr>
                <w:noProof/>
                <w:webHidden/>
              </w:rPr>
              <w:instrText xml:space="preserve"> PAGEREF _Toc181729990 \h </w:instrText>
            </w:r>
            <w:r>
              <w:rPr>
                <w:noProof/>
                <w:webHidden/>
              </w:rPr>
            </w:r>
            <w:r>
              <w:rPr>
                <w:noProof/>
                <w:webHidden/>
              </w:rPr>
              <w:fldChar w:fldCharType="separate"/>
            </w:r>
            <w:r>
              <w:rPr>
                <w:noProof/>
                <w:webHidden/>
              </w:rPr>
              <w:t>11</w:t>
            </w:r>
            <w:r>
              <w:rPr>
                <w:noProof/>
                <w:webHidden/>
              </w:rPr>
              <w:fldChar w:fldCharType="end"/>
            </w:r>
          </w:hyperlink>
        </w:p>
        <w:p w14:paraId="1E808228" w14:textId="37B8DE00" w:rsidR="00876C5A" w:rsidRDefault="00876C5A" w:rsidP="00AB114D">
          <w:pPr>
            <w:pStyle w:val="TOC2"/>
            <w:ind w:left="0"/>
            <w:rPr>
              <w:rFonts w:asciiTheme="minorHAnsi" w:eastAsiaTheme="minorEastAsia" w:hAnsiTheme="minorHAnsi" w:cstheme="minorBidi"/>
              <w:sz w:val="24"/>
              <w:szCs w:val="24"/>
              <w:lang w:eastAsia="en-GB"/>
            </w:rPr>
          </w:pPr>
          <w:hyperlink w:anchor="_Toc181729991" w:history="1">
            <w:r w:rsidRPr="001B0989">
              <w:rPr>
                <w:rStyle w:val="Hyperlink"/>
              </w:rPr>
              <w:t>Power/Interest Grid</w:t>
            </w:r>
            <w:r>
              <w:rPr>
                <w:webHidden/>
              </w:rPr>
              <w:tab/>
            </w:r>
            <w:r>
              <w:rPr>
                <w:webHidden/>
              </w:rPr>
              <w:fldChar w:fldCharType="begin"/>
            </w:r>
            <w:r>
              <w:rPr>
                <w:webHidden/>
              </w:rPr>
              <w:instrText xml:space="preserve"> PAGEREF _Toc181729991 \h </w:instrText>
            </w:r>
            <w:r>
              <w:rPr>
                <w:webHidden/>
              </w:rPr>
            </w:r>
            <w:r>
              <w:rPr>
                <w:webHidden/>
              </w:rPr>
              <w:fldChar w:fldCharType="separate"/>
            </w:r>
            <w:r>
              <w:rPr>
                <w:webHidden/>
              </w:rPr>
              <w:t>11</w:t>
            </w:r>
            <w:r>
              <w:rPr>
                <w:webHidden/>
              </w:rPr>
              <w:fldChar w:fldCharType="end"/>
            </w:r>
          </w:hyperlink>
        </w:p>
        <w:p w14:paraId="430E003D" w14:textId="2AC5605C" w:rsidR="00876C5A" w:rsidRDefault="00876C5A">
          <w:pPr>
            <w:pStyle w:val="TOC1"/>
            <w:rPr>
              <w:rFonts w:eastAsiaTheme="minorEastAsia"/>
              <w:noProof/>
              <w:sz w:val="24"/>
              <w:szCs w:val="24"/>
              <w:lang w:eastAsia="en-GB"/>
            </w:rPr>
          </w:pPr>
          <w:hyperlink w:anchor="_Toc181729992" w:history="1">
            <w:r w:rsidRPr="001B0989">
              <w:rPr>
                <w:rStyle w:val="Hyperlink"/>
                <w:noProof/>
              </w:rPr>
              <w:t>Strategic Growth Options</w:t>
            </w:r>
            <w:r>
              <w:rPr>
                <w:noProof/>
                <w:webHidden/>
              </w:rPr>
              <w:tab/>
            </w:r>
            <w:r>
              <w:rPr>
                <w:noProof/>
                <w:webHidden/>
              </w:rPr>
              <w:fldChar w:fldCharType="begin"/>
            </w:r>
            <w:r>
              <w:rPr>
                <w:noProof/>
                <w:webHidden/>
              </w:rPr>
              <w:instrText xml:space="preserve"> PAGEREF _Toc181729992 \h </w:instrText>
            </w:r>
            <w:r>
              <w:rPr>
                <w:noProof/>
                <w:webHidden/>
              </w:rPr>
            </w:r>
            <w:r>
              <w:rPr>
                <w:noProof/>
                <w:webHidden/>
              </w:rPr>
              <w:fldChar w:fldCharType="separate"/>
            </w:r>
            <w:r>
              <w:rPr>
                <w:noProof/>
                <w:webHidden/>
              </w:rPr>
              <w:t>12</w:t>
            </w:r>
            <w:r>
              <w:rPr>
                <w:noProof/>
                <w:webHidden/>
              </w:rPr>
              <w:fldChar w:fldCharType="end"/>
            </w:r>
          </w:hyperlink>
        </w:p>
        <w:p w14:paraId="2789EFF6" w14:textId="139BEFEB" w:rsidR="00876C5A" w:rsidRDefault="00876C5A">
          <w:pPr>
            <w:pStyle w:val="TOC1"/>
            <w:rPr>
              <w:rFonts w:eastAsiaTheme="minorEastAsia"/>
              <w:noProof/>
              <w:sz w:val="24"/>
              <w:szCs w:val="24"/>
              <w:lang w:eastAsia="en-GB"/>
            </w:rPr>
          </w:pPr>
          <w:hyperlink w:anchor="_Toc181729996" w:history="1">
            <w:r w:rsidRPr="001B0989">
              <w:rPr>
                <w:rStyle w:val="Hyperlink"/>
                <w:noProof/>
              </w:rPr>
              <w:t>Competitor reactions</w:t>
            </w:r>
            <w:r>
              <w:rPr>
                <w:noProof/>
                <w:webHidden/>
              </w:rPr>
              <w:tab/>
            </w:r>
            <w:r>
              <w:rPr>
                <w:noProof/>
                <w:webHidden/>
              </w:rPr>
              <w:fldChar w:fldCharType="begin"/>
            </w:r>
            <w:r>
              <w:rPr>
                <w:noProof/>
                <w:webHidden/>
              </w:rPr>
              <w:instrText xml:space="preserve"> PAGEREF _Toc181729996 \h </w:instrText>
            </w:r>
            <w:r>
              <w:rPr>
                <w:noProof/>
                <w:webHidden/>
              </w:rPr>
            </w:r>
            <w:r>
              <w:rPr>
                <w:noProof/>
                <w:webHidden/>
              </w:rPr>
              <w:fldChar w:fldCharType="separate"/>
            </w:r>
            <w:r>
              <w:rPr>
                <w:noProof/>
                <w:webHidden/>
              </w:rPr>
              <w:t>14</w:t>
            </w:r>
            <w:r>
              <w:rPr>
                <w:noProof/>
                <w:webHidden/>
              </w:rPr>
              <w:fldChar w:fldCharType="end"/>
            </w:r>
          </w:hyperlink>
        </w:p>
        <w:p w14:paraId="71C77B98" w14:textId="1F21AEC2" w:rsidR="00876C5A" w:rsidRDefault="00876C5A">
          <w:pPr>
            <w:pStyle w:val="TOC1"/>
            <w:rPr>
              <w:rFonts w:eastAsiaTheme="minorEastAsia"/>
              <w:noProof/>
              <w:sz w:val="24"/>
              <w:szCs w:val="24"/>
              <w:lang w:eastAsia="en-GB"/>
            </w:rPr>
          </w:pPr>
          <w:hyperlink w:anchor="_Toc181729997" w:history="1">
            <w:r w:rsidRPr="001B0989">
              <w:rPr>
                <w:rStyle w:val="Hyperlink"/>
                <w:noProof/>
              </w:rPr>
              <w:t>Recommendations</w:t>
            </w:r>
            <w:r>
              <w:rPr>
                <w:noProof/>
                <w:webHidden/>
              </w:rPr>
              <w:tab/>
            </w:r>
            <w:r>
              <w:rPr>
                <w:noProof/>
                <w:webHidden/>
              </w:rPr>
              <w:fldChar w:fldCharType="begin"/>
            </w:r>
            <w:r>
              <w:rPr>
                <w:noProof/>
                <w:webHidden/>
              </w:rPr>
              <w:instrText xml:space="preserve"> PAGEREF _Toc181729997 \h </w:instrText>
            </w:r>
            <w:r>
              <w:rPr>
                <w:noProof/>
                <w:webHidden/>
              </w:rPr>
            </w:r>
            <w:r>
              <w:rPr>
                <w:noProof/>
                <w:webHidden/>
              </w:rPr>
              <w:fldChar w:fldCharType="separate"/>
            </w:r>
            <w:r>
              <w:rPr>
                <w:noProof/>
                <w:webHidden/>
              </w:rPr>
              <w:t>14</w:t>
            </w:r>
            <w:r>
              <w:rPr>
                <w:noProof/>
                <w:webHidden/>
              </w:rPr>
              <w:fldChar w:fldCharType="end"/>
            </w:r>
          </w:hyperlink>
        </w:p>
        <w:p w14:paraId="0CDD5E26" w14:textId="30FD5720" w:rsidR="00876C5A" w:rsidRDefault="00876C5A">
          <w:pPr>
            <w:pStyle w:val="TOC1"/>
            <w:rPr>
              <w:rFonts w:eastAsiaTheme="minorEastAsia"/>
              <w:noProof/>
              <w:sz w:val="24"/>
              <w:szCs w:val="24"/>
              <w:lang w:eastAsia="en-GB"/>
            </w:rPr>
          </w:pPr>
          <w:hyperlink w:anchor="_Toc181729998" w:history="1">
            <w:r w:rsidRPr="001B0989">
              <w:rPr>
                <w:rStyle w:val="Hyperlink"/>
                <w:noProof/>
              </w:rPr>
              <w:t>Conclusion</w:t>
            </w:r>
            <w:r>
              <w:rPr>
                <w:noProof/>
                <w:webHidden/>
              </w:rPr>
              <w:tab/>
            </w:r>
            <w:r>
              <w:rPr>
                <w:noProof/>
                <w:webHidden/>
              </w:rPr>
              <w:fldChar w:fldCharType="begin"/>
            </w:r>
            <w:r>
              <w:rPr>
                <w:noProof/>
                <w:webHidden/>
              </w:rPr>
              <w:instrText xml:space="preserve"> PAGEREF _Toc181729998 \h </w:instrText>
            </w:r>
            <w:r>
              <w:rPr>
                <w:noProof/>
                <w:webHidden/>
              </w:rPr>
            </w:r>
            <w:r>
              <w:rPr>
                <w:noProof/>
                <w:webHidden/>
              </w:rPr>
              <w:fldChar w:fldCharType="separate"/>
            </w:r>
            <w:r>
              <w:rPr>
                <w:noProof/>
                <w:webHidden/>
              </w:rPr>
              <w:t>15</w:t>
            </w:r>
            <w:r>
              <w:rPr>
                <w:noProof/>
                <w:webHidden/>
              </w:rPr>
              <w:fldChar w:fldCharType="end"/>
            </w:r>
          </w:hyperlink>
        </w:p>
        <w:p w14:paraId="5F2253E7" w14:textId="237188E3" w:rsidR="00876C5A" w:rsidRDefault="00876C5A">
          <w:r>
            <w:rPr>
              <w:b/>
              <w:bCs/>
              <w:noProof/>
            </w:rPr>
            <w:fldChar w:fldCharType="end"/>
          </w:r>
        </w:p>
      </w:sdtContent>
    </w:sdt>
    <w:p w14:paraId="3FEB123B" w14:textId="77777777" w:rsidR="00876C5A" w:rsidRDefault="00876C5A" w:rsidP="00861665">
      <w:pPr>
        <w:spacing w:line="360" w:lineRule="auto"/>
        <w:jc w:val="both"/>
        <w:rPr>
          <w:rFonts w:ascii="Arial" w:hAnsi="Arial" w:cs="Arial"/>
          <w:i/>
          <w:iCs/>
        </w:rPr>
      </w:pPr>
    </w:p>
    <w:p w14:paraId="552DB1AF" w14:textId="77777777" w:rsidR="00876C5A" w:rsidRDefault="00876C5A" w:rsidP="00861665">
      <w:pPr>
        <w:spacing w:line="360" w:lineRule="auto"/>
        <w:jc w:val="both"/>
        <w:rPr>
          <w:rFonts w:ascii="Arial" w:hAnsi="Arial" w:cs="Arial"/>
          <w:i/>
          <w:iCs/>
        </w:rPr>
      </w:pPr>
    </w:p>
    <w:p w14:paraId="71E9D376" w14:textId="77777777" w:rsidR="00A214BA" w:rsidRDefault="00A214BA" w:rsidP="00861665">
      <w:pPr>
        <w:spacing w:line="360" w:lineRule="auto"/>
        <w:jc w:val="both"/>
        <w:rPr>
          <w:rFonts w:ascii="Arial" w:hAnsi="Arial" w:cs="Arial"/>
          <w:i/>
          <w:iCs/>
        </w:rPr>
      </w:pPr>
    </w:p>
    <w:p w14:paraId="023EFA46" w14:textId="77777777" w:rsidR="00A214BA" w:rsidRDefault="00A214BA" w:rsidP="00861665">
      <w:pPr>
        <w:spacing w:line="360" w:lineRule="auto"/>
        <w:jc w:val="both"/>
        <w:rPr>
          <w:rFonts w:ascii="Arial" w:hAnsi="Arial" w:cs="Arial"/>
          <w:i/>
          <w:iCs/>
        </w:rPr>
      </w:pPr>
    </w:p>
    <w:p w14:paraId="55DF6B62" w14:textId="77777777" w:rsidR="00AB114D" w:rsidRDefault="00AB114D" w:rsidP="006E7470">
      <w:pPr>
        <w:pStyle w:val="Heading1"/>
        <w:rPr>
          <w:sz w:val="36"/>
          <w:szCs w:val="36"/>
        </w:rPr>
      </w:pPr>
      <w:bookmarkStart w:id="0" w:name="_Toc181607303"/>
      <w:bookmarkStart w:id="1" w:name="_Toc181729967"/>
    </w:p>
    <w:p w14:paraId="3EE9DCB2" w14:textId="77777777" w:rsidR="00AB114D" w:rsidRDefault="00AB114D" w:rsidP="006E7470">
      <w:pPr>
        <w:pStyle w:val="Heading1"/>
        <w:rPr>
          <w:sz w:val="36"/>
          <w:szCs w:val="36"/>
        </w:rPr>
      </w:pPr>
    </w:p>
    <w:p w14:paraId="609B0199" w14:textId="77276F68" w:rsidR="002C5A26" w:rsidRPr="003F0208" w:rsidRDefault="002C5A26" w:rsidP="006E7470">
      <w:pPr>
        <w:pStyle w:val="Heading1"/>
        <w:rPr>
          <w:rFonts w:ascii="DilleniaUPC" w:hAnsi="DilleniaUPC" w:cs="DilleniaUPC"/>
          <w:i/>
          <w:iCs/>
        </w:rPr>
      </w:pPr>
      <w:r w:rsidRPr="003F0208">
        <w:rPr>
          <w:rFonts w:ascii="Arial" w:hAnsi="Arial" w:cs="Arial"/>
          <w:i/>
          <w:iCs/>
          <w:sz w:val="36"/>
          <w:szCs w:val="36"/>
        </w:rPr>
        <w:t>I</w:t>
      </w:r>
      <w:r w:rsidRPr="003F0208">
        <w:rPr>
          <w:rFonts w:ascii="Arial" w:hAnsi="Arial" w:cs="Arial"/>
          <w:i/>
          <w:iCs/>
          <w:sz w:val="22"/>
          <w:szCs w:val="22"/>
        </w:rPr>
        <w:t>ntroduction</w:t>
      </w:r>
      <w:bookmarkEnd w:id="0"/>
      <w:bookmarkEnd w:id="1"/>
    </w:p>
    <w:p w14:paraId="38B6A18D" w14:textId="3FF29FD6" w:rsidR="002C5A26" w:rsidRPr="000E7BB6" w:rsidRDefault="0094551E" w:rsidP="00861665">
      <w:pPr>
        <w:spacing w:line="360" w:lineRule="auto"/>
        <w:jc w:val="both"/>
        <w:rPr>
          <w:rFonts w:ascii="Arial" w:hAnsi="Arial" w:cs="Arial"/>
          <w:color w:val="FF0000"/>
        </w:rPr>
      </w:pPr>
      <w:r w:rsidRPr="00D265D9">
        <w:rPr>
          <w:rFonts w:ascii="Arial" w:hAnsi="Arial" w:cs="Arial"/>
        </w:rPr>
        <w:t>To</w:t>
      </w:r>
      <w:r w:rsidR="00D265D9" w:rsidRPr="00D265D9">
        <w:rPr>
          <w:rFonts w:ascii="Arial" w:hAnsi="Arial" w:cs="Arial"/>
        </w:rPr>
        <w:t xml:space="preserve"> e</w:t>
      </w:r>
      <w:r w:rsidR="002F643F" w:rsidRPr="00D265D9">
        <w:rPr>
          <w:rFonts w:ascii="Arial" w:hAnsi="Arial" w:cs="Arial"/>
        </w:rPr>
        <w:t>xplain strategy and strategic management</w:t>
      </w:r>
      <w:r w:rsidR="00AD4822">
        <w:rPr>
          <w:rFonts w:ascii="Arial" w:hAnsi="Arial" w:cs="Arial"/>
        </w:rPr>
        <w:t xml:space="preserve"> and</w:t>
      </w:r>
      <w:r w:rsidR="002F643F" w:rsidRPr="00D265D9">
        <w:rPr>
          <w:rFonts w:ascii="Arial" w:hAnsi="Arial" w:cs="Arial"/>
        </w:rPr>
        <w:t xml:space="preserve"> </w:t>
      </w:r>
      <w:r w:rsidR="001E4DF3" w:rsidRPr="00D265D9">
        <w:rPr>
          <w:rFonts w:ascii="Arial" w:hAnsi="Arial" w:cs="Arial"/>
        </w:rPr>
        <w:t>discuss</w:t>
      </w:r>
      <w:r w:rsidR="002F643F" w:rsidRPr="00D265D9">
        <w:rPr>
          <w:rFonts w:ascii="Arial" w:hAnsi="Arial" w:cs="Arial"/>
        </w:rPr>
        <w:t xml:space="preserve"> the important of strategic </w:t>
      </w:r>
      <w:r w:rsidR="00D265D9" w:rsidRPr="00D265D9">
        <w:rPr>
          <w:rFonts w:ascii="Arial" w:hAnsi="Arial" w:cs="Arial"/>
        </w:rPr>
        <w:t>management</w:t>
      </w:r>
      <w:r w:rsidR="001506AD">
        <w:rPr>
          <w:rFonts w:ascii="Arial" w:hAnsi="Arial" w:cs="Arial"/>
        </w:rPr>
        <w:t xml:space="preserve">, </w:t>
      </w:r>
      <w:r w:rsidR="00D265D9" w:rsidRPr="002C5A26">
        <w:rPr>
          <w:rFonts w:ascii="Arial" w:hAnsi="Arial" w:cs="Arial"/>
        </w:rPr>
        <w:t>this</w:t>
      </w:r>
      <w:r w:rsidR="002C5A26" w:rsidRPr="002C5A26">
        <w:rPr>
          <w:rFonts w:ascii="Arial" w:hAnsi="Arial" w:cs="Arial"/>
        </w:rPr>
        <w:t xml:space="preserve"> assignment provides a comprehensive analysis of Innocent Drinks, a leading brand in the health-focused beverage market. It critically evaluates the company's current strategy through frameworks such as Porter’s Five Forces, assessing external competitive dynamics and internal capabilities. The analysis will explore Innocent's mission and vision, guiding its strategic objectives, and identify growth opportunities in an evolving market. Additionally, the assignment will cover stakeholder analysis, strategic growth options, and recommendations for enhancing Innocent's market position. Through this examination, insights into Innocent's commitment to sustainability and innovation will be highlighted, ensuring relevance in a competitive landscape</w:t>
      </w:r>
      <w:r w:rsidR="00171708">
        <w:rPr>
          <w:rFonts w:ascii="Arial" w:hAnsi="Arial" w:cs="Arial"/>
        </w:rPr>
        <w:t>.</w:t>
      </w:r>
    </w:p>
    <w:p w14:paraId="48DCDC0C" w14:textId="77777777" w:rsidR="008B74BF" w:rsidRPr="008B74BF" w:rsidRDefault="008B74BF" w:rsidP="008B74BF">
      <w:pPr>
        <w:spacing w:line="360" w:lineRule="auto"/>
        <w:jc w:val="both"/>
        <w:rPr>
          <w:rFonts w:ascii="Arial" w:hAnsi="Arial" w:cs="Arial"/>
        </w:rPr>
      </w:pPr>
    </w:p>
    <w:p w14:paraId="0248A476" w14:textId="77777777" w:rsidR="000B6C77" w:rsidRDefault="000B6C77" w:rsidP="008B74BF">
      <w:pPr>
        <w:spacing w:line="360" w:lineRule="auto"/>
        <w:jc w:val="both"/>
        <w:rPr>
          <w:rFonts w:ascii="Arial" w:hAnsi="Arial" w:cs="Arial"/>
        </w:rPr>
      </w:pPr>
    </w:p>
    <w:p w14:paraId="3D905961" w14:textId="77777777" w:rsidR="000B6C77" w:rsidRDefault="000B6C77" w:rsidP="008B74BF">
      <w:pPr>
        <w:spacing w:line="360" w:lineRule="auto"/>
        <w:jc w:val="both"/>
        <w:rPr>
          <w:rFonts w:ascii="Arial" w:hAnsi="Arial" w:cs="Arial"/>
        </w:rPr>
      </w:pPr>
    </w:p>
    <w:p w14:paraId="538BEB44" w14:textId="77777777" w:rsidR="000B6C77" w:rsidRDefault="000B6C77" w:rsidP="008B74BF">
      <w:pPr>
        <w:spacing w:line="360" w:lineRule="auto"/>
        <w:jc w:val="both"/>
        <w:rPr>
          <w:rFonts w:ascii="Arial" w:hAnsi="Arial" w:cs="Arial"/>
        </w:rPr>
      </w:pPr>
    </w:p>
    <w:p w14:paraId="17E3D058" w14:textId="77777777" w:rsidR="000B6C77" w:rsidRDefault="000B6C77" w:rsidP="008B74BF">
      <w:pPr>
        <w:spacing w:line="360" w:lineRule="auto"/>
        <w:jc w:val="both"/>
        <w:rPr>
          <w:rFonts w:ascii="Arial" w:hAnsi="Arial" w:cs="Arial"/>
        </w:rPr>
      </w:pPr>
    </w:p>
    <w:p w14:paraId="3B8209A2" w14:textId="77777777" w:rsidR="000B6C77" w:rsidRDefault="000B6C77" w:rsidP="008B74BF">
      <w:pPr>
        <w:spacing w:line="360" w:lineRule="auto"/>
        <w:jc w:val="both"/>
        <w:rPr>
          <w:rFonts w:ascii="Arial" w:hAnsi="Arial" w:cs="Arial"/>
        </w:rPr>
      </w:pPr>
    </w:p>
    <w:p w14:paraId="0AFA6E54" w14:textId="77777777" w:rsidR="000B6C77" w:rsidRDefault="000B6C77" w:rsidP="008B74BF">
      <w:pPr>
        <w:spacing w:line="360" w:lineRule="auto"/>
        <w:jc w:val="both"/>
        <w:rPr>
          <w:rFonts w:ascii="Arial" w:hAnsi="Arial" w:cs="Arial"/>
        </w:rPr>
      </w:pPr>
    </w:p>
    <w:p w14:paraId="3BFA9A66" w14:textId="77777777" w:rsidR="004C2857" w:rsidRDefault="000B6C77" w:rsidP="008B74BF">
      <w:pPr>
        <w:spacing w:line="360" w:lineRule="auto"/>
        <w:jc w:val="both"/>
        <w:rPr>
          <w:rFonts w:ascii="Arial" w:hAnsi="Arial" w:cs="Arial"/>
        </w:rPr>
      </w:pPr>
      <w:r>
        <w:rPr>
          <w:rFonts w:ascii="Arial" w:hAnsi="Arial" w:cs="Arial"/>
        </w:rPr>
        <w:t xml:space="preserve">                                                               </w:t>
      </w:r>
      <w:r w:rsidR="00AE0B58">
        <w:rPr>
          <w:rFonts w:ascii="Arial" w:hAnsi="Arial" w:cs="Arial"/>
        </w:rPr>
        <w:t xml:space="preserve">                                                                        </w:t>
      </w:r>
    </w:p>
    <w:p w14:paraId="20140775" w14:textId="77777777" w:rsidR="004C2857" w:rsidRDefault="004C2857" w:rsidP="008B74BF">
      <w:pPr>
        <w:spacing w:line="360" w:lineRule="auto"/>
        <w:jc w:val="both"/>
        <w:rPr>
          <w:rFonts w:ascii="Arial" w:hAnsi="Arial" w:cs="Arial"/>
        </w:rPr>
      </w:pPr>
    </w:p>
    <w:p w14:paraId="242A98FA" w14:textId="77777777" w:rsidR="004C2857" w:rsidRDefault="004C2857" w:rsidP="008B74BF">
      <w:pPr>
        <w:spacing w:line="360" w:lineRule="auto"/>
        <w:jc w:val="both"/>
        <w:rPr>
          <w:rFonts w:ascii="Arial" w:hAnsi="Arial" w:cs="Arial"/>
        </w:rPr>
      </w:pPr>
    </w:p>
    <w:p w14:paraId="329D9C96" w14:textId="77777777" w:rsidR="004C2857" w:rsidRDefault="004C2857" w:rsidP="008B74BF">
      <w:pPr>
        <w:spacing w:line="360" w:lineRule="auto"/>
        <w:jc w:val="both"/>
        <w:rPr>
          <w:rFonts w:ascii="Arial" w:hAnsi="Arial" w:cs="Arial"/>
        </w:rPr>
      </w:pPr>
    </w:p>
    <w:p w14:paraId="32A05692" w14:textId="77777777" w:rsidR="004C2857" w:rsidRDefault="004C2857" w:rsidP="008B74BF">
      <w:pPr>
        <w:spacing w:line="360" w:lineRule="auto"/>
        <w:jc w:val="both"/>
        <w:rPr>
          <w:rFonts w:ascii="Arial" w:hAnsi="Arial" w:cs="Arial"/>
        </w:rPr>
      </w:pPr>
    </w:p>
    <w:p w14:paraId="65C438B0" w14:textId="77777777" w:rsidR="004C2857" w:rsidRDefault="004C2857" w:rsidP="008B74BF">
      <w:pPr>
        <w:spacing w:line="360" w:lineRule="auto"/>
        <w:jc w:val="both"/>
        <w:rPr>
          <w:rFonts w:ascii="Arial" w:hAnsi="Arial" w:cs="Arial"/>
        </w:rPr>
      </w:pPr>
    </w:p>
    <w:p w14:paraId="59257B7F" w14:textId="77777777" w:rsidR="004C2857" w:rsidRDefault="004C2857" w:rsidP="008B74BF">
      <w:pPr>
        <w:spacing w:line="360" w:lineRule="auto"/>
        <w:jc w:val="both"/>
        <w:rPr>
          <w:rFonts w:ascii="Arial" w:hAnsi="Arial" w:cs="Arial"/>
        </w:rPr>
      </w:pPr>
    </w:p>
    <w:p w14:paraId="0EBAF33C" w14:textId="77777777" w:rsidR="004C2857" w:rsidRDefault="004C2857" w:rsidP="008B74BF">
      <w:pPr>
        <w:spacing w:line="360" w:lineRule="auto"/>
        <w:jc w:val="both"/>
        <w:rPr>
          <w:rFonts w:ascii="Arial" w:hAnsi="Arial" w:cs="Arial"/>
        </w:rPr>
      </w:pPr>
    </w:p>
    <w:p w14:paraId="5BF285AF" w14:textId="54C117CD" w:rsidR="008B74BF" w:rsidRPr="00FE5FBD" w:rsidRDefault="008B74BF" w:rsidP="006E7470">
      <w:pPr>
        <w:pStyle w:val="Heading1"/>
        <w:rPr>
          <w:rFonts w:ascii="Arial" w:hAnsi="Arial" w:cs="Arial"/>
          <w:i/>
          <w:iCs/>
          <w:sz w:val="22"/>
          <w:szCs w:val="22"/>
        </w:rPr>
      </w:pPr>
      <w:bookmarkStart w:id="2" w:name="_Toc181606823"/>
      <w:bookmarkStart w:id="3" w:name="_Toc181606847"/>
      <w:bookmarkStart w:id="4" w:name="_Toc181607304"/>
      <w:bookmarkStart w:id="5" w:name="_Toc181729968"/>
      <w:r w:rsidRPr="00FE5FBD">
        <w:rPr>
          <w:rFonts w:ascii="Arial" w:hAnsi="Arial" w:cs="Arial"/>
          <w:i/>
          <w:iCs/>
          <w:sz w:val="36"/>
          <w:szCs w:val="36"/>
        </w:rPr>
        <w:t>I</w:t>
      </w:r>
      <w:r w:rsidRPr="00FE5FBD">
        <w:rPr>
          <w:rFonts w:ascii="Arial" w:hAnsi="Arial" w:cs="Arial"/>
          <w:i/>
          <w:iCs/>
          <w:sz w:val="22"/>
          <w:szCs w:val="22"/>
        </w:rPr>
        <w:t>nnocent Drinks overview</w:t>
      </w:r>
      <w:bookmarkEnd w:id="2"/>
      <w:bookmarkEnd w:id="3"/>
      <w:bookmarkEnd w:id="4"/>
      <w:bookmarkEnd w:id="5"/>
    </w:p>
    <w:p w14:paraId="059AA917" w14:textId="77777777" w:rsidR="00AF7AB7" w:rsidRPr="00AF7AB7" w:rsidRDefault="00AF7AB7" w:rsidP="00AF7AB7">
      <w:pPr>
        <w:spacing w:line="360" w:lineRule="auto"/>
        <w:jc w:val="both"/>
        <w:rPr>
          <w:rFonts w:ascii="Arial" w:hAnsi="Arial" w:cs="Arial"/>
        </w:rPr>
      </w:pPr>
      <w:r w:rsidRPr="00AF7AB7">
        <w:rPr>
          <w:rFonts w:ascii="Arial" w:hAnsi="Arial" w:cs="Arial"/>
        </w:rPr>
        <w:t>Innocent Drinks, founded in 1999, has emerged as a pioneer in the smoothie and juice sector, distinguished by its dedication to crafting healthy, natural beverages. The founders of the company, Richard Reed, Adam Ballon, and Jon Wright, originally established the business from a modest market stand in London, selling smoothies composed of natural ingredients. Innocent aims to provide products that are both palatable and beneficial for individuals and the environment (Innocent, 2023). Throughout the years, the company has experienced substantial growth, broadening its product offerings to encompass an array of fruit juices, vegetable smoothies, and ready-to-drink smoothies, in addition to exploring plant-based beverages.</w:t>
      </w:r>
    </w:p>
    <w:p w14:paraId="19558AAF" w14:textId="77777777" w:rsidR="00AF7AB7" w:rsidRPr="00AF7AB7" w:rsidRDefault="00AF7AB7" w:rsidP="00AF7AB7">
      <w:pPr>
        <w:spacing w:line="360" w:lineRule="auto"/>
        <w:jc w:val="both"/>
        <w:rPr>
          <w:rFonts w:ascii="Arial" w:hAnsi="Arial" w:cs="Arial"/>
        </w:rPr>
      </w:pPr>
      <w:r w:rsidRPr="00AF7AB7">
        <w:rPr>
          <w:rFonts w:ascii="Arial" w:hAnsi="Arial" w:cs="Arial"/>
        </w:rPr>
        <w:t>Innocent's expansion is due to its unique marketing methods and a robust brand identity that appeals to health-conscious consumers. The company's branding centres on its lively and engaging attitude, defined by clever language and a unique visual identity with vibrant colours and minimalist design. This strategy has distinguished Innocent from its rivals and cultivated a devoted consumer base. The company's slogan, "Little drinks, big dreams," succinctly conveys its commitment to health and sustainability (Beverage Daily, 2023).</w:t>
      </w:r>
    </w:p>
    <w:p w14:paraId="50AC3E6B" w14:textId="01B61F50" w:rsidR="00171708" w:rsidRDefault="00AF7AB7" w:rsidP="00AF7AB7">
      <w:pPr>
        <w:spacing w:line="360" w:lineRule="auto"/>
        <w:jc w:val="both"/>
        <w:rPr>
          <w:rFonts w:ascii="Arial" w:hAnsi="Arial" w:cs="Arial"/>
        </w:rPr>
      </w:pPr>
      <w:r w:rsidRPr="00AF7AB7">
        <w:rPr>
          <w:rFonts w:ascii="Arial" w:hAnsi="Arial" w:cs="Arial"/>
        </w:rPr>
        <w:t>Sustainability is important to Innocent's activities. The company underscores its dedication to utilising natural products, minimising waste, and decreasing its carbon footprint. Innocent has established lofty sustainability objectives, aiming for carbon neutrality throughout its whole supply chain and the utilisation of 100% recyclable or sustainably sourced packaging by 2025 (Innocent, 2023). This emphasis on environmental responsibility has received favourable acknowledgement from both customers and environmental organisations, in accordance with the increasing trend of conscientious consumption.</w:t>
      </w:r>
    </w:p>
    <w:p w14:paraId="516B7F40" w14:textId="484A117C" w:rsidR="002C66B3" w:rsidRPr="00FE5FBD" w:rsidRDefault="002C66B3" w:rsidP="006E7470">
      <w:pPr>
        <w:pStyle w:val="Heading2"/>
        <w:rPr>
          <w:rFonts w:ascii="Arial" w:hAnsi="Arial" w:cs="Arial"/>
          <w:i/>
          <w:iCs/>
          <w:sz w:val="22"/>
          <w:szCs w:val="22"/>
        </w:rPr>
      </w:pPr>
      <w:bookmarkStart w:id="6" w:name="_Toc181606824"/>
      <w:bookmarkStart w:id="7" w:name="_Toc181606848"/>
      <w:bookmarkStart w:id="8" w:name="_Toc181607305"/>
      <w:bookmarkStart w:id="9" w:name="_Toc181729969"/>
      <w:r w:rsidRPr="00FE5FBD">
        <w:rPr>
          <w:rFonts w:ascii="Arial" w:hAnsi="Arial" w:cs="Arial"/>
          <w:i/>
          <w:iCs/>
          <w:sz w:val="36"/>
          <w:szCs w:val="36"/>
        </w:rPr>
        <w:t>V</w:t>
      </w:r>
      <w:r w:rsidRPr="00FE5FBD">
        <w:rPr>
          <w:rFonts w:ascii="Arial" w:hAnsi="Arial" w:cs="Arial"/>
          <w:i/>
          <w:iCs/>
          <w:sz w:val="22"/>
          <w:szCs w:val="22"/>
        </w:rPr>
        <w:t>ision and Mission</w:t>
      </w:r>
      <w:bookmarkEnd w:id="6"/>
      <w:bookmarkEnd w:id="7"/>
      <w:bookmarkEnd w:id="8"/>
      <w:bookmarkEnd w:id="9"/>
    </w:p>
    <w:p w14:paraId="098A4B51" w14:textId="5CB9C090" w:rsidR="002C66B3" w:rsidRDefault="002C66B3" w:rsidP="00861665">
      <w:pPr>
        <w:spacing w:line="360" w:lineRule="auto"/>
        <w:jc w:val="both"/>
        <w:rPr>
          <w:rFonts w:ascii="Arial" w:hAnsi="Arial" w:cs="Arial"/>
          <w:color w:val="FF0000"/>
        </w:rPr>
      </w:pPr>
      <w:r w:rsidRPr="002C5A26">
        <w:rPr>
          <w:rFonts w:ascii="Arial" w:hAnsi="Arial" w:cs="Arial"/>
        </w:rPr>
        <w:t>Vision:</w:t>
      </w:r>
      <w:r w:rsidRPr="002C5A26">
        <w:t xml:space="preserve"> </w:t>
      </w:r>
      <w:r w:rsidRPr="002C5A26">
        <w:rPr>
          <w:rFonts w:ascii="Arial" w:hAnsi="Arial" w:cs="Arial"/>
        </w:rPr>
        <w:t>A business vision defines an organization's long-term aspirations, providing direction and inspiration for strategic goals while guiding decision-making and fostering a shared purpose (David, 2017).</w:t>
      </w:r>
      <w:r>
        <w:rPr>
          <w:rFonts w:ascii="Arial" w:hAnsi="Arial" w:cs="Arial"/>
        </w:rPr>
        <w:t xml:space="preserve"> </w:t>
      </w:r>
      <w:r w:rsidRPr="002C5A26">
        <w:rPr>
          <w:rFonts w:ascii="Arial" w:hAnsi="Arial" w:cs="Arial"/>
        </w:rPr>
        <w:t>The company's vision is to be the world’s most trusted brand in healthy drinks, emphasizing a focus on sustainability and quality.</w:t>
      </w:r>
    </w:p>
    <w:p w14:paraId="61A65034" w14:textId="5A60BA97" w:rsidR="00861665" w:rsidRPr="002C66B3" w:rsidRDefault="002C66B3" w:rsidP="00861665">
      <w:pPr>
        <w:spacing w:line="360" w:lineRule="auto"/>
        <w:jc w:val="both"/>
        <w:rPr>
          <w:rFonts w:ascii="Arial" w:hAnsi="Arial" w:cs="Arial"/>
        </w:rPr>
      </w:pPr>
      <w:r w:rsidRPr="002C5A26">
        <w:rPr>
          <w:rFonts w:ascii="Arial" w:hAnsi="Arial" w:cs="Arial"/>
        </w:rPr>
        <w:t>Mission:</w:t>
      </w:r>
      <w:r w:rsidRPr="002C5A26">
        <w:t xml:space="preserve"> </w:t>
      </w:r>
      <w:r w:rsidRPr="002C5A26">
        <w:rPr>
          <w:rFonts w:ascii="Arial" w:hAnsi="Arial" w:cs="Arial"/>
        </w:rPr>
        <w:t xml:space="preserve">A business mission is a formal summary of the aims and values of a company, guiding its strategy and decision-making processes (Kotler </w:t>
      </w:r>
      <w:r>
        <w:rPr>
          <w:rFonts w:ascii="Arial" w:hAnsi="Arial" w:cs="Arial"/>
        </w:rPr>
        <w:t>and</w:t>
      </w:r>
      <w:r w:rsidRPr="002C5A26">
        <w:rPr>
          <w:rFonts w:ascii="Arial" w:hAnsi="Arial" w:cs="Arial"/>
        </w:rPr>
        <w:t xml:space="preserve"> Keller, 2016).</w:t>
      </w:r>
      <w:r>
        <w:rPr>
          <w:rFonts w:ascii="Arial" w:hAnsi="Arial" w:cs="Arial"/>
        </w:rPr>
        <w:t xml:space="preserve"> </w:t>
      </w:r>
      <w:r w:rsidRPr="002C5A26">
        <w:rPr>
          <w:rFonts w:ascii="Arial" w:hAnsi="Arial" w:cs="Arial"/>
        </w:rPr>
        <w:t xml:space="preserve">Innocent Drinks’ mission is to "make it easy for people to do themselves some good," which reflects its commitment to </w:t>
      </w:r>
      <w:r w:rsidRPr="002C5A26">
        <w:rPr>
          <w:rFonts w:ascii="Arial" w:hAnsi="Arial" w:cs="Arial"/>
        </w:rPr>
        <w:lastRenderedPageBreak/>
        <w:t>providing healthy, natural beverages that enhance consumer well-being. This mission and vision are central to Innocent's strategic objectives, guiding its decisions in product development, marketing, and corporate responsibility (Innocent, 2023).</w:t>
      </w:r>
      <w:r w:rsidR="000B6C77">
        <w:rPr>
          <w:rFonts w:ascii="Arial" w:hAnsi="Arial" w:cs="Arial"/>
        </w:rPr>
        <w:t xml:space="preserve">                                                              </w:t>
      </w:r>
      <w:r w:rsidR="00AE0B58">
        <w:rPr>
          <w:rFonts w:ascii="Arial" w:hAnsi="Arial" w:cs="Arial"/>
        </w:rPr>
        <w:t xml:space="preserve">                                                                                </w:t>
      </w:r>
      <w:r w:rsidR="000B6C77">
        <w:rPr>
          <w:rFonts w:ascii="Arial" w:hAnsi="Arial" w:cs="Arial"/>
        </w:rPr>
        <w:t xml:space="preserve"> </w:t>
      </w:r>
    </w:p>
    <w:p w14:paraId="198C25AC" w14:textId="0B38502F" w:rsidR="002C5A26" w:rsidRPr="004F4084" w:rsidRDefault="002C5A26" w:rsidP="006E7470">
      <w:pPr>
        <w:pStyle w:val="Heading1"/>
        <w:rPr>
          <w:rFonts w:ascii="Arial" w:hAnsi="Arial" w:cs="Arial"/>
          <w:i/>
          <w:iCs/>
          <w:sz w:val="22"/>
          <w:szCs w:val="22"/>
        </w:rPr>
      </w:pPr>
      <w:bookmarkStart w:id="10" w:name="_Toc181606825"/>
      <w:bookmarkStart w:id="11" w:name="_Toc181606849"/>
      <w:bookmarkStart w:id="12" w:name="_Toc181607306"/>
      <w:bookmarkStart w:id="13" w:name="_Toc181729970"/>
      <w:r w:rsidRPr="004F4084">
        <w:rPr>
          <w:rFonts w:ascii="Arial" w:hAnsi="Arial" w:cs="Arial"/>
          <w:i/>
          <w:iCs/>
          <w:sz w:val="36"/>
          <w:szCs w:val="36"/>
        </w:rPr>
        <w:t>C</w:t>
      </w:r>
      <w:r w:rsidRPr="004F4084">
        <w:rPr>
          <w:rFonts w:ascii="Arial" w:hAnsi="Arial" w:cs="Arial"/>
          <w:i/>
          <w:iCs/>
          <w:sz w:val="22"/>
          <w:szCs w:val="22"/>
        </w:rPr>
        <w:t>ritical Appraisal of Current Strategy</w:t>
      </w:r>
      <w:bookmarkEnd w:id="10"/>
      <w:bookmarkEnd w:id="11"/>
      <w:bookmarkEnd w:id="12"/>
      <w:bookmarkEnd w:id="13"/>
    </w:p>
    <w:p w14:paraId="253F15B8" w14:textId="0624A4A1" w:rsidR="002C5A26" w:rsidRPr="002C5A26" w:rsidRDefault="0030504F" w:rsidP="002C5A26">
      <w:pPr>
        <w:spacing w:line="360" w:lineRule="auto"/>
        <w:jc w:val="both"/>
        <w:rPr>
          <w:rFonts w:ascii="Arial" w:hAnsi="Arial" w:cs="Arial"/>
        </w:rPr>
      </w:pPr>
      <w:r w:rsidRPr="0030504F">
        <w:rPr>
          <w:rFonts w:ascii="Arial" w:hAnsi="Arial" w:cs="Arial"/>
        </w:rPr>
        <w:t>Innocent Drinks, a prominent entity in the health-oriented beverage sector, has established its brand on sustainability, premium ingredients, and a dedication to consumer health. This critical appraisal assesses Innocent's present strategy through the lens of Porter’s Five Forces framework, analysing the competitive landscape while also addressing the company's goal and vision.</w:t>
      </w:r>
    </w:p>
    <w:p w14:paraId="20F4A150" w14:textId="75270234" w:rsidR="006519C7" w:rsidRDefault="00FB5DFE" w:rsidP="002C5A26">
      <w:pPr>
        <w:spacing w:line="360" w:lineRule="auto"/>
        <w:jc w:val="both"/>
        <w:rPr>
          <w:rFonts w:ascii="Arial" w:hAnsi="Arial" w:cs="Arial"/>
          <w:i/>
          <w:iCs/>
          <w:sz w:val="36"/>
          <w:szCs w:val="36"/>
        </w:rPr>
      </w:pPr>
      <w:r>
        <w:rPr>
          <w:rFonts w:ascii="Arial" w:hAnsi="Arial" w:cs="Arial"/>
          <w:i/>
          <w:iCs/>
          <w:noProof/>
        </w:rPr>
        <w:drawing>
          <wp:anchor distT="0" distB="0" distL="114300" distR="114300" simplePos="0" relativeHeight="251660288" behindDoc="0" locked="0" layoutInCell="1" allowOverlap="1" wp14:anchorId="0DBD3D03" wp14:editId="1317ACA3">
            <wp:simplePos x="0" y="0"/>
            <wp:positionH relativeFrom="margin">
              <wp:posOffset>413096</wp:posOffset>
            </wp:positionH>
            <wp:positionV relativeFrom="paragraph">
              <wp:posOffset>7216</wp:posOffset>
            </wp:positionV>
            <wp:extent cx="2143125" cy="2143125"/>
            <wp:effectExtent l="0" t="0" r="9525" b="9525"/>
            <wp:wrapSquare wrapText="bothSides"/>
            <wp:docPr id="8111223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anchor>
        </w:drawing>
      </w:r>
    </w:p>
    <w:p w14:paraId="4E043F82" w14:textId="50AF620F" w:rsidR="00BF043B" w:rsidRDefault="00A61E99" w:rsidP="002C5A26">
      <w:pPr>
        <w:spacing w:line="360" w:lineRule="auto"/>
        <w:jc w:val="both"/>
        <w:rPr>
          <w:rFonts w:ascii="Arial" w:hAnsi="Arial" w:cs="Arial"/>
          <w:i/>
          <w:iCs/>
          <w:sz w:val="36"/>
          <w:szCs w:val="36"/>
        </w:rPr>
      </w:pPr>
      <w:r>
        <w:rPr>
          <w:rFonts w:ascii="Arial" w:hAnsi="Arial" w:cs="Arial"/>
          <w:i/>
          <w:iCs/>
          <w:sz w:val="36"/>
          <w:szCs w:val="36"/>
        </w:rPr>
        <w:t xml:space="preserve">  </w:t>
      </w:r>
    </w:p>
    <w:p w14:paraId="2251D8CC" w14:textId="77777777" w:rsidR="00A61E99" w:rsidRDefault="00A61E99" w:rsidP="002C5A26">
      <w:pPr>
        <w:spacing w:line="360" w:lineRule="auto"/>
        <w:jc w:val="both"/>
        <w:rPr>
          <w:rFonts w:ascii="Arial" w:hAnsi="Arial" w:cs="Arial"/>
          <w:i/>
          <w:iCs/>
          <w:sz w:val="36"/>
          <w:szCs w:val="36"/>
        </w:rPr>
      </w:pPr>
    </w:p>
    <w:p w14:paraId="6D526F79" w14:textId="77777777" w:rsidR="00A61E99" w:rsidRDefault="00A61E99" w:rsidP="002C5A26">
      <w:pPr>
        <w:spacing w:line="360" w:lineRule="auto"/>
        <w:jc w:val="both"/>
        <w:rPr>
          <w:rFonts w:ascii="Arial" w:hAnsi="Arial" w:cs="Arial"/>
          <w:i/>
          <w:iCs/>
          <w:sz w:val="36"/>
          <w:szCs w:val="36"/>
        </w:rPr>
      </w:pPr>
    </w:p>
    <w:p w14:paraId="03CFE802" w14:textId="6347E06E" w:rsidR="00FB5DFE" w:rsidRPr="00D26C47" w:rsidRDefault="00FB5DFE" w:rsidP="002C5A26">
      <w:pPr>
        <w:spacing w:line="360" w:lineRule="auto"/>
        <w:jc w:val="both"/>
        <w:rPr>
          <w:rFonts w:ascii="Arial" w:hAnsi="Arial" w:cs="Arial"/>
          <w:b/>
          <w:bCs/>
          <w:i/>
          <w:iCs/>
        </w:rPr>
      </w:pPr>
      <w:r>
        <w:rPr>
          <w:rFonts w:ascii="Arial" w:hAnsi="Arial" w:cs="Arial"/>
          <w:i/>
          <w:iCs/>
          <w:sz w:val="36"/>
          <w:szCs w:val="36"/>
        </w:rPr>
        <w:t xml:space="preserve">       </w:t>
      </w:r>
      <w:r w:rsidR="00D26C47" w:rsidRPr="00D26C47">
        <w:rPr>
          <w:rFonts w:ascii="Arial" w:hAnsi="Arial" w:cs="Arial"/>
          <w:b/>
          <w:bCs/>
          <w:i/>
          <w:iCs/>
        </w:rPr>
        <w:t>Fig1</w:t>
      </w:r>
      <w:r w:rsidRPr="00D26C47">
        <w:rPr>
          <w:rFonts w:ascii="Arial" w:hAnsi="Arial" w:cs="Arial"/>
          <w:b/>
          <w:bCs/>
          <w:i/>
          <w:iCs/>
        </w:rPr>
        <w:t xml:space="preserve">         </w:t>
      </w:r>
    </w:p>
    <w:p w14:paraId="11A1F9B6" w14:textId="14052B68" w:rsidR="002C5A26" w:rsidRPr="004F4084" w:rsidRDefault="002C5A26" w:rsidP="00470C58">
      <w:pPr>
        <w:pStyle w:val="Heading1"/>
        <w:rPr>
          <w:rFonts w:ascii="Arial" w:hAnsi="Arial" w:cs="Arial"/>
          <w:i/>
          <w:iCs/>
          <w:sz w:val="22"/>
          <w:szCs w:val="22"/>
        </w:rPr>
      </w:pPr>
      <w:bookmarkStart w:id="14" w:name="_Toc181606826"/>
      <w:bookmarkStart w:id="15" w:name="_Toc181606850"/>
      <w:bookmarkStart w:id="16" w:name="_Toc181607307"/>
      <w:bookmarkStart w:id="17" w:name="_Toc181729971"/>
      <w:r w:rsidRPr="004F4084">
        <w:rPr>
          <w:rFonts w:ascii="Arial" w:hAnsi="Arial" w:cs="Arial"/>
          <w:i/>
          <w:iCs/>
          <w:sz w:val="36"/>
          <w:szCs w:val="36"/>
        </w:rPr>
        <w:t>P</w:t>
      </w:r>
      <w:r w:rsidRPr="004F4084">
        <w:rPr>
          <w:rFonts w:ascii="Arial" w:hAnsi="Arial" w:cs="Arial"/>
          <w:i/>
          <w:iCs/>
          <w:sz w:val="22"/>
          <w:szCs w:val="22"/>
        </w:rPr>
        <w:t>orter’s Five Forces</w:t>
      </w:r>
      <w:r w:rsidR="00CA551A" w:rsidRPr="004F4084">
        <w:rPr>
          <w:rFonts w:ascii="Arial" w:hAnsi="Arial" w:cs="Arial"/>
          <w:i/>
          <w:iCs/>
          <w:sz w:val="22"/>
          <w:szCs w:val="22"/>
        </w:rPr>
        <w:t xml:space="preserve"> Analysis</w:t>
      </w:r>
      <w:bookmarkEnd w:id="14"/>
      <w:bookmarkEnd w:id="15"/>
      <w:bookmarkEnd w:id="16"/>
      <w:bookmarkEnd w:id="17"/>
    </w:p>
    <w:p w14:paraId="0DF56C80" w14:textId="77777777" w:rsidR="002C5A26" w:rsidRPr="00B55351" w:rsidRDefault="002C5A26" w:rsidP="00470C58">
      <w:pPr>
        <w:pStyle w:val="Heading2"/>
        <w:rPr>
          <w:rFonts w:ascii="Arial" w:hAnsi="Arial" w:cs="Arial"/>
          <w:sz w:val="22"/>
          <w:szCs w:val="22"/>
        </w:rPr>
      </w:pPr>
      <w:bookmarkStart w:id="18" w:name="_Toc181606827"/>
      <w:bookmarkStart w:id="19" w:name="_Toc181606851"/>
      <w:bookmarkStart w:id="20" w:name="_Toc181607308"/>
      <w:bookmarkStart w:id="21" w:name="_Toc181729972"/>
      <w:bookmarkStart w:id="22" w:name="_Hlk181195639"/>
      <w:r w:rsidRPr="00B55351">
        <w:rPr>
          <w:rFonts w:ascii="Arial" w:hAnsi="Arial" w:cs="Arial"/>
          <w:sz w:val="22"/>
          <w:szCs w:val="22"/>
        </w:rPr>
        <w:t>Threat of New Entrants</w:t>
      </w:r>
      <w:bookmarkEnd w:id="18"/>
      <w:bookmarkEnd w:id="19"/>
      <w:bookmarkEnd w:id="20"/>
      <w:bookmarkEnd w:id="21"/>
    </w:p>
    <w:p w14:paraId="5668C600" w14:textId="16A7B6E8" w:rsidR="005F654B" w:rsidRPr="008C3429" w:rsidRDefault="005F654B" w:rsidP="006E7470">
      <w:pPr>
        <w:pStyle w:val="Heading2"/>
        <w:rPr>
          <w:rFonts w:ascii="Arial" w:hAnsi="Arial" w:cs="Arial"/>
          <w:color w:val="404040" w:themeColor="text1" w:themeTint="BF"/>
          <w:sz w:val="22"/>
          <w:szCs w:val="22"/>
        </w:rPr>
      </w:pPr>
      <w:bookmarkStart w:id="23" w:name="_Toc181606828"/>
      <w:bookmarkStart w:id="24" w:name="_Toc181606852"/>
      <w:bookmarkStart w:id="25" w:name="_Toc181607309"/>
      <w:bookmarkStart w:id="26" w:name="_Toc181729973"/>
      <w:bookmarkEnd w:id="22"/>
      <w:r w:rsidRPr="008C3429">
        <w:rPr>
          <w:rFonts w:ascii="Arial" w:hAnsi="Arial" w:cs="Arial"/>
          <w:color w:val="404040" w:themeColor="text1" w:themeTint="BF"/>
          <w:sz w:val="22"/>
          <w:szCs w:val="22"/>
        </w:rPr>
        <w:t>The risk of new competitors entering the beverage market is moderate. Although obstacles to entry like brand loyalty and distribution channels may discourage new rivals, the rising consumer demand for health-oriented beverages has drawn the attention of entrepreneurs and niche companies. Innocent Drinks has cultivated significant brand equity and a devoted consumer base, granting it a competitive edge over new entrants. Nevertheless, it must be alert and persist in innovating to protect its market position (Mintel, 2023).</w:t>
      </w:r>
    </w:p>
    <w:bookmarkEnd w:id="23"/>
    <w:bookmarkEnd w:id="24"/>
    <w:bookmarkEnd w:id="25"/>
    <w:bookmarkEnd w:id="26"/>
    <w:p w14:paraId="03A4D6BA" w14:textId="77777777" w:rsidR="001B060F" w:rsidRPr="00E93F2A" w:rsidRDefault="001B060F" w:rsidP="001B060F">
      <w:pPr>
        <w:spacing w:line="360" w:lineRule="auto"/>
        <w:jc w:val="both"/>
        <w:rPr>
          <w:rFonts w:ascii="Arial" w:hAnsi="Arial" w:cs="Arial"/>
          <w:color w:val="4472C4" w:themeColor="accent1"/>
        </w:rPr>
      </w:pPr>
      <w:r w:rsidRPr="00E93F2A">
        <w:rPr>
          <w:rFonts w:ascii="Arial" w:hAnsi="Arial" w:cs="Arial"/>
          <w:color w:val="4472C4" w:themeColor="accent1"/>
        </w:rPr>
        <w:t>Supplier Bargaining Power</w:t>
      </w:r>
    </w:p>
    <w:p w14:paraId="65CE5816" w14:textId="77777777" w:rsidR="001B060F" w:rsidRPr="001B060F" w:rsidRDefault="001B060F" w:rsidP="001B060F">
      <w:pPr>
        <w:spacing w:line="360" w:lineRule="auto"/>
        <w:jc w:val="both"/>
        <w:rPr>
          <w:rFonts w:ascii="Arial" w:hAnsi="Arial" w:cs="Arial"/>
        </w:rPr>
      </w:pPr>
      <w:r w:rsidRPr="001B060F">
        <w:rPr>
          <w:rFonts w:ascii="Arial" w:hAnsi="Arial" w:cs="Arial"/>
        </w:rPr>
        <w:t>The bargaining strength of suppliers in the beverage sector is classified as low to moderate. Innocent depends on a varied array of suppliers for its fruits and raw materials, enabling it to alleviate the risks linked to supplier power. Nevertheless, when the company emphasises sustainability, it may opt to collaborate with a limited number of suppliers who satisfy its ethical and environmental criteria, potentially heightening reliance on these suppliers.  Preserving robust relationships and investigating alternate sourcing strategies will be essential for Innocent to uphold its supply chain efficiency (Statista, 2024).</w:t>
      </w:r>
    </w:p>
    <w:p w14:paraId="4876ED05" w14:textId="000BEBEE" w:rsidR="001B060F" w:rsidRPr="00E93F2A" w:rsidRDefault="001B060F" w:rsidP="001B060F">
      <w:pPr>
        <w:spacing w:line="360" w:lineRule="auto"/>
        <w:jc w:val="both"/>
        <w:rPr>
          <w:rFonts w:ascii="Arial" w:hAnsi="Arial" w:cs="Arial"/>
          <w:color w:val="4472C4" w:themeColor="accent1"/>
        </w:rPr>
      </w:pPr>
      <w:r w:rsidRPr="00E93F2A">
        <w:rPr>
          <w:rFonts w:ascii="Arial" w:hAnsi="Arial" w:cs="Arial"/>
          <w:color w:val="4472C4" w:themeColor="accent1"/>
        </w:rPr>
        <w:lastRenderedPageBreak/>
        <w:t xml:space="preserve">Buyers' Bargaining Power </w:t>
      </w:r>
    </w:p>
    <w:p w14:paraId="156FA3E6" w14:textId="77777777" w:rsidR="001B060F" w:rsidRPr="001B060F" w:rsidRDefault="001B060F" w:rsidP="001B060F">
      <w:pPr>
        <w:spacing w:line="360" w:lineRule="auto"/>
        <w:jc w:val="both"/>
        <w:rPr>
          <w:rFonts w:ascii="Arial" w:hAnsi="Arial" w:cs="Arial"/>
        </w:rPr>
      </w:pPr>
      <w:r w:rsidRPr="001B060F">
        <w:rPr>
          <w:rFonts w:ascii="Arial" w:hAnsi="Arial" w:cs="Arial"/>
        </w:rPr>
        <w:t>The negotiating leverage of consumers is rather substantial in the beverage industry. Consumers can readily change brands because to the abundance of health-oriented choices, influenced by price, quality, and flavour. Innocent Drinks tackles this difficulty by highlighting its dedication to quality, sustainability, and innovation, thereby distinguishing its goods from those of competitors. The brand also interacts with customers via transparent marketing and social media, cultivating loyalty and strengthening its value proposition (Gürel &amp; Tat, 2017).</w:t>
      </w:r>
    </w:p>
    <w:p w14:paraId="76EF622D" w14:textId="77777777" w:rsidR="001B060F" w:rsidRPr="00E93F2A" w:rsidRDefault="001B060F" w:rsidP="001B060F">
      <w:pPr>
        <w:spacing w:line="360" w:lineRule="auto"/>
        <w:jc w:val="both"/>
        <w:rPr>
          <w:rFonts w:ascii="Arial" w:hAnsi="Arial" w:cs="Arial"/>
          <w:color w:val="4472C4" w:themeColor="accent1"/>
        </w:rPr>
      </w:pPr>
      <w:r w:rsidRPr="00E93F2A">
        <w:rPr>
          <w:rFonts w:ascii="Arial" w:hAnsi="Arial" w:cs="Arial"/>
          <w:color w:val="4472C4" w:themeColor="accent1"/>
        </w:rPr>
        <w:t>Risk of Alternative Products</w:t>
      </w:r>
    </w:p>
    <w:p w14:paraId="58965E51" w14:textId="77777777" w:rsidR="001B060F" w:rsidRPr="001B060F" w:rsidRDefault="001B060F" w:rsidP="001B060F">
      <w:pPr>
        <w:spacing w:line="360" w:lineRule="auto"/>
        <w:jc w:val="both"/>
        <w:rPr>
          <w:rFonts w:ascii="Arial" w:hAnsi="Arial" w:cs="Arial"/>
        </w:rPr>
      </w:pPr>
      <w:r w:rsidRPr="001B060F">
        <w:rPr>
          <w:rFonts w:ascii="Arial" w:hAnsi="Arial" w:cs="Arial"/>
        </w:rPr>
        <w:t>The risk of substitute products is significant in the beverage sector, as customers have access to numerous alternatives, such as water, juices, and various health drinks. To counter this danger, Innocent must always reinvent and diversify its product offerings to align with changing consumer tastes. By emphasising distinctive products, such as functional beverages that offer supplementary health advantages, Innocent can sustain its competitive advantage and appeal to health-conscious consumers seeking alternatives (Mintel, 2023).</w:t>
      </w:r>
    </w:p>
    <w:p w14:paraId="1BAD40F0" w14:textId="77777777" w:rsidR="001B060F" w:rsidRPr="00E93F2A" w:rsidRDefault="001B060F" w:rsidP="001B060F">
      <w:pPr>
        <w:spacing w:line="360" w:lineRule="auto"/>
        <w:jc w:val="both"/>
        <w:rPr>
          <w:rFonts w:ascii="Arial" w:hAnsi="Arial" w:cs="Arial"/>
          <w:color w:val="4472C4" w:themeColor="accent1"/>
        </w:rPr>
      </w:pPr>
      <w:r w:rsidRPr="00E93F2A">
        <w:rPr>
          <w:rFonts w:ascii="Arial" w:hAnsi="Arial" w:cs="Arial"/>
          <w:color w:val="4472C4" w:themeColor="accent1"/>
        </w:rPr>
        <w:t>Rivalry Competition</w:t>
      </w:r>
    </w:p>
    <w:p w14:paraId="579A8D07" w14:textId="60A10629" w:rsidR="00D26C47" w:rsidRPr="001B060F" w:rsidRDefault="001B060F" w:rsidP="001B060F">
      <w:pPr>
        <w:spacing w:line="360" w:lineRule="auto"/>
        <w:jc w:val="both"/>
        <w:rPr>
          <w:rFonts w:ascii="Arial" w:hAnsi="Arial" w:cs="Arial"/>
        </w:rPr>
      </w:pPr>
      <w:r w:rsidRPr="001B060F">
        <w:rPr>
          <w:rFonts w:ascii="Arial" w:hAnsi="Arial" w:cs="Arial"/>
        </w:rPr>
        <w:t>The competitive rivalry within the beverage business is intense. Prominent competitors, including Tropicana, Naked Juice, and several local brands, are persistently competing for market share in the health-oriented sector. This competition compels corporations to develop and enhance their offers to captivate consumers. Innocent's strategy of highlighting its sustainability initiatives, premium ingredients, and distinctive brand identity enables it to differentiate itself in a saturated industry. Nonetheless, the corporation must continue to proactively watch rival actions and adjust its plans accordingly (Statista, 2024).</w:t>
      </w:r>
    </w:p>
    <w:p w14:paraId="3D891DB0" w14:textId="313BA0F4" w:rsidR="00FD3499" w:rsidRPr="00B55351" w:rsidRDefault="0059670A" w:rsidP="00470C58">
      <w:pPr>
        <w:pStyle w:val="Heading1"/>
        <w:rPr>
          <w:rFonts w:ascii="Arial" w:hAnsi="Arial" w:cs="Arial"/>
          <w:i/>
          <w:iCs/>
          <w:sz w:val="22"/>
          <w:szCs w:val="22"/>
        </w:rPr>
      </w:pPr>
      <w:bookmarkStart w:id="27" w:name="_Toc181606832"/>
      <w:bookmarkStart w:id="28" w:name="_Toc181606856"/>
      <w:bookmarkStart w:id="29" w:name="_Toc181607313"/>
      <w:bookmarkStart w:id="30" w:name="_Toc181729977"/>
      <w:r w:rsidRPr="00B55351">
        <w:rPr>
          <w:rFonts w:ascii="Arial" w:hAnsi="Arial" w:cs="Arial"/>
          <w:i/>
          <w:iCs/>
          <w:sz w:val="36"/>
          <w:szCs w:val="36"/>
        </w:rPr>
        <w:t>C</w:t>
      </w:r>
      <w:r w:rsidRPr="00B55351">
        <w:rPr>
          <w:rFonts w:ascii="Arial" w:hAnsi="Arial" w:cs="Arial"/>
          <w:i/>
          <w:iCs/>
          <w:sz w:val="22"/>
          <w:szCs w:val="22"/>
        </w:rPr>
        <w:t>ritical Analysis External and Internal</w:t>
      </w:r>
      <w:bookmarkEnd w:id="27"/>
      <w:bookmarkEnd w:id="28"/>
      <w:bookmarkEnd w:id="29"/>
      <w:bookmarkEnd w:id="30"/>
      <w:r w:rsidR="00F34030" w:rsidRPr="00B55351">
        <w:rPr>
          <w:rFonts w:ascii="Arial" w:hAnsi="Arial" w:cs="Arial"/>
          <w:i/>
          <w:iCs/>
          <w:sz w:val="22"/>
          <w:szCs w:val="22"/>
        </w:rPr>
        <w:t xml:space="preserve"> </w:t>
      </w:r>
    </w:p>
    <w:p w14:paraId="4F1C4101" w14:textId="77777777" w:rsidR="002047BD" w:rsidRDefault="002047BD" w:rsidP="00C80A42">
      <w:pPr>
        <w:rPr>
          <w:rFonts w:ascii="Arial" w:hAnsi="Arial" w:cs="Arial"/>
          <w:color w:val="000000" w:themeColor="text1"/>
        </w:rPr>
      </w:pPr>
    </w:p>
    <w:p w14:paraId="54670C28" w14:textId="60CC7281" w:rsidR="002047BD" w:rsidRDefault="002047BD" w:rsidP="00C80A42">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58240" behindDoc="0" locked="0" layoutInCell="1" allowOverlap="1" wp14:anchorId="75E81D40" wp14:editId="495B9AD7">
            <wp:simplePos x="0" y="0"/>
            <wp:positionH relativeFrom="column">
              <wp:posOffset>0</wp:posOffset>
            </wp:positionH>
            <wp:positionV relativeFrom="paragraph">
              <wp:posOffset>1905</wp:posOffset>
            </wp:positionV>
            <wp:extent cx="2466975" cy="1847850"/>
            <wp:effectExtent l="0" t="0" r="9525" b="0"/>
            <wp:wrapSquare wrapText="bothSides"/>
            <wp:docPr id="10959096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anchor>
        </w:drawing>
      </w:r>
    </w:p>
    <w:p w14:paraId="0C76F347" w14:textId="77777777" w:rsidR="002047BD" w:rsidRDefault="002047BD" w:rsidP="00C80A42">
      <w:pPr>
        <w:rPr>
          <w:rFonts w:ascii="Arial" w:hAnsi="Arial" w:cs="Arial"/>
          <w:color w:val="000000" w:themeColor="text1"/>
        </w:rPr>
      </w:pPr>
    </w:p>
    <w:p w14:paraId="531659EA" w14:textId="77777777" w:rsidR="002047BD" w:rsidRDefault="002047BD" w:rsidP="00C80A42">
      <w:pPr>
        <w:rPr>
          <w:rFonts w:ascii="Arial" w:hAnsi="Arial" w:cs="Arial"/>
          <w:color w:val="000000" w:themeColor="text1"/>
        </w:rPr>
      </w:pPr>
    </w:p>
    <w:p w14:paraId="3F8EAB98" w14:textId="77777777" w:rsidR="002047BD" w:rsidRDefault="002047BD" w:rsidP="00C80A42">
      <w:pPr>
        <w:rPr>
          <w:rFonts w:ascii="Arial" w:hAnsi="Arial" w:cs="Arial"/>
          <w:color w:val="000000" w:themeColor="text1"/>
        </w:rPr>
      </w:pPr>
    </w:p>
    <w:p w14:paraId="10523AD3" w14:textId="77777777" w:rsidR="002047BD" w:rsidRDefault="002047BD" w:rsidP="00C80A42">
      <w:pPr>
        <w:rPr>
          <w:rFonts w:ascii="Arial" w:hAnsi="Arial" w:cs="Arial"/>
          <w:color w:val="000000" w:themeColor="text1"/>
        </w:rPr>
      </w:pPr>
    </w:p>
    <w:p w14:paraId="3D8491DE" w14:textId="15A2C511" w:rsidR="002353CE" w:rsidRDefault="002353CE" w:rsidP="00C80A42">
      <w:pPr>
        <w:rPr>
          <w:rFonts w:ascii="Arial" w:hAnsi="Arial" w:cs="Arial"/>
          <w:color w:val="000000" w:themeColor="text1"/>
        </w:rPr>
      </w:pPr>
      <w:r w:rsidRPr="002353CE">
        <w:rPr>
          <w:rFonts w:ascii="Arial" w:hAnsi="Arial" w:cs="Arial"/>
          <w:color w:val="000000" w:themeColor="text1"/>
        </w:rPr>
        <w:t>PESTLE Analysis:</w:t>
      </w:r>
      <w:r w:rsidR="00842FBE">
        <w:rPr>
          <w:rFonts w:ascii="Arial" w:hAnsi="Arial" w:cs="Arial"/>
          <w:color w:val="000000" w:themeColor="text1"/>
        </w:rPr>
        <w:t xml:space="preserve"> F</w:t>
      </w:r>
      <w:r w:rsidR="00C9605D">
        <w:rPr>
          <w:rFonts w:ascii="Arial" w:hAnsi="Arial" w:cs="Arial"/>
          <w:color w:val="000000" w:themeColor="text1"/>
        </w:rPr>
        <w:t xml:space="preserve">ig </w:t>
      </w:r>
      <w:r w:rsidR="00300832">
        <w:rPr>
          <w:rFonts w:ascii="Arial" w:hAnsi="Arial" w:cs="Arial"/>
          <w:color w:val="000000" w:themeColor="text1"/>
        </w:rPr>
        <w:t>2</w:t>
      </w:r>
    </w:p>
    <w:p w14:paraId="72BCB903" w14:textId="77777777" w:rsidR="002E2407" w:rsidRDefault="002E2407" w:rsidP="00C80A42">
      <w:pPr>
        <w:rPr>
          <w:rFonts w:ascii="Arial" w:hAnsi="Arial" w:cs="Arial"/>
          <w:color w:val="000000" w:themeColor="text1"/>
        </w:rPr>
      </w:pPr>
    </w:p>
    <w:p w14:paraId="49A4EC86" w14:textId="77777777" w:rsidR="00842FBE" w:rsidRDefault="00842FBE" w:rsidP="00C80A42">
      <w:pPr>
        <w:rPr>
          <w:rFonts w:ascii="Arial" w:hAnsi="Arial" w:cs="Arial"/>
          <w:color w:val="000000" w:themeColor="text1"/>
        </w:rPr>
      </w:pPr>
    </w:p>
    <w:p w14:paraId="44C61E43" w14:textId="77777777" w:rsidR="00842FBE" w:rsidRDefault="00842FBE" w:rsidP="00C80A42">
      <w:pPr>
        <w:rPr>
          <w:rFonts w:ascii="Arial" w:hAnsi="Arial" w:cs="Arial"/>
          <w:color w:val="000000" w:themeColor="text1"/>
        </w:rPr>
      </w:pPr>
    </w:p>
    <w:p w14:paraId="634D2EF5" w14:textId="32215BA9" w:rsidR="00070715" w:rsidRPr="00070715" w:rsidRDefault="00070715" w:rsidP="00C80A42">
      <w:pPr>
        <w:rPr>
          <w:rFonts w:ascii="Arial" w:hAnsi="Arial" w:cs="Arial"/>
          <w:color w:val="000000" w:themeColor="text1"/>
        </w:rPr>
      </w:pPr>
      <w:bookmarkStart w:id="31" w:name="_Toc181606833"/>
      <w:bookmarkStart w:id="32" w:name="_Toc181606857"/>
      <w:bookmarkStart w:id="33" w:name="_Toc181607314"/>
      <w:bookmarkStart w:id="34" w:name="_Toc181729978"/>
      <w:r w:rsidRPr="00B55351">
        <w:rPr>
          <w:rStyle w:val="Heading2Char"/>
          <w:rFonts w:ascii="Arial" w:hAnsi="Arial" w:cs="Arial"/>
          <w:sz w:val="22"/>
          <w:szCs w:val="22"/>
        </w:rPr>
        <w:t>PESTLE Analysis</w:t>
      </w:r>
      <w:bookmarkEnd w:id="31"/>
      <w:bookmarkEnd w:id="32"/>
      <w:bookmarkEnd w:id="33"/>
      <w:bookmarkEnd w:id="34"/>
      <w:r w:rsidRPr="00070715">
        <w:rPr>
          <w:rFonts w:ascii="Arial" w:hAnsi="Arial" w:cs="Arial"/>
          <w:color w:val="000000" w:themeColor="text1"/>
        </w:rPr>
        <w:t xml:space="preserve"> is a strategic tool used to evaluate the external macro-environmental factors affecting an organization, including Political, Economic, Social, Technological, Legal, and Environmental aspects (Agboola, 2021).</w:t>
      </w:r>
    </w:p>
    <w:p w14:paraId="0794D8A4" w14:textId="77777777" w:rsidR="00B46B42" w:rsidRPr="002A2B1F" w:rsidRDefault="00B46B42" w:rsidP="00B46B42">
      <w:pPr>
        <w:rPr>
          <w:rFonts w:ascii="Arial" w:hAnsi="Arial" w:cs="Arial"/>
        </w:rPr>
      </w:pPr>
      <w:r w:rsidRPr="00041030">
        <w:rPr>
          <w:rFonts w:ascii="Arial" w:hAnsi="Arial" w:cs="Arial"/>
          <w:color w:val="4472C4" w:themeColor="accent1"/>
        </w:rPr>
        <w:t>Political Factors</w:t>
      </w:r>
      <w:r w:rsidRPr="002A2B1F">
        <w:rPr>
          <w:rFonts w:ascii="Arial" w:hAnsi="Arial" w:cs="Arial"/>
        </w:rPr>
        <w:t>: Regulatory Compliance: Innocent Drinks functions in diverse locations, each with distinct requirements concerning food safety, labelling, and environmental protection. In the UK and EU, rigorous food safety standards include explicit labelling of ingredients, allergies, and nutritional information. Adherence to these laws is essential to prevent penalties and retain customer confidence (Food Standards Agency, 2020).</w:t>
      </w:r>
    </w:p>
    <w:p w14:paraId="7DDB6061" w14:textId="525BB733" w:rsidR="00B46B42" w:rsidRPr="00041030" w:rsidRDefault="00B46B42" w:rsidP="00B46B42">
      <w:pPr>
        <w:rPr>
          <w:rFonts w:ascii="Arial" w:hAnsi="Arial" w:cs="Arial"/>
        </w:rPr>
      </w:pPr>
      <w:r w:rsidRPr="002A2B1F">
        <w:rPr>
          <w:rFonts w:ascii="Arial" w:hAnsi="Arial" w:cs="Arial"/>
        </w:rPr>
        <w:t>The ramifications of Brexit have profoundly influenced the exchange of commodities between the UK and the EU, resulting in heightened tariffs and interruptions in the supply chain. For Innocent, this entails increased operational expenses and possible delays in procuring raw materials from European suppliers, affecting pricing and delivery schedules (Gov.uk, 2021).</w:t>
      </w:r>
    </w:p>
    <w:p w14:paraId="640D54C2" w14:textId="77777777" w:rsidR="00B46B42" w:rsidRPr="00041030" w:rsidRDefault="00B46B42" w:rsidP="00B46B42">
      <w:pPr>
        <w:rPr>
          <w:rFonts w:ascii="Arial" w:hAnsi="Arial" w:cs="Arial"/>
          <w:color w:val="404040" w:themeColor="text1" w:themeTint="BF"/>
        </w:rPr>
      </w:pPr>
      <w:r w:rsidRPr="00041030">
        <w:rPr>
          <w:rFonts w:ascii="Arial" w:hAnsi="Arial" w:cs="Arial"/>
          <w:color w:val="404040" w:themeColor="text1" w:themeTint="BF"/>
        </w:rPr>
        <w:t>Government Incentives for Sustainability: Numerous governments are implementing incentives for enterprises that emphasise environmental sustainability. The UK provides tax incentives to enterprises implementing environmentally sustainable practices. Innocent's dedication to carbon-neutral operations corresponds with these incentives, potentially offering financial assistance and improving brand reputation (HM Treasury, 2022).</w:t>
      </w:r>
    </w:p>
    <w:p w14:paraId="6E79897D" w14:textId="77777777" w:rsidR="00B46B42" w:rsidRPr="00041030" w:rsidRDefault="00B46B42" w:rsidP="00B46B42">
      <w:pPr>
        <w:rPr>
          <w:rFonts w:ascii="Arial" w:hAnsi="Arial" w:cs="Arial"/>
          <w:color w:val="4472C4" w:themeColor="accent1"/>
        </w:rPr>
      </w:pPr>
      <w:r w:rsidRPr="00041030">
        <w:rPr>
          <w:rFonts w:ascii="Arial" w:hAnsi="Arial" w:cs="Arial"/>
          <w:color w:val="4472C4" w:themeColor="accent1"/>
        </w:rPr>
        <w:t xml:space="preserve">Economic Considerations. </w:t>
      </w:r>
    </w:p>
    <w:p w14:paraId="479C79A5" w14:textId="77777777" w:rsidR="00B46B42" w:rsidRPr="00041030" w:rsidRDefault="00B46B42" w:rsidP="00B46B42">
      <w:pPr>
        <w:rPr>
          <w:rFonts w:ascii="Arial" w:hAnsi="Arial" w:cs="Arial"/>
          <w:color w:val="404040" w:themeColor="text1" w:themeTint="BF"/>
        </w:rPr>
      </w:pPr>
      <w:r w:rsidRPr="00041030">
        <w:rPr>
          <w:rFonts w:ascii="Arial" w:hAnsi="Arial" w:cs="Arial"/>
          <w:color w:val="404040" w:themeColor="text1" w:themeTint="BF"/>
        </w:rPr>
        <w:t>Inflation and Consumer Purchasing Power</w:t>
      </w:r>
    </w:p>
    <w:p w14:paraId="58F384E2" w14:textId="6B4078C3" w:rsidR="00B46B42" w:rsidRPr="00041030" w:rsidRDefault="00B46B42" w:rsidP="00B46B42">
      <w:pPr>
        <w:rPr>
          <w:rFonts w:ascii="Arial" w:hAnsi="Arial" w:cs="Arial"/>
          <w:color w:val="404040" w:themeColor="text1" w:themeTint="BF"/>
        </w:rPr>
      </w:pPr>
      <w:r w:rsidRPr="00041030">
        <w:rPr>
          <w:rFonts w:ascii="Arial" w:hAnsi="Arial" w:cs="Arial"/>
          <w:color w:val="404040" w:themeColor="text1" w:themeTint="BF"/>
        </w:rPr>
        <w:t xml:space="preserve">Global inflation rates have escalated, resulting in heightened expenses for essential commodities, such as food and beverages. For premium brands such as Innocent Drinks, this may lead to diminished sales as consumers reduce expenditures on non-essential goods in favour of more affordable options. Inflation-induced increases in raw material and transportation prices compel the corporation to reconcile pricing with affordability </w:t>
      </w:r>
      <w:r w:rsidR="002A2B1F" w:rsidRPr="00041030">
        <w:rPr>
          <w:rFonts w:ascii="Arial" w:hAnsi="Arial" w:cs="Arial"/>
          <w:color w:val="404040" w:themeColor="text1" w:themeTint="BF"/>
        </w:rPr>
        <w:t>to</w:t>
      </w:r>
      <w:r w:rsidRPr="00041030">
        <w:rPr>
          <w:rFonts w:ascii="Arial" w:hAnsi="Arial" w:cs="Arial"/>
          <w:color w:val="404040" w:themeColor="text1" w:themeTint="BF"/>
        </w:rPr>
        <w:t xml:space="preserve"> maintain its market share (Smith, 2023).</w:t>
      </w:r>
    </w:p>
    <w:p w14:paraId="113DB90E" w14:textId="77777777" w:rsidR="00B46B42" w:rsidRPr="00041030" w:rsidRDefault="00B46B42" w:rsidP="00B46B42">
      <w:pPr>
        <w:rPr>
          <w:rFonts w:ascii="Arial" w:hAnsi="Arial" w:cs="Arial"/>
          <w:color w:val="404040" w:themeColor="text1" w:themeTint="BF"/>
        </w:rPr>
      </w:pPr>
      <w:r w:rsidRPr="00041030">
        <w:rPr>
          <w:rFonts w:ascii="Arial" w:hAnsi="Arial" w:cs="Arial"/>
          <w:color w:val="404040" w:themeColor="text1" w:themeTint="BF"/>
        </w:rPr>
        <w:t>Variations in Currency Exchange Rates</w:t>
      </w:r>
    </w:p>
    <w:p w14:paraId="07F11798" w14:textId="77777777" w:rsidR="00B46B42" w:rsidRPr="00041030" w:rsidRDefault="00B46B42" w:rsidP="00B46B42">
      <w:pPr>
        <w:rPr>
          <w:rFonts w:ascii="Arial" w:hAnsi="Arial" w:cs="Arial"/>
          <w:color w:val="404040" w:themeColor="text1" w:themeTint="BF"/>
        </w:rPr>
      </w:pPr>
      <w:r w:rsidRPr="00041030">
        <w:rPr>
          <w:rFonts w:ascii="Arial" w:hAnsi="Arial" w:cs="Arial"/>
          <w:color w:val="404040" w:themeColor="text1" w:themeTint="BF"/>
        </w:rPr>
        <w:t>Innocent Drinks' global sourcing of ingredients renders their profit margins susceptible to variations in currency exchange rates. When the British pound depreciates against supplier currencies, import expenses increase, impacting product pricing and profitability. The unpredictability, particularly following Brexit, has presented a difficulty for companies such as Innocent, who depend significantly on foreign trade (Jones &amp; Miller, 2022).</w:t>
      </w:r>
    </w:p>
    <w:p w14:paraId="4722DCF6" w14:textId="77777777" w:rsidR="00B46B42" w:rsidRPr="00041030" w:rsidRDefault="00B46B42" w:rsidP="00B46B42">
      <w:pPr>
        <w:rPr>
          <w:rFonts w:ascii="Arial" w:hAnsi="Arial" w:cs="Arial"/>
          <w:color w:val="404040" w:themeColor="text1" w:themeTint="BF"/>
        </w:rPr>
      </w:pPr>
      <w:r w:rsidRPr="00041030">
        <w:rPr>
          <w:rFonts w:ascii="Arial" w:hAnsi="Arial" w:cs="Arial"/>
          <w:color w:val="404040" w:themeColor="text1" w:themeTint="BF"/>
        </w:rPr>
        <w:t>Expansion of the Health-Conscious Market</w:t>
      </w:r>
    </w:p>
    <w:p w14:paraId="1F83B2CB" w14:textId="77777777" w:rsidR="00B46B42" w:rsidRPr="00041030" w:rsidRDefault="00B46B42" w:rsidP="00B46B42">
      <w:pPr>
        <w:rPr>
          <w:rFonts w:ascii="Arial" w:hAnsi="Arial" w:cs="Arial"/>
          <w:color w:val="404040" w:themeColor="text1" w:themeTint="BF"/>
        </w:rPr>
      </w:pPr>
      <w:r w:rsidRPr="00041030">
        <w:rPr>
          <w:rFonts w:ascii="Arial" w:hAnsi="Arial" w:cs="Arial"/>
          <w:color w:val="404040" w:themeColor="text1" w:themeTint="BF"/>
        </w:rPr>
        <w:t>The proportion of health-conscious consumers is growing, especially in developed economies, where there is significant demand for natural and organic products. This trend offers Innocent Drinks the chance to draw additional customers, particularly as they diversify into other health-oriented product lines. The expansion in this sector is prompting premium brands such as Innocent to create novel products that correspond with health trends, notwithstanding economic challenges (Thompson et al., 2021).</w:t>
      </w:r>
    </w:p>
    <w:p w14:paraId="1A6EDF07" w14:textId="77777777" w:rsidR="00B46B42" w:rsidRPr="00041030" w:rsidRDefault="00B46B42" w:rsidP="00B46B42">
      <w:pPr>
        <w:rPr>
          <w:rFonts w:ascii="Arial" w:hAnsi="Arial" w:cs="Arial"/>
          <w:color w:val="404040" w:themeColor="text1" w:themeTint="BF"/>
        </w:rPr>
      </w:pPr>
      <w:r w:rsidRPr="00041030">
        <w:rPr>
          <w:rFonts w:ascii="Arial" w:hAnsi="Arial" w:cs="Arial"/>
          <w:color w:val="404040" w:themeColor="text1" w:themeTint="BF"/>
        </w:rPr>
        <w:t xml:space="preserve"> Judicial Considerations:</w:t>
      </w:r>
    </w:p>
    <w:p w14:paraId="2A6EDBBF" w14:textId="77777777" w:rsidR="00B46B42" w:rsidRPr="00041030" w:rsidRDefault="00B46B42" w:rsidP="00B46B42">
      <w:pPr>
        <w:rPr>
          <w:rFonts w:ascii="Arial" w:hAnsi="Arial" w:cs="Arial"/>
          <w:color w:val="404040" w:themeColor="text1" w:themeTint="BF"/>
        </w:rPr>
      </w:pPr>
      <w:r w:rsidRPr="00041030">
        <w:rPr>
          <w:rFonts w:ascii="Arial" w:hAnsi="Arial" w:cs="Arial"/>
          <w:color w:val="404040" w:themeColor="text1" w:themeTint="BF"/>
        </w:rPr>
        <w:t xml:space="preserve">Food Safety Regulations: Innocent Drinks is required to adhere to rigorous food safety legislation pertaining to the production and labelling of food and beverage items. The </w:t>
      </w:r>
      <w:r w:rsidRPr="00041030">
        <w:rPr>
          <w:rFonts w:ascii="Arial" w:hAnsi="Arial" w:cs="Arial"/>
          <w:color w:val="404040" w:themeColor="text1" w:themeTint="BF"/>
        </w:rPr>
        <w:lastRenderedPageBreak/>
        <w:t>European Union has implemented laws, including the General Food Law Regulation (EC) No. 178/2002, to guarantee the safety of food items for consumption (European Commission, 2022). Non-compliance may result in significant penalties and a deterioration of consumer trust.</w:t>
      </w:r>
    </w:p>
    <w:p w14:paraId="79F0FDCF" w14:textId="77777777" w:rsidR="00B46B42" w:rsidRPr="00041030" w:rsidRDefault="00B46B42" w:rsidP="00B46B42">
      <w:pPr>
        <w:rPr>
          <w:rFonts w:ascii="Arial" w:hAnsi="Arial" w:cs="Arial"/>
          <w:color w:val="404040" w:themeColor="text1" w:themeTint="BF"/>
        </w:rPr>
      </w:pPr>
      <w:r w:rsidRPr="00041030">
        <w:rPr>
          <w:rFonts w:ascii="Arial" w:hAnsi="Arial" w:cs="Arial"/>
          <w:color w:val="404040" w:themeColor="text1" w:themeTint="BF"/>
        </w:rPr>
        <w:t>The corporation is subject to legal restrictions regarding marketing and promotional assertions, particularly those relating to health advantages. The Advertising Standards Authority (ASA) in the UK enforces legislation to prohibit deceptive advertising, mandating that corporations verify claims in their marketing materials (Advertising Standards Authority, 2023). This requires a stringent approach to marketing initiatives to guarantee compliance and safeguard the brand's reputation.</w:t>
      </w:r>
    </w:p>
    <w:p w14:paraId="2D45DCB8" w14:textId="77777777" w:rsidR="00B46B42" w:rsidRPr="00041030" w:rsidRDefault="00B46B42" w:rsidP="00B46B42">
      <w:pPr>
        <w:rPr>
          <w:rFonts w:ascii="Arial" w:hAnsi="Arial" w:cs="Arial"/>
          <w:color w:val="404040" w:themeColor="text1" w:themeTint="BF"/>
        </w:rPr>
      </w:pPr>
      <w:r w:rsidRPr="00041030">
        <w:rPr>
          <w:rFonts w:ascii="Arial" w:hAnsi="Arial" w:cs="Arial"/>
          <w:color w:val="404040" w:themeColor="text1" w:themeTint="BF"/>
        </w:rPr>
        <w:t>Environmental Regulations: Innocent Drinks must adhere to numerous environmental statutes that influence its sourcing, packaging, and manufacturing procedures. The UK’s Environment Act 2021 seeks to enhance air and water quality while minimising waste, hence affecting corporate management of environmental effect (UK Government, 2021). Adherence to these standards is essential for preserving brand integrity and mitigating the risk of penalties.</w:t>
      </w:r>
    </w:p>
    <w:p w14:paraId="49F36B55" w14:textId="6C3155AF" w:rsidR="00993F8B" w:rsidRPr="00622E1B" w:rsidRDefault="00B46B42" w:rsidP="00B46B42">
      <w:pPr>
        <w:spacing w:line="360" w:lineRule="auto"/>
        <w:rPr>
          <w:rFonts w:ascii="Arial" w:hAnsi="Arial" w:cs="Arial"/>
          <w:b/>
          <w:bCs/>
          <w:sz w:val="36"/>
          <w:szCs w:val="36"/>
        </w:rPr>
      </w:pPr>
      <w:r w:rsidRPr="00B46B42">
        <w:rPr>
          <w:rFonts w:ascii="Arial" w:hAnsi="Arial" w:cs="Arial"/>
          <w:b/>
          <w:bCs/>
          <w:sz w:val="36"/>
          <w:szCs w:val="36"/>
        </w:rPr>
        <w:cr/>
      </w:r>
      <w:r w:rsidR="00622E1B">
        <w:rPr>
          <w:rFonts w:ascii="Arial" w:hAnsi="Arial" w:cs="Arial"/>
          <w:i/>
          <w:iCs/>
          <w:noProof/>
          <w:sz w:val="36"/>
          <w:szCs w:val="36"/>
        </w:rPr>
        <w:drawing>
          <wp:anchor distT="0" distB="0" distL="114300" distR="114300" simplePos="0" relativeHeight="251659264" behindDoc="0" locked="0" layoutInCell="1" allowOverlap="1" wp14:anchorId="12E6E8FB" wp14:editId="6B7F7447">
            <wp:simplePos x="0" y="0"/>
            <wp:positionH relativeFrom="margin">
              <wp:align>left</wp:align>
            </wp:positionH>
            <wp:positionV relativeFrom="paragraph">
              <wp:posOffset>10391</wp:posOffset>
            </wp:positionV>
            <wp:extent cx="2695575" cy="1695450"/>
            <wp:effectExtent l="0" t="0" r="9525" b="0"/>
            <wp:wrapSquare wrapText="bothSides"/>
            <wp:docPr id="19459461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95575" cy="1695450"/>
                    </a:xfrm>
                    <a:prstGeom prst="rect">
                      <a:avLst/>
                    </a:prstGeom>
                    <a:noFill/>
                  </pic:spPr>
                </pic:pic>
              </a:graphicData>
            </a:graphic>
          </wp:anchor>
        </w:drawing>
      </w:r>
    </w:p>
    <w:p w14:paraId="5B517FF4" w14:textId="57839A1D" w:rsidR="00993F8B" w:rsidRPr="00AB5046" w:rsidRDefault="00AB5046" w:rsidP="00403775">
      <w:pPr>
        <w:spacing w:line="360" w:lineRule="auto"/>
        <w:rPr>
          <w:rFonts w:ascii="Arial" w:hAnsi="Arial" w:cs="Arial"/>
          <w:i/>
          <w:iCs/>
        </w:rPr>
      </w:pPr>
      <w:r w:rsidRPr="00AB5046">
        <w:rPr>
          <w:rFonts w:ascii="Arial" w:hAnsi="Arial" w:cs="Arial"/>
          <w:i/>
          <w:iCs/>
        </w:rPr>
        <w:t>Fig</w:t>
      </w:r>
      <w:r w:rsidR="00300832">
        <w:rPr>
          <w:rFonts w:ascii="Arial" w:hAnsi="Arial" w:cs="Arial"/>
          <w:i/>
          <w:iCs/>
        </w:rPr>
        <w:t>3</w:t>
      </w:r>
    </w:p>
    <w:p w14:paraId="5C197CF9" w14:textId="77777777" w:rsidR="00993F8B" w:rsidRDefault="00993F8B" w:rsidP="00403775">
      <w:pPr>
        <w:spacing w:line="360" w:lineRule="auto"/>
        <w:rPr>
          <w:rFonts w:ascii="Arial" w:hAnsi="Arial" w:cs="Arial"/>
          <w:i/>
          <w:iCs/>
          <w:sz w:val="36"/>
          <w:szCs w:val="36"/>
        </w:rPr>
      </w:pPr>
    </w:p>
    <w:p w14:paraId="7C5EA53F" w14:textId="77777777" w:rsidR="00622E1B" w:rsidRDefault="00622E1B" w:rsidP="00403775">
      <w:pPr>
        <w:spacing w:line="360" w:lineRule="auto"/>
        <w:rPr>
          <w:rFonts w:ascii="Arial" w:hAnsi="Arial" w:cs="Arial"/>
          <w:i/>
          <w:iCs/>
          <w:sz w:val="36"/>
          <w:szCs w:val="36"/>
        </w:rPr>
      </w:pPr>
    </w:p>
    <w:p w14:paraId="4DE5E78B" w14:textId="139CAB27" w:rsidR="002353CE" w:rsidRPr="00CA3275" w:rsidRDefault="002353CE" w:rsidP="00D40379">
      <w:pPr>
        <w:pStyle w:val="Heading1"/>
        <w:rPr>
          <w:rFonts w:ascii="Arial" w:hAnsi="Arial" w:cs="Arial"/>
          <w:sz w:val="22"/>
          <w:szCs w:val="22"/>
        </w:rPr>
      </w:pPr>
      <w:bookmarkStart w:id="35" w:name="_Toc181606837"/>
      <w:bookmarkStart w:id="36" w:name="_Toc181606861"/>
      <w:bookmarkStart w:id="37" w:name="_Toc181607321"/>
      <w:bookmarkStart w:id="38" w:name="_Toc181729985"/>
      <w:r w:rsidRPr="00CA3275">
        <w:rPr>
          <w:rFonts w:ascii="Arial" w:hAnsi="Arial" w:cs="Arial"/>
          <w:sz w:val="36"/>
          <w:szCs w:val="36"/>
        </w:rPr>
        <w:t>S</w:t>
      </w:r>
      <w:r w:rsidRPr="00CA3275">
        <w:rPr>
          <w:rFonts w:ascii="Arial" w:hAnsi="Arial" w:cs="Arial"/>
          <w:sz w:val="22"/>
          <w:szCs w:val="22"/>
        </w:rPr>
        <w:t>WOT Analysis:</w:t>
      </w:r>
      <w:bookmarkEnd w:id="35"/>
      <w:bookmarkEnd w:id="36"/>
      <w:bookmarkEnd w:id="37"/>
      <w:bookmarkEnd w:id="38"/>
    </w:p>
    <w:p w14:paraId="583B0F34" w14:textId="0DB0ACE8" w:rsidR="00070715" w:rsidRDefault="00070715" w:rsidP="00403775">
      <w:pPr>
        <w:spacing w:line="360" w:lineRule="auto"/>
        <w:rPr>
          <w:rFonts w:ascii="Arial" w:hAnsi="Arial" w:cs="Arial"/>
        </w:rPr>
      </w:pPr>
      <w:r w:rsidRPr="00403775">
        <w:rPr>
          <w:rFonts w:ascii="Arial" w:hAnsi="Arial" w:cs="Arial"/>
        </w:rPr>
        <w:t>SWOT Analysis is a strategic planning tool that evaluates an organization’s Strengths, Weaknesses, Opportunities, and Threats to inform decision-making and strategy development (Gürel &amp; Tat, 2017).</w:t>
      </w:r>
    </w:p>
    <w:p w14:paraId="4D20893D" w14:textId="77777777" w:rsidR="00EE7FAC" w:rsidRPr="00B34A00" w:rsidRDefault="00EE7FAC" w:rsidP="00EE7FAC">
      <w:pPr>
        <w:pStyle w:val="Heading2"/>
        <w:rPr>
          <w:rFonts w:ascii="Arial" w:hAnsi="Arial" w:cs="Arial"/>
          <w:color w:val="404040" w:themeColor="text1" w:themeTint="BF"/>
          <w:sz w:val="22"/>
          <w:szCs w:val="22"/>
        </w:rPr>
      </w:pPr>
      <w:bookmarkStart w:id="39" w:name="_Toc181606839"/>
      <w:bookmarkStart w:id="40" w:name="_Toc181606863"/>
      <w:bookmarkStart w:id="41" w:name="_Toc181607327"/>
      <w:bookmarkStart w:id="42" w:name="_Toc181729991"/>
      <w:bookmarkStart w:id="43" w:name="_Hlk181196369"/>
      <w:r w:rsidRPr="00593A6C">
        <w:rPr>
          <w:rFonts w:ascii="Arial" w:hAnsi="Arial" w:cs="Arial"/>
          <w:color w:val="4472C4" w:themeColor="accent1"/>
          <w:sz w:val="22"/>
          <w:szCs w:val="22"/>
        </w:rPr>
        <w:lastRenderedPageBreak/>
        <w:t>Strengths</w:t>
      </w:r>
      <w:r w:rsidRPr="00B34A00">
        <w:rPr>
          <w:rFonts w:ascii="Arial" w:hAnsi="Arial" w:cs="Arial"/>
          <w:color w:val="404040" w:themeColor="text1" w:themeTint="BF"/>
          <w:sz w:val="22"/>
          <w:szCs w:val="22"/>
        </w:rPr>
        <w:t>: Robust Brand Identity: Innocent Drinks has cultivated a strong brand identity defined by its dedication to quality and sustainability. The brand's whimsical marketing and clear message appeal to health-conscious consumers. Mintel's 2023 report identifies Innocent as a frontrunner in the smoothie category, with substantial consumer loyalty and trust.</w:t>
      </w:r>
    </w:p>
    <w:p w14:paraId="7E43E1A1" w14:textId="4B89FA33"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Innocent's commitment to environmental sustainability, encompassing carbon-neutral operations and eco-friendly packaging measures, elevates its brand value. This emphasis not only attracts environmentally aware consumers but also corresponds with global movements towards sustainable practices (Innocent, 2023).</w:t>
      </w:r>
    </w:p>
    <w:p w14:paraId="0D33D30E" w14:textId="77777777"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Market Positioning: Innocent commands a substantial market share in the European smoothie sector, establishing itself as a luxury brand. This leadership position facilitates enhanced visibility and competitive superiority in a saturated market (Statista, 2024).</w:t>
      </w:r>
    </w:p>
    <w:p w14:paraId="1834736A" w14:textId="77777777" w:rsidR="00EE7FAC" w:rsidRPr="00B34A00" w:rsidRDefault="00EE7FAC" w:rsidP="00EE7FAC">
      <w:pPr>
        <w:pStyle w:val="Heading2"/>
        <w:rPr>
          <w:rFonts w:ascii="Arial" w:hAnsi="Arial" w:cs="Arial"/>
          <w:color w:val="404040" w:themeColor="text1" w:themeTint="BF"/>
          <w:sz w:val="22"/>
          <w:szCs w:val="22"/>
        </w:rPr>
      </w:pPr>
      <w:r w:rsidRPr="00593A6C">
        <w:rPr>
          <w:rFonts w:ascii="Arial" w:hAnsi="Arial" w:cs="Arial"/>
          <w:color w:val="4472C4" w:themeColor="accent1"/>
          <w:sz w:val="22"/>
          <w:szCs w:val="22"/>
        </w:rPr>
        <w:t>Weaknesses</w:t>
      </w:r>
      <w:r w:rsidRPr="00B34A00">
        <w:rPr>
          <w:rFonts w:ascii="Arial" w:hAnsi="Arial" w:cs="Arial"/>
          <w:color w:val="404040" w:themeColor="text1" w:themeTint="BF"/>
          <w:sz w:val="22"/>
          <w:szCs w:val="22"/>
        </w:rPr>
        <w:t>:</w:t>
      </w:r>
    </w:p>
    <w:p w14:paraId="2F3C6D3F" w14:textId="77777777"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Premium Pricing: Innocent's goods are frequently priced above those of competitors, thus restricting market penetration, especially among price-sensitive consumers. This premium pricing strategy may impede expansion in economically challenged markets (Mintel, 2023).</w:t>
      </w:r>
    </w:p>
    <w:p w14:paraId="3C37C528" w14:textId="77777777"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The company's dependence on external suppliers for fruit and raw materials renders it susceptible to supply chain vulnerabilities, such as price fluctuations and potential interruptions caused by climate change (Innocent, 2023).</w:t>
      </w:r>
    </w:p>
    <w:p w14:paraId="42935D02" w14:textId="77777777"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Restricted Product Assortment: While Innocent excels in the smoothie sector, its product assortment is more limited in comparison to larger rivals such as PepsiCo, which provides a broader selection of beverage alternatives (Statista, 2024).</w:t>
      </w:r>
    </w:p>
    <w:p w14:paraId="2A63E886" w14:textId="075054B7" w:rsidR="00EE7FAC" w:rsidRPr="00B34A00" w:rsidRDefault="00EE7FAC" w:rsidP="00EE7FAC">
      <w:pPr>
        <w:pStyle w:val="Heading2"/>
        <w:rPr>
          <w:rFonts w:ascii="Arial" w:hAnsi="Arial" w:cs="Arial"/>
          <w:color w:val="404040" w:themeColor="text1" w:themeTint="BF"/>
          <w:sz w:val="22"/>
          <w:szCs w:val="22"/>
        </w:rPr>
      </w:pPr>
      <w:r w:rsidRPr="00593A6C">
        <w:rPr>
          <w:rFonts w:ascii="Arial" w:hAnsi="Arial" w:cs="Arial"/>
          <w:color w:val="4472C4" w:themeColor="accent1"/>
          <w:sz w:val="22"/>
          <w:szCs w:val="22"/>
        </w:rPr>
        <w:t>Opportunities</w:t>
      </w:r>
      <w:r w:rsidR="00593A6C">
        <w:rPr>
          <w:rFonts w:ascii="Arial" w:hAnsi="Arial" w:cs="Arial"/>
          <w:color w:val="404040" w:themeColor="text1" w:themeTint="BF"/>
          <w:sz w:val="22"/>
          <w:szCs w:val="22"/>
        </w:rPr>
        <w:t>:</w:t>
      </w:r>
    </w:p>
    <w:p w14:paraId="55DC2B81" w14:textId="274F0A57"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 xml:space="preserve">Expansion in Emerging Markets: </w:t>
      </w:r>
      <w:r w:rsidR="00593A6C" w:rsidRPr="00B34A00">
        <w:rPr>
          <w:rFonts w:ascii="Arial" w:hAnsi="Arial" w:cs="Arial"/>
          <w:color w:val="404040" w:themeColor="text1" w:themeTint="BF"/>
          <w:sz w:val="22"/>
          <w:szCs w:val="22"/>
        </w:rPr>
        <w:t>Considering</w:t>
      </w:r>
      <w:r w:rsidRPr="00B34A00">
        <w:rPr>
          <w:rFonts w:ascii="Arial" w:hAnsi="Arial" w:cs="Arial"/>
          <w:color w:val="404040" w:themeColor="text1" w:themeTint="BF"/>
          <w:sz w:val="22"/>
          <w:szCs w:val="22"/>
        </w:rPr>
        <w:t xml:space="preserve"> the global inclination towards health and wellbeing, Innocent could augment its market presence in emerging markets where the need for nutritious beverages is increasing (Mintel, 2023).</w:t>
      </w:r>
    </w:p>
    <w:p w14:paraId="7A7DD0FF" w14:textId="77777777"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Product Diversification: Creating new offerings that align with trends such as functional beverages and plant-based alternatives can enable Innocent to reach a wider audience and increase its market share (Innocent, 2023).</w:t>
      </w:r>
    </w:p>
    <w:p w14:paraId="47C7BE5F" w14:textId="77777777"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Expanded E-commerce Presence: The rising trend of online shopping presents Innocent with a potential to augment its direct-to-consumer sales by utilising digital marketing to engage a broader audience (Statista, 2024).</w:t>
      </w:r>
    </w:p>
    <w:p w14:paraId="54DF268A" w14:textId="77777777" w:rsidR="00EE7FAC" w:rsidRPr="00B34A00" w:rsidRDefault="00EE7FAC" w:rsidP="00EE7FAC">
      <w:pPr>
        <w:pStyle w:val="Heading2"/>
        <w:rPr>
          <w:rFonts w:ascii="Arial" w:hAnsi="Arial" w:cs="Arial"/>
          <w:color w:val="404040" w:themeColor="text1" w:themeTint="BF"/>
          <w:sz w:val="22"/>
          <w:szCs w:val="22"/>
        </w:rPr>
      </w:pPr>
      <w:r w:rsidRPr="00593A6C">
        <w:rPr>
          <w:rFonts w:ascii="Arial" w:hAnsi="Arial" w:cs="Arial"/>
          <w:color w:val="4472C4" w:themeColor="accent1"/>
          <w:sz w:val="22"/>
          <w:szCs w:val="22"/>
        </w:rPr>
        <w:t>Threats</w:t>
      </w:r>
      <w:r w:rsidRPr="00B34A00">
        <w:rPr>
          <w:rFonts w:ascii="Arial" w:hAnsi="Arial" w:cs="Arial"/>
          <w:color w:val="404040" w:themeColor="text1" w:themeTint="BF"/>
          <w:sz w:val="22"/>
          <w:szCs w:val="22"/>
        </w:rPr>
        <w:t>:</w:t>
      </w:r>
    </w:p>
    <w:p w14:paraId="0FD668C8" w14:textId="77777777"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The healthy beverage market is fiercely competitive, with prominent companies such as Tropicana and Naked Juice always inventing and broadening their product offerings, hence jeopardising Innocent’s market share (Mintel, 2023).</w:t>
      </w:r>
    </w:p>
    <w:p w14:paraId="2F7E82AB" w14:textId="77777777"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Vulnerabilities in the Supply Chain: Climate change and geopolitical factors can disrupt supply chains, impacting the availability and cost of essential raw materials for production (Innocent, 2023).</w:t>
      </w:r>
    </w:p>
    <w:p w14:paraId="2367B4F0" w14:textId="77777777"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Transforming Regulatory Landscape: Heightened examination of health claims and restrictions regarding sugar levels may necessitate Innocent to reformulate products or modify marketing techniques, so affecting brand reputation (Statista, 2024).</w:t>
      </w:r>
    </w:p>
    <w:p w14:paraId="5C95145B" w14:textId="77777777" w:rsidR="00EE7FAC" w:rsidRPr="00593A6C" w:rsidRDefault="00EE7FAC" w:rsidP="00EE7FAC">
      <w:pPr>
        <w:pStyle w:val="Heading2"/>
        <w:rPr>
          <w:rFonts w:ascii="Arial" w:hAnsi="Arial" w:cs="Arial"/>
          <w:i/>
          <w:iCs/>
          <w:color w:val="4472C4" w:themeColor="accent1"/>
          <w:sz w:val="22"/>
          <w:szCs w:val="22"/>
        </w:rPr>
      </w:pPr>
      <w:r w:rsidRPr="006B12D4">
        <w:rPr>
          <w:rFonts w:ascii="Arial" w:hAnsi="Arial" w:cs="Arial"/>
          <w:i/>
          <w:iCs/>
          <w:color w:val="4472C4" w:themeColor="accent1"/>
          <w:sz w:val="36"/>
          <w:szCs w:val="36"/>
        </w:rPr>
        <w:lastRenderedPageBreak/>
        <w:t>S</w:t>
      </w:r>
      <w:r w:rsidRPr="00593A6C">
        <w:rPr>
          <w:rFonts w:ascii="Arial" w:hAnsi="Arial" w:cs="Arial"/>
          <w:i/>
          <w:iCs/>
          <w:color w:val="4472C4" w:themeColor="accent1"/>
          <w:sz w:val="22"/>
          <w:szCs w:val="22"/>
        </w:rPr>
        <w:t>takeholder Analysis</w:t>
      </w:r>
    </w:p>
    <w:p w14:paraId="05E96403" w14:textId="5E3AD799" w:rsidR="00EE7FAC" w:rsidRPr="00B34A00" w:rsidRDefault="00EE7FAC" w:rsidP="00EE7FAC">
      <w:pPr>
        <w:pStyle w:val="Heading2"/>
        <w:rPr>
          <w:rFonts w:ascii="Arial" w:hAnsi="Arial" w:cs="Arial"/>
          <w:color w:val="404040" w:themeColor="text1" w:themeTint="BF"/>
          <w:sz w:val="22"/>
          <w:szCs w:val="22"/>
        </w:rPr>
      </w:pPr>
      <w:r w:rsidRPr="00B34A00">
        <w:rPr>
          <w:rFonts w:ascii="Arial" w:hAnsi="Arial" w:cs="Arial"/>
          <w:color w:val="404040" w:themeColor="text1" w:themeTint="BF"/>
          <w:sz w:val="22"/>
          <w:szCs w:val="22"/>
        </w:rPr>
        <w:t>A stakeholder is any person, group, or organisation that can influence or is influenced by the activities, goals, and policies of a business (Freeman, 1984). Stakeholders encompass employees, consumers, suppliers, shareholders, government entities, and the local community, each possessing differing degrees of interest and influence over the organization's results (Johnson, Whittington and Scholes, 2022). Effectively managing stakeholder relationships is essential for aligning business objectives with the expectations and demands of these critical groups, hence influencing long-term success and sustainability.</w:t>
      </w:r>
    </w:p>
    <w:p w14:paraId="465CA68B" w14:textId="114457CF" w:rsidR="00E66177" w:rsidRPr="00B309FD" w:rsidRDefault="00874274" w:rsidP="00D40379">
      <w:pPr>
        <w:pStyle w:val="Heading2"/>
        <w:rPr>
          <w:rFonts w:ascii="Arial" w:hAnsi="Arial" w:cs="Arial"/>
          <w:i/>
          <w:iCs/>
          <w:sz w:val="22"/>
          <w:szCs w:val="22"/>
        </w:rPr>
      </w:pPr>
      <w:r w:rsidRPr="00B309FD">
        <w:rPr>
          <w:rFonts w:ascii="Arial" w:hAnsi="Arial" w:cs="Arial"/>
          <w:i/>
          <w:iCs/>
          <w:sz w:val="22"/>
          <w:szCs w:val="22"/>
        </w:rPr>
        <w:t>Power/Interest Grid</w:t>
      </w:r>
      <w:bookmarkEnd w:id="39"/>
      <w:bookmarkEnd w:id="40"/>
      <w:bookmarkEnd w:id="41"/>
      <w:bookmarkEnd w:id="42"/>
    </w:p>
    <w:tbl>
      <w:tblPr>
        <w:tblStyle w:val="TableGrid"/>
        <w:tblW w:w="9634" w:type="dxa"/>
        <w:tblLook w:val="04A0" w:firstRow="1" w:lastRow="0" w:firstColumn="1" w:lastColumn="0" w:noHBand="0" w:noVBand="1"/>
      </w:tblPr>
      <w:tblGrid>
        <w:gridCol w:w="2972"/>
        <w:gridCol w:w="1134"/>
        <w:gridCol w:w="1134"/>
        <w:gridCol w:w="4394"/>
      </w:tblGrid>
      <w:tr w:rsidR="00DE5F43" w14:paraId="2CCFFC07" w14:textId="77777777" w:rsidTr="00F8470D">
        <w:tc>
          <w:tcPr>
            <w:tcW w:w="2972" w:type="dxa"/>
          </w:tcPr>
          <w:bookmarkEnd w:id="43"/>
          <w:p w14:paraId="69CCC4E0" w14:textId="377905D2" w:rsidR="00DE5F43" w:rsidRPr="00370280" w:rsidRDefault="00DE5F43" w:rsidP="003855E0">
            <w:pPr>
              <w:spacing w:line="360" w:lineRule="auto"/>
              <w:jc w:val="both"/>
              <w:rPr>
                <w:rFonts w:ascii="Arial" w:hAnsi="Arial" w:cs="Arial"/>
                <w:color w:val="538135" w:themeColor="accent6" w:themeShade="BF"/>
              </w:rPr>
            </w:pPr>
            <w:r w:rsidRPr="00370280">
              <w:rPr>
                <w:rFonts w:ascii="Arial" w:hAnsi="Arial" w:cs="Arial"/>
                <w:color w:val="538135" w:themeColor="accent6" w:themeShade="BF"/>
              </w:rPr>
              <w:t>Stakeholder</w:t>
            </w:r>
          </w:p>
        </w:tc>
        <w:tc>
          <w:tcPr>
            <w:tcW w:w="1134" w:type="dxa"/>
          </w:tcPr>
          <w:p w14:paraId="6FA9AFB2" w14:textId="45E2B738" w:rsidR="00DE5F43" w:rsidRPr="00370280" w:rsidRDefault="00DE5F43" w:rsidP="003855E0">
            <w:pPr>
              <w:spacing w:line="360" w:lineRule="auto"/>
              <w:jc w:val="both"/>
              <w:rPr>
                <w:rFonts w:ascii="Arial" w:hAnsi="Arial" w:cs="Arial"/>
                <w:color w:val="538135" w:themeColor="accent6" w:themeShade="BF"/>
              </w:rPr>
            </w:pPr>
            <w:r w:rsidRPr="00370280">
              <w:rPr>
                <w:rFonts w:ascii="Arial" w:hAnsi="Arial" w:cs="Arial"/>
                <w:color w:val="538135" w:themeColor="accent6" w:themeShade="BF"/>
              </w:rPr>
              <w:t>Power</w:t>
            </w:r>
          </w:p>
        </w:tc>
        <w:tc>
          <w:tcPr>
            <w:tcW w:w="1134" w:type="dxa"/>
          </w:tcPr>
          <w:p w14:paraId="5BC63633" w14:textId="70963B34" w:rsidR="00DE5F43" w:rsidRPr="00370280" w:rsidRDefault="00DE5F43" w:rsidP="003855E0">
            <w:pPr>
              <w:spacing w:line="360" w:lineRule="auto"/>
              <w:jc w:val="both"/>
              <w:rPr>
                <w:rFonts w:ascii="Arial" w:hAnsi="Arial" w:cs="Arial"/>
                <w:color w:val="538135" w:themeColor="accent6" w:themeShade="BF"/>
              </w:rPr>
            </w:pPr>
            <w:r w:rsidRPr="00370280">
              <w:rPr>
                <w:rFonts w:ascii="Arial" w:hAnsi="Arial" w:cs="Arial"/>
                <w:color w:val="538135" w:themeColor="accent6" w:themeShade="BF"/>
              </w:rPr>
              <w:t>Interest</w:t>
            </w:r>
          </w:p>
        </w:tc>
        <w:tc>
          <w:tcPr>
            <w:tcW w:w="4394" w:type="dxa"/>
          </w:tcPr>
          <w:p w14:paraId="5E1A2A27" w14:textId="799D4A80" w:rsidR="00DE5F43" w:rsidRDefault="00F8470D" w:rsidP="003855E0">
            <w:pPr>
              <w:spacing w:line="360" w:lineRule="auto"/>
              <w:jc w:val="both"/>
              <w:rPr>
                <w:rFonts w:ascii="Arial" w:hAnsi="Arial" w:cs="Arial"/>
              </w:rPr>
            </w:pPr>
            <w:r w:rsidRPr="00370280">
              <w:rPr>
                <w:rFonts w:ascii="Arial" w:hAnsi="Arial" w:cs="Arial"/>
                <w:color w:val="538135" w:themeColor="accent6" w:themeShade="BF"/>
              </w:rPr>
              <w:t>Management Strategy</w:t>
            </w:r>
          </w:p>
        </w:tc>
      </w:tr>
      <w:tr w:rsidR="00DE5F43" w14:paraId="2F2C49D9" w14:textId="77777777" w:rsidTr="00F8470D">
        <w:tc>
          <w:tcPr>
            <w:tcW w:w="2972" w:type="dxa"/>
          </w:tcPr>
          <w:p w14:paraId="42045490" w14:textId="043CEC7E" w:rsidR="00DE5F43" w:rsidRDefault="00DE5F43" w:rsidP="003855E0">
            <w:pPr>
              <w:spacing w:line="360" w:lineRule="auto"/>
              <w:jc w:val="both"/>
              <w:rPr>
                <w:rFonts w:ascii="Arial" w:hAnsi="Arial" w:cs="Arial"/>
              </w:rPr>
            </w:pPr>
            <w:r>
              <w:rPr>
                <w:rFonts w:ascii="Arial" w:hAnsi="Arial" w:cs="Arial"/>
              </w:rPr>
              <w:t>Customers</w:t>
            </w:r>
          </w:p>
        </w:tc>
        <w:tc>
          <w:tcPr>
            <w:tcW w:w="1134" w:type="dxa"/>
          </w:tcPr>
          <w:p w14:paraId="3B2CDEBF" w14:textId="7B05897A" w:rsidR="00DE5F43" w:rsidRDefault="00DE5F43" w:rsidP="003855E0">
            <w:pPr>
              <w:spacing w:line="360" w:lineRule="auto"/>
              <w:jc w:val="both"/>
              <w:rPr>
                <w:rFonts w:ascii="Arial" w:hAnsi="Arial" w:cs="Arial"/>
              </w:rPr>
            </w:pPr>
            <w:r>
              <w:rPr>
                <w:rFonts w:ascii="Arial" w:hAnsi="Arial" w:cs="Arial"/>
              </w:rPr>
              <w:t>High</w:t>
            </w:r>
          </w:p>
        </w:tc>
        <w:tc>
          <w:tcPr>
            <w:tcW w:w="1134" w:type="dxa"/>
          </w:tcPr>
          <w:p w14:paraId="436A1556" w14:textId="14CE9943" w:rsidR="00DE5F43" w:rsidRDefault="00DE5F43" w:rsidP="003855E0">
            <w:pPr>
              <w:spacing w:line="360" w:lineRule="auto"/>
              <w:jc w:val="both"/>
              <w:rPr>
                <w:rFonts w:ascii="Arial" w:hAnsi="Arial" w:cs="Arial"/>
              </w:rPr>
            </w:pPr>
            <w:r>
              <w:rPr>
                <w:rFonts w:ascii="Arial" w:hAnsi="Arial" w:cs="Arial"/>
              </w:rPr>
              <w:t>High</w:t>
            </w:r>
          </w:p>
        </w:tc>
        <w:tc>
          <w:tcPr>
            <w:tcW w:w="4394" w:type="dxa"/>
          </w:tcPr>
          <w:p w14:paraId="57C156D0" w14:textId="3A252361" w:rsidR="00DE5F43" w:rsidRDefault="00F8470D" w:rsidP="003855E0">
            <w:pPr>
              <w:spacing w:line="360" w:lineRule="auto"/>
              <w:jc w:val="both"/>
              <w:rPr>
                <w:rFonts w:ascii="Arial" w:hAnsi="Arial" w:cs="Arial"/>
              </w:rPr>
            </w:pPr>
            <w:r>
              <w:rPr>
                <w:rFonts w:ascii="Arial" w:hAnsi="Arial" w:cs="Arial"/>
              </w:rPr>
              <w:t>Engage closely: continuously meet expectations.</w:t>
            </w:r>
          </w:p>
        </w:tc>
      </w:tr>
      <w:tr w:rsidR="00DE5F43" w14:paraId="54327950" w14:textId="77777777" w:rsidTr="00F8470D">
        <w:tc>
          <w:tcPr>
            <w:tcW w:w="2972" w:type="dxa"/>
          </w:tcPr>
          <w:p w14:paraId="5119CCF8" w14:textId="282980D8" w:rsidR="00DE5F43" w:rsidRDefault="00DE5F43" w:rsidP="003855E0">
            <w:pPr>
              <w:spacing w:line="360" w:lineRule="auto"/>
              <w:jc w:val="both"/>
              <w:rPr>
                <w:rFonts w:ascii="Arial" w:hAnsi="Arial" w:cs="Arial"/>
              </w:rPr>
            </w:pPr>
            <w:r>
              <w:rPr>
                <w:rFonts w:ascii="Arial" w:hAnsi="Arial" w:cs="Arial"/>
              </w:rPr>
              <w:t>Employees</w:t>
            </w:r>
          </w:p>
        </w:tc>
        <w:tc>
          <w:tcPr>
            <w:tcW w:w="1134" w:type="dxa"/>
          </w:tcPr>
          <w:p w14:paraId="65D91657" w14:textId="748CE536" w:rsidR="00DE5F43" w:rsidRDefault="00DE5F43" w:rsidP="003855E0">
            <w:pPr>
              <w:spacing w:line="360" w:lineRule="auto"/>
              <w:jc w:val="both"/>
              <w:rPr>
                <w:rFonts w:ascii="Arial" w:hAnsi="Arial" w:cs="Arial"/>
              </w:rPr>
            </w:pPr>
            <w:r>
              <w:rPr>
                <w:rFonts w:ascii="Arial" w:hAnsi="Arial" w:cs="Arial"/>
              </w:rPr>
              <w:t>Medium</w:t>
            </w:r>
          </w:p>
        </w:tc>
        <w:tc>
          <w:tcPr>
            <w:tcW w:w="1134" w:type="dxa"/>
          </w:tcPr>
          <w:p w14:paraId="543AF60D" w14:textId="661CD29D" w:rsidR="00DE5F43" w:rsidRDefault="00DE5F43" w:rsidP="003855E0">
            <w:pPr>
              <w:spacing w:line="360" w:lineRule="auto"/>
              <w:jc w:val="both"/>
              <w:rPr>
                <w:rFonts w:ascii="Arial" w:hAnsi="Arial" w:cs="Arial"/>
              </w:rPr>
            </w:pPr>
            <w:r>
              <w:rPr>
                <w:rFonts w:ascii="Arial" w:hAnsi="Arial" w:cs="Arial"/>
              </w:rPr>
              <w:t>Medium</w:t>
            </w:r>
          </w:p>
        </w:tc>
        <w:tc>
          <w:tcPr>
            <w:tcW w:w="4394" w:type="dxa"/>
          </w:tcPr>
          <w:p w14:paraId="74FE2085" w14:textId="65B560BE" w:rsidR="00DE5F43" w:rsidRDefault="00F8470D" w:rsidP="003855E0">
            <w:pPr>
              <w:spacing w:line="360" w:lineRule="auto"/>
              <w:jc w:val="both"/>
              <w:rPr>
                <w:rFonts w:ascii="Arial" w:hAnsi="Arial" w:cs="Arial"/>
              </w:rPr>
            </w:pPr>
            <w:r>
              <w:rPr>
                <w:rFonts w:ascii="Arial" w:hAnsi="Arial" w:cs="Arial"/>
              </w:rPr>
              <w:t>Keep satisfied: ensure a positive value-aligned workplace.</w:t>
            </w:r>
          </w:p>
        </w:tc>
      </w:tr>
      <w:tr w:rsidR="00DE5F43" w14:paraId="0B2D9B9D" w14:textId="77777777" w:rsidTr="00F8470D">
        <w:tc>
          <w:tcPr>
            <w:tcW w:w="2972" w:type="dxa"/>
          </w:tcPr>
          <w:p w14:paraId="2F64DA97" w14:textId="688BB3D5" w:rsidR="00DE5F43" w:rsidRDefault="00DE5F43" w:rsidP="003855E0">
            <w:pPr>
              <w:spacing w:line="360" w:lineRule="auto"/>
              <w:jc w:val="both"/>
              <w:rPr>
                <w:rFonts w:ascii="Arial" w:hAnsi="Arial" w:cs="Arial"/>
              </w:rPr>
            </w:pPr>
            <w:r>
              <w:rPr>
                <w:rFonts w:ascii="Arial" w:hAnsi="Arial" w:cs="Arial"/>
              </w:rPr>
              <w:t>Suppliers</w:t>
            </w:r>
          </w:p>
        </w:tc>
        <w:tc>
          <w:tcPr>
            <w:tcW w:w="1134" w:type="dxa"/>
          </w:tcPr>
          <w:p w14:paraId="4B22953E" w14:textId="3FA13A12" w:rsidR="00DE5F43" w:rsidRDefault="00DE5F43" w:rsidP="003855E0">
            <w:pPr>
              <w:spacing w:line="360" w:lineRule="auto"/>
              <w:jc w:val="both"/>
              <w:rPr>
                <w:rFonts w:ascii="Arial" w:hAnsi="Arial" w:cs="Arial"/>
              </w:rPr>
            </w:pPr>
            <w:r>
              <w:rPr>
                <w:rFonts w:ascii="Arial" w:hAnsi="Arial" w:cs="Arial"/>
              </w:rPr>
              <w:t>Medium</w:t>
            </w:r>
          </w:p>
        </w:tc>
        <w:tc>
          <w:tcPr>
            <w:tcW w:w="1134" w:type="dxa"/>
          </w:tcPr>
          <w:p w14:paraId="08C442D2" w14:textId="70F3B0CF" w:rsidR="00DE5F43" w:rsidRDefault="00DE5F43" w:rsidP="003855E0">
            <w:pPr>
              <w:spacing w:line="360" w:lineRule="auto"/>
              <w:jc w:val="both"/>
              <w:rPr>
                <w:rFonts w:ascii="Arial" w:hAnsi="Arial" w:cs="Arial"/>
              </w:rPr>
            </w:pPr>
            <w:r>
              <w:rPr>
                <w:rFonts w:ascii="Arial" w:hAnsi="Arial" w:cs="Arial"/>
              </w:rPr>
              <w:t>Medium</w:t>
            </w:r>
          </w:p>
        </w:tc>
        <w:tc>
          <w:tcPr>
            <w:tcW w:w="4394" w:type="dxa"/>
          </w:tcPr>
          <w:p w14:paraId="6C4416DA" w14:textId="2F18FE22" w:rsidR="00DE5F43" w:rsidRDefault="00F8470D" w:rsidP="003855E0">
            <w:pPr>
              <w:spacing w:line="360" w:lineRule="auto"/>
              <w:jc w:val="both"/>
              <w:rPr>
                <w:rFonts w:ascii="Arial" w:hAnsi="Arial" w:cs="Arial"/>
              </w:rPr>
            </w:pPr>
            <w:r w:rsidRPr="00F8470D">
              <w:rPr>
                <w:rFonts w:ascii="Arial" w:hAnsi="Arial" w:cs="Arial"/>
              </w:rPr>
              <w:t>Build partnerships</w:t>
            </w:r>
            <w:r>
              <w:rPr>
                <w:rFonts w:ascii="Arial" w:hAnsi="Arial" w:cs="Arial"/>
              </w:rPr>
              <w:t>:</w:t>
            </w:r>
            <w:r w:rsidRPr="00F8470D">
              <w:rPr>
                <w:rFonts w:ascii="Arial" w:hAnsi="Arial" w:cs="Arial"/>
              </w:rPr>
              <w:t xml:space="preserve"> ensure fair and sustainable practices</w:t>
            </w:r>
            <w:r>
              <w:rPr>
                <w:rFonts w:ascii="Arial" w:hAnsi="Arial" w:cs="Arial"/>
              </w:rPr>
              <w:t>.</w:t>
            </w:r>
          </w:p>
        </w:tc>
      </w:tr>
      <w:tr w:rsidR="00DE5F43" w14:paraId="220D24AC" w14:textId="77777777" w:rsidTr="00F8470D">
        <w:tc>
          <w:tcPr>
            <w:tcW w:w="2972" w:type="dxa"/>
          </w:tcPr>
          <w:p w14:paraId="6FB79798" w14:textId="18CB83B0" w:rsidR="00DE5F43" w:rsidRDefault="00DE5F43" w:rsidP="003855E0">
            <w:pPr>
              <w:spacing w:line="360" w:lineRule="auto"/>
              <w:jc w:val="both"/>
              <w:rPr>
                <w:rFonts w:ascii="Arial" w:hAnsi="Arial" w:cs="Arial"/>
              </w:rPr>
            </w:pPr>
            <w:r>
              <w:rPr>
                <w:rFonts w:ascii="Arial" w:hAnsi="Arial" w:cs="Arial"/>
              </w:rPr>
              <w:t>Retailers and Distributors</w:t>
            </w:r>
          </w:p>
        </w:tc>
        <w:tc>
          <w:tcPr>
            <w:tcW w:w="1134" w:type="dxa"/>
          </w:tcPr>
          <w:p w14:paraId="713F9FF2" w14:textId="5451FA4F" w:rsidR="00DE5F43" w:rsidRDefault="00DE5F43" w:rsidP="003855E0">
            <w:pPr>
              <w:spacing w:line="360" w:lineRule="auto"/>
              <w:jc w:val="both"/>
              <w:rPr>
                <w:rFonts w:ascii="Arial" w:hAnsi="Arial" w:cs="Arial"/>
              </w:rPr>
            </w:pPr>
            <w:r>
              <w:rPr>
                <w:rFonts w:ascii="Arial" w:hAnsi="Arial" w:cs="Arial"/>
              </w:rPr>
              <w:t>High</w:t>
            </w:r>
          </w:p>
        </w:tc>
        <w:tc>
          <w:tcPr>
            <w:tcW w:w="1134" w:type="dxa"/>
          </w:tcPr>
          <w:p w14:paraId="30E7FF53" w14:textId="3BC54C7D" w:rsidR="00DE5F43" w:rsidRDefault="00DE5F43" w:rsidP="003855E0">
            <w:pPr>
              <w:spacing w:line="360" w:lineRule="auto"/>
              <w:jc w:val="both"/>
              <w:rPr>
                <w:rFonts w:ascii="Arial" w:hAnsi="Arial" w:cs="Arial"/>
              </w:rPr>
            </w:pPr>
            <w:r>
              <w:rPr>
                <w:rFonts w:ascii="Arial" w:hAnsi="Arial" w:cs="Arial"/>
              </w:rPr>
              <w:t>Medium</w:t>
            </w:r>
          </w:p>
        </w:tc>
        <w:tc>
          <w:tcPr>
            <w:tcW w:w="4394" w:type="dxa"/>
          </w:tcPr>
          <w:p w14:paraId="4F3AE918" w14:textId="052DD6DF" w:rsidR="00DE5F43" w:rsidRDefault="00F8470D" w:rsidP="003855E0">
            <w:pPr>
              <w:spacing w:line="360" w:lineRule="auto"/>
              <w:jc w:val="both"/>
              <w:rPr>
                <w:rFonts w:ascii="Arial" w:hAnsi="Arial" w:cs="Arial"/>
              </w:rPr>
            </w:pPr>
            <w:r w:rsidRPr="00F8470D">
              <w:rPr>
                <w:rFonts w:ascii="Arial" w:hAnsi="Arial" w:cs="Arial"/>
              </w:rPr>
              <w:t>Manage closely</w:t>
            </w:r>
            <w:r>
              <w:rPr>
                <w:rFonts w:ascii="Arial" w:hAnsi="Arial" w:cs="Arial"/>
              </w:rPr>
              <w:t>:</w:t>
            </w:r>
            <w:r w:rsidRPr="00F8470D">
              <w:rPr>
                <w:rFonts w:ascii="Arial" w:hAnsi="Arial" w:cs="Arial"/>
              </w:rPr>
              <w:t xml:space="preserve"> ensure product availability and support</w:t>
            </w:r>
            <w:r>
              <w:rPr>
                <w:rFonts w:ascii="Arial" w:hAnsi="Arial" w:cs="Arial"/>
              </w:rPr>
              <w:t>.</w:t>
            </w:r>
          </w:p>
        </w:tc>
      </w:tr>
      <w:tr w:rsidR="00DE5F43" w14:paraId="50E464E3" w14:textId="77777777" w:rsidTr="00F8470D">
        <w:tc>
          <w:tcPr>
            <w:tcW w:w="2972" w:type="dxa"/>
          </w:tcPr>
          <w:p w14:paraId="6D44A3FD" w14:textId="19B5FDD7" w:rsidR="00DE5F43" w:rsidRDefault="00DE5F43" w:rsidP="003855E0">
            <w:pPr>
              <w:spacing w:line="360" w:lineRule="auto"/>
              <w:jc w:val="both"/>
              <w:rPr>
                <w:rFonts w:ascii="Arial" w:hAnsi="Arial" w:cs="Arial"/>
              </w:rPr>
            </w:pPr>
            <w:r>
              <w:rPr>
                <w:rFonts w:ascii="Arial" w:hAnsi="Arial" w:cs="Arial"/>
              </w:rPr>
              <w:t>Shareholders (Coca -Cola)</w:t>
            </w:r>
          </w:p>
        </w:tc>
        <w:tc>
          <w:tcPr>
            <w:tcW w:w="1134" w:type="dxa"/>
          </w:tcPr>
          <w:p w14:paraId="7D540204" w14:textId="0666F6DA" w:rsidR="00DE5F43" w:rsidRDefault="00DE5F43" w:rsidP="003855E0">
            <w:pPr>
              <w:spacing w:line="360" w:lineRule="auto"/>
              <w:jc w:val="both"/>
              <w:rPr>
                <w:rFonts w:ascii="Arial" w:hAnsi="Arial" w:cs="Arial"/>
              </w:rPr>
            </w:pPr>
            <w:r>
              <w:rPr>
                <w:rFonts w:ascii="Arial" w:hAnsi="Arial" w:cs="Arial"/>
              </w:rPr>
              <w:t>High</w:t>
            </w:r>
          </w:p>
        </w:tc>
        <w:tc>
          <w:tcPr>
            <w:tcW w:w="1134" w:type="dxa"/>
          </w:tcPr>
          <w:p w14:paraId="1ADE3CE1" w14:textId="1AAE7FA0" w:rsidR="00DE5F43" w:rsidRDefault="00DE5F43" w:rsidP="003855E0">
            <w:pPr>
              <w:spacing w:line="360" w:lineRule="auto"/>
              <w:jc w:val="both"/>
              <w:rPr>
                <w:rFonts w:ascii="Arial" w:hAnsi="Arial" w:cs="Arial"/>
              </w:rPr>
            </w:pPr>
            <w:r>
              <w:rPr>
                <w:rFonts w:ascii="Arial" w:hAnsi="Arial" w:cs="Arial"/>
              </w:rPr>
              <w:t>High</w:t>
            </w:r>
          </w:p>
        </w:tc>
        <w:tc>
          <w:tcPr>
            <w:tcW w:w="4394" w:type="dxa"/>
          </w:tcPr>
          <w:p w14:paraId="5AD24D17" w14:textId="30A16949" w:rsidR="00DE5F43" w:rsidRDefault="00F8470D" w:rsidP="00F8470D">
            <w:pPr>
              <w:tabs>
                <w:tab w:val="left" w:pos="1170"/>
              </w:tabs>
              <w:spacing w:line="360" w:lineRule="auto"/>
              <w:jc w:val="both"/>
              <w:rPr>
                <w:rFonts w:ascii="Arial" w:hAnsi="Arial" w:cs="Arial"/>
              </w:rPr>
            </w:pPr>
            <w:r w:rsidRPr="00F8470D">
              <w:rPr>
                <w:rFonts w:ascii="Arial" w:hAnsi="Arial" w:cs="Arial"/>
              </w:rPr>
              <w:t>Engage closely</w:t>
            </w:r>
            <w:r>
              <w:rPr>
                <w:rFonts w:ascii="Arial" w:hAnsi="Arial" w:cs="Arial"/>
              </w:rPr>
              <w:t>:</w:t>
            </w:r>
            <w:r w:rsidRPr="00F8470D">
              <w:rPr>
                <w:rFonts w:ascii="Arial" w:hAnsi="Arial" w:cs="Arial"/>
              </w:rPr>
              <w:t xml:space="preserve"> balance profitability with ethics</w:t>
            </w:r>
            <w:r>
              <w:rPr>
                <w:rFonts w:ascii="Arial" w:hAnsi="Arial" w:cs="Arial"/>
              </w:rPr>
              <w:t>.</w:t>
            </w:r>
          </w:p>
        </w:tc>
      </w:tr>
      <w:tr w:rsidR="00DE5F43" w14:paraId="3E7549B8" w14:textId="77777777" w:rsidTr="00F8470D">
        <w:tc>
          <w:tcPr>
            <w:tcW w:w="2972" w:type="dxa"/>
          </w:tcPr>
          <w:p w14:paraId="64FF4A21" w14:textId="133A5E14" w:rsidR="00DE5F43" w:rsidRDefault="00DE5F43" w:rsidP="003855E0">
            <w:pPr>
              <w:spacing w:line="360" w:lineRule="auto"/>
              <w:jc w:val="both"/>
              <w:rPr>
                <w:rFonts w:ascii="Arial" w:hAnsi="Arial" w:cs="Arial"/>
              </w:rPr>
            </w:pPr>
            <w:r>
              <w:rPr>
                <w:rFonts w:ascii="Arial" w:hAnsi="Arial" w:cs="Arial"/>
              </w:rPr>
              <w:t>Regulatory Bodies</w:t>
            </w:r>
          </w:p>
        </w:tc>
        <w:tc>
          <w:tcPr>
            <w:tcW w:w="1134" w:type="dxa"/>
          </w:tcPr>
          <w:p w14:paraId="30CBC2E2" w14:textId="665BF398" w:rsidR="00DE5F43" w:rsidRDefault="00DE5F43" w:rsidP="003855E0">
            <w:pPr>
              <w:spacing w:line="360" w:lineRule="auto"/>
              <w:jc w:val="both"/>
              <w:rPr>
                <w:rFonts w:ascii="Arial" w:hAnsi="Arial" w:cs="Arial"/>
              </w:rPr>
            </w:pPr>
            <w:r>
              <w:rPr>
                <w:rFonts w:ascii="Arial" w:hAnsi="Arial" w:cs="Arial"/>
              </w:rPr>
              <w:t>Medium</w:t>
            </w:r>
          </w:p>
        </w:tc>
        <w:tc>
          <w:tcPr>
            <w:tcW w:w="1134" w:type="dxa"/>
          </w:tcPr>
          <w:p w14:paraId="14002B5A" w14:textId="1CDF80B6" w:rsidR="00DE5F43" w:rsidRDefault="00F8470D" w:rsidP="003855E0">
            <w:pPr>
              <w:spacing w:line="360" w:lineRule="auto"/>
              <w:jc w:val="both"/>
              <w:rPr>
                <w:rFonts w:ascii="Arial" w:hAnsi="Arial" w:cs="Arial"/>
              </w:rPr>
            </w:pPr>
            <w:r>
              <w:rPr>
                <w:rFonts w:ascii="Arial" w:hAnsi="Arial" w:cs="Arial"/>
              </w:rPr>
              <w:t>Low</w:t>
            </w:r>
          </w:p>
        </w:tc>
        <w:tc>
          <w:tcPr>
            <w:tcW w:w="4394" w:type="dxa"/>
          </w:tcPr>
          <w:p w14:paraId="658BC79A" w14:textId="0FAD2688" w:rsidR="00DE5F43" w:rsidRDefault="00F8470D" w:rsidP="003855E0">
            <w:pPr>
              <w:spacing w:line="360" w:lineRule="auto"/>
              <w:jc w:val="both"/>
              <w:rPr>
                <w:rFonts w:ascii="Arial" w:hAnsi="Arial" w:cs="Arial"/>
              </w:rPr>
            </w:pPr>
            <w:r w:rsidRPr="00F8470D">
              <w:rPr>
                <w:rFonts w:ascii="Arial" w:hAnsi="Arial" w:cs="Arial"/>
              </w:rPr>
              <w:t>Monitor</w:t>
            </w:r>
            <w:r>
              <w:rPr>
                <w:rFonts w:ascii="Arial" w:hAnsi="Arial" w:cs="Arial"/>
              </w:rPr>
              <w:t>: ensure</w:t>
            </w:r>
            <w:r w:rsidRPr="00F8470D">
              <w:rPr>
                <w:rFonts w:ascii="Arial" w:hAnsi="Arial" w:cs="Arial"/>
              </w:rPr>
              <w:t xml:space="preserve"> strict compliance</w:t>
            </w:r>
            <w:r>
              <w:rPr>
                <w:rFonts w:ascii="Arial" w:hAnsi="Arial" w:cs="Arial"/>
              </w:rPr>
              <w:t>.</w:t>
            </w:r>
          </w:p>
        </w:tc>
      </w:tr>
      <w:tr w:rsidR="00DE5F43" w14:paraId="517A33F1" w14:textId="77777777" w:rsidTr="00F8470D">
        <w:tc>
          <w:tcPr>
            <w:tcW w:w="2972" w:type="dxa"/>
          </w:tcPr>
          <w:p w14:paraId="3499EB77" w14:textId="3FF1C1B1" w:rsidR="00DE5F43" w:rsidRDefault="00DE5F43" w:rsidP="003855E0">
            <w:pPr>
              <w:spacing w:line="360" w:lineRule="auto"/>
              <w:jc w:val="both"/>
              <w:rPr>
                <w:rFonts w:ascii="Arial" w:hAnsi="Arial" w:cs="Arial"/>
              </w:rPr>
            </w:pPr>
            <w:r>
              <w:rPr>
                <w:rFonts w:ascii="Arial" w:hAnsi="Arial" w:cs="Arial"/>
              </w:rPr>
              <w:t>NGOs and Environmental Groups</w:t>
            </w:r>
          </w:p>
        </w:tc>
        <w:tc>
          <w:tcPr>
            <w:tcW w:w="1134" w:type="dxa"/>
          </w:tcPr>
          <w:p w14:paraId="0FEB02FC" w14:textId="4E7E7AA5" w:rsidR="00DE5F43" w:rsidRDefault="00DE5F43" w:rsidP="003855E0">
            <w:pPr>
              <w:spacing w:line="360" w:lineRule="auto"/>
              <w:jc w:val="both"/>
              <w:rPr>
                <w:rFonts w:ascii="Arial" w:hAnsi="Arial" w:cs="Arial"/>
              </w:rPr>
            </w:pPr>
            <w:r>
              <w:rPr>
                <w:rFonts w:ascii="Arial" w:hAnsi="Arial" w:cs="Arial"/>
              </w:rPr>
              <w:t>Medium</w:t>
            </w:r>
          </w:p>
        </w:tc>
        <w:tc>
          <w:tcPr>
            <w:tcW w:w="1134" w:type="dxa"/>
          </w:tcPr>
          <w:p w14:paraId="45DE2D5A" w14:textId="59C49F80" w:rsidR="00DE5F43" w:rsidRDefault="00F8470D" w:rsidP="003855E0">
            <w:pPr>
              <w:spacing w:line="360" w:lineRule="auto"/>
              <w:jc w:val="both"/>
              <w:rPr>
                <w:rFonts w:ascii="Arial" w:hAnsi="Arial" w:cs="Arial"/>
              </w:rPr>
            </w:pPr>
            <w:r>
              <w:rPr>
                <w:rFonts w:ascii="Arial" w:hAnsi="Arial" w:cs="Arial"/>
              </w:rPr>
              <w:t>High</w:t>
            </w:r>
          </w:p>
        </w:tc>
        <w:tc>
          <w:tcPr>
            <w:tcW w:w="4394" w:type="dxa"/>
          </w:tcPr>
          <w:p w14:paraId="777EAB2F" w14:textId="67C0993D" w:rsidR="00DE5F43" w:rsidRDefault="00F8470D" w:rsidP="003855E0">
            <w:pPr>
              <w:spacing w:line="360" w:lineRule="auto"/>
              <w:jc w:val="both"/>
              <w:rPr>
                <w:rFonts w:ascii="Arial" w:hAnsi="Arial" w:cs="Arial"/>
              </w:rPr>
            </w:pPr>
            <w:r w:rsidRPr="00F8470D">
              <w:rPr>
                <w:rFonts w:ascii="Arial" w:hAnsi="Arial" w:cs="Arial"/>
              </w:rPr>
              <w:t>Engage</w:t>
            </w:r>
            <w:r>
              <w:rPr>
                <w:rFonts w:ascii="Arial" w:hAnsi="Arial" w:cs="Arial"/>
              </w:rPr>
              <w:t>:</w:t>
            </w:r>
            <w:r w:rsidRPr="00F8470D">
              <w:rPr>
                <w:rFonts w:ascii="Arial" w:hAnsi="Arial" w:cs="Arial"/>
              </w:rPr>
              <w:t xml:space="preserve"> collaborate on sustainability initiative</w:t>
            </w:r>
            <w:r>
              <w:rPr>
                <w:rFonts w:ascii="Arial" w:hAnsi="Arial" w:cs="Arial"/>
              </w:rPr>
              <w:t>.</w:t>
            </w:r>
          </w:p>
        </w:tc>
      </w:tr>
      <w:tr w:rsidR="00DE5F43" w14:paraId="414DD389" w14:textId="77777777" w:rsidTr="00F8470D">
        <w:trPr>
          <w:trHeight w:val="654"/>
        </w:trPr>
        <w:tc>
          <w:tcPr>
            <w:tcW w:w="2972" w:type="dxa"/>
          </w:tcPr>
          <w:p w14:paraId="582786C8" w14:textId="50053C6A" w:rsidR="00DE5F43" w:rsidRDefault="00DE5F43" w:rsidP="003855E0">
            <w:pPr>
              <w:spacing w:line="360" w:lineRule="auto"/>
              <w:jc w:val="both"/>
              <w:rPr>
                <w:rFonts w:ascii="Arial" w:hAnsi="Arial" w:cs="Arial"/>
              </w:rPr>
            </w:pPr>
            <w:r>
              <w:rPr>
                <w:rFonts w:ascii="Arial" w:hAnsi="Arial" w:cs="Arial"/>
              </w:rPr>
              <w:t>Local Communities</w:t>
            </w:r>
          </w:p>
        </w:tc>
        <w:tc>
          <w:tcPr>
            <w:tcW w:w="1134" w:type="dxa"/>
          </w:tcPr>
          <w:p w14:paraId="7F6A8583" w14:textId="540E4A97" w:rsidR="00DE5F43" w:rsidRDefault="00F8470D" w:rsidP="003855E0">
            <w:pPr>
              <w:spacing w:line="360" w:lineRule="auto"/>
              <w:jc w:val="both"/>
              <w:rPr>
                <w:rFonts w:ascii="Arial" w:hAnsi="Arial" w:cs="Arial"/>
              </w:rPr>
            </w:pPr>
            <w:r>
              <w:rPr>
                <w:rFonts w:ascii="Arial" w:hAnsi="Arial" w:cs="Arial"/>
              </w:rPr>
              <w:t>Medium</w:t>
            </w:r>
          </w:p>
        </w:tc>
        <w:tc>
          <w:tcPr>
            <w:tcW w:w="1134" w:type="dxa"/>
          </w:tcPr>
          <w:p w14:paraId="3490F125" w14:textId="2F3595D7" w:rsidR="00DE5F43" w:rsidRDefault="00F8470D" w:rsidP="003855E0">
            <w:pPr>
              <w:spacing w:line="360" w:lineRule="auto"/>
              <w:jc w:val="both"/>
              <w:rPr>
                <w:rFonts w:ascii="Arial" w:hAnsi="Arial" w:cs="Arial"/>
              </w:rPr>
            </w:pPr>
            <w:r>
              <w:rPr>
                <w:rFonts w:ascii="Arial" w:hAnsi="Arial" w:cs="Arial"/>
              </w:rPr>
              <w:t>Medium</w:t>
            </w:r>
          </w:p>
        </w:tc>
        <w:tc>
          <w:tcPr>
            <w:tcW w:w="4394" w:type="dxa"/>
          </w:tcPr>
          <w:p w14:paraId="377FEA57" w14:textId="282AD94E" w:rsidR="00DE5F43" w:rsidRDefault="00F8470D" w:rsidP="003855E0">
            <w:pPr>
              <w:spacing w:line="360" w:lineRule="auto"/>
              <w:jc w:val="both"/>
              <w:rPr>
                <w:rFonts w:ascii="Arial" w:hAnsi="Arial" w:cs="Arial"/>
              </w:rPr>
            </w:pPr>
            <w:r w:rsidRPr="00F8470D">
              <w:rPr>
                <w:rFonts w:ascii="Arial" w:hAnsi="Arial" w:cs="Arial"/>
              </w:rPr>
              <w:t>Consul</w:t>
            </w:r>
            <w:r>
              <w:rPr>
                <w:rFonts w:ascii="Arial" w:hAnsi="Arial" w:cs="Arial"/>
              </w:rPr>
              <w:t>t regularly: support community development</w:t>
            </w:r>
            <w:r w:rsidR="00874274">
              <w:rPr>
                <w:rFonts w:ascii="Arial" w:hAnsi="Arial" w:cs="Arial"/>
              </w:rPr>
              <w:t>.</w:t>
            </w:r>
          </w:p>
        </w:tc>
      </w:tr>
      <w:tr w:rsidR="00DE5F43" w14:paraId="54FCA0E7" w14:textId="77777777" w:rsidTr="00F8470D">
        <w:tc>
          <w:tcPr>
            <w:tcW w:w="2972" w:type="dxa"/>
          </w:tcPr>
          <w:p w14:paraId="61B916FE" w14:textId="37C85D5B" w:rsidR="00DE5F43" w:rsidRDefault="00DE5F43" w:rsidP="003855E0">
            <w:pPr>
              <w:spacing w:line="360" w:lineRule="auto"/>
              <w:jc w:val="both"/>
              <w:rPr>
                <w:rFonts w:ascii="Arial" w:hAnsi="Arial" w:cs="Arial"/>
              </w:rPr>
            </w:pPr>
            <w:r>
              <w:rPr>
                <w:rFonts w:ascii="Arial" w:hAnsi="Arial" w:cs="Arial"/>
              </w:rPr>
              <w:t xml:space="preserve">The Innocent </w:t>
            </w:r>
            <w:r w:rsidR="00F8470D">
              <w:rPr>
                <w:rFonts w:ascii="Arial" w:hAnsi="Arial" w:cs="Arial"/>
              </w:rPr>
              <w:t>Foundation</w:t>
            </w:r>
          </w:p>
        </w:tc>
        <w:tc>
          <w:tcPr>
            <w:tcW w:w="1134" w:type="dxa"/>
          </w:tcPr>
          <w:p w14:paraId="14B40184" w14:textId="46CACE8E" w:rsidR="00DE5F43" w:rsidRDefault="00F8470D" w:rsidP="003855E0">
            <w:pPr>
              <w:spacing w:line="360" w:lineRule="auto"/>
              <w:jc w:val="both"/>
              <w:rPr>
                <w:rFonts w:ascii="Arial" w:hAnsi="Arial" w:cs="Arial"/>
              </w:rPr>
            </w:pPr>
            <w:r>
              <w:rPr>
                <w:rFonts w:ascii="Arial" w:hAnsi="Arial" w:cs="Arial"/>
              </w:rPr>
              <w:t>Medium</w:t>
            </w:r>
          </w:p>
        </w:tc>
        <w:tc>
          <w:tcPr>
            <w:tcW w:w="1134" w:type="dxa"/>
          </w:tcPr>
          <w:p w14:paraId="58AAE65D" w14:textId="5BA2CC99" w:rsidR="00DE5F43" w:rsidRDefault="00F8470D" w:rsidP="003855E0">
            <w:pPr>
              <w:spacing w:line="360" w:lineRule="auto"/>
              <w:jc w:val="both"/>
              <w:rPr>
                <w:rFonts w:ascii="Arial" w:hAnsi="Arial" w:cs="Arial"/>
              </w:rPr>
            </w:pPr>
            <w:r>
              <w:rPr>
                <w:rFonts w:ascii="Arial" w:hAnsi="Arial" w:cs="Arial"/>
              </w:rPr>
              <w:t>High</w:t>
            </w:r>
          </w:p>
        </w:tc>
        <w:tc>
          <w:tcPr>
            <w:tcW w:w="4394" w:type="dxa"/>
          </w:tcPr>
          <w:p w14:paraId="2F546D94" w14:textId="7E431C9E" w:rsidR="00DE5F43" w:rsidRDefault="00F8470D" w:rsidP="003855E0">
            <w:pPr>
              <w:spacing w:line="360" w:lineRule="auto"/>
              <w:jc w:val="both"/>
              <w:rPr>
                <w:rFonts w:ascii="Arial" w:hAnsi="Arial" w:cs="Arial"/>
              </w:rPr>
            </w:pPr>
            <w:r w:rsidRPr="00F8470D">
              <w:rPr>
                <w:rFonts w:ascii="Arial" w:hAnsi="Arial" w:cs="Arial"/>
              </w:rPr>
              <w:t>Collaborate</w:t>
            </w:r>
            <w:r w:rsidR="00874274">
              <w:rPr>
                <w:rFonts w:ascii="Arial" w:hAnsi="Arial" w:cs="Arial"/>
              </w:rPr>
              <w:t xml:space="preserve">: </w:t>
            </w:r>
            <w:r w:rsidRPr="00F8470D">
              <w:rPr>
                <w:rFonts w:ascii="Arial" w:hAnsi="Arial" w:cs="Arial"/>
              </w:rPr>
              <w:t>align with CSR initiatives</w:t>
            </w:r>
          </w:p>
        </w:tc>
      </w:tr>
    </w:tbl>
    <w:p w14:paraId="083CCE6F" w14:textId="1E6DDFD7" w:rsidR="003855E0" w:rsidRDefault="00075845" w:rsidP="003855E0">
      <w:pPr>
        <w:spacing w:line="360" w:lineRule="auto"/>
        <w:jc w:val="both"/>
        <w:rPr>
          <w:rFonts w:ascii="Arial" w:hAnsi="Arial" w:cs="Arial"/>
        </w:rPr>
      </w:pPr>
      <w:r>
        <w:rPr>
          <w:rFonts w:ascii="Arial" w:hAnsi="Arial" w:cs="Arial"/>
        </w:rPr>
        <w:t xml:space="preserve">      </w:t>
      </w:r>
    </w:p>
    <w:p w14:paraId="0834FC31" w14:textId="43C93D2B" w:rsidR="00075845" w:rsidRDefault="00075845" w:rsidP="003855E0">
      <w:pPr>
        <w:spacing w:line="360" w:lineRule="auto"/>
        <w:jc w:val="both"/>
        <w:rPr>
          <w:rFonts w:ascii="Arial" w:hAnsi="Arial" w:cs="Arial"/>
        </w:rPr>
      </w:pPr>
      <w:r>
        <w:rPr>
          <w:rFonts w:ascii="Arial" w:hAnsi="Arial" w:cs="Arial"/>
        </w:rPr>
        <w:t xml:space="preserve">                                                              Fig </w:t>
      </w:r>
      <w:r w:rsidR="00300832">
        <w:rPr>
          <w:rFonts w:ascii="Arial" w:hAnsi="Arial" w:cs="Arial"/>
        </w:rPr>
        <w:t>4</w:t>
      </w:r>
    </w:p>
    <w:p w14:paraId="2C84E6D9" w14:textId="5A5F6439" w:rsidR="00874274" w:rsidRPr="0081217C" w:rsidRDefault="00874274" w:rsidP="00D40379">
      <w:pPr>
        <w:pStyle w:val="Heading1"/>
        <w:rPr>
          <w:rFonts w:ascii="Arial" w:hAnsi="Arial" w:cs="Arial"/>
          <w:i/>
          <w:iCs/>
          <w:sz w:val="22"/>
          <w:szCs w:val="22"/>
        </w:rPr>
      </w:pPr>
      <w:bookmarkStart w:id="44" w:name="_Toc181606840"/>
      <w:bookmarkStart w:id="45" w:name="_Toc181606864"/>
      <w:bookmarkStart w:id="46" w:name="_Toc181607328"/>
      <w:bookmarkStart w:id="47" w:name="_Toc181729992"/>
      <w:r w:rsidRPr="0081217C">
        <w:rPr>
          <w:rFonts w:ascii="Arial" w:hAnsi="Arial" w:cs="Arial"/>
          <w:i/>
          <w:iCs/>
          <w:sz w:val="36"/>
          <w:szCs w:val="36"/>
        </w:rPr>
        <w:t>S</w:t>
      </w:r>
      <w:r w:rsidRPr="0081217C">
        <w:rPr>
          <w:rFonts w:ascii="Arial" w:hAnsi="Arial" w:cs="Arial"/>
          <w:i/>
          <w:iCs/>
          <w:sz w:val="22"/>
          <w:szCs w:val="22"/>
        </w:rPr>
        <w:t>trategic Growth Options</w:t>
      </w:r>
      <w:bookmarkEnd w:id="44"/>
      <w:bookmarkEnd w:id="45"/>
      <w:bookmarkEnd w:id="46"/>
      <w:bookmarkEnd w:id="47"/>
      <w:r w:rsidRPr="0081217C">
        <w:rPr>
          <w:rFonts w:ascii="Arial" w:hAnsi="Arial" w:cs="Arial"/>
          <w:i/>
          <w:iCs/>
          <w:sz w:val="22"/>
          <w:szCs w:val="22"/>
        </w:rPr>
        <w:t xml:space="preserve"> </w:t>
      </w:r>
    </w:p>
    <w:p w14:paraId="0C367BB3" w14:textId="117619E5" w:rsidR="00794792" w:rsidRDefault="00874274" w:rsidP="00874274">
      <w:pPr>
        <w:spacing w:line="360" w:lineRule="auto"/>
        <w:jc w:val="both"/>
        <w:rPr>
          <w:rFonts w:ascii="Arial" w:hAnsi="Arial" w:cs="Arial"/>
        </w:rPr>
      </w:pPr>
      <w:r w:rsidRPr="00874274">
        <w:rPr>
          <w:rFonts w:ascii="Arial" w:hAnsi="Arial" w:cs="Arial"/>
        </w:rPr>
        <w:t>Innocent Drinks operates in a dynamic and competitive market where consumer preferences are rapidly evolving toward healthier and more sustainable products. To maintain its market leadership and drive future growth, Innocent must explore strategic growth options that align with its brand values and market trends. This section outlines three potential strategic growth options for Innocent Drinks: market expansion, product diversification, and enhancing digital presence.</w:t>
      </w:r>
    </w:p>
    <w:p w14:paraId="3BFF14FB" w14:textId="77777777" w:rsidR="00975B35" w:rsidRDefault="00975B35" w:rsidP="00874274">
      <w:pPr>
        <w:spacing w:line="360" w:lineRule="auto"/>
        <w:jc w:val="both"/>
        <w:rPr>
          <w:rFonts w:ascii="Arial" w:hAnsi="Arial" w:cs="Arial"/>
        </w:rPr>
      </w:pPr>
    </w:p>
    <w:p w14:paraId="522631B7" w14:textId="77777777" w:rsidR="00975B35" w:rsidRDefault="00975B35" w:rsidP="00874274">
      <w:pPr>
        <w:spacing w:line="360" w:lineRule="auto"/>
        <w:jc w:val="both"/>
        <w:rPr>
          <w:rFonts w:ascii="Arial" w:hAnsi="Arial" w:cs="Arial"/>
        </w:rPr>
      </w:pPr>
    </w:p>
    <w:p w14:paraId="6C4CB212" w14:textId="43D4B4BB" w:rsidR="00874274" w:rsidRPr="0081217C" w:rsidRDefault="00874274" w:rsidP="00D40379">
      <w:pPr>
        <w:pStyle w:val="Heading2"/>
        <w:rPr>
          <w:rFonts w:ascii="Arial" w:hAnsi="Arial" w:cs="Arial"/>
          <w:sz w:val="22"/>
          <w:szCs w:val="22"/>
        </w:rPr>
      </w:pPr>
      <w:bookmarkStart w:id="48" w:name="_Toc181607329"/>
      <w:bookmarkStart w:id="49" w:name="_Toc181729724"/>
      <w:bookmarkStart w:id="50" w:name="_Toc181729993"/>
      <w:r w:rsidRPr="0081217C">
        <w:rPr>
          <w:rFonts w:ascii="Arial" w:hAnsi="Arial" w:cs="Arial"/>
          <w:sz w:val="22"/>
          <w:szCs w:val="22"/>
        </w:rPr>
        <w:t xml:space="preserve">1. </w:t>
      </w:r>
      <w:bookmarkStart w:id="51" w:name="_Hlk181196580"/>
      <w:r w:rsidRPr="0081217C">
        <w:rPr>
          <w:rStyle w:val="Heading2Char"/>
          <w:rFonts w:ascii="Arial" w:hAnsi="Arial" w:cs="Arial"/>
          <w:sz w:val="22"/>
          <w:szCs w:val="22"/>
        </w:rPr>
        <w:t>Market Expansion</w:t>
      </w:r>
      <w:bookmarkEnd w:id="48"/>
      <w:bookmarkEnd w:id="49"/>
      <w:bookmarkEnd w:id="50"/>
      <w:bookmarkEnd w:id="51"/>
    </w:p>
    <w:p w14:paraId="3652E028" w14:textId="6D2B4BA3" w:rsidR="00874274" w:rsidRPr="00874274" w:rsidRDefault="00874274" w:rsidP="00874274">
      <w:pPr>
        <w:spacing w:line="360" w:lineRule="auto"/>
        <w:jc w:val="both"/>
        <w:rPr>
          <w:rFonts w:ascii="Arial" w:hAnsi="Arial" w:cs="Arial"/>
        </w:rPr>
      </w:pPr>
      <w:r w:rsidRPr="00874274">
        <w:rPr>
          <w:rFonts w:ascii="Arial" w:hAnsi="Arial" w:cs="Arial"/>
        </w:rPr>
        <w:t>Market expansion involves entering new geographic markets or increasing market share within existing ones. Innocent Drinks has a strong foothold in the UK and parts of Europe, but there is significant potential for growth in emerging markets, such as Asia and South America.</w:t>
      </w:r>
    </w:p>
    <w:p w14:paraId="30D7A451" w14:textId="1DDEAD47" w:rsidR="00874274" w:rsidRPr="00874274" w:rsidRDefault="00874274" w:rsidP="00874274">
      <w:pPr>
        <w:spacing w:line="360" w:lineRule="auto"/>
        <w:jc w:val="both"/>
        <w:rPr>
          <w:rFonts w:ascii="Arial" w:hAnsi="Arial" w:cs="Arial"/>
        </w:rPr>
      </w:pPr>
      <w:r w:rsidRPr="00874274">
        <w:rPr>
          <w:rFonts w:ascii="Arial" w:hAnsi="Arial" w:cs="Arial"/>
        </w:rPr>
        <w:t>Rationale for Expansion: The global health and wellness market is projected to grow significantly, driven by increasing consumer awareness about nutrition and the rising demand for natural products (Statista, 2024). Emerging markets present an opportunity for Innocent to introduce its products to new consumer bases. For instance, countries in Southeast Asia have witnessed a growing trend toward healthier beverage options, with increasing disposable incomes allowing consumers to spend on premium products.</w:t>
      </w:r>
    </w:p>
    <w:p w14:paraId="12368E37" w14:textId="28F9B762" w:rsidR="00874274" w:rsidRPr="00874274" w:rsidRDefault="00874274" w:rsidP="00874274">
      <w:pPr>
        <w:spacing w:line="360" w:lineRule="auto"/>
        <w:jc w:val="both"/>
        <w:rPr>
          <w:rFonts w:ascii="Arial" w:hAnsi="Arial" w:cs="Arial"/>
        </w:rPr>
      </w:pPr>
      <w:r w:rsidRPr="00874274">
        <w:rPr>
          <w:rFonts w:ascii="Arial" w:hAnsi="Arial" w:cs="Arial"/>
        </w:rPr>
        <w:t>Implementation Strategy: To effectively enter these new markets, Innocent should conduct thorough market research to understand local consumer preferences and competitive landscapes. This could involve partnerships with local distributors who have a deep understanding of the market dynamics and consumer behaviour. Additionally, Innocent could tailor its marketing strategies to align with cultural preferences, emphasizing its sustainability practices, which resonate well with global consumers.</w:t>
      </w:r>
    </w:p>
    <w:p w14:paraId="134B03C2" w14:textId="0EFCE799" w:rsidR="00874274" w:rsidRPr="00874274" w:rsidRDefault="00874274" w:rsidP="00874274">
      <w:pPr>
        <w:spacing w:line="360" w:lineRule="auto"/>
        <w:jc w:val="both"/>
        <w:rPr>
          <w:rFonts w:ascii="Arial" w:hAnsi="Arial" w:cs="Arial"/>
        </w:rPr>
      </w:pPr>
      <w:r w:rsidRPr="00874274">
        <w:rPr>
          <w:rFonts w:ascii="Arial" w:hAnsi="Arial" w:cs="Arial"/>
        </w:rPr>
        <w:t>Challenges: Market expansion can pose several challenges, including regulatory hurdles, supply chain complexities, and the need to establish brand recognition in unfamiliar territories. Innocent must navigate these challenges by ensuring compliance with local regulations and adapting its product offerings to suit local tastes (Mintel, 2023).</w:t>
      </w:r>
    </w:p>
    <w:p w14:paraId="3FDBD589" w14:textId="77777777" w:rsidR="00874274" w:rsidRPr="0081217C" w:rsidRDefault="00874274" w:rsidP="00D40379">
      <w:pPr>
        <w:pStyle w:val="Heading2"/>
        <w:rPr>
          <w:rStyle w:val="Heading2Char"/>
          <w:rFonts w:ascii="Arial" w:hAnsi="Arial" w:cs="Arial"/>
          <w:sz w:val="22"/>
          <w:szCs w:val="22"/>
        </w:rPr>
      </w:pPr>
      <w:bookmarkStart w:id="52" w:name="_Toc181607330"/>
      <w:bookmarkStart w:id="53" w:name="_Toc181729725"/>
      <w:bookmarkStart w:id="54" w:name="_Toc181729887"/>
      <w:bookmarkStart w:id="55" w:name="_Toc181729994"/>
      <w:r w:rsidRPr="0081217C">
        <w:rPr>
          <w:rFonts w:ascii="Arial" w:hAnsi="Arial" w:cs="Arial"/>
          <w:sz w:val="22"/>
          <w:szCs w:val="22"/>
        </w:rPr>
        <w:t xml:space="preserve">2. </w:t>
      </w:r>
      <w:r w:rsidRPr="0081217C">
        <w:rPr>
          <w:rStyle w:val="Heading2Char"/>
          <w:rFonts w:ascii="Arial" w:hAnsi="Arial" w:cs="Arial"/>
          <w:sz w:val="22"/>
          <w:szCs w:val="22"/>
        </w:rPr>
        <w:t>Product Diversification</w:t>
      </w:r>
      <w:bookmarkEnd w:id="52"/>
      <w:bookmarkEnd w:id="53"/>
      <w:bookmarkEnd w:id="54"/>
      <w:bookmarkEnd w:id="55"/>
    </w:p>
    <w:p w14:paraId="44663947" w14:textId="174D8684" w:rsidR="00874274" w:rsidRPr="00874274" w:rsidRDefault="00874274" w:rsidP="00874274">
      <w:pPr>
        <w:spacing w:line="360" w:lineRule="auto"/>
        <w:jc w:val="both"/>
        <w:rPr>
          <w:rFonts w:ascii="Arial" w:hAnsi="Arial" w:cs="Arial"/>
        </w:rPr>
      </w:pPr>
      <w:r w:rsidRPr="00874274">
        <w:rPr>
          <w:rFonts w:ascii="Arial" w:hAnsi="Arial" w:cs="Arial"/>
        </w:rPr>
        <w:t>Product diversification involves expanding Innocent's product line to include new beverage options that cater to the evolving preferences of health-conscious consumers. While Innocent is primarily known for its smoothies, there are several avenues for product diversification that could enhance its market position.</w:t>
      </w:r>
    </w:p>
    <w:p w14:paraId="210C541D" w14:textId="142E36B2" w:rsidR="00874274" w:rsidRPr="00874274" w:rsidRDefault="00874274" w:rsidP="00874274">
      <w:pPr>
        <w:spacing w:line="360" w:lineRule="auto"/>
        <w:jc w:val="both"/>
        <w:rPr>
          <w:rFonts w:ascii="Arial" w:hAnsi="Arial" w:cs="Arial"/>
        </w:rPr>
      </w:pPr>
      <w:r w:rsidRPr="00874274">
        <w:rPr>
          <w:rFonts w:ascii="Arial" w:hAnsi="Arial" w:cs="Arial"/>
        </w:rPr>
        <w:t>Rationale for Diversification: The demand for functional beverages is on the rise, with consumers seeking drinks that offer health benefits beyond basic nutrition, such as enhanced hydration, immune support, or digestive health (Gürel &amp; Tat, 2017). Innocent could explore developing functional drinks that align with these trends, leveraging its strong brand reputation for quality and health.</w:t>
      </w:r>
    </w:p>
    <w:p w14:paraId="34282D30" w14:textId="24414223" w:rsidR="00874274" w:rsidRPr="00874274" w:rsidRDefault="00874274" w:rsidP="00874274">
      <w:pPr>
        <w:spacing w:line="360" w:lineRule="auto"/>
        <w:jc w:val="both"/>
        <w:rPr>
          <w:rFonts w:ascii="Arial" w:hAnsi="Arial" w:cs="Arial"/>
        </w:rPr>
      </w:pPr>
      <w:r w:rsidRPr="00874274">
        <w:rPr>
          <w:rFonts w:ascii="Arial" w:hAnsi="Arial" w:cs="Arial"/>
        </w:rPr>
        <w:lastRenderedPageBreak/>
        <w:t>Implementation Strategy: Innocent should invest in research and development to innovate new beverage formulations that incorporate superfoods, vitamins, and other health-enhancing ingredients. Collaborating with nutritionists and health experts can help ensure that new products meet consumer expectations for health benefits. Additionally, conducting consumer testing and gathering feedback before a full launch can minimize the risks associated with new product introductions.</w:t>
      </w:r>
    </w:p>
    <w:p w14:paraId="1B7241B5" w14:textId="4BF4FBBE" w:rsidR="00874274" w:rsidRPr="00874274" w:rsidRDefault="00874274" w:rsidP="00874274">
      <w:pPr>
        <w:spacing w:line="360" w:lineRule="auto"/>
        <w:jc w:val="both"/>
        <w:rPr>
          <w:rFonts w:ascii="Arial" w:hAnsi="Arial" w:cs="Arial"/>
        </w:rPr>
      </w:pPr>
      <w:r w:rsidRPr="00874274">
        <w:rPr>
          <w:rFonts w:ascii="Arial" w:hAnsi="Arial" w:cs="Arial"/>
        </w:rPr>
        <w:t>Challenges: Diversifying the product line can be resource-intensive and may require significant investment in research, development, and marketing. Innocent must also consider the implications of entering a crowded market space, where competition from established brands may be fierce. Therefore, conducting a SWOT analysis for each new product idea can help identify potential risks and opportunities before launch (Statista, 2024).</w:t>
      </w:r>
    </w:p>
    <w:p w14:paraId="094F8510" w14:textId="77777777" w:rsidR="00874274" w:rsidRPr="0081217C" w:rsidRDefault="00874274" w:rsidP="00D40379">
      <w:pPr>
        <w:pStyle w:val="Heading2"/>
        <w:rPr>
          <w:rFonts w:ascii="Arial" w:hAnsi="Arial" w:cs="Arial"/>
          <w:i/>
          <w:iCs/>
          <w:sz w:val="22"/>
          <w:szCs w:val="22"/>
        </w:rPr>
      </w:pPr>
      <w:bookmarkStart w:id="56" w:name="_Toc181607331"/>
      <w:bookmarkStart w:id="57" w:name="_Toc181729726"/>
      <w:bookmarkStart w:id="58" w:name="_Toc181729888"/>
      <w:bookmarkStart w:id="59" w:name="_Toc181729995"/>
      <w:r w:rsidRPr="0081217C">
        <w:rPr>
          <w:rFonts w:ascii="Arial" w:hAnsi="Arial" w:cs="Arial"/>
          <w:sz w:val="22"/>
          <w:szCs w:val="22"/>
        </w:rPr>
        <w:t xml:space="preserve">3. </w:t>
      </w:r>
      <w:bookmarkStart w:id="60" w:name="_Hlk181196671"/>
      <w:r w:rsidRPr="0081217C">
        <w:rPr>
          <w:rStyle w:val="Heading2Char"/>
          <w:rFonts w:ascii="Arial" w:hAnsi="Arial" w:cs="Arial"/>
          <w:sz w:val="22"/>
          <w:szCs w:val="22"/>
        </w:rPr>
        <w:t>Enhancing Digital Presence</w:t>
      </w:r>
      <w:bookmarkEnd w:id="56"/>
      <w:bookmarkEnd w:id="57"/>
      <w:bookmarkEnd w:id="58"/>
      <w:bookmarkEnd w:id="59"/>
      <w:bookmarkEnd w:id="60"/>
    </w:p>
    <w:p w14:paraId="6E8B37CD" w14:textId="106A80E4" w:rsidR="00874274" w:rsidRPr="00874274" w:rsidRDefault="00874274" w:rsidP="00874274">
      <w:pPr>
        <w:spacing w:line="360" w:lineRule="auto"/>
        <w:jc w:val="both"/>
        <w:rPr>
          <w:rFonts w:ascii="Arial" w:hAnsi="Arial" w:cs="Arial"/>
        </w:rPr>
      </w:pPr>
      <w:r w:rsidRPr="00874274">
        <w:rPr>
          <w:rFonts w:ascii="Arial" w:hAnsi="Arial" w:cs="Arial"/>
        </w:rPr>
        <w:t>In today’s digital age, having a strong online presence is crucial for engaging with consumers and driving sales. Innocent Drinks can enhance its digital presence to foster direct connections with customers and improve brand loyalty.</w:t>
      </w:r>
    </w:p>
    <w:p w14:paraId="0FE08C9A" w14:textId="60DF6EA3" w:rsidR="00874274" w:rsidRPr="00874274" w:rsidRDefault="00874274" w:rsidP="00874274">
      <w:pPr>
        <w:spacing w:line="360" w:lineRule="auto"/>
        <w:jc w:val="both"/>
        <w:rPr>
          <w:rFonts w:ascii="Arial" w:hAnsi="Arial" w:cs="Arial"/>
        </w:rPr>
      </w:pPr>
      <w:r w:rsidRPr="00874274">
        <w:rPr>
          <w:rFonts w:ascii="Arial" w:hAnsi="Arial" w:cs="Arial"/>
        </w:rPr>
        <w:t>Rationale for Digital Enhancement: The COVID-19 pandemic accelerated the shift to online shopping, and consumers now expect brands to have robust digital engagement strategies. By enhancing its digital presence, Innocent can reach a wider audience and create personalized marketing experiences that resonate with consumers (Mintel, 2023).</w:t>
      </w:r>
    </w:p>
    <w:p w14:paraId="77844C98" w14:textId="76A44BD0" w:rsidR="00874274" w:rsidRPr="00874274" w:rsidRDefault="00874274" w:rsidP="00874274">
      <w:pPr>
        <w:spacing w:line="360" w:lineRule="auto"/>
        <w:jc w:val="both"/>
        <w:rPr>
          <w:rFonts w:ascii="Arial" w:hAnsi="Arial" w:cs="Arial"/>
        </w:rPr>
      </w:pPr>
      <w:r w:rsidRPr="00874274">
        <w:rPr>
          <w:rFonts w:ascii="Arial" w:hAnsi="Arial" w:cs="Arial"/>
        </w:rPr>
        <w:t>Implementation Strategy: Innocent should invest in a comprehensive digital marketing strategy that includes social media engagement, content marketing, and e-commerce optimization. This could involve creating engaging content that highlights the brand's sustainability initiatives, product benefits, and health-focused lifestyle. Additionally, Innocent can leverage e-commerce platforms to enhance direct-to-consumer sales, offering subscription services or exclusive online promotions to incentivize purchases.</w:t>
      </w:r>
    </w:p>
    <w:p w14:paraId="7EA4AC57" w14:textId="17FD5A49" w:rsidR="00874274" w:rsidRPr="00874274" w:rsidRDefault="00874274" w:rsidP="00874274">
      <w:pPr>
        <w:spacing w:line="360" w:lineRule="auto"/>
        <w:jc w:val="both"/>
        <w:rPr>
          <w:rFonts w:ascii="Arial" w:hAnsi="Arial" w:cs="Arial"/>
        </w:rPr>
      </w:pPr>
      <w:r w:rsidRPr="00874274">
        <w:rPr>
          <w:rFonts w:ascii="Arial" w:hAnsi="Arial" w:cs="Arial"/>
        </w:rPr>
        <w:t>Collaborating with influencers and health advocates can also amplify Innocent's reach in the digital space, leveraging their credibility to attract new customers.</w:t>
      </w:r>
    </w:p>
    <w:p w14:paraId="0E7472B4" w14:textId="77777777" w:rsidR="00874274" w:rsidRPr="00874274" w:rsidRDefault="00874274" w:rsidP="00874274">
      <w:pPr>
        <w:spacing w:line="360" w:lineRule="auto"/>
        <w:jc w:val="both"/>
        <w:rPr>
          <w:rFonts w:ascii="Arial" w:hAnsi="Arial" w:cs="Arial"/>
        </w:rPr>
      </w:pPr>
      <w:r w:rsidRPr="00874274">
        <w:rPr>
          <w:rFonts w:ascii="Arial" w:hAnsi="Arial" w:cs="Arial"/>
        </w:rPr>
        <w:t>Challenges: The digital landscape is highly competitive, and Innocent must continually adapt its strategies to stay relevant. Additionally, managing online customer interactions requires resources and can present challenges related to maintaining brand consistency and addressing negative feedback effectively.</w:t>
      </w:r>
    </w:p>
    <w:p w14:paraId="2C2A0ACF" w14:textId="21342AA4" w:rsidR="001A312E" w:rsidRPr="0081217C" w:rsidRDefault="001A312E" w:rsidP="00D40379">
      <w:pPr>
        <w:pStyle w:val="Heading1"/>
        <w:rPr>
          <w:rFonts w:ascii="Arial" w:hAnsi="Arial" w:cs="Arial"/>
          <w:sz w:val="22"/>
          <w:szCs w:val="22"/>
        </w:rPr>
      </w:pPr>
      <w:bookmarkStart w:id="61" w:name="_Toc181606841"/>
      <w:bookmarkStart w:id="62" w:name="_Toc181606865"/>
      <w:bookmarkStart w:id="63" w:name="_Toc181607332"/>
      <w:bookmarkStart w:id="64" w:name="_Toc181729996"/>
      <w:r w:rsidRPr="0081217C">
        <w:rPr>
          <w:rFonts w:ascii="Arial" w:hAnsi="Arial" w:cs="Arial"/>
          <w:sz w:val="36"/>
          <w:szCs w:val="36"/>
        </w:rPr>
        <w:lastRenderedPageBreak/>
        <w:t>C</w:t>
      </w:r>
      <w:r w:rsidRPr="0081217C">
        <w:rPr>
          <w:rFonts w:ascii="Arial" w:hAnsi="Arial" w:cs="Arial"/>
          <w:sz w:val="22"/>
          <w:szCs w:val="22"/>
        </w:rPr>
        <w:t>ompetitor reactions</w:t>
      </w:r>
      <w:bookmarkEnd w:id="61"/>
      <w:bookmarkEnd w:id="62"/>
      <w:bookmarkEnd w:id="63"/>
      <w:bookmarkEnd w:id="64"/>
    </w:p>
    <w:p w14:paraId="2E5990A5" w14:textId="53D4F78F" w:rsidR="001A312E" w:rsidRPr="001A312E" w:rsidRDefault="001A312E" w:rsidP="001A312E">
      <w:pPr>
        <w:spacing w:line="360" w:lineRule="auto"/>
        <w:jc w:val="both"/>
        <w:rPr>
          <w:rFonts w:ascii="Arial" w:hAnsi="Arial" w:cs="Arial"/>
        </w:rPr>
      </w:pPr>
      <w:r w:rsidRPr="001A312E">
        <w:rPr>
          <w:rFonts w:ascii="Arial" w:hAnsi="Arial" w:cs="Arial"/>
        </w:rPr>
        <w:t>Competitor reactions to Innocent Drinks' growth strategies are critical in shaping the market landscape. Major competitors, such as Tropicana and Naked Juice, may respond by intensifying their marketing efforts and launching new product lines focused on health and sustainability. For instance, Tropicana could introduce functional beverages to capture health-conscious consumers, while Naked Juice may enhance its sustainability practices to maintain brand loyalty. Additionally, price competition may escalate as these companies strive to retain market share, pushing Innocent to differentiate its offerings further (Mintel, 2023).</w:t>
      </w:r>
    </w:p>
    <w:p w14:paraId="2696744B" w14:textId="7DCCED80" w:rsidR="00861665" w:rsidRPr="006B12D4" w:rsidRDefault="00861665" w:rsidP="00D40379">
      <w:pPr>
        <w:pStyle w:val="Heading1"/>
        <w:rPr>
          <w:rFonts w:ascii="Arial" w:hAnsi="Arial" w:cs="Arial"/>
          <w:i/>
          <w:iCs/>
          <w:sz w:val="22"/>
          <w:szCs w:val="22"/>
        </w:rPr>
      </w:pPr>
      <w:bookmarkStart w:id="65" w:name="_Toc181606842"/>
      <w:bookmarkStart w:id="66" w:name="_Toc181606866"/>
      <w:bookmarkStart w:id="67" w:name="_Toc181607333"/>
      <w:bookmarkStart w:id="68" w:name="_Toc181729997"/>
      <w:r w:rsidRPr="006B12D4">
        <w:rPr>
          <w:rFonts w:ascii="Arial" w:hAnsi="Arial" w:cs="Arial"/>
          <w:i/>
          <w:iCs/>
          <w:sz w:val="36"/>
          <w:szCs w:val="36"/>
        </w:rPr>
        <w:t>R</w:t>
      </w:r>
      <w:r w:rsidRPr="006B12D4">
        <w:rPr>
          <w:rFonts w:ascii="Arial" w:hAnsi="Arial" w:cs="Arial"/>
          <w:i/>
          <w:iCs/>
          <w:sz w:val="22"/>
          <w:szCs w:val="22"/>
        </w:rPr>
        <w:t>ecommendations</w:t>
      </w:r>
      <w:bookmarkEnd w:id="65"/>
      <w:bookmarkEnd w:id="66"/>
      <w:bookmarkEnd w:id="67"/>
      <w:bookmarkEnd w:id="68"/>
    </w:p>
    <w:p w14:paraId="48C5BDAB" w14:textId="39C0545E" w:rsidR="00861665" w:rsidRPr="00861665" w:rsidRDefault="00861665" w:rsidP="00861665">
      <w:pPr>
        <w:spacing w:line="360" w:lineRule="auto"/>
        <w:jc w:val="both"/>
        <w:rPr>
          <w:rFonts w:ascii="Arial" w:hAnsi="Arial" w:cs="Arial"/>
        </w:rPr>
      </w:pPr>
      <w:r w:rsidRPr="00861665">
        <w:rPr>
          <w:rFonts w:ascii="Arial" w:hAnsi="Arial" w:cs="Arial"/>
        </w:rPr>
        <w:t>To ensure continued growth and market leadership, Innocent Drinks should implement the following recommendations:</w:t>
      </w:r>
    </w:p>
    <w:p w14:paraId="650A1A44" w14:textId="77777777" w:rsidR="00861665" w:rsidRPr="00861665" w:rsidRDefault="00861665" w:rsidP="00861665">
      <w:pPr>
        <w:spacing w:line="360" w:lineRule="auto"/>
        <w:jc w:val="both"/>
        <w:rPr>
          <w:rFonts w:ascii="Arial" w:hAnsi="Arial" w:cs="Arial"/>
        </w:rPr>
      </w:pPr>
      <w:r w:rsidRPr="00861665">
        <w:rPr>
          <w:rFonts w:ascii="Arial" w:hAnsi="Arial" w:cs="Arial"/>
        </w:rPr>
        <w:t>Expand into Emerging Markets: Conduct thorough market research to identify growth opportunities in regions such as Asia and South America (Statista, 2024).</w:t>
      </w:r>
    </w:p>
    <w:p w14:paraId="14DDC2E3" w14:textId="22716035" w:rsidR="00861665" w:rsidRPr="00861665" w:rsidRDefault="00861665" w:rsidP="00861665">
      <w:pPr>
        <w:spacing w:line="360" w:lineRule="auto"/>
        <w:jc w:val="both"/>
        <w:rPr>
          <w:rFonts w:ascii="Arial" w:hAnsi="Arial" w:cs="Arial"/>
        </w:rPr>
      </w:pPr>
      <w:r w:rsidRPr="00861665">
        <w:rPr>
          <w:rFonts w:ascii="Arial" w:hAnsi="Arial" w:cs="Arial"/>
        </w:rPr>
        <w:t>Enhance Product Diversification: Develop functional beverages that align with health trends, leveraging partnerships with nutritionists to innovate (Gürel &amp; Tat, 2017).</w:t>
      </w:r>
    </w:p>
    <w:p w14:paraId="1A8A3CBC" w14:textId="77777777" w:rsidR="00861665" w:rsidRDefault="00861665" w:rsidP="00861665">
      <w:pPr>
        <w:spacing w:line="360" w:lineRule="auto"/>
        <w:jc w:val="both"/>
        <w:rPr>
          <w:rFonts w:ascii="Arial" w:hAnsi="Arial" w:cs="Arial"/>
        </w:rPr>
      </w:pPr>
      <w:r w:rsidRPr="00861665">
        <w:rPr>
          <w:rFonts w:ascii="Arial" w:hAnsi="Arial" w:cs="Arial"/>
        </w:rPr>
        <w:t>Strengthen Digital Marketing Efforts: Invest in targeted online campaigns and enhance e-commerce capabilities to reach a broader audience and engage customers directly (Mintel, 2023).</w:t>
      </w:r>
    </w:p>
    <w:p w14:paraId="1081D47B" w14:textId="3D17E531" w:rsidR="00A31240" w:rsidRPr="00A31240" w:rsidRDefault="00A31240" w:rsidP="00A31240">
      <w:pPr>
        <w:spacing w:line="360" w:lineRule="auto"/>
        <w:jc w:val="both"/>
        <w:rPr>
          <w:rFonts w:ascii="Arial" w:hAnsi="Arial" w:cs="Arial"/>
        </w:rPr>
      </w:pPr>
      <w:r w:rsidRPr="00A31240">
        <w:rPr>
          <w:rFonts w:ascii="Arial" w:hAnsi="Arial" w:cs="Arial"/>
        </w:rPr>
        <w:t xml:space="preserve"> Ansoff’s Growth Matrix can be applied as a model to illustrate the company's strategic direction:</w:t>
      </w:r>
    </w:p>
    <w:p w14:paraId="1165D31C" w14:textId="5B6728C4" w:rsidR="00A31240" w:rsidRPr="00A31240" w:rsidRDefault="00A31240" w:rsidP="00A31240">
      <w:pPr>
        <w:spacing w:line="360" w:lineRule="auto"/>
        <w:jc w:val="both"/>
        <w:rPr>
          <w:rFonts w:ascii="Arial" w:hAnsi="Arial" w:cs="Arial"/>
        </w:rPr>
      </w:pPr>
      <w:r w:rsidRPr="00A31240">
        <w:rPr>
          <w:rFonts w:ascii="Arial" w:hAnsi="Arial" w:cs="Arial"/>
        </w:rPr>
        <w:t xml:space="preserve">Expand into Emerging Markets (Market Development): Ansoff’s Matrix recommends market development </w:t>
      </w:r>
      <w:r w:rsidR="003D6222" w:rsidRPr="00A31240">
        <w:rPr>
          <w:rFonts w:ascii="Arial" w:hAnsi="Arial" w:cs="Arial"/>
        </w:rPr>
        <w:t>to</w:t>
      </w:r>
      <w:r w:rsidRPr="00A31240">
        <w:rPr>
          <w:rFonts w:ascii="Arial" w:hAnsi="Arial" w:cs="Arial"/>
        </w:rPr>
        <w:t xml:space="preserve"> reach new customer segments. Innocent Drinks could apply this strategy to enter regions like Asia and South America, where the demand for healthy beverages is growing. Through detailed market research, Innocent can identify specific consumer preferences and tailor products to these markets (Statista, 2024).</w:t>
      </w:r>
    </w:p>
    <w:p w14:paraId="37CC4DC6" w14:textId="461C23E7" w:rsidR="00A31240" w:rsidRPr="00A31240" w:rsidRDefault="00A31240" w:rsidP="00A31240">
      <w:pPr>
        <w:spacing w:line="360" w:lineRule="auto"/>
        <w:jc w:val="both"/>
        <w:rPr>
          <w:rFonts w:ascii="Arial" w:hAnsi="Arial" w:cs="Arial"/>
        </w:rPr>
      </w:pPr>
      <w:r w:rsidRPr="00A31240">
        <w:rPr>
          <w:rFonts w:ascii="Arial" w:hAnsi="Arial" w:cs="Arial"/>
        </w:rPr>
        <w:t>Enhance Product Diversification (Product Development): Ansoff’s Matrix suggests product development as a means of growth by introducing new products to existing markets. Innocent Drinks can innovate by developing functional beverages aligned with health trends, collaborating with nutritionists to create products that enhance wellness. This approach could attract health-conscious consumers and build brand loyalty (Gürel &amp; Tat, 2017).</w:t>
      </w:r>
    </w:p>
    <w:p w14:paraId="33D087FC" w14:textId="77777777" w:rsidR="00A31240" w:rsidRPr="00A31240" w:rsidRDefault="00A31240" w:rsidP="00A31240">
      <w:pPr>
        <w:spacing w:line="360" w:lineRule="auto"/>
        <w:jc w:val="both"/>
        <w:rPr>
          <w:rFonts w:ascii="Arial" w:hAnsi="Arial" w:cs="Arial"/>
        </w:rPr>
      </w:pPr>
      <w:r w:rsidRPr="00A31240">
        <w:rPr>
          <w:rFonts w:ascii="Arial" w:hAnsi="Arial" w:cs="Arial"/>
        </w:rPr>
        <w:t xml:space="preserve">Strengthen Digital Marketing Efforts (Market Penetration): The market penetration strategy in Ansoff’s Matrix focuses on growing market share within existing markets. By investing in digital </w:t>
      </w:r>
      <w:r w:rsidRPr="00A31240">
        <w:rPr>
          <w:rFonts w:ascii="Arial" w:hAnsi="Arial" w:cs="Arial"/>
        </w:rPr>
        <w:lastRenderedPageBreak/>
        <w:t>marketing and e-commerce, Innocent Drinks can strengthen its presence in current markets, directly engaging with customers and increasing brand visibility (Mintel, 2023).</w:t>
      </w:r>
    </w:p>
    <w:p w14:paraId="61FDAD54" w14:textId="77777777" w:rsidR="00A31240" w:rsidRPr="00A31240" w:rsidRDefault="00A31240" w:rsidP="00A31240">
      <w:pPr>
        <w:spacing w:line="360" w:lineRule="auto"/>
        <w:jc w:val="both"/>
        <w:rPr>
          <w:rFonts w:ascii="Arial" w:hAnsi="Arial" w:cs="Arial"/>
        </w:rPr>
      </w:pPr>
    </w:p>
    <w:p w14:paraId="5B044F69" w14:textId="71388983" w:rsidR="00A31240" w:rsidRPr="00861665" w:rsidRDefault="00136E42" w:rsidP="00861665">
      <w:pPr>
        <w:spacing w:line="360" w:lineRule="auto"/>
        <w:jc w:val="both"/>
        <w:rPr>
          <w:rFonts w:ascii="Arial" w:hAnsi="Arial" w:cs="Arial"/>
        </w:rPr>
      </w:pPr>
      <w:bookmarkStart w:id="69" w:name="_Hlk181194448"/>
      <w:r>
        <w:rPr>
          <w:rFonts w:ascii="Arial" w:hAnsi="Arial" w:cs="Arial"/>
          <w:noProof/>
        </w:rPr>
        <w:drawing>
          <wp:inline distT="0" distB="0" distL="0" distR="0" wp14:anchorId="7F485E2B" wp14:editId="416F1CEA">
            <wp:extent cx="3498273" cy="2143125"/>
            <wp:effectExtent l="0" t="0" r="6985" b="0"/>
            <wp:docPr id="16153205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09042" cy="2149722"/>
                    </a:xfrm>
                    <a:prstGeom prst="rect">
                      <a:avLst/>
                    </a:prstGeom>
                    <a:noFill/>
                  </pic:spPr>
                </pic:pic>
              </a:graphicData>
            </a:graphic>
          </wp:inline>
        </w:drawing>
      </w:r>
      <w:r w:rsidR="00DD4DAD">
        <w:rPr>
          <w:rFonts w:ascii="Arial" w:hAnsi="Arial" w:cs="Arial"/>
        </w:rPr>
        <w:t>Fig 5</w:t>
      </w:r>
    </w:p>
    <w:p w14:paraId="4448A99A" w14:textId="77777777" w:rsidR="00861665" w:rsidRPr="00861665" w:rsidRDefault="00861665" w:rsidP="00861665">
      <w:pPr>
        <w:spacing w:line="360" w:lineRule="auto"/>
        <w:jc w:val="both"/>
        <w:rPr>
          <w:rFonts w:ascii="Arial" w:hAnsi="Arial" w:cs="Arial"/>
        </w:rPr>
      </w:pPr>
    </w:p>
    <w:p w14:paraId="1AA5BC3B" w14:textId="77777777" w:rsidR="00FB4105" w:rsidRDefault="00FB4105" w:rsidP="00861665">
      <w:pPr>
        <w:spacing w:line="360" w:lineRule="auto"/>
        <w:jc w:val="both"/>
        <w:rPr>
          <w:rFonts w:ascii="Arial" w:hAnsi="Arial" w:cs="Arial"/>
          <w:color w:val="4472C4" w:themeColor="accent1"/>
        </w:rPr>
      </w:pPr>
    </w:p>
    <w:p w14:paraId="65B03462" w14:textId="3E0C6110" w:rsidR="00861665" w:rsidRPr="0081217C" w:rsidRDefault="00861665" w:rsidP="00D40379">
      <w:pPr>
        <w:pStyle w:val="Heading1"/>
        <w:rPr>
          <w:rFonts w:ascii="Arial" w:hAnsi="Arial" w:cs="Arial"/>
          <w:sz w:val="22"/>
          <w:szCs w:val="22"/>
        </w:rPr>
      </w:pPr>
      <w:bookmarkStart w:id="70" w:name="_Toc181606843"/>
      <w:bookmarkStart w:id="71" w:name="_Toc181606867"/>
      <w:bookmarkStart w:id="72" w:name="_Toc181607334"/>
      <w:bookmarkStart w:id="73" w:name="_Toc181729998"/>
      <w:bookmarkEnd w:id="69"/>
      <w:r w:rsidRPr="0081217C">
        <w:rPr>
          <w:rFonts w:ascii="Arial" w:hAnsi="Arial" w:cs="Arial"/>
          <w:sz w:val="36"/>
          <w:szCs w:val="36"/>
        </w:rPr>
        <w:t>C</w:t>
      </w:r>
      <w:r w:rsidRPr="0081217C">
        <w:rPr>
          <w:rFonts w:ascii="Arial" w:hAnsi="Arial" w:cs="Arial"/>
          <w:sz w:val="22"/>
          <w:szCs w:val="22"/>
        </w:rPr>
        <w:t>onclusion</w:t>
      </w:r>
      <w:bookmarkEnd w:id="70"/>
      <w:bookmarkEnd w:id="71"/>
      <w:bookmarkEnd w:id="72"/>
      <w:bookmarkEnd w:id="73"/>
    </w:p>
    <w:p w14:paraId="44E391B4" w14:textId="1189B5F1" w:rsidR="00861665" w:rsidRDefault="00861665" w:rsidP="00861665">
      <w:pPr>
        <w:spacing w:line="360" w:lineRule="auto"/>
        <w:jc w:val="both"/>
        <w:rPr>
          <w:rFonts w:ascii="Arial" w:hAnsi="Arial" w:cs="Arial"/>
        </w:rPr>
      </w:pPr>
      <w:r w:rsidRPr="00861665">
        <w:rPr>
          <w:rFonts w:ascii="Arial" w:hAnsi="Arial" w:cs="Arial"/>
        </w:rPr>
        <w:t>In conclusion, Innocent Drinks is well-positioned to capitalize on emerging opportunities within the health-focused beverage market. By implementing strategic growth options such as market expansion, product diversification, and enhancing its digital presence, Innocent can strengthen its competitive edge and sustain its commitment to sustainability. As consumer preferences evolve, the company must remain agile, leveraging its strong brand identity to foster customer loyalty and attract new segments. Ultimately, by aligning its strategies with market trends and stakeholder expectations, Innocent can continue to thrive in an increasingly competitive landscape while upholding its core values.</w:t>
      </w:r>
    </w:p>
    <w:p w14:paraId="2B7C1361" w14:textId="77777777" w:rsidR="00861665" w:rsidRDefault="00861665" w:rsidP="00861665">
      <w:pPr>
        <w:spacing w:line="360" w:lineRule="auto"/>
        <w:jc w:val="both"/>
        <w:rPr>
          <w:rFonts w:ascii="Arial" w:hAnsi="Arial" w:cs="Arial"/>
        </w:rPr>
      </w:pPr>
    </w:p>
    <w:p w14:paraId="6FD076D1" w14:textId="77777777" w:rsidR="00861665" w:rsidRDefault="00861665" w:rsidP="00861665">
      <w:pPr>
        <w:spacing w:line="360" w:lineRule="auto"/>
        <w:jc w:val="both"/>
        <w:rPr>
          <w:rFonts w:ascii="Arial" w:hAnsi="Arial" w:cs="Arial"/>
        </w:rPr>
      </w:pPr>
    </w:p>
    <w:p w14:paraId="4598E7FC" w14:textId="77777777" w:rsidR="00861665" w:rsidRDefault="00861665" w:rsidP="00861665">
      <w:pPr>
        <w:spacing w:line="360" w:lineRule="auto"/>
        <w:jc w:val="both"/>
        <w:rPr>
          <w:rFonts w:ascii="Arial" w:hAnsi="Arial" w:cs="Arial"/>
        </w:rPr>
      </w:pPr>
    </w:p>
    <w:p w14:paraId="5DE9CC37" w14:textId="77777777" w:rsidR="00861665" w:rsidRDefault="00861665" w:rsidP="00861665">
      <w:pPr>
        <w:spacing w:line="360" w:lineRule="auto"/>
        <w:jc w:val="both"/>
        <w:rPr>
          <w:rFonts w:ascii="Arial" w:hAnsi="Arial" w:cs="Arial"/>
        </w:rPr>
      </w:pPr>
    </w:p>
    <w:p w14:paraId="0E8877FB" w14:textId="77777777" w:rsidR="00737891" w:rsidRDefault="00737891" w:rsidP="00FB4105">
      <w:pPr>
        <w:spacing w:line="360" w:lineRule="auto"/>
        <w:jc w:val="both"/>
        <w:rPr>
          <w:rFonts w:ascii="Arial" w:hAnsi="Arial" w:cs="Arial"/>
          <w:color w:val="4472C4" w:themeColor="accent1"/>
          <w:sz w:val="36"/>
          <w:szCs w:val="36"/>
        </w:rPr>
      </w:pPr>
    </w:p>
    <w:p w14:paraId="21F9BDA3" w14:textId="77777777" w:rsidR="004D4F55" w:rsidRDefault="004D4F55" w:rsidP="00FB4105">
      <w:pPr>
        <w:spacing w:line="360" w:lineRule="auto"/>
        <w:jc w:val="both"/>
        <w:rPr>
          <w:rFonts w:ascii="Arial" w:hAnsi="Arial" w:cs="Arial"/>
          <w:color w:val="4472C4" w:themeColor="accent1"/>
          <w:sz w:val="36"/>
          <w:szCs w:val="36"/>
        </w:rPr>
      </w:pPr>
    </w:p>
    <w:p w14:paraId="0F048ECE" w14:textId="77777777" w:rsidR="004D4F55" w:rsidRDefault="004D4F55" w:rsidP="00FB4105">
      <w:pPr>
        <w:spacing w:line="360" w:lineRule="auto"/>
        <w:jc w:val="both"/>
        <w:rPr>
          <w:rFonts w:ascii="Arial" w:hAnsi="Arial" w:cs="Arial"/>
          <w:color w:val="4472C4" w:themeColor="accent1"/>
          <w:sz w:val="36"/>
          <w:szCs w:val="36"/>
        </w:rPr>
      </w:pPr>
    </w:p>
    <w:p w14:paraId="0EAE4C73" w14:textId="77777777" w:rsidR="004D4F55" w:rsidRDefault="004D4F55" w:rsidP="00FB4105">
      <w:pPr>
        <w:spacing w:line="360" w:lineRule="auto"/>
        <w:jc w:val="both"/>
        <w:rPr>
          <w:rFonts w:ascii="Arial" w:hAnsi="Arial" w:cs="Arial"/>
          <w:color w:val="4472C4" w:themeColor="accent1"/>
          <w:sz w:val="36"/>
          <w:szCs w:val="36"/>
        </w:rPr>
      </w:pPr>
    </w:p>
    <w:p w14:paraId="6536D09C" w14:textId="3CE740D0" w:rsidR="00737891" w:rsidRPr="00BF0368" w:rsidRDefault="00737891" w:rsidP="00FB4105">
      <w:pPr>
        <w:spacing w:line="360" w:lineRule="auto"/>
        <w:jc w:val="both"/>
        <w:rPr>
          <w:rFonts w:ascii="Arial" w:hAnsi="Arial" w:cs="Arial"/>
          <w:color w:val="4472C4" w:themeColor="accent1"/>
        </w:rPr>
      </w:pPr>
      <w:r w:rsidRPr="00BF0368">
        <w:rPr>
          <w:rFonts w:ascii="Arial" w:hAnsi="Arial" w:cs="Arial"/>
          <w:color w:val="4472C4" w:themeColor="accent1"/>
          <w:sz w:val="36"/>
          <w:szCs w:val="36"/>
        </w:rPr>
        <w:t>R</w:t>
      </w:r>
      <w:r w:rsidRPr="00BF0368">
        <w:rPr>
          <w:rFonts w:ascii="Arial" w:hAnsi="Arial" w:cs="Arial"/>
          <w:color w:val="4472C4" w:themeColor="accent1"/>
        </w:rPr>
        <w:t>e</w:t>
      </w:r>
      <w:r w:rsidR="00BB2C4A" w:rsidRPr="00BF0368">
        <w:rPr>
          <w:rFonts w:ascii="Arial" w:hAnsi="Arial" w:cs="Arial"/>
          <w:color w:val="4472C4" w:themeColor="accent1"/>
        </w:rPr>
        <w:t>ference</w:t>
      </w:r>
    </w:p>
    <w:p w14:paraId="4C2DBE3A" w14:textId="246F8465" w:rsidR="00FB4105" w:rsidRPr="00FB4105" w:rsidRDefault="00FB4105" w:rsidP="00FB4105">
      <w:pPr>
        <w:spacing w:line="360" w:lineRule="auto"/>
        <w:jc w:val="both"/>
        <w:rPr>
          <w:rFonts w:ascii="Arial" w:hAnsi="Arial" w:cs="Arial"/>
        </w:rPr>
      </w:pPr>
      <w:r w:rsidRPr="00FB4105">
        <w:rPr>
          <w:rFonts w:ascii="Arial" w:hAnsi="Arial" w:cs="Arial"/>
        </w:rPr>
        <w:t>Advertising Standards Authority</w:t>
      </w:r>
      <w:r w:rsidR="001354A0">
        <w:rPr>
          <w:rFonts w:ascii="Arial" w:hAnsi="Arial" w:cs="Arial"/>
        </w:rPr>
        <w:t xml:space="preserve"> (</w:t>
      </w:r>
      <w:r w:rsidRPr="00FB4105">
        <w:rPr>
          <w:rFonts w:ascii="Arial" w:hAnsi="Arial" w:cs="Arial"/>
        </w:rPr>
        <w:t>2023</w:t>
      </w:r>
      <w:r w:rsidR="001354A0">
        <w:rPr>
          <w:rFonts w:ascii="Arial" w:hAnsi="Arial" w:cs="Arial"/>
        </w:rPr>
        <w:t>)</w:t>
      </w:r>
      <w:r w:rsidRPr="00FB4105">
        <w:rPr>
          <w:rFonts w:ascii="Arial" w:hAnsi="Arial" w:cs="Arial"/>
        </w:rPr>
        <w:t xml:space="preserve">. Advertising codes. [online] Available at: https://www.asa.org.uk/type/ad-code.html </w:t>
      </w:r>
      <w:bookmarkStart w:id="74" w:name="_Hlk182716358"/>
      <w:r w:rsidRPr="00FB4105">
        <w:rPr>
          <w:rFonts w:ascii="Arial" w:hAnsi="Arial" w:cs="Arial"/>
        </w:rPr>
        <w:t>[Accessed 29 October 2024].</w:t>
      </w:r>
      <w:bookmarkEnd w:id="74"/>
    </w:p>
    <w:p w14:paraId="7AD1B645" w14:textId="2EF37CF3" w:rsidR="00FB4105" w:rsidRPr="00FB4105" w:rsidRDefault="00FB4105" w:rsidP="00FB4105">
      <w:pPr>
        <w:spacing w:line="360" w:lineRule="auto"/>
        <w:jc w:val="both"/>
        <w:rPr>
          <w:rFonts w:ascii="Arial" w:hAnsi="Arial" w:cs="Arial"/>
        </w:rPr>
      </w:pPr>
      <w:r w:rsidRPr="00FB4105">
        <w:rPr>
          <w:rFonts w:ascii="Arial" w:hAnsi="Arial" w:cs="Arial"/>
        </w:rPr>
        <w:t xml:space="preserve">Dhingra, S., Huang, H., Ottaviano, G., Pessoa, J.P., Sampson, T. and Van Reenen, </w:t>
      </w:r>
      <w:r w:rsidR="008B0F02" w:rsidRPr="00FB4105">
        <w:rPr>
          <w:rFonts w:ascii="Arial" w:hAnsi="Arial" w:cs="Arial"/>
        </w:rPr>
        <w:t>J.,</w:t>
      </w:r>
      <w:r w:rsidR="008B0F02">
        <w:rPr>
          <w:rFonts w:ascii="Arial" w:hAnsi="Arial" w:cs="Arial"/>
        </w:rPr>
        <w:t xml:space="preserve"> (</w:t>
      </w:r>
      <w:r w:rsidR="008B0F02" w:rsidRPr="00FB4105">
        <w:rPr>
          <w:rFonts w:ascii="Arial" w:hAnsi="Arial" w:cs="Arial"/>
        </w:rPr>
        <w:t>2017</w:t>
      </w:r>
      <w:r w:rsidR="008B0F02">
        <w:rPr>
          <w:rFonts w:ascii="Arial" w:hAnsi="Arial" w:cs="Arial"/>
        </w:rPr>
        <w:t>)</w:t>
      </w:r>
      <w:r w:rsidRPr="00FB4105">
        <w:rPr>
          <w:rFonts w:ascii="Arial" w:hAnsi="Arial" w:cs="Arial"/>
        </w:rPr>
        <w:t>. The costs and benefits of leaving the EU: Trade effects. Economic Policy, 32(92), pp.651-705.</w:t>
      </w:r>
      <w:r w:rsidR="000F475E" w:rsidRPr="000F475E">
        <w:t xml:space="preserve"> </w:t>
      </w:r>
      <w:r w:rsidR="000F475E" w:rsidRPr="000F475E">
        <w:rPr>
          <w:rFonts w:ascii="Arial" w:hAnsi="Arial" w:cs="Arial"/>
        </w:rPr>
        <w:t>[Accessed 2</w:t>
      </w:r>
      <w:r w:rsidR="000F475E">
        <w:rPr>
          <w:rFonts w:ascii="Arial" w:hAnsi="Arial" w:cs="Arial"/>
        </w:rPr>
        <w:t xml:space="preserve">4 </w:t>
      </w:r>
      <w:r w:rsidR="000F475E" w:rsidRPr="000F475E">
        <w:rPr>
          <w:rFonts w:ascii="Arial" w:hAnsi="Arial" w:cs="Arial"/>
        </w:rPr>
        <w:t>October 2024].</w:t>
      </w:r>
    </w:p>
    <w:p w14:paraId="76FFF889" w14:textId="0FCBD02D" w:rsidR="00FB4105" w:rsidRPr="00FB4105" w:rsidRDefault="00FB4105" w:rsidP="00FB4105">
      <w:pPr>
        <w:spacing w:line="360" w:lineRule="auto"/>
        <w:jc w:val="both"/>
        <w:rPr>
          <w:rFonts w:ascii="Arial" w:hAnsi="Arial" w:cs="Arial"/>
        </w:rPr>
      </w:pPr>
      <w:r w:rsidRPr="00FB4105">
        <w:rPr>
          <w:rFonts w:ascii="Arial" w:hAnsi="Arial" w:cs="Arial"/>
        </w:rPr>
        <w:t xml:space="preserve">European </w:t>
      </w:r>
      <w:r w:rsidR="003F07D7" w:rsidRPr="00FB4105">
        <w:rPr>
          <w:rFonts w:ascii="Arial" w:hAnsi="Arial" w:cs="Arial"/>
        </w:rPr>
        <w:t>Commission,</w:t>
      </w:r>
      <w:r w:rsidR="003F07D7">
        <w:rPr>
          <w:rFonts w:ascii="Arial" w:hAnsi="Arial" w:cs="Arial"/>
        </w:rPr>
        <w:t xml:space="preserve"> (</w:t>
      </w:r>
      <w:r w:rsidRPr="00FB4105">
        <w:rPr>
          <w:rFonts w:ascii="Arial" w:hAnsi="Arial" w:cs="Arial"/>
        </w:rPr>
        <w:t>2020</w:t>
      </w:r>
      <w:r w:rsidR="008B0F02">
        <w:rPr>
          <w:rFonts w:ascii="Arial" w:hAnsi="Arial" w:cs="Arial"/>
        </w:rPr>
        <w:t>)</w:t>
      </w:r>
      <w:r w:rsidRPr="00FB4105">
        <w:rPr>
          <w:rFonts w:ascii="Arial" w:hAnsi="Arial" w:cs="Arial"/>
        </w:rPr>
        <w:t>. A European Green Deal. Available at: https://ec.europa.eu/info/strategy/priorities-2019-2024/european-green-deal_en [Accessed 29 October 2024].</w:t>
      </w:r>
    </w:p>
    <w:p w14:paraId="5FC41910" w14:textId="22EC4CA9" w:rsidR="00FB4105" w:rsidRPr="00FB4105" w:rsidRDefault="00FB4105" w:rsidP="00FB4105">
      <w:pPr>
        <w:spacing w:line="360" w:lineRule="auto"/>
        <w:jc w:val="both"/>
        <w:rPr>
          <w:rFonts w:ascii="Arial" w:hAnsi="Arial" w:cs="Arial"/>
        </w:rPr>
      </w:pPr>
      <w:r w:rsidRPr="00FB4105">
        <w:rPr>
          <w:rFonts w:ascii="Arial" w:hAnsi="Arial" w:cs="Arial"/>
        </w:rPr>
        <w:t xml:space="preserve">European </w:t>
      </w:r>
      <w:r w:rsidR="00515420" w:rsidRPr="00FB4105">
        <w:rPr>
          <w:rFonts w:ascii="Arial" w:hAnsi="Arial" w:cs="Arial"/>
        </w:rPr>
        <w:t>Commission,</w:t>
      </w:r>
      <w:r w:rsidR="00515420">
        <w:rPr>
          <w:rFonts w:ascii="Arial" w:hAnsi="Arial" w:cs="Arial"/>
        </w:rPr>
        <w:t xml:space="preserve"> (</w:t>
      </w:r>
      <w:r w:rsidR="00515420" w:rsidRPr="00FB4105">
        <w:rPr>
          <w:rFonts w:ascii="Arial" w:hAnsi="Arial" w:cs="Arial"/>
        </w:rPr>
        <w:t>2022</w:t>
      </w:r>
      <w:r w:rsidR="00515420">
        <w:rPr>
          <w:rFonts w:ascii="Arial" w:hAnsi="Arial" w:cs="Arial"/>
        </w:rPr>
        <w:t>)</w:t>
      </w:r>
      <w:r w:rsidR="00515420" w:rsidRPr="00FB4105">
        <w:rPr>
          <w:rFonts w:ascii="Arial" w:hAnsi="Arial" w:cs="Arial"/>
        </w:rPr>
        <w:t>. General</w:t>
      </w:r>
      <w:r w:rsidRPr="00FB4105">
        <w:rPr>
          <w:rFonts w:ascii="Arial" w:hAnsi="Arial" w:cs="Arial"/>
        </w:rPr>
        <w:t xml:space="preserve"> Food Law Regulation (EC) No. 178/2002. [online] Available at: https://ec.europa.eu/food/safety/food-safety-law/general-food-law_en [Accessed </w:t>
      </w:r>
      <w:r>
        <w:rPr>
          <w:rFonts w:ascii="Arial" w:hAnsi="Arial" w:cs="Arial"/>
        </w:rPr>
        <w:t>17</w:t>
      </w:r>
      <w:r w:rsidRPr="00FB4105">
        <w:rPr>
          <w:rFonts w:ascii="Arial" w:hAnsi="Arial" w:cs="Arial"/>
        </w:rPr>
        <w:t xml:space="preserve"> October 2024].</w:t>
      </w:r>
    </w:p>
    <w:p w14:paraId="55FCC838" w14:textId="0E839A52" w:rsidR="00FB4105" w:rsidRPr="00FB4105" w:rsidRDefault="00FB4105" w:rsidP="00FB4105">
      <w:pPr>
        <w:spacing w:line="360" w:lineRule="auto"/>
        <w:jc w:val="both"/>
        <w:rPr>
          <w:rFonts w:ascii="Arial" w:hAnsi="Arial" w:cs="Arial"/>
        </w:rPr>
      </w:pPr>
      <w:r w:rsidRPr="00FB4105">
        <w:rPr>
          <w:rFonts w:ascii="Arial" w:hAnsi="Arial" w:cs="Arial"/>
        </w:rPr>
        <w:t xml:space="preserve">Food Standards </w:t>
      </w:r>
      <w:r w:rsidR="0069403F" w:rsidRPr="00FB4105">
        <w:rPr>
          <w:rFonts w:ascii="Arial" w:hAnsi="Arial" w:cs="Arial"/>
        </w:rPr>
        <w:t>Agency,</w:t>
      </w:r>
      <w:r w:rsidR="0069403F">
        <w:rPr>
          <w:rFonts w:ascii="Arial" w:hAnsi="Arial" w:cs="Arial"/>
        </w:rPr>
        <w:t xml:space="preserve"> (</w:t>
      </w:r>
      <w:r w:rsidRPr="00FB4105">
        <w:rPr>
          <w:rFonts w:ascii="Arial" w:hAnsi="Arial" w:cs="Arial"/>
        </w:rPr>
        <w:t>2020</w:t>
      </w:r>
      <w:r w:rsidR="00515420">
        <w:rPr>
          <w:rFonts w:ascii="Arial" w:hAnsi="Arial" w:cs="Arial"/>
        </w:rPr>
        <w:t>)</w:t>
      </w:r>
      <w:r w:rsidRPr="00FB4105">
        <w:rPr>
          <w:rFonts w:ascii="Arial" w:hAnsi="Arial" w:cs="Arial"/>
        </w:rPr>
        <w:t>. Food labelling regulations in the UK. Available at: https://www.food.gov.uk [Accessed 15 October 202</w:t>
      </w:r>
      <w:r w:rsidR="00D12396">
        <w:rPr>
          <w:rFonts w:ascii="Arial" w:hAnsi="Arial" w:cs="Arial"/>
        </w:rPr>
        <w:t>4</w:t>
      </w:r>
      <w:r w:rsidRPr="00FB4105">
        <w:rPr>
          <w:rFonts w:ascii="Arial" w:hAnsi="Arial" w:cs="Arial"/>
        </w:rPr>
        <w:t>].</w:t>
      </w:r>
    </w:p>
    <w:p w14:paraId="7822A80A" w14:textId="6178FFD0" w:rsidR="00FB4105" w:rsidRPr="00FB4105" w:rsidRDefault="0069403F" w:rsidP="00FB4105">
      <w:pPr>
        <w:spacing w:line="360" w:lineRule="auto"/>
        <w:jc w:val="both"/>
        <w:rPr>
          <w:rFonts w:ascii="Arial" w:hAnsi="Arial" w:cs="Arial"/>
        </w:rPr>
      </w:pPr>
      <w:r w:rsidRPr="00FB4105">
        <w:rPr>
          <w:rFonts w:ascii="Arial" w:hAnsi="Arial" w:cs="Arial"/>
        </w:rPr>
        <w:t>Gov.uk,</w:t>
      </w:r>
      <w:r>
        <w:rPr>
          <w:rFonts w:ascii="Arial" w:hAnsi="Arial" w:cs="Arial"/>
        </w:rPr>
        <w:t xml:space="preserve"> (</w:t>
      </w:r>
      <w:r w:rsidR="00FB4105" w:rsidRPr="00FB4105">
        <w:rPr>
          <w:rFonts w:ascii="Arial" w:hAnsi="Arial" w:cs="Arial"/>
        </w:rPr>
        <w:t>2021</w:t>
      </w:r>
      <w:r>
        <w:rPr>
          <w:rFonts w:ascii="Arial" w:hAnsi="Arial" w:cs="Arial"/>
        </w:rPr>
        <w:t>)</w:t>
      </w:r>
      <w:r w:rsidR="00FB4105" w:rsidRPr="00FB4105">
        <w:rPr>
          <w:rFonts w:ascii="Arial" w:hAnsi="Arial" w:cs="Arial"/>
        </w:rPr>
        <w:t>. Brexit and food and drink industry regulations. Available at: https://www.gov.uk [Accessed 15 October 202</w:t>
      </w:r>
      <w:r w:rsidR="00B0039D">
        <w:rPr>
          <w:rFonts w:ascii="Arial" w:hAnsi="Arial" w:cs="Arial"/>
        </w:rPr>
        <w:t>4</w:t>
      </w:r>
      <w:r w:rsidR="00FB4105" w:rsidRPr="00FB4105">
        <w:rPr>
          <w:rFonts w:ascii="Arial" w:hAnsi="Arial" w:cs="Arial"/>
        </w:rPr>
        <w:t>].</w:t>
      </w:r>
    </w:p>
    <w:p w14:paraId="1FEE20A9" w14:textId="304CD061" w:rsidR="00781F3C" w:rsidRDefault="00E435F4" w:rsidP="00FB4105">
      <w:pPr>
        <w:spacing w:line="360" w:lineRule="auto"/>
        <w:jc w:val="both"/>
        <w:rPr>
          <w:rFonts w:ascii="Arial" w:hAnsi="Arial" w:cs="Arial"/>
        </w:rPr>
      </w:pPr>
      <w:r>
        <w:rPr>
          <w:rFonts w:ascii="Arial" w:hAnsi="Arial" w:cs="Arial"/>
        </w:rPr>
        <w:t xml:space="preserve">Gov.uk, </w:t>
      </w:r>
      <w:r w:rsidR="0069403F">
        <w:rPr>
          <w:rFonts w:ascii="Arial" w:hAnsi="Arial" w:cs="Arial"/>
        </w:rPr>
        <w:t>(</w:t>
      </w:r>
      <w:r>
        <w:rPr>
          <w:rFonts w:ascii="Arial" w:hAnsi="Arial" w:cs="Arial"/>
        </w:rPr>
        <w:t>2022</w:t>
      </w:r>
      <w:r w:rsidR="00583E5D">
        <w:rPr>
          <w:rFonts w:ascii="Arial" w:hAnsi="Arial" w:cs="Arial"/>
        </w:rPr>
        <w:t>). Plastic</w:t>
      </w:r>
      <w:r w:rsidR="0093508B">
        <w:rPr>
          <w:rFonts w:ascii="Arial" w:hAnsi="Arial" w:cs="Arial"/>
        </w:rPr>
        <w:t xml:space="preserve"> Packag</w:t>
      </w:r>
      <w:r w:rsidR="00DC4EB9">
        <w:rPr>
          <w:rFonts w:ascii="Arial" w:hAnsi="Arial" w:cs="Arial"/>
        </w:rPr>
        <w:t xml:space="preserve">ing </w:t>
      </w:r>
      <w:r>
        <w:rPr>
          <w:rFonts w:ascii="Arial" w:hAnsi="Arial" w:cs="Arial"/>
        </w:rPr>
        <w:t xml:space="preserve">Tax. Available </w:t>
      </w:r>
      <w:r w:rsidR="00CA04DE">
        <w:rPr>
          <w:rFonts w:ascii="Arial" w:hAnsi="Arial" w:cs="Arial"/>
        </w:rPr>
        <w:t>at:</w:t>
      </w:r>
    </w:p>
    <w:p w14:paraId="54419440" w14:textId="139BA854" w:rsidR="00FB4105" w:rsidRPr="00FB4105" w:rsidRDefault="00FB4105" w:rsidP="00FB4105">
      <w:pPr>
        <w:spacing w:line="360" w:lineRule="auto"/>
        <w:jc w:val="both"/>
        <w:rPr>
          <w:rFonts w:ascii="Arial" w:hAnsi="Arial" w:cs="Arial"/>
        </w:rPr>
      </w:pPr>
      <w:r w:rsidRPr="00FB4105">
        <w:rPr>
          <w:rFonts w:ascii="Arial" w:hAnsi="Arial" w:cs="Arial"/>
        </w:rPr>
        <w:t>https://www.gov.uk/government/publications/introduction-of-plastic-packaging-tax/plastic-packaging-tax [Accessed 29 October 2024].</w:t>
      </w:r>
    </w:p>
    <w:p w14:paraId="47D50176" w14:textId="3E48DE50" w:rsidR="00FB4105" w:rsidRPr="00FB4105" w:rsidRDefault="00FB4105" w:rsidP="00FB4105">
      <w:pPr>
        <w:spacing w:line="360" w:lineRule="auto"/>
        <w:jc w:val="both"/>
        <w:rPr>
          <w:rFonts w:ascii="Arial" w:hAnsi="Arial" w:cs="Arial"/>
        </w:rPr>
      </w:pPr>
      <w:r w:rsidRPr="00FB4105">
        <w:rPr>
          <w:rFonts w:ascii="Arial" w:hAnsi="Arial" w:cs="Arial"/>
        </w:rPr>
        <w:t xml:space="preserve">HM </w:t>
      </w:r>
      <w:r w:rsidR="00BF0368" w:rsidRPr="00FB4105">
        <w:rPr>
          <w:rFonts w:ascii="Arial" w:hAnsi="Arial" w:cs="Arial"/>
        </w:rPr>
        <w:t>Treasury,</w:t>
      </w:r>
      <w:r w:rsidR="00BF0368">
        <w:rPr>
          <w:rFonts w:ascii="Arial" w:hAnsi="Arial" w:cs="Arial"/>
        </w:rPr>
        <w:t xml:space="preserve"> (</w:t>
      </w:r>
      <w:r w:rsidRPr="00FB4105">
        <w:rPr>
          <w:rFonts w:ascii="Arial" w:hAnsi="Arial" w:cs="Arial"/>
        </w:rPr>
        <w:t>2022</w:t>
      </w:r>
      <w:r w:rsidR="00B0039D">
        <w:rPr>
          <w:rFonts w:ascii="Arial" w:hAnsi="Arial" w:cs="Arial"/>
        </w:rPr>
        <w:t>)</w:t>
      </w:r>
      <w:r w:rsidR="00B0039D" w:rsidRPr="00FB4105">
        <w:rPr>
          <w:rFonts w:ascii="Arial" w:hAnsi="Arial" w:cs="Arial"/>
        </w:rPr>
        <w:t>. Green</w:t>
      </w:r>
      <w:r w:rsidR="00F10C81">
        <w:rPr>
          <w:rFonts w:ascii="Arial" w:hAnsi="Arial" w:cs="Arial"/>
        </w:rPr>
        <w:t xml:space="preserve"> </w:t>
      </w:r>
      <w:r w:rsidRPr="00FB4105">
        <w:rPr>
          <w:rFonts w:ascii="Arial" w:hAnsi="Arial" w:cs="Arial"/>
        </w:rPr>
        <w:t>incentives for businesses in the UK. Available at: https://www.gov.uk/government/publications [Accessed 15 October 202</w:t>
      </w:r>
      <w:r w:rsidR="00BF0368">
        <w:rPr>
          <w:rFonts w:ascii="Arial" w:hAnsi="Arial" w:cs="Arial"/>
        </w:rPr>
        <w:t>4</w:t>
      </w:r>
      <w:r w:rsidRPr="00FB4105">
        <w:rPr>
          <w:rFonts w:ascii="Arial" w:hAnsi="Arial" w:cs="Arial"/>
        </w:rPr>
        <w:t>].</w:t>
      </w:r>
    </w:p>
    <w:p w14:paraId="66FF44AE" w14:textId="3B15CF74" w:rsidR="00FB4105" w:rsidRPr="00FB4105" w:rsidRDefault="00FB4105" w:rsidP="00FB4105">
      <w:pPr>
        <w:spacing w:line="360" w:lineRule="auto"/>
        <w:jc w:val="both"/>
        <w:rPr>
          <w:rFonts w:ascii="Arial" w:hAnsi="Arial" w:cs="Arial"/>
        </w:rPr>
      </w:pPr>
      <w:r w:rsidRPr="00FB4105">
        <w:rPr>
          <w:rFonts w:ascii="Arial" w:hAnsi="Arial" w:cs="Arial"/>
        </w:rPr>
        <w:t xml:space="preserve">Jones, M., </w:t>
      </w:r>
      <w:r w:rsidR="00583E5D">
        <w:rPr>
          <w:rFonts w:ascii="Arial" w:hAnsi="Arial" w:cs="Arial"/>
        </w:rPr>
        <w:t>(</w:t>
      </w:r>
      <w:r w:rsidRPr="00FB4105">
        <w:rPr>
          <w:rFonts w:ascii="Arial" w:hAnsi="Arial" w:cs="Arial"/>
        </w:rPr>
        <w:t>2022</w:t>
      </w:r>
      <w:r w:rsidR="00583E5D">
        <w:rPr>
          <w:rFonts w:ascii="Arial" w:hAnsi="Arial" w:cs="Arial"/>
        </w:rPr>
        <w:t>)</w:t>
      </w:r>
      <w:r w:rsidR="00583E5D" w:rsidRPr="00FB4105">
        <w:rPr>
          <w:rFonts w:ascii="Arial" w:hAnsi="Arial" w:cs="Arial"/>
        </w:rPr>
        <w:t>. The</w:t>
      </w:r>
      <w:r w:rsidRPr="00FB4105">
        <w:rPr>
          <w:rFonts w:ascii="Arial" w:hAnsi="Arial" w:cs="Arial"/>
        </w:rPr>
        <w:t xml:space="preserve"> impact of supply chain disruptions on the food and beverage industry. </w:t>
      </w:r>
      <w:r w:rsidRPr="00D12396">
        <w:rPr>
          <w:rFonts w:ascii="Arial" w:hAnsi="Arial" w:cs="Arial"/>
          <w:i/>
          <w:iCs/>
        </w:rPr>
        <w:t>Journal of Food Economics</w:t>
      </w:r>
      <w:r w:rsidRPr="00FB4105">
        <w:rPr>
          <w:rFonts w:ascii="Arial" w:hAnsi="Arial" w:cs="Arial"/>
        </w:rPr>
        <w:t>, 45(3), pp.45-60.</w:t>
      </w:r>
      <w:r w:rsidR="00D12396" w:rsidRPr="00D12396">
        <w:t xml:space="preserve"> </w:t>
      </w:r>
      <w:r w:rsidR="00D12396" w:rsidRPr="00D12396">
        <w:rPr>
          <w:rFonts w:ascii="Arial" w:hAnsi="Arial" w:cs="Arial"/>
        </w:rPr>
        <w:t>[Accessed 30 Oct. 2024].</w:t>
      </w:r>
    </w:p>
    <w:p w14:paraId="509F2EC5" w14:textId="29C5CEFE" w:rsidR="00FB4105" w:rsidRPr="00FB4105" w:rsidRDefault="00FB4105" w:rsidP="00FB4105">
      <w:pPr>
        <w:spacing w:line="360" w:lineRule="auto"/>
        <w:jc w:val="both"/>
        <w:rPr>
          <w:rFonts w:ascii="Arial" w:hAnsi="Arial" w:cs="Arial"/>
        </w:rPr>
      </w:pPr>
      <w:r w:rsidRPr="00FB4105">
        <w:rPr>
          <w:rFonts w:ascii="Arial" w:hAnsi="Arial" w:cs="Arial"/>
        </w:rPr>
        <w:t xml:space="preserve">Jones, T. </w:t>
      </w:r>
      <w:r w:rsidR="001354A0">
        <w:rPr>
          <w:rFonts w:ascii="Arial" w:hAnsi="Arial" w:cs="Arial"/>
        </w:rPr>
        <w:t>and</w:t>
      </w:r>
      <w:r w:rsidRPr="00FB4105">
        <w:rPr>
          <w:rFonts w:ascii="Arial" w:hAnsi="Arial" w:cs="Arial"/>
        </w:rPr>
        <w:t xml:space="preserve"> Miller, </w:t>
      </w:r>
      <w:r w:rsidR="00583E5D" w:rsidRPr="00FB4105">
        <w:rPr>
          <w:rFonts w:ascii="Arial" w:hAnsi="Arial" w:cs="Arial"/>
        </w:rPr>
        <w:t>R.,</w:t>
      </w:r>
      <w:r w:rsidR="00583E5D">
        <w:rPr>
          <w:rFonts w:ascii="Arial" w:hAnsi="Arial" w:cs="Arial"/>
        </w:rPr>
        <w:t xml:space="preserve"> (</w:t>
      </w:r>
      <w:r w:rsidR="00583E5D" w:rsidRPr="00FB4105">
        <w:rPr>
          <w:rFonts w:ascii="Arial" w:hAnsi="Arial" w:cs="Arial"/>
        </w:rPr>
        <w:t>2022</w:t>
      </w:r>
      <w:r w:rsidR="00583E5D">
        <w:rPr>
          <w:rFonts w:ascii="Arial" w:hAnsi="Arial" w:cs="Arial"/>
        </w:rPr>
        <w:t>)</w:t>
      </w:r>
      <w:r w:rsidRPr="00FB4105">
        <w:rPr>
          <w:rFonts w:ascii="Arial" w:hAnsi="Arial" w:cs="Arial"/>
        </w:rPr>
        <w:t xml:space="preserve">. The impact of currency fluctuations on the UK beverage industry. </w:t>
      </w:r>
      <w:r w:rsidRPr="001354A0">
        <w:rPr>
          <w:rFonts w:ascii="Arial" w:hAnsi="Arial" w:cs="Arial"/>
          <w:i/>
          <w:iCs/>
        </w:rPr>
        <w:t>Journal of International Trade and Economics</w:t>
      </w:r>
      <w:r w:rsidRPr="00FB4105">
        <w:rPr>
          <w:rFonts w:ascii="Arial" w:hAnsi="Arial" w:cs="Arial"/>
        </w:rPr>
        <w:t>, 16(4), pp.245-260.</w:t>
      </w:r>
      <w:r w:rsidR="00D12396" w:rsidRPr="00D12396">
        <w:t xml:space="preserve"> </w:t>
      </w:r>
      <w:r w:rsidR="00D12396" w:rsidRPr="00D12396">
        <w:rPr>
          <w:rFonts w:ascii="Arial" w:hAnsi="Arial" w:cs="Arial"/>
        </w:rPr>
        <w:t>[Accessed 30 Oct. 2024].</w:t>
      </w:r>
    </w:p>
    <w:p w14:paraId="6A88A60D" w14:textId="7D0CAADE" w:rsidR="00FB4105" w:rsidRPr="00FB4105" w:rsidRDefault="00FB4105" w:rsidP="00FB4105">
      <w:pPr>
        <w:spacing w:line="360" w:lineRule="auto"/>
        <w:jc w:val="both"/>
        <w:rPr>
          <w:rFonts w:ascii="Arial" w:hAnsi="Arial" w:cs="Arial"/>
        </w:rPr>
      </w:pPr>
      <w:r w:rsidRPr="00FB4105">
        <w:rPr>
          <w:rFonts w:ascii="Arial" w:hAnsi="Arial" w:cs="Arial"/>
        </w:rPr>
        <w:lastRenderedPageBreak/>
        <w:t xml:space="preserve">Lee, A., </w:t>
      </w:r>
      <w:r w:rsidR="00583E5D">
        <w:rPr>
          <w:rFonts w:ascii="Arial" w:hAnsi="Arial" w:cs="Arial"/>
        </w:rPr>
        <w:t>(</w:t>
      </w:r>
      <w:r w:rsidRPr="00FB4105">
        <w:rPr>
          <w:rFonts w:ascii="Arial" w:hAnsi="Arial" w:cs="Arial"/>
        </w:rPr>
        <w:t>2021</w:t>
      </w:r>
      <w:r w:rsidR="00583E5D">
        <w:rPr>
          <w:rFonts w:ascii="Arial" w:hAnsi="Arial" w:cs="Arial"/>
        </w:rPr>
        <w:t>)</w:t>
      </w:r>
      <w:r w:rsidRPr="00FB4105">
        <w:rPr>
          <w:rFonts w:ascii="Arial" w:hAnsi="Arial" w:cs="Arial"/>
        </w:rPr>
        <w:t xml:space="preserve">. Health-conscious consumer </w:t>
      </w:r>
      <w:r w:rsidR="00B0039D" w:rsidRPr="00FB4105">
        <w:rPr>
          <w:rFonts w:ascii="Arial" w:hAnsi="Arial" w:cs="Arial"/>
        </w:rPr>
        <w:t>behaviour</w:t>
      </w:r>
      <w:r w:rsidRPr="00FB4105">
        <w:rPr>
          <w:rFonts w:ascii="Arial" w:hAnsi="Arial" w:cs="Arial"/>
        </w:rPr>
        <w:t xml:space="preserve"> and its influence on premium beverage brands. Consumer Insights Quarterly, 28(4), pp.120-136.</w:t>
      </w:r>
      <w:r w:rsidR="00A30B0C" w:rsidRPr="00A30B0C">
        <w:t xml:space="preserve"> </w:t>
      </w:r>
      <w:r w:rsidR="00A30B0C" w:rsidRPr="00A30B0C">
        <w:rPr>
          <w:rFonts w:ascii="Arial" w:hAnsi="Arial" w:cs="Arial"/>
        </w:rPr>
        <w:t>[Accessed 2</w:t>
      </w:r>
      <w:r w:rsidR="00A30B0C">
        <w:rPr>
          <w:rFonts w:ascii="Arial" w:hAnsi="Arial" w:cs="Arial"/>
        </w:rPr>
        <w:t>8</w:t>
      </w:r>
      <w:r w:rsidR="00A30B0C" w:rsidRPr="00A30B0C">
        <w:rPr>
          <w:rFonts w:ascii="Arial" w:hAnsi="Arial" w:cs="Arial"/>
        </w:rPr>
        <w:t xml:space="preserve"> October 2024].</w:t>
      </w:r>
    </w:p>
    <w:p w14:paraId="06043C92" w14:textId="3910AA05" w:rsidR="00FB4105" w:rsidRPr="00FB4105" w:rsidRDefault="00FB4105" w:rsidP="00FB4105">
      <w:pPr>
        <w:spacing w:line="360" w:lineRule="auto"/>
        <w:jc w:val="both"/>
        <w:rPr>
          <w:rFonts w:ascii="Arial" w:hAnsi="Arial" w:cs="Arial"/>
        </w:rPr>
      </w:pPr>
      <w:r w:rsidRPr="00FB4105">
        <w:rPr>
          <w:rFonts w:ascii="Arial" w:hAnsi="Arial" w:cs="Arial"/>
        </w:rPr>
        <w:t xml:space="preserve">Public Health England, </w:t>
      </w:r>
      <w:r w:rsidR="00583E5D">
        <w:rPr>
          <w:rFonts w:ascii="Arial" w:hAnsi="Arial" w:cs="Arial"/>
        </w:rPr>
        <w:t>(</w:t>
      </w:r>
      <w:r w:rsidRPr="00FB4105">
        <w:rPr>
          <w:rFonts w:ascii="Arial" w:hAnsi="Arial" w:cs="Arial"/>
        </w:rPr>
        <w:t>2020</w:t>
      </w:r>
      <w:r w:rsidR="00583E5D">
        <w:rPr>
          <w:rFonts w:ascii="Arial" w:hAnsi="Arial" w:cs="Arial"/>
        </w:rPr>
        <w:t>)</w:t>
      </w:r>
      <w:r w:rsidRPr="00FB4105">
        <w:rPr>
          <w:rFonts w:ascii="Arial" w:hAnsi="Arial" w:cs="Arial"/>
        </w:rPr>
        <w:t>. Sugar reduction: progress between 2015 and 2019. Available at: https://www.gov.uk/government/publications/sugar-reduction-progress-between-2015-and-2019 [Accessed 29 October 2024].</w:t>
      </w:r>
    </w:p>
    <w:p w14:paraId="3783AB66" w14:textId="70ECA827" w:rsidR="00FB4105" w:rsidRPr="00FB4105" w:rsidRDefault="00FB4105" w:rsidP="00FB4105">
      <w:pPr>
        <w:spacing w:line="360" w:lineRule="auto"/>
        <w:jc w:val="both"/>
        <w:rPr>
          <w:rFonts w:ascii="Arial" w:hAnsi="Arial" w:cs="Arial"/>
        </w:rPr>
      </w:pPr>
      <w:r w:rsidRPr="00FB4105">
        <w:rPr>
          <w:rFonts w:ascii="Arial" w:hAnsi="Arial" w:cs="Arial"/>
        </w:rPr>
        <w:t xml:space="preserve">Smith, </w:t>
      </w:r>
      <w:r w:rsidR="00583E5D" w:rsidRPr="00FB4105">
        <w:rPr>
          <w:rFonts w:ascii="Arial" w:hAnsi="Arial" w:cs="Arial"/>
        </w:rPr>
        <w:t>J.,</w:t>
      </w:r>
      <w:r w:rsidR="00583E5D">
        <w:rPr>
          <w:rFonts w:ascii="Arial" w:hAnsi="Arial" w:cs="Arial"/>
        </w:rPr>
        <w:t xml:space="preserve"> (</w:t>
      </w:r>
      <w:r w:rsidR="00583E5D" w:rsidRPr="00FB4105">
        <w:rPr>
          <w:rFonts w:ascii="Arial" w:hAnsi="Arial" w:cs="Arial"/>
        </w:rPr>
        <w:t>2023</w:t>
      </w:r>
      <w:r w:rsidR="00583E5D">
        <w:rPr>
          <w:rFonts w:ascii="Arial" w:hAnsi="Arial" w:cs="Arial"/>
        </w:rPr>
        <w:t>)</w:t>
      </w:r>
      <w:r w:rsidRPr="00FB4105">
        <w:rPr>
          <w:rFonts w:ascii="Arial" w:hAnsi="Arial" w:cs="Arial"/>
        </w:rPr>
        <w:t>. Inflation and consumer purchasing trends in the beverage market. Beverage Market Review, 22(3), pp.135-142.</w:t>
      </w:r>
      <w:r w:rsidR="00E4770E" w:rsidRPr="00E4770E">
        <w:t xml:space="preserve"> </w:t>
      </w:r>
      <w:r w:rsidR="00E4770E" w:rsidRPr="00E4770E">
        <w:rPr>
          <w:rFonts w:ascii="Arial" w:hAnsi="Arial" w:cs="Arial"/>
        </w:rPr>
        <w:t>[Accessed 30 Oct. 2024].</w:t>
      </w:r>
    </w:p>
    <w:p w14:paraId="0310B47D" w14:textId="1D9941AE" w:rsidR="00FB4105" w:rsidRPr="00FB4105" w:rsidRDefault="00FB4105" w:rsidP="00FB4105">
      <w:pPr>
        <w:spacing w:line="360" w:lineRule="auto"/>
        <w:jc w:val="both"/>
        <w:rPr>
          <w:rFonts w:ascii="Arial" w:hAnsi="Arial" w:cs="Arial"/>
        </w:rPr>
      </w:pPr>
      <w:r w:rsidRPr="00FB4105">
        <w:rPr>
          <w:rFonts w:ascii="Arial" w:hAnsi="Arial" w:cs="Arial"/>
        </w:rPr>
        <w:t xml:space="preserve">Smith, J. &amp; Doe, R., 2023. Inflationary pressures on consumer spending patterns in Europe. </w:t>
      </w:r>
      <w:r w:rsidRPr="006657FB">
        <w:rPr>
          <w:rFonts w:ascii="Arial" w:hAnsi="Arial" w:cs="Arial"/>
          <w:i/>
          <w:iCs/>
        </w:rPr>
        <w:t>Economic Review</w:t>
      </w:r>
      <w:r w:rsidRPr="00FB4105">
        <w:rPr>
          <w:rFonts w:ascii="Arial" w:hAnsi="Arial" w:cs="Arial"/>
        </w:rPr>
        <w:t>, 57(1), pp.15-27.</w:t>
      </w:r>
      <w:r w:rsidR="00E4770E" w:rsidRPr="00E4770E">
        <w:t xml:space="preserve"> </w:t>
      </w:r>
      <w:r w:rsidR="00E4770E" w:rsidRPr="00E4770E">
        <w:rPr>
          <w:rFonts w:ascii="Arial" w:hAnsi="Arial" w:cs="Arial"/>
        </w:rPr>
        <w:t>[Accessed 30 Oct. 2024].</w:t>
      </w:r>
    </w:p>
    <w:p w14:paraId="2642FEEC" w14:textId="7E524E1C" w:rsidR="00FB4105" w:rsidRPr="00FB4105" w:rsidRDefault="00FB4105" w:rsidP="00FB4105">
      <w:pPr>
        <w:spacing w:line="360" w:lineRule="auto"/>
        <w:jc w:val="both"/>
        <w:rPr>
          <w:rFonts w:ascii="Arial" w:hAnsi="Arial" w:cs="Arial"/>
        </w:rPr>
      </w:pPr>
      <w:proofErr w:type="spellStart"/>
      <w:r w:rsidRPr="00FB4105">
        <w:rPr>
          <w:rFonts w:ascii="Arial" w:hAnsi="Arial" w:cs="Arial"/>
        </w:rPr>
        <w:t>Swinnen</w:t>
      </w:r>
      <w:proofErr w:type="spellEnd"/>
      <w:r w:rsidRPr="00FB4105">
        <w:rPr>
          <w:rFonts w:ascii="Arial" w:hAnsi="Arial" w:cs="Arial"/>
        </w:rPr>
        <w:t xml:space="preserve">, J. and </w:t>
      </w:r>
      <w:proofErr w:type="spellStart"/>
      <w:r w:rsidRPr="00FB4105">
        <w:rPr>
          <w:rFonts w:ascii="Arial" w:hAnsi="Arial" w:cs="Arial"/>
        </w:rPr>
        <w:t>Vandemoortele</w:t>
      </w:r>
      <w:proofErr w:type="spellEnd"/>
      <w:r w:rsidRPr="00FB4105">
        <w:rPr>
          <w:rFonts w:ascii="Arial" w:hAnsi="Arial" w:cs="Arial"/>
        </w:rPr>
        <w:t xml:space="preserve">, T., 2011. Trade and food standards. </w:t>
      </w:r>
      <w:r w:rsidRPr="006657FB">
        <w:rPr>
          <w:rFonts w:ascii="Arial" w:hAnsi="Arial" w:cs="Arial"/>
          <w:i/>
          <w:iCs/>
        </w:rPr>
        <w:t>Journal of Agricultural Economics,</w:t>
      </w:r>
      <w:r w:rsidRPr="00FB4105">
        <w:rPr>
          <w:rFonts w:ascii="Arial" w:hAnsi="Arial" w:cs="Arial"/>
        </w:rPr>
        <w:t xml:space="preserve"> 62(2), pp.259-274.</w:t>
      </w:r>
      <w:r w:rsidR="00E4770E" w:rsidRPr="00E4770E">
        <w:t xml:space="preserve"> </w:t>
      </w:r>
      <w:r w:rsidR="00E4770E" w:rsidRPr="00E4770E">
        <w:rPr>
          <w:rFonts w:ascii="Arial" w:hAnsi="Arial" w:cs="Arial"/>
        </w:rPr>
        <w:t>[Accessed 30 Oct. 2024].</w:t>
      </w:r>
    </w:p>
    <w:p w14:paraId="21139A13" w14:textId="04621583" w:rsidR="00FB4105" w:rsidRPr="00FB4105" w:rsidRDefault="00FB4105" w:rsidP="00FB4105">
      <w:pPr>
        <w:spacing w:line="360" w:lineRule="auto"/>
        <w:jc w:val="both"/>
        <w:rPr>
          <w:rFonts w:ascii="Arial" w:hAnsi="Arial" w:cs="Arial"/>
        </w:rPr>
      </w:pPr>
      <w:r w:rsidRPr="00FB4105">
        <w:rPr>
          <w:rFonts w:ascii="Arial" w:hAnsi="Arial" w:cs="Arial"/>
        </w:rPr>
        <w:t xml:space="preserve">Thompson, M., Cooper, L. &amp; Gray, S., 2021. Health trends in the European food and beverage sector: Opportunities and challenges. </w:t>
      </w:r>
      <w:r w:rsidRPr="00EA113A">
        <w:rPr>
          <w:rFonts w:ascii="Arial" w:hAnsi="Arial" w:cs="Arial"/>
          <w:i/>
          <w:iCs/>
        </w:rPr>
        <w:t>Food Industry Journal</w:t>
      </w:r>
      <w:r w:rsidRPr="00FB4105">
        <w:rPr>
          <w:rFonts w:ascii="Arial" w:hAnsi="Arial" w:cs="Arial"/>
        </w:rPr>
        <w:t>, 34(1), pp.78-95.</w:t>
      </w:r>
      <w:r w:rsidR="00A30B0C" w:rsidRPr="00A30B0C">
        <w:t xml:space="preserve"> </w:t>
      </w:r>
      <w:r w:rsidR="00A30B0C" w:rsidRPr="00A30B0C">
        <w:rPr>
          <w:rFonts w:ascii="Arial" w:hAnsi="Arial" w:cs="Arial"/>
        </w:rPr>
        <w:t>[Accessed 2</w:t>
      </w:r>
      <w:r w:rsidR="00A30B0C">
        <w:rPr>
          <w:rFonts w:ascii="Arial" w:hAnsi="Arial" w:cs="Arial"/>
        </w:rPr>
        <w:t>1</w:t>
      </w:r>
      <w:r w:rsidR="00A30B0C" w:rsidRPr="00A30B0C">
        <w:rPr>
          <w:rFonts w:ascii="Arial" w:hAnsi="Arial" w:cs="Arial"/>
        </w:rPr>
        <w:t xml:space="preserve"> October 2024].</w:t>
      </w:r>
    </w:p>
    <w:p w14:paraId="6816D57E" w14:textId="60A2C96B" w:rsidR="00DD3616" w:rsidRDefault="00DD3616" w:rsidP="00FB4105">
      <w:pPr>
        <w:spacing w:line="360" w:lineRule="auto"/>
        <w:jc w:val="both"/>
        <w:rPr>
          <w:rFonts w:ascii="Arial" w:hAnsi="Arial" w:cs="Arial"/>
        </w:rPr>
      </w:pPr>
      <w:r>
        <w:rPr>
          <w:rFonts w:ascii="Arial" w:hAnsi="Arial" w:cs="Arial"/>
        </w:rPr>
        <w:t xml:space="preserve">UK </w:t>
      </w:r>
      <w:r w:rsidR="00F10C81">
        <w:rPr>
          <w:rFonts w:ascii="Arial" w:hAnsi="Arial" w:cs="Arial"/>
        </w:rPr>
        <w:t xml:space="preserve">Government, </w:t>
      </w:r>
      <w:r w:rsidR="00B0039D">
        <w:rPr>
          <w:rFonts w:ascii="Arial" w:hAnsi="Arial" w:cs="Arial"/>
        </w:rPr>
        <w:t>(2021</w:t>
      </w:r>
      <w:r w:rsidR="00EA113A">
        <w:rPr>
          <w:rFonts w:ascii="Arial" w:hAnsi="Arial" w:cs="Arial"/>
        </w:rPr>
        <w:t>)</w:t>
      </w:r>
      <w:r>
        <w:rPr>
          <w:rFonts w:ascii="Arial" w:hAnsi="Arial" w:cs="Arial"/>
        </w:rPr>
        <w:t>.</w:t>
      </w:r>
      <w:r w:rsidR="0089665C" w:rsidRPr="0089665C">
        <w:rPr>
          <w:rFonts w:ascii="Arial" w:hAnsi="Arial" w:cs="Arial"/>
        </w:rPr>
        <w:t xml:space="preserve"> </w:t>
      </w:r>
      <w:r w:rsidR="0058134B" w:rsidRPr="0058134B">
        <w:rPr>
          <w:rFonts w:ascii="Arial" w:hAnsi="Arial" w:cs="Arial"/>
        </w:rPr>
        <w:t>Environment Act 2021. [online] Available at:</w:t>
      </w:r>
    </w:p>
    <w:p w14:paraId="080A91B7" w14:textId="31D96837" w:rsidR="00FB4105" w:rsidRDefault="00FB4105" w:rsidP="00FB4105">
      <w:pPr>
        <w:spacing w:line="360" w:lineRule="auto"/>
        <w:jc w:val="both"/>
        <w:rPr>
          <w:rFonts w:ascii="Arial" w:hAnsi="Arial" w:cs="Arial"/>
        </w:rPr>
      </w:pPr>
      <w:r w:rsidRPr="00FB4105">
        <w:rPr>
          <w:rFonts w:ascii="Arial" w:hAnsi="Arial" w:cs="Arial"/>
        </w:rPr>
        <w:t>https://www.legislation.gov.uk/ukpga/2021/30/enacted [Accessed 2</w:t>
      </w:r>
      <w:r w:rsidR="00BE7B9B">
        <w:rPr>
          <w:rFonts w:ascii="Arial" w:hAnsi="Arial" w:cs="Arial"/>
        </w:rPr>
        <w:t>6</w:t>
      </w:r>
      <w:r w:rsidRPr="00FB4105">
        <w:rPr>
          <w:rFonts w:ascii="Arial" w:hAnsi="Arial" w:cs="Arial"/>
        </w:rPr>
        <w:t xml:space="preserve"> October 2024].</w:t>
      </w:r>
    </w:p>
    <w:p w14:paraId="7A15BBBD" w14:textId="05BA9474" w:rsidR="00A31240" w:rsidRPr="00A31240" w:rsidRDefault="00A31240" w:rsidP="00A31240">
      <w:pPr>
        <w:spacing w:line="360" w:lineRule="auto"/>
        <w:jc w:val="both"/>
        <w:rPr>
          <w:rFonts w:ascii="Arial" w:hAnsi="Arial" w:cs="Arial"/>
        </w:rPr>
      </w:pPr>
      <w:r w:rsidRPr="00A31240">
        <w:rPr>
          <w:rFonts w:ascii="Arial" w:hAnsi="Arial" w:cs="Arial"/>
        </w:rPr>
        <w:t xml:space="preserve">Gürel, E., &amp; Tat, M. (2017). SWOT analysis: A theoretical review. </w:t>
      </w:r>
      <w:r w:rsidRPr="00B0039D">
        <w:rPr>
          <w:rFonts w:ascii="Arial" w:hAnsi="Arial" w:cs="Arial"/>
          <w:i/>
          <w:iCs/>
        </w:rPr>
        <w:t>Journal of International Social Research,</w:t>
      </w:r>
      <w:r w:rsidRPr="00A31240">
        <w:rPr>
          <w:rFonts w:ascii="Arial" w:hAnsi="Arial" w:cs="Arial"/>
        </w:rPr>
        <w:t xml:space="preserve"> 10(51), 994-1006.</w:t>
      </w:r>
      <w:r w:rsidR="00A30B0C" w:rsidRPr="00A30B0C">
        <w:t xml:space="preserve"> </w:t>
      </w:r>
      <w:r w:rsidR="00A30B0C" w:rsidRPr="00A30B0C">
        <w:rPr>
          <w:rFonts w:ascii="Arial" w:hAnsi="Arial" w:cs="Arial"/>
        </w:rPr>
        <w:t>[Accessed 29 October 2024].</w:t>
      </w:r>
    </w:p>
    <w:p w14:paraId="2ED02EE8" w14:textId="77777777" w:rsidR="00A31240" w:rsidRPr="00A31240" w:rsidRDefault="00A31240" w:rsidP="00A31240">
      <w:pPr>
        <w:spacing w:line="360" w:lineRule="auto"/>
        <w:jc w:val="both"/>
        <w:rPr>
          <w:rFonts w:ascii="Arial" w:hAnsi="Arial" w:cs="Arial"/>
        </w:rPr>
      </w:pPr>
      <w:r w:rsidRPr="00A31240">
        <w:rPr>
          <w:rFonts w:ascii="Arial" w:hAnsi="Arial" w:cs="Arial"/>
        </w:rPr>
        <w:t>Mintel. (2023). Global Trends in Beverages 2023. [online] Available at: https://www.mintel.com [Accessed 30 Oct. 2024].</w:t>
      </w:r>
    </w:p>
    <w:p w14:paraId="03A44DD5" w14:textId="77777777" w:rsidR="00A31240" w:rsidRPr="00A31240" w:rsidRDefault="00A31240" w:rsidP="00A31240">
      <w:pPr>
        <w:spacing w:line="360" w:lineRule="auto"/>
        <w:jc w:val="both"/>
        <w:rPr>
          <w:rFonts w:ascii="Arial" w:hAnsi="Arial" w:cs="Arial"/>
        </w:rPr>
      </w:pPr>
      <w:r w:rsidRPr="00A31240">
        <w:rPr>
          <w:rFonts w:ascii="Arial" w:hAnsi="Arial" w:cs="Arial"/>
        </w:rPr>
        <w:t xml:space="preserve">Statista. (2024). Beverage market in Asia and South America. [online] Available at: https://www.statista.com </w:t>
      </w:r>
      <w:bookmarkStart w:id="75" w:name="_Hlk182716162"/>
      <w:r w:rsidRPr="00A31240">
        <w:rPr>
          <w:rFonts w:ascii="Arial" w:hAnsi="Arial" w:cs="Arial"/>
        </w:rPr>
        <w:t>[Accessed 30 Oct. 2024].</w:t>
      </w:r>
      <w:bookmarkEnd w:id="75"/>
    </w:p>
    <w:p w14:paraId="514A85CC" w14:textId="77777777" w:rsidR="00A31240" w:rsidRPr="00A31240" w:rsidRDefault="00A31240" w:rsidP="00A31240">
      <w:pPr>
        <w:spacing w:line="360" w:lineRule="auto"/>
        <w:jc w:val="both"/>
        <w:rPr>
          <w:rFonts w:ascii="Arial" w:hAnsi="Arial" w:cs="Arial"/>
        </w:rPr>
      </w:pPr>
    </w:p>
    <w:p w14:paraId="32FBBD66" w14:textId="77777777" w:rsidR="00A31240" w:rsidRPr="00A31240" w:rsidRDefault="00A31240" w:rsidP="00A31240">
      <w:pPr>
        <w:spacing w:line="360" w:lineRule="auto"/>
        <w:jc w:val="both"/>
        <w:rPr>
          <w:rFonts w:ascii="Arial" w:hAnsi="Arial" w:cs="Arial"/>
        </w:rPr>
      </w:pPr>
    </w:p>
    <w:p w14:paraId="7E9DC72B" w14:textId="77777777" w:rsidR="00A31240" w:rsidRPr="00A31240" w:rsidRDefault="00A31240" w:rsidP="00A31240">
      <w:pPr>
        <w:spacing w:line="360" w:lineRule="auto"/>
        <w:jc w:val="both"/>
        <w:rPr>
          <w:rFonts w:ascii="Arial" w:hAnsi="Arial" w:cs="Arial"/>
        </w:rPr>
      </w:pPr>
    </w:p>
    <w:p w14:paraId="05EECA04" w14:textId="77777777" w:rsidR="00A31240" w:rsidRPr="00A31240" w:rsidRDefault="00A31240" w:rsidP="00A31240">
      <w:pPr>
        <w:spacing w:line="360" w:lineRule="auto"/>
        <w:jc w:val="both"/>
        <w:rPr>
          <w:rFonts w:ascii="Arial" w:hAnsi="Arial" w:cs="Arial"/>
        </w:rPr>
      </w:pPr>
    </w:p>
    <w:p w14:paraId="1FF0BDD7" w14:textId="77777777" w:rsidR="00A31240" w:rsidRPr="00FB4105" w:rsidRDefault="00A31240" w:rsidP="00FB4105">
      <w:pPr>
        <w:spacing w:line="360" w:lineRule="auto"/>
        <w:jc w:val="both"/>
        <w:rPr>
          <w:rFonts w:ascii="Arial" w:hAnsi="Arial" w:cs="Arial"/>
        </w:rPr>
      </w:pPr>
    </w:p>
    <w:p w14:paraId="392A3FA6" w14:textId="77777777" w:rsidR="00874274" w:rsidRDefault="00874274" w:rsidP="00874274">
      <w:pPr>
        <w:spacing w:line="360" w:lineRule="auto"/>
        <w:jc w:val="both"/>
        <w:rPr>
          <w:rFonts w:ascii="Arial" w:hAnsi="Arial" w:cs="Arial"/>
        </w:rPr>
      </w:pPr>
    </w:p>
    <w:p w14:paraId="21377279" w14:textId="77777777" w:rsidR="00874274" w:rsidRDefault="00874274" w:rsidP="00874274">
      <w:pPr>
        <w:spacing w:line="360" w:lineRule="auto"/>
        <w:jc w:val="both"/>
        <w:rPr>
          <w:rFonts w:ascii="Arial" w:hAnsi="Arial" w:cs="Arial"/>
        </w:rPr>
      </w:pPr>
    </w:p>
    <w:p w14:paraId="1F6CBFC7" w14:textId="77777777" w:rsidR="00874274" w:rsidRDefault="00874274" w:rsidP="00874274">
      <w:pPr>
        <w:spacing w:line="360" w:lineRule="auto"/>
        <w:jc w:val="both"/>
        <w:rPr>
          <w:rFonts w:ascii="Arial" w:hAnsi="Arial" w:cs="Arial"/>
        </w:rPr>
      </w:pPr>
    </w:p>
    <w:p w14:paraId="406EF75A" w14:textId="77777777" w:rsidR="00874274" w:rsidRDefault="00874274" w:rsidP="00874274">
      <w:pPr>
        <w:spacing w:line="360" w:lineRule="auto"/>
        <w:jc w:val="both"/>
        <w:rPr>
          <w:rFonts w:ascii="Arial" w:hAnsi="Arial" w:cs="Arial"/>
        </w:rPr>
      </w:pPr>
    </w:p>
    <w:p w14:paraId="25B2CBD2" w14:textId="77777777" w:rsidR="00874274" w:rsidRDefault="00874274" w:rsidP="00874274">
      <w:pPr>
        <w:spacing w:line="360" w:lineRule="auto"/>
        <w:jc w:val="both"/>
        <w:rPr>
          <w:rFonts w:ascii="Arial" w:hAnsi="Arial" w:cs="Arial"/>
        </w:rPr>
      </w:pPr>
    </w:p>
    <w:p w14:paraId="37C64866" w14:textId="77777777" w:rsidR="00874274" w:rsidRDefault="00874274" w:rsidP="00874274">
      <w:pPr>
        <w:spacing w:line="360" w:lineRule="auto"/>
        <w:jc w:val="both"/>
        <w:rPr>
          <w:rFonts w:ascii="Arial" w:hAnsi="Arial" w:cs="Arial"/>
        </w:rPr>
      </w:pPr>
    </w:p>
    <w:p w14:paraId="61B94E80" w14:textId="501F7604" w:rsidR="00BE7B9B" w:rsidRDefault="006E3EEB">
      <w:r>
        <w:rPr>
          <w:rFonts w:ascii="Arial" w:hAnsi="Arial" w:cs="Arial"/>
        </w:rPr>
        <w:t xml:space="preserve">Part </w:t>
      </w:r>
      <w:r w:rsidR="00341319">
        <w:rPr>
          <w:rFonts w:ascii="Arial" w:hAnsi="Arial" w:cs="Arial"/>
        </w:rPr>
        <w:t>II</w:t>
      </w:r>
    </w:p>
    <w:p w14:paraId="753CDC07" w14:textId="020DB113" w:rsidR="00BE7B9B" w:rsidRDefault="008114B8">
      <w:r w:rsidRPr="00E823F5">
        <w:rPr>
          <w:noProof/>
        </w:rPr>
        <w:drawing>
          <wp:anchor distT="0" distB="0" distL="114300" distR="114300" simplePos="0" relativeHeight="251661312" behindDoc="0" locked="0" layoutInCell="1" allowOverlap="1" wp14:anchorId="37712EF1" wp14:editId="2FE1066B">
            <wp:simplePos x="0" y="0"/>
            <wp:positionH relativeFrom="column">
              <wp:posOffset>-88900</wp:posOffset>
            </wp:positionH>
            <wp:positionV relativeFrom="page">
              <wp:posOffset>1962150</wp:posOffset>
            </wp:positionV>
            <wp:extent cx="5731510" cy="5816600"/>
            <wp:effectExtent l="0" t="0" r="2540" b="0"/>
            <wp:wrapNone/>
            <wp:docPr id="1616262992" name="Picture 3" descr="A chart with colorful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262992" name="Picture 3" descr="A chart with colorful text&#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5816600"/>
                    </a:xfrm>
                    <a:prstGeom prst="rect">
                      <a:avLst/>
                    </a:prstGeom>
                    <a:noFill/>
                    <a:ln>
                      <a:noFill/>
                    </a:ln>
                  </pic:spPr>
                </pic:pic>
              </a:graphicData>
            </a:graphic>
            <wp14:sizeRelV relativeFrom="margin">
              <wp14:pctHeight>0</wp14:pctHeight>
            </wp14:sizeRelV>
          </wp:anchor>
        </w:drawing>
      </w:r>
    </w:p>
    <w:p w14:paraId="7BA195B9" w14:textId="6FA8B010" w:rsidR="002862E0" w:rsidRPr="002862E0" w:rsidRDefault="002862E0" w:rsidP="002862E0"/>
    <w:p w14:paraId="1E8D4B49" w14:textId="55F062DE" w:rsidR="00BE7B9B" w:rsidRDefault="00BE7B9B"/>
    <w:sectPr w:rsidR="00BE7B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B3D4DA" w14:textId="77777777" w:rsidR="004E0667" w:rsidRDefault="004E0667" w:rsidP="00477130">
      <w:pPr>
        <w:spacing w:after="0" w:line="240" w:lineRule="auto"/>
      </w:pPr>
      <w:r>
        <w:separator/>
      </w:r>
    </w:p>
  </w:endnote>
  <w:endnote w:type="continuationSeparator" w:id="0">
    <w:p w14:paraId="09F36E73" w14:textId="77777777" w:rsidR="004E0667" w:rsidRDefault="004E0667" w:rsidP="00477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illeniaUPC">
    <w:charset w:val="DE"/>
    <w:family w:val="roman"/>
    <w:pitch w:val="variable"/>
    <w:sig w:usb0="81000003"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D11CAD" w14:textId="77777777" w:rsidR="004E0667" w:rsidRDefault="004E0667" w:rsidP="00477130">
      <w:pPr>
        <w:spacing w:after="0" w:line="240" w:lineRule="auto"/>
      </w:pPr>
      <w:r>
        <w:separator/>
      </w:r>
    </w:p>
  </w:footnote>
  <w:footnote w:type="continuationSeparator" w:id="0">
    <w:p w14:paraId="770B529C" w14:textId="77777777" w:rsidR="004E0667" w:rsidRDefault="004E0667" w:rsidP="004771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C7F19"/>
    <w:multiLevelType w:val="hybridMultilevel"/>
    <w:tmpl w:val="680C01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F34D3"/>
    <w:multiLevelType w:val="hybridMultilevel"/>
    <w:tmpl w:val="85546A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B54B3"/>
    <w:multiLevelType w:val="hybridMultilevel"/>
    <w:tmpl w:val="5B6A7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06549A"/>
    <w:multiLevelType w:val="hybridMultilevel"/>
    <w:tmpl w:val="DEF861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CC0F9E"/>
    <w:multiLevelType w:val="hybridMultilevel"/>
    <w:tmpl w:val="B53EA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A53269"/>
    <w:multiLevelType w:val="hybridMultilevel"/>
    <w:tmpl w:val="41A0E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84478"/>
    <w:multiLevelType w:val="hybridMultilevel"/>
    <w:tmpl w:val="FD2889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1041E7"/>
    <w:multiLevelType w:val="hybridMultilevel"/>
    <w:tmpl w:val="1D3CED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5B1BA4"/>
    <w:multiLevelType w:val="hybridMultilevel"/>
    <w:tmpl w:val="2C589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407C66"/>
    <w:multiLevelType w:val="hybridMultilevel"/>
    <w:tmpl w:val="3F1450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5D6965"/>
    <w:multiLevelType w:val="hybridMultilevel"/>
    <w:tmpl w:val="327621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2116B9"/>
    <w:multiLevelType w:val="hybridMultilevel"/>
    <w:tmpl w:val="E0D611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578FE"/>
    <w:multiLevelType w:val="hybridMultilevel"/>
    <w:tmpl w:val="E0243F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5489469">
    <w:abstractNumId w:val="9"/>
  </w:num>
  <w:num w:numId="2" w16cid:durableId="760878002">
    <w:abstractNumId w:val="10"/>
  </w:num>
  <w:num w:numId="3" w16cid:durableId="417873106">
    <w:abstractNumId w:val="3"/>
  </w:num>
  <w:num w:numId="4" w16cid:durableId="860973200">
    <w:abstractNumId w:val="5"/>
  </w:num>
  <w:num w:numId="5" w16cid:durableId="1466047900">
    <w:abstractNumId w:val="6"/>
  </w:num>
  <w:num w:numId="6" w16cid:durableId="219446350">
    <w:abstractNumId w:val="1"/>
  </w:num>
  <w:num w:numId="7" w16cid:durableId="1804809147">
    <w:abstractNumId w:val="11"/>
  </w:num>
  <w:num w:numId="8" w16cid:durableId="710113039">
    <w:abstractNumId w:val="8"/>
  </w:num>
  <w:num w:numId="9" w16cid:durableId="1809860716">
    <w:abstractNumId w:val="2"/>
  </w:num>
  <w:num w:numId="10" w16cid:durableId="300382943">
    <w:abstractNumId w:val="4"/>
  </w:num>
  <w:num w:numId="11" w16cid:durableId="1526402291">
    <w:abstractNumId w:val="0"/>
  </w:num>
  <w:num w:numId="12" w16cid:durableId="948663442">
    <w:abstractNumId w:val="12"/>
  </w:num>
  <w:num w:numId="13" w16cid:durableId="15082469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84B"/>
    <w:rsid w:val="0001405B"/>
    <w:rsid w:val="0002571C"/>
    <w:rsid w:val="00041030"/>
    <w:rsid w:val="00050A94"/>
    <w:rsid w:val="00057504"/>
    <w:rsid w:val="00061082"/>
    <w:rsid w:val="00063CDB"/>
    <w:rsid w:val="000659A9"/>
    <w:rsid w:val="00070715"/>
    <w:rsid w:val="00073A9B"/>
    <w:rsid w:val="00073ADF"/>
    <w:rsid w:val="00075845"/>
    <w:rsid w:val="000972F1"/>
    <w:rsid w:val="000A3B8B"/>
    <w:rsid w:val="000B2843"/>
    <w:rsid w:val="000B6C77"/>
    <w:rsid w:val="000C4E00"/>
    <w:rsid w:val="000C5E6E"/>
    <w:rsid w:val="000E119F"/>
    <w:rsid w:val="000E4A4A"/>
    <w:rsid w:val="000E7BB6"/>
    <w:rsid w:val="000F475E"/>
    <w:rsid w:val="000F5DD7"/>
    <w:rsid w:val="00113D55"/>
    <w:rsid w:val="00114FAA"/>
    <w:rsid w:val="00116E49"/>
    <w:rsid w:val="001259E1"/>
    <w:rsid w:val="00132704"/>
    <w:rsid w:val="001354A0"/>
    <w:rsid w:val="00136B3B"/>
    <w:rsid w:val="00136E42"/>
    <w:rsid w:val="001506AD"/>
    <w:rsid w:val="001700F2"/>
    <w:rsid w:val="00171708"/>
    <w:rsid w:val="00172EB0"/>
    <w:rsid w:val="00184CF4"/>
    <w:rsid w:val="00187740"/>
    <w:rsid w:val="00191359"/>
    <w:rsid w:val="001A312E"/>
    <w:rsid w:val="001B012E"/>
    <w:rsid w:val="001B060F"/>
    <w:rsid w:val="001C2266"/>
    <w:rsid w:val="001C7DE4"/>
    <w:rsid w:val="001D2120"/>
    <w:rsid w:val="001D42EE"/>
    <w:rsid w:val="001E1628"/>
    <w:rsid w:val="001E4DF3"/>
    <w:rsid w:val="001E5A1F"/>
    <w:rsid w:val="001F0B0E"/>
    <w:rsid w:val="002047BD"/>
    <w:rsid w:val="00225DD0"/>
    <w:rsid w:val="002353CE"/>
    <w:rsid w:val="00241603"/>
    <w:rsid w:val="00252F0B"/>
    <w:rsid w:val="00256EB7"/>
    <w:rsid w:val="002655F3"/>
    <w:rsid w:val="00270D36"/>
    <w:rsid w:val="002862E0"/>
    <w:rsid w:val="002A2B1F"/>
    <w:rsid w:val="002A3206"/>
    <w:rsid w:val="002B32BE"/>
    <w:rsid w:val="002B668F"/>
    <w:rsid w:val="002B66A6"/>
    <w:rsid w:val="002B777D"/>
    <w:rsid w:val="002C5A26"/>
    <w:rsid w:val="002C66B3"/>
    <w:rsid w:val="002E2407"/>
    <w:rsid w:val="002F643F"/>
    <w:rsid w:val="00300832"/>
    <w:rsid w:val="0030504F"/>
    <w:rsid w:val="003102DD"/>
    <w:rsid w:val="0032695D"/>
    <w:rsid w:val="00336278"/>
    <w:rsid w:val="00341319"/>
    <w:rsid w:val="00344BAC"/>
    <w:rsid w:val="00356424"/>
    <w:rsid w:val="00370280"/>
    <w:rsid w:val="003733AD"/>
    <w:rsid w:val="00373AC2"/>
    <w:rsid w:val="003812B8"/>
    <w:rsid w:val="003855E0"/>
    <w:rsid w:val="003904CC"/>
    <w:rsid w:val="00391638"/>
    <w:rsid w:val="00392FA4"/>
    <w:rsid w:val="00395E2D"/>
    <w:rsid w:val="003A1F7C"/>
    <w:rsid w:val="003D08CB"/>
    <w:rsid w:val="003D1A02"/>
    <w:rsid w:val="003D6222"/>
    <w:rsid w:val="003E2DFF"/>
    <w:rsid w:val="003F0208"/>
    <w:rsid w:val="003F07D7"/>
    <w:rsid w:val="003F0AB9"/>
    <w:rsid w:val="003F3DD6"/>
    <w:rsid w:val="00403775"/>
    <w:rsid w:val="00405FD9"/>
    <w:rsid w:val="004148C4"/>
    <w:rsid w:val="00425B4B"/>
    <w:rsid w:val="00426303"/>
    <w:rsid w:val="004553E7"/>
    <w:rsid w:val="00470C58"/>
    <w:rsid w:val="00477130"/>
    <w:rsid w:val="00477BF1"/>
    <w:rsid w:val="004978B4"/>
    <w:rsid w:val="004C2857"/>
    <w:rsid w:val="004C5A19"/>
    <w:rsid w:val="004D0CE2"/>
    <w:rsid w:val="004D4F55"/>
    <w:rsid w:val="004E0667"/>
    <w:rsid w:val="004E2B28"/>
    <w:rsid w:val="004F4084"/>
    <w:rsid w:val="005123DB"/>
    <w:rsid w:val="00515420"/>
    <w:rsid w:val="005434F7"/>
    <w:rsid w:val="00577155"/>
    <w:rsid w:val="00577B93"/>
    <w:rsid w:val="0058134B"/>
    <w:rsid w:val="00583E5D"/>
    <w:rsid w:val="00585FA0"/>
    <w:rsid w:val="00593A6C"/>
    <w:rsid w:val="0059670A"/>
    <w:rsid w:val="005A3D2C"/>
    <w:rsid w:val="005B0B9D"/>
    <w:rsid w:val="005B6CA4"/>
    <w:rsid w:val="005E720B"/>
    <w:rsid w:val="005F0118"/>
    <w:rsid w:val="005F654B"/>
    <w:rsid w:val="00600D7B"/>
    <w:rsid w:val="00606752"/>
    <w:rsid w:val="00622E1B"/>
    <w:rsid w:val="00643712"/>
    <w:rsid w:val="006519C7"/>
    <w:rsid w:val="006657FB"/>
    <w:rsid w:val="00680D81"/>
    <w:rsid w:val="00691D32"/>
    <w:rsid w:val="006931EB"/>
    <w:rsid w:val="00693741"/>
    <w:rsid w:val="0069403F"/>
    <w:rsid w:val="006B12D4"/>
    <w:rsid w:val="006B5DF7"/>
    <w:rsid w:val="006D331A"/>
    <w:rsid w:val="006D7A41"/>
    <w:rsid w:val="006E384B"/>
    <w:rsid w:val="006E3EEB"/>
    <w:rsid w:val="006E7470"/>
    <w:rsid w:val="00704D76"/>
    <w:rsid w:val="007123D2"/>
    <w:rsid w:val="0073447A"/>
    <w:rsid w:val="00737891"/>
    <w:rsid w:val="00740A8F"/>
    <w:rsid w:val="007467E2"/>
    <w:rsid w:val="0076130A"/>
    <w:rsid w:val="00771A0A"/>
    <w:rsid w:val="00774A8C"/>
    <w:rsid w:val="0077617E"/>
    <w:rsid w:val="0078149D"/>
    <w:rsid w:val="00781F3C"/>
    <w:rsid w:val="0078535F"/>
    <w:rsid w:val="00787C4F"/>
    <w:rsid w:val="00794792"/>
    <w:rsid w:val="007A3360"/>
    <w:rsid w:val="007A359E"/>
    <w:rsid w:val="007B20B8"/>
    <w:rsid w:val="007D2F6F"/>
    <w:rsid w:val="007E13AA"/>
    <w:rsid w:val="007E3722"/>
    <w:rsid w:val="007E45F9"/>
    <w:rsid w:val="007F1A06"/>
    <w:rsid w:val="007F53EA"/>
    <w:rsid w:val="007F69E1"/>
    <w:rsid w:val="007F77EC"/>
    <w:rsid w:val="00800165"/>
    <w:rsid w:val="0080344B"/>
    <w:rsid w:val="00810878"/>
    <w:rsid w:val="008114B8"/>
    <w:rsid w:val="0081217C"/>
    <w:rsid w:val="00812C90"/>
    <w:rsid w:val="00815FFC"/>
    <w:rsid w:val="008200F0"/>
    <w:rsid w:val="00820566"/>
    <w:rsid w:val="00824E6C"/>
    <w:rsid w:val="00842FBE"/>
    <w:rsid w:val="00843C4F"/>
    <w:rsid w:val="00861665"/>
    <w:rsid w:val="00874274"/>
    <w:rsid w:val="0087508F"/>
    <w:rsid w:val="00876C5A"/>
    <w:rsid w:val="00890D75"/>
    <w:rsid w:val="0089665C"/>
    <w:rsid w:val="008A6186"/>
    <w:rsid w:val="008B0F02"/>
    <w:rsid w:val="008B74BF"/>
    <w:rsid w:val="008C2767"/>
    <w:rsid w:val="008C3429"/>
    <w:rsid w:val="008D7CC8"/>
    <w:rsid w:val="008F1E6C"/>
    <w:rsid w:val="009222EB"/>
    <w:rsid w:val="00932885"/>
    <w:rsid w:val="0093508B"/>
    <w:rsid w:val="00935863"/>
    <w:rsid w:val="0094551E"/>
    <w:rsid w:val="00956231"/>
    <w:rsid w:val="0096033B"/>
    <w:rsid w:val="00965933"/>
    <w:rsid w:val="00975B35"/>
    <w:rsid w:val="00982119"/>
    <w:rsid w:val="00983CE7"/>
    <w:rsid w:val="00993B7C"/>
    <w:rsid w:val="00993F8B"/>
    <w:rsid w:val="009A4ED5"/>
    <w:rsid w:val="009E0939"/>
    <w:rsid w:val="00A20609"/>
    <w:rsid w:val="00A214BA"/>
    <w:rsid w:val="00A30B0C"/>
    <w:rsid w:val="00A31240"/>
    <w:rsid w:val="00A34236"/>
    <w:rsid w:val="00A61E99"/>
    <w:rsid w:val="00A70B94"/>
    <w:rsid w:val="00A8772B"/>
    <w:rsid w:val="00A92BDC"/>
    <w:rsid w:val="00AB0B86"/>
    <w:rsid w:val="00AB114D"/>
    <w:rsid w:val="00AB5046"/>
    <w:rsid w:val="00AD4822"/>
    <w:rsid w:val="00AE0B58"/>
    <w:rsid w:val="00AF3B83"/>
    <w:rsid w:val="00AF7AB7"/>
    <w:rsid w:val="00B0039D"/>
    <w:rsid w:val="00B03817"/>
    <w:rsid w:val="00B13367"/>
    <w:rsid w:val="00B13D51"/>
    <w:rsid w:val="00B200E7"/>
    <w:rsid w:val="00B2636E"/>
    <w:rsid w:val="00B309FD"/>
    <w:rsid w:val="00B34A00"/>
    <w:rsid w:val="00B46B42"/>
    <w:rsid w:val="00B46FA5"/>
    <w:rsid w:val="00B54E01"/>
    <w:rsid w:val="00B55351"/>
    <w:rsid w:val="00B81862"/>
    <w:rsid w:val="00B922A7"/>
    <w:rsid w:val="00B948DA"/>
    <w:rsid w:val="00BB2C4A"/>
    <w:rsid w:val="00BB69C4"/>
    <w:rsid w:val="00BD02C9"/>
    <w:rsid w:val="00BE7B9B"/>
    <w:rsid w:val="00BF0368"/>
    <w:rsid w:val="00BF043B"/>
    <w:rsid w:val="00C12798"/>
    <w:rsid w:val="00C32FA7"/>
    <w:rsid w:val="00C7067B"/>
    <w:rsid w:val="00C73463"/>
    <w:rsid w:val="00C80A42"/>
    <w:rsid w:val="00C90CDC"/>
    <w:rsid w:val="00C92464"/>
    <w:rsid w:val="00C9605D"/>
    <w:rsid w:val="00CA04DE"/>
    <w:rsid w:val="00CA12DC"/>
    <w:rsid w:val="00CA2733"/>
    <w:rsid w:val="00CA3275"/>
    <w:rsid w:val="00CA551A"/>
    <w:rsid w:val="00CB3421"/>
    <w:rsid w:val="00CF1436"/>
    <w:rsid w:val="00D12396"/>
    <w:rsid w:val="00D265D9"/>
    <w:rsid w:val="00D26C47"/>
    <w:rsid w:val="00D335A0"/>
    <w:rsid w:val="00D40379"/>
    <w:rsid w:val="00D67D98"/>
    <w:rsid w:val="00D9531D"/>
    <w:rsid w:val="00DA4581"/>
    <w:rsid w:val="00DB079C"/>
    <w:rsid w:val="00DB4F94"/>
    <w:rsid w:val="00DC41D1"/>
    <w:rsid w:val="00DC4EB9"/>
    <w:rsid w:val="00DD3616"/>
    <w:rsid w:val="00DD4C49"/>
    <w:rsid w:val="00DD4DAD"/>
    <w:rsid w:val="00DE0662"/>
    <w:rsid w:val="00DE5F43"/>
    <w:rsid w:val="00DF096F"/>
    <w:rsid w:val="00E04687"/>
    <w:rsid w:val="00E07621"/>
    <w:rsid w:val="00E2448B"/>
    <w:rsid w:val="00E250E7"/>
    <w:rsid w:val="00E34A50"/>
    <w:rsid w:val="00E426E6"/>
    <w:rsid w:val="00E435F4"/>
    <w:rsid w:val="00E43996"/>
    <w:rsid w:val="00E4770E"/>
    <w:rsid w:val="00E608B7"/>
    <w:rsid w:val="00E65911"/>
    <w:rsid w:val="00E66177"/>
    <w:rsid w:val="00E700E7"/>
    <w:rsid w:val="00E72777"/>
    <w:rsid w:val="00E732FC"/>
    <w:rsid w:val="00E75244"/>
    <w:rsid w:val="00E76586"/>
    <w:rsid w:val="00E823F5"/>
    <w:rsid w:val="00E859E5"/>
    <w:rsid w:val="00E93561"/>
    <w:rsid w:val="00E93F2A"/>
    <w:rsid w:val="00EA07C1"/>
    <w:rsid w:val="00EA113A"/>
    <w:rsid w:val="00EB201E"/>
    <w:rsid w:val="00EB285F"/>
    <w:rsid w:val="00EB29AD"/>
    <w:rsid w:val="00ED0076"/>
    <w:rsid w:val="00ED7430"/>
    <w:rsid w:val="00EE0131"/>
    <w:rsid w:val="00EE7FAC"/>
    <w:rsid w:val="00EF417E"/>
    <w:rsid w:val="00EF498B"/>
    <w:rsid w:val="00F008DD"/>
    <w:rsid w:val="00F0285A"/>
    <w:rsid w:val="00F06B7A"/>
    <w:rsid w:val="00F10C81"/>
    <w:rsid w:val="00F34030"/>
    <w:rsid w:val="00F5116B"/>
    <w:rsid w:val="00F62807"/>
    <w:rsid w:val="00F83771"/>
    <w:rsid w:val="00F8470D"/>
    <w:rsid w:val="00F9494A"/>
    <w:rsid w:val="00FA41D0"/>
    <w:rsid w:val="00FB4105"/>
    <w:rsid w:val="00FB5DFE"/>
    <w:rsid w:val="00FD3499"/>
    <w:rsid w:val="00FD4BDE"/>
    <w:rsid w:val="00FE0413"/>
    <w:rsid w:val="00FE404F"/>
    <w:rsid w:val="00FE40B1"/>
    <w:rsid w:val="00FE577A"/>
    <w:rsid w:val="00FE5FBD"/>
    <w:rsid w:val="00FE7936"/>
    <w:rsid w:val="00FF39F1"/>
    <w:rsid w:val="00FF3D94"/>
    <w:rsid w:val="00FF4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499D5"/>
  <w15:chartTrackingRefBased/>
  <w15:docId w15:val="{882E1D0B-7559-4B0A-886D-3C4BC9D24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84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E384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E384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384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E384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E38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8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8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8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84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E384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E384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38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E38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E38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8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8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84B"/>
    <w:rPr>
      <w:rFonts w:eastAsiaTheme="majorEastAsia" w:cstheme="majorBidi"/>
      <w:color w:val="272727" w:themeColor="text1" w:themeTint="D8"/>
    </w:rPr>
  </w:style>
  <w:style w:type="paragraph" w:styleId="Title">
    <w:name w:val="Title"/>
    <w:basedOn w:val="Normal"/>
    <w:next w:val="Normal"/>
    <w:link w:val="TitleChar"/>
    <w:uiPriority w:val="10"/>
    <w:qFormat/>
    <w:rsid w:val="006E38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8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8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8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84B"/>
    <w:pPr>
      <w:spacing w:before="160"/>
      <w:jc w:val="center"/>
    </w:pPr>
    <w:rPr>
      <w:i/>
      <w:iCs/>
      <w:color w:val="404040" w:themeColor="text1" w:themeTint="BF"/>
    </w:rPr>
  </w:style>
  <w:style w:type="character" w:customStyle="1" w:styleId="QuoteChar">
    <w:name w:val="Quote Char"/>
    <w:basedOn w:val="DefaultParagraphFont"/>
    <w:link w:val="Quote"/>
    <w:uiPriority w:val="29"/>
    <w:rsid w:val="006E384B"/>
    <w:rPr>
      <w:i/>
      <w:iCs/>
      <w:color w:val="404040" w:themeColor="text1" w:themeTint="BF"/>
    </w:rPr>
  </w:style>
  <w:style w:type="paragraph" w:styleId="ListParagraph">
    <w:name w:val="List Paragraph"/>
    <w:basedOn w:val="Normal"/>
    <w:uiPriority w:val="34"/>
    <w:qFormat/>
    <w:rsid w:val="006E384B"/>
    <w:pPr>
      <w:ind w:left="720"/>
      <w:contextualSpacing/>
    </w:pPr>
  </w:style>
  <w:style w:type="character" w:styleId="IntenseEmphasis">
    <w:name w:val="Intense Emphasis"/>
    <w:basedOn w:val="DefaultParagraphFont"/>
    <w:uiPriority w:val="21"/>
    <w:qFormat/>
    <w:rsid w:val="006E384B"/>
    <w:rPr>
      <w:i/>
      <w:iCs/>
      <w:color w:val="2F5496" w:themeColor="accent1" w:themeShade="BF"/>
    </w:rPr>
  </w:style>
  <w:style w:type="paragraph" w:styleId="IntenseQuote">
    <w:name w:val="Intense Quote"/>
    <w:basedOn w:val="Normal"/>
    <w:next w:val="Normal"/>
    <w:link w:val="IntenseQuoteChar"/>
    <w:uiPriority w:val="30"/>
    <w:qFormat/>
    <w:rsid w:val="006E38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384B"/>
    <w:rPr>
      <w:i/>
      <w:iCs/>
      <w:color w:val="2F5496" w:themeColor="accent1" w:themeShade="BF"/>
    </w:rPr>
  </w:style>
  <w:style w:type="character" w:styleId="IntenseReference">
    <w:name w:val="Intense Reference"/>
    <w:basedOn w:val="DefaultParagraphFont"/>
    <w:uiPriority w:val="32"/>
    <w:qFormat/>
    <w:rsid w:val="006E384B"/>
    <w:rPr>
      <w:b/>
      <w:bCs/>
      <w:smallCaps/>
      <w:color w:val="2F5496" w:themeColor="accent1" w:themeShade="BF"/>
      <w:spacing w:val="5"/>
    </w:rPr>
  </w:style>
  <w:style w:type="table" w:styleId="TableGrid">
    <w:name w:val="Table Grid"/>
    <w:basedOn w:val="TableNormal"/>
    <w:uiPriority w:val="39"/>
    <w:rsid w:val="006E38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6591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65911"/>
    <w:rPr>
      <w:rFonts w:eastAsiaTheme="minorEastAsia"/>
      <w:kern w:val="0"/>
      <w:lang w:val="en-US"/>
      <w14:ligatures w14:val="none"/>
    </w:rPr>
  </w:style>
  <w:style w:type="character" w:styleId="Hyperlink">
    <w:name w:val="Hyperlink"/>
    <w:basedOn w:val="DefaultParagraphFont"/>
    <w:uiPriority w:val="99"/>
    <w:unhideWhenUsed/>
    <w:rsid w:val="00781F3C"/>
    <w:rPr>
      <w:color w:val="0563C1" w:themeColor="hyperlink"/>
      <w:u w:val="single"/>
    </w:rPr>
  </w:style>
  <w:style w:type="character" w:styleId="UnresolvedMention">
    <w:name w:val="Unresolved Mention"/>
    <w:basedOn w:val="DefaultParagraphFont"/>
    <w:uiPriority w:val="99"/>
    <w:semiHidden/>
    <w:unhideWhenUsed/>
    <w:rsid w:val="00781F3C"/>
    <w:rPr>
      <w:color w:val="605E5C"/>
      <w:shd w:val="clear" w:color="auto" w:fill="E1DFDD"/>
    </w:rPr>
  </w:style>
  <w:style w:type="paragraph" w:styleId="TOCHeading">
    <w:name w:val="TOC Heading"/>
    <w:basedOn w:val="Heading1"/>
    <w:next w:val="Normal"/>
    <w:uiPriority w:val="39"/>
    <w:unhideWhenUsed/>
    <w:qFormat/>
    <w:rsid w:val="00225DD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E0413"/>
    <w:pPr>
      <w:tabs>
        <w:tab w:val="right" w:leader="dot" w:pos="9016"/>
      </w:tabs>
      <w:spacing w:after="100"/>
      <w:jc w:val="both"/>
    </w:pPr>
  </w:style>
  <w:style w:type="paragraph" w:styleId="TOC2">
    <w:name w:val="toc 2"/>
    <w:basedOn w:val="Normal"/>
    <w:next w:val="Normal"/>
    <w:autoRedefine/>
    <w:uiPriority w:val="39"/>
    <w:unhideWhenUsed/>
    <w:rsid w:val="00824E6C"/>
    <w:pPr>
      <w:tabs>
        <w:tab w:val="right" w:leader="dot" w:pos="9016"/>
      </w:tabs>
      <w:spacing w:after="100" w:line="360" w:lineRule="auto"/>
      <w:ind w:left="220"/>
      <w:jc w:val="both"/>
    </w:pPr>
    <w:rPr>
      <w:rFonts w:ascii="Arial" w:hAnsi="Arial" w:cs="Arial"/>
      <w:noProof/>
    </w:rPr>
  </w:style>
  <w:style w:type="paragraph" w:styleId="TOC3">
    <w:name w:val="toc 3"/>
    <w:basedOn w:val="Normal"/>
    <w:next w:val="Normal"/>
    <w:autoRedefine/>
    <w:uiPriority w:val="39"/>
    <w:unhideWhenUsed/>
    <w:rsid w:val="000F5DD7"/>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477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130"/>
  </w:style>
  <w:style w:type="paragraph" w:styleId="Footer">
    <w:name w:val="footer"/>
    <w:basedOn w:val="Normal"/>
    <w:link w:val="FooterChar"/>
    <w:uiPriority w:val="99"/>
    <w:unhideWhenUsed/>
    <w:rsid w:val="00477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1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8738487">
      <w:bodyDiv w:val="1"/>
      <w:marLeft w:val="0"/>
      <w:marRight w:val="0"/>
      <w:marTop w:val="0"/>
      <w:marBottom w:val="0"/>
      <w:divBdr>
        <w:top w:val="none" w:sz="0" w:space="0" w:color="auto"/>
        <w:left w:val="none" w:sz="0" w:space="0" w:color="auto"/>
        <w:bottom w:val="none" w:sz="0" w:space="0" w:color="auto"/>
        <w:right w:val="none" w:sz="0" w:space="0" w:color="auto"/>
      </w:divBdr>
    </w:div>
    <w:div w:id="1236748070">
      <w:bodyDiv w:val="1"/>
      <w:marLeft w:val="0"/>
      <w:marRight w:val="0"/>
      <w:marTop w:val="0"/>
      <w:marBottom w:val="0"/>
      <w:divBdr>
        <w:top w:val="none" w:sz="0" w:space="0" w:color="auto"/>
        <w:left w:val="none" w:sz="0" w:space="0" w:color="auto"/>
        <w:bottom w:val="none" w:sz="0" w:space="0" w:color="auto"/>
        <w:right w:val="none" w:sz="0" w:space="0" w:color="auto"/>
      </w:divBdr>
    </w:div>
    <w:div w:id="1473324204">
      <w:bodyDiv w:val="1"/>
      <w:marLeft w:val="0"/>
      <w:marRight w:val="0"/>
      <w:marTop w:val="0"/>
      <w:marBottom w:val="0"/>
      <w:divBdr>
        <w:top w:val="none" w:sz="0" w:space="0" w:color="auto"/>
        <w:left w:val="none" w:sz="0" w:space="0" w:color="auto"/>
        <w:bottom w:val="none" w:sz="0" w:space="0" w:color="auto"/>
        <w:right w:val="none" w:sz="0" w:space="0" w:color="auto"/>
      </w:divBdr>
    </w:div>
    <w:div w:id="1546987161">
      <w:bodyDiv w:val="1"/>
      <w:marLeft w:val="0"/>
      <w:marRight w:val="0"/>
      <w:marTop w:val="0"/>
      <w:marBottom w:val="0"/>
      <w:divBdr>
        <w:top w:val="none" w:sz="0" w:space="0" w:color="auto"/>
        <w:left w:val="none" w:sz="0" w:space="0" w:color="auto"/>
        <w:bottom w:val="none" w:sz="0" w:space="0" w:color="auto"/>
        <w:right w:val="none" w:sz="0" w:space="0" w:color="auto"/>
      </w:divBdr>
    </w:div>
    <w:div w:id="1566141763">
      <w:bodyDiv w:val="1"/>
      <w:marLeft w:val="0"/>
      <w:marRight w:val="0"/>
      <w:marTop w:val="0"/>
      <w:marBottom w:val="0"/>
      <w:divBdr>
        <w:top w:val="none" w:sz="0" w:space="0" w:color="auto"/>
        <w:left w:val="none" w:sz="0" w:space="0" w:color="auto"/>
        <w:bottom w:val="none" w:sz="0" w:space="0" w:color="auto"/>
        <w:right w:val="none" w:sz="0" w:space="0" w:color="auto"/>
      </w:divBdr>
    </w:div>
    <w:div w:id="1721978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078EB7-D5C4-4BF4-B9C0-0DC64E2CB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17</Pages>
  <Words>4651</Words>
  <Characters>26515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118</cp:revision>
  <dcterms:created xsi:type="dcterms:W3CDTF">2024-10-30T17:17:00Z</dcterms:created>
  <dcterms:modified xsi:type="dcterms:W3CDTF">2024-11-21T21:27:00Z</dcterms:modified>
</cp:coreProperties>
</file>