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3E718A" w:rsidRDefault="00FF23BA">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Community Engagement</w:t>
      </w:r>
    </w:p>
    <w:p w14:paraId="00000002" w14:textId="77777777" w:rsidR="003E718A" w:rsidRDefault="00FF23BA">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Assessment 2</w:t>
      </w:r>
    </w:p>
    <w:p w14:paraId="00000003" w14:textId="5882EB45" w:rsidR="003E718A" w:rsidRDefault="00FF23BA">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Student Name:</w:t>
      </w:r>
      <w:r w:rsidR="00AD08CF">
        <w:rPr>
          <w:rFonts w:ascii="Times New Roman" w:eastAsia="Times New Roman" w:hAnsi="Times New Roman" w:cs="Times New Roman"/>
          <w:color w:val="222222"/>
          <w:sz w:val="24"/>
          <w:szCs w:val="24"/>
        </w:rPr>
        <w:t xml:space="preserve"> Alexandru Cretu</w:t>
      </w:r>
    </w:p>
    <w:p w14:paraId="00000005" w14:textId="361AC6B8" w:rsidR="003E718A" w:rsidRDefault="00FF23BA" w:rsidP="00AD08CF">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Student ID:</w:t>
      </w:r>
      <w:r w:rsidR="00AD08CF">
        <w:rPr>
          <w:rFonts w:ascii="Times New Roman" w:eastAsia="Times New Roman" w:hAnsi="Times New Roman" w:cs="Times New Roman"/>
          <w:color w:val="222222"/>
          <w:sz w:val="24"/>
          <w:szCs w:val="24"/>
        </w:rPr>
        <w:t xml:space="preserve"> </w:t>
      </w:r>
      <w:r w:rsidR="007E19A0">
        <w:rPr>
          <w:rFonts w:ascii="Times New Roman" w:eastAsia="Times New Roman" w:hAnsi="Times New Roman" w:cs="Times New Roman"/>
          <w:color w:val="222222"/>
          <w:sz w:val="24"/>
          <w:szCs w:val="24"/>
        </w:rPr>
        <w:t>2113196</w:t>
      </w:r>
    </w:p>
    <w:p w14:paraId="00000006" w14:textId="73C68FF8" w:rsidR="003E718A" w:rsidRDefault="00FF23BA">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Submission Date:</w:t>
      </w:r>
      <w:r w:rsidR="001D4F0C">
        <w:rPr>
          <w:rFonts w:ascii="Times New Roman" w:eastAsia="Times New Roman" w:hAnsi="Times New Roman" w:cs="Times New Roman"/>
          <w:color w:val="222222"/>
          <w:sz w:val="24"/>
          <w:szCs w:val="24"/>
        </w:rPr>
        <w:t xml:space="preserve"> 30</w:t>
      </w:r>
      <w:bookmarkStart w:id="0" w:name="_GoBack"/>
      <w:bookmarkEnd w:id="0"/>
      <w:r w:rsidR="00AD08CF">
        <w:rPr>
          <w:rFonts w:ascii="Times New Roman" w:eastAsia="Times New Roman" w:hAnsi="Times New Roman" w:cs="Times New Roman"/>
          <w:color w:val="222222"/>
          <w:sz w:val="24"/>
          <w:szCs w:val="24"/>
        </w:rPr>
        <w:t>.04.2022</w:t>
      </w:r>
      <w:r>
        <w:br w:type="page"/>
      </w:r>
    </w:p>
    <w:p w14:paraId="00000007" w14:textId="77777777" w:rsidR="003E718A" w:rsidRPr="00734EF0" w:rsidRDefault="0EDACB8C">
      <w:pPr>
        <w:spacing w:line="360" w:lineRule="auto"/>
        <w:jc w:val="center"/>
        <w:rPr>
          <w:rFonts w:ascii="Times New Roman" w:eastAsia="Times New Roman" w:hAnsi="Times New Roman" w:cs="Times New Roman"/>
          <w:b/>
          <w:color w:val="222222"/>
          <w:sz w:val="24"/>
          <w:szCs w:val="24"/>
        </w:rPr>
      </w:pPr>
      <w:r w:rsidRPr="00734EF0">
        <w:rPr>
          <w:rFonts w:ascii="Times New Roman" w:eastAsia="Times New Roman" w:hAnsi="Times New Roman" w:cs="Times New Roman"/>
          <w:b/>
          <w:bCs/>
          <w:color w:val="222222"/>
          <w:sz w:val="24"/>
          <w:szCs w:val="24"/>
        </w:rPr>
        <w:lastRenderedPageBreak/>
        <w:t>Table of Contents</w:t>
      </w:r>
    </w:p>
    <w:sdt>
      <w:sdtPr>
        <w:rPr>
          <w:rFonts w:ascii="Times New Roman" w:hAnsi="Times New Roman" w:cs="Times New Roman"/>
          <w:sz w:val="24"/>
          <w:szCs w:val="24"/>
        </w:rPr>
        <w:id w:val="52278715"/>
        <w:docPartObj>
          <w:docPartGallery w:val="Table of Contents"/>
          <w:docPartUnique/>
        </w:docPartObj>
      </w:sdtPr>
      <w:sdtEndPr/>
      <w:sdtContent>
        <w:p w14:paraId="77BBF5C0" w14:textId="37B47D33" w:rsidR="0EDACB8C" w:rsidRPr="00734EF0" w:rsidRDefault="0EDACB8C" w:rsidP="0EDACB8C">
          <w:pPr>
            <w:pStyle w:val="Cuprins1"/>
            <w:tabs>
              <w:tab w:val="right" w:leader="dot" w:pos="9015"/>
            </w:tabs>
            <w:rPr>
              <w:rFonts w:ascii="Times New Roman" w:hAnsi="Times New Roman" w:cs="Times New Roman"/>
              <w:sz w:val="24"/>
              <w:szCs w:val="24"/>
            </w:rPr>
          </w:pPr>
          <w:r w:rsidRPr="00734EF0">
            <w:rPr>
              <w:rFonts w:ascii="Times New Roman" w:hAnsi="Times New Roman" w:cs="Times New Roman"/>
              <w:sz w:val="24"/>
              <w:szCs w:val="24"/>
            </w:rPr>
            <w:fldChar w:fldCharType="begin"/>
          </w:r>
          <w:r w:rsidRPr="00734EF0">
            <w:rPr>
              <w:rFonts w:ascii="Times New Roman" w:hAnsi="Times New Roman" w:cs="Times New Roman"/>
              <w:sz w:val="24"/>
              <w:szCs w:val="24"/>
            </w:rPr>
            <w:instrText>TOC \o \z \u \h</w:instrText>
          </w:r>
          <w:r w:rsidRPr="00734EF0">
            <w:rPr>
              <w:rFonts w:ascii="Times New Roman" w:hAnsi="Times New Roman" w:cs="Times New Roman"/>
              <w:sz w:val="24"/>
              <w:szCs w:val="24"/>
            </w:rPr>
            <w:fldChar w:fldCharType="separate"/>
          </w:r>
          <w:hyperlink w:anchor="_Toc1123920802">
            <w:r w:rsidRPr="00734EF0">
              <w:rPr>
                <w:rStyle w:val="Hyperlink"/>
                <w:rFonts w:ascii="Times New Roman" w:hAnsi="Times New Roman" w:cs="Times New Roman"/>
                <w:sz w:val="24"/>
                <w:szCs w:val="24"/>
              </w:rPr>
              <w:t>Introduction</w:t>
            </w:r>
            <w:r w:rsidRPr="00734EF0">
              <w:rPr>
                <w:rFonts w:ascii="Times New Roman" w:hAnsi="Times New Roman" w:cs="Times New Roman"/>
                <w:sz w:val="24"/>
                <w:szCs w:val="24"/>
              </w:rPr>
              <w:tab/>
            </w:r>
            <w:r w:rsidRPr="00734EF0">
              <w:rPr>
                <w:rFonts w:ascii="Times New Roman" w:hAnsi="Times New Roman" w:cs="Times New Roman"/>
                <w:sz w:val="24"/>
                <w:szCs w:val="24"/>
              </w:rPr>
              <w:fldChar w:fldCharType="begin"/>
            </w:r>
            <w:r w:rsidRPr="00734EF0">
              <w:rPr>
                <w:rFonts w:ascii="Times New Roman" w:hAnsi="Times New Roman" w:cs="Times New Roman"/>
                <w:sz w:val="24"/>
                <w:szCs w:val="24"/>
              </w:rPr>
              <w:instrText>PAGEREF _Toc1123920802 \h</w:instrText>
            </w:r>
            <w:r w:rsidRPr="00734EF0">
              <w:rPr>
                <w:rFonts w:ascii="Times New Roman" w:hAnsi="Times New Roman" w:cs="Times New Roman"/>
                <w:sz w:val="24"/>
                <w:szCs w:val="24"/>
              </w:rPr>
            </w:r>
            <w:r w:rsidRPr="00734EF0">
              <w:rPr>
                <w:rFonts w:ascii="Times New Roman" w:hAnsi="Times New Roman" w:cs="Times New Roman"/>
                <w:sz w:val="24"/>
                <w:szCs w:val="24"/>
              </w:rPr>
              <w:fldChar w:fldCharType="separate"/>
            </w:r>
            <w:r w:rsidRPr="00734EF0">
              <w:rPr>
                <w:rStyle w:val="Hyperlink"/>
                <w:rFonts w:ascii="Times New Roman" w:hAnsi="Times New Roman" w:cs="Times New Roman"/>
                <w:sz w:val="24"/>
                <w:szCs w:val="24"/>
              </w:rPr>
              <w:t>2</w:t>
            </w:r>
            <w:r w:rsidRPr="00734EF0">
              <w:rPr>
                <w:rFonts w:ascii="Times New Roman" w:hAnsi="Times New Roman" w:cs="Times New Roman"/>
                <w:sz w:val="24"/>
                <w:szCs w:val="24"/>
              </w:rPr>
              <w:fldChar w:fldCharType="end"/>
            </w:r>
          </w:hyperlink>
        </w:p>
        <w:p w14:paraId="7FA1D055" w14:textId="089B02A3" w:rsidR="0EDACB8C" w:rsidRPr="00734EF0" w:rsidRDefault="004754BC" w:rsidP="0EDACB8C">
          <w:pPr>
            <w:pStyle w:val="Cuprins1"/>
            <w:tabs>
              <w:tab w:val="right" w:leader="dot" w:pos="9015"/>
            </w:tabs>
            <w:rPr>
              <w:rFonts w:ascii="Times New Roman" w:hAnsi="Times New Roman" w:cs="Times New Roman"/>
              <w:sz w:val="24"/>
              <w:szCs w:val="24"/>
            </w:rPr>
          </w:pPr>
          <w:hyperlink w:anchor="_Toc1767883368">
            <w:r w:rsidR="0EDACB8C" w:rsidRPr="00734EF0">
              <w:rPr>
                <w:rStyle w:val="Hyperlink"/>
                <w:rFonts w:ascii="Times New Roman" w:hAnsi="Times New Roman" w:cs="Times New Roman"/>
                <w:sz w:val="24"/>
                <w:szCs w:val="24"/>
              </w:rPr>
              <w:t>Comparison between Two Projects</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_Toc1767883368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3</w:t>
            </w:r>
            <w:r w:rsidR="0EDACB8C" w:rsidRPr="00734EF0">
              <w:rPr>
                <w:rFonts w:ascii="Times New Roman" w:hAnsi="Times New Roman" w:cs="Times New Roman"/>
                <w:sz w:val="24"/>
                <w:szCs w:val="24"/>
              </w:rPr>
              <w:fldChar w:fldCharType="end"/>
            </w:r>
          </w:hyperlink>
        </w:p>
        <w:p w14:paraId="5EC98548" w14:textId="4C5DC227" w:rsidR="0EDACB8C" w:rsidRPr="00734EF0" w:rsidRDefault="004754BC" w:rsidP="0EDACB8C">
          <w:pPr>
            <w:pStyle w:val="Cuprins2"/>
            <w:tabs>
              <w:tab w:val="right" w:leader="dot" w:pos="9015"/>
            </w:tabs>
            <w:rPr>
              <w:rFonts w:ascii="Times New Roman" w:hAnsi="Times New Roman" w:cs="Times New Roman"/>
              <w:sz w:val="24"/>
              <w:szCs w:val="24"/>
            </w:rPr>
          </w:pPr>
          <w:hyperlink w:anchor="_Toc1652540176">
            <w:r w:rsidR="0EDACB8C" w:rsidRPr="00734EF0">
              <w:rPr>
                <w:rStyle w:val="Hyperlink"/>
                <w:rFonts w:ascii="Times New Roman" w:hAnsi="Times New Roman" w:cs="Times New Roman"/>
                <w:sz w:val="24"/>
                <w:szCs w:val="24"/>
              </w:rPr>
              <w:t>Active Consultation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_Toc1652540176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3</w:t>
            </w:r>
            <w:r w:rsidR="0EDACB8C" w:rsidRPr="00734EF0">
              <w:rPr>
                <w:rFonts w:ascii="Times New Roman" w:hAnsi="Times New Roman" w:cs="Times New Roman"/>
                <w:sz w:val="24"/>
                <w:szCs w:val="24"/>
              </w:rPr>
              <w:fldChar w:fldCharType="end"/>
            </w:r>
          </w:hyperlink>
        </w:p>
        <w:p w14:paraId="23DCA393" w14:textId="3322C7F0" w:rsidR="0EDACB8C" w:rsidRPr="00734EF0" w:rsidRDefault="004754BC" w:rsidP="0EDACB8C">
          <w:pPr>
            <w:pStyle w:val="Cuprins2"/>
            <w:tabs>
              <w:tab w:val="right" w:leader="dot" w:pos="9015"/>
            </w:tabs>
            <w:rPr>
              <w:rFonts w:ascii="Times New Roman" w:hAnsi="Times New Roman" w:cs="Times New Roman"/>
              <w:sz w:val="24"/>
              <w:szCs w:val="24"/>
            </w:rPr>
          </w:pPr>
          <w:hyperlink w:anchor="_Toc1078127659">
            <w:r w:rsidR="0EDACB8C" w:rsidRPr="00734EF0">
              <w:rPr>
                <w:rStyle w:val="Hyperlink"/>
                <w:rFonts w:ascii="Times New Roman" w:hAnsi="Times New Roman" w:cs="Times New Roman"/>
                <w:sz w:val="24"/>
                <w:szCs w:val="24"/>
              </w:rPr>
              <w:t>Effective Communication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_Toc1078127659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4</w:t>
            </w:r>
            <w:r w:rsidR="0EDACB8C" w:rsidRPr="00734EF0">
              <w:rPr>
                <w:rFonts w:ascii="Times New Roman" w:hAnsi="Times New Roman" w:cs="Times New Roman"/>
                <w:sz w:val="24"/>
                <w:szCs w:val="24"/>
              </w:rPr>
              <w:fldChar w:fldCharType="end"/>
            </w:r>
          </w:hyperlink>
        </w:p>
        <w:p w14:paraId="0E2D4105" w14:textId="2A1866A7" w:rsidR="0EDACB8C" w:rsidRPr="00734EF0" w:rsidRDefault="004754BC" w:rsidP="0EDACB8C">
          <w:pPr>
            <w:pStyle w:val="Cuprins2"/>
            <w:tabs>
              <w:tab w:val="right" w:leader="dot" w:pos="9015"/>
            </w:tabs>
            <w:rPr>
              <w:rFonts w:ascii="Times New Roman" w:hAnsi="Times New Roman" w:cs="Times New Roman"/>
              <w:sz w:val="24"/>
              <w:szCs w:val="24"/>
            </w:rPr>
          </w:pPr>
          <w:hyperlink w:anchor="_Toc566998610">
            <w:r w:rsidR="0EDACB8C" w:rsidRPr="00734EF0">
              <w:rPr>
                <w:rStyle w:val="Hyperlink"/>
                <w:rFonts w:ascii="Times New Roman" w:hAnsi="Times New Roman" w:cs="Times New Roman"/>
                <w:sz w:val="24"/>
                <w:szCs w:val="24"/>
              </w:rPr>
              <w:t>Stakeholders Participation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_Toc566998610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4</w:t>
            </w:r>
            <w:r w:rsidR="0EDACB8C" w:rsidRPr="00734EF0">
              <w:rPr>
                <w:rFonts w:ascii="Times New Roman" w:hAnsi="Times New Roman" w:cs="Times New Roman"/>
                <w:sz w:val="24"/>
                <w:szCs w:val="24"/>
              </w:rPr>
              <w:fldChar w:fldCharType="end"/>
            </w:r>
          </w:hyperlink>
        </w:p>
        <w:p w14:paraId="6C1394F2" w14:textId="5BB27C90" w:rsidR="0EDACB8C" w:rsidRPr="00734EF0" w:rsidRDefault="004754BC" w:rsidP="0EDACB8C">
          <w:pPr>
            <w:pStyle w:val="Cuprins2"/>
            <w:tabs>
              <w:tab w:val="right" w:leader="dot" w:pos="9015"/>
            </w:tabs>
            <w:rPr>
              <w:rFonts w:ascii="Times New Roman" w:hAnsi="Times New Roman" w:cs="Times New Roman"/>
              <w:sz w:val="24"/>
              <w:szCs w:val="24"/>
            </w:rPr>
          </w:pPr>
          <w:hyperlink w:anchor="_Toc1383091560">
            <w:r w:rsidR="0EDACB8C" w:rsidRPr="00734EF0">
              <w:rPr>
                <w:rStyle w:val="Hyperlink"/>
                <w:rFonts w:ascii="Times New Roman" w:hAnsi="Times New Roman" w:cs="Times New Roman"/>
                <w:sz w:val="24"/>
                <w:szCs w:val="24"/>
              </w:rPr>
              <w:t>Inclusion of Forward-Looking Approach</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_Toc1383091560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5</w:t>
            </w:r>
            <w:r w:rsidR="0EDACB8C" w:rsidRPr="00734EF0">
              <w:rPr>
                <w:rFonts w:ascii="Times New Roman" w:hAnsi="Times New Roman" w:cs="Times New Roman"/>
                <w:sz w:val="24"/>
                <w:szCs w:val="24"/>
              </w:rPr>
              <w:fldChar w:fldCharType="end"/>
            </w:r>
          </w:hyperlink>
        </w:p>
        <w:p w14:paraId="0406DECD" w14:textId="237C0C49" w:rsidR="0EDACB8C" w:rsidRPr="00734EF0" w:rsidRDefault="004754BC" w:rsidP="0EDACB8C">
          <w:pPr>
            <w:pStyle w:val="Cuprins2"/>
            <w:tabs>
              <w:tab w:val="right" w:leader="dot" w:pos="9015"/>
            </w:tabs>
            <w:rPr>
              <w:rFonts w:ascii="Times New Roman" w:hAnsi="Times New Roman" w:cs="Times New Roman"/>
              <w:sz w:val="24"/>
              <w:szCs w:val="24"/>
            </w:rPr>
          </w:pPr>
          <w:hyperlink w:anchor="_Toc885106257">
            <w:r w:rsidR="0EDACB8C" w:rsidRPr="00734EF0">
              <w:rPr>
                <w:rStyle w:val="Hyperlink"/>
                <w:rFonts w:ascii="Times New Roman" w:hAnsi="Times New Roman" w:cs="Times New Roman"/>
                <w:sz w:val="24"/>
                <w:szCs w:val="24"/>
              </w:rPr>
              <w:t>Project Analysis</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_Toc885106257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5</w:t>
            </w:r>
            <w:r w:rsidR="0EDACB8C" w:rsidRPr="00734EF0">
              <w:rPr>
                <w:rFonts w:ascii="Times New Roman" w:hAnsi="Times New Roman" w:cs="Times New Roman"/>
                <w:sz w:val="24"/>
                <w:szCs w:val="24"/>
              </w:rPr>
              <w:fldChar w:fldCharType="end"/>
            </w:r>
          </w:hyperlink>
        </w:p>
        <w:p w14:paraId="56F46176" w14:textId="5ACE0E9A" w:rsidR="0EDACB8C" w:rsidRPr="00734EF0" w:rsidRDefault="004754BC" w:rsidP="0EDACB8C">
          <w:pPr>
            <w:pStyle w:val="Cuprins2"/>
            <w:tabs>
              <w:tab w:val="right" w:leader="dot" w:pos="9015"/>
            </w:tabs>
            <w:rPr>
              <w:rFonts w:ascii="Times New Roman" w:hAnsi="Times New Roman" w:cs="Times New Roman"/>
              <w:sz w:val="24"/>
              <w:szCs w:val="24"/>
            </w:rPr>
          </w:pPr>
          <w:hyperlink w:anchor="_Toc580263651">
            <w:r w:rsidR="0EDACB8C" w:rsidRPr="00734EF0">
              <w:rPr>
                <w:rStyle w:val="Hyperlink"/>
                <w:rFonts w:ascii="Times New Roman" w:hAnsi="Times New Roman" w:cs="Times New Roman"/>
                <w:sz w:val="24"/>
                <w:szCs w:val="24"/>
              </w:rPr>
              <w:t>Community Mapping</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_Toc580263651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5</w:t>
            </w:r>
            <w:r w:rsidR="0EDACB8C" w:rsidRPr="00734EF0">
              <w:rPr>
                <w:rFonts w:ascii="Times New Roman" w:hAnsi="Times New Roman" w:cs="Times New Roman"/>
                <w:sz w:val="24"/>
                <w:szCs w:val="24"/>
              </w:rPr>
              <w:fldChar w:fldCharType="end"/>
            </w:r>
          </w:hyperlink>
        </w:p>
        <w:p w14:paraId="3334E460" w14:textId="2D62BD2B" w:rsidR="0EDACB8C" w:rsidRPr="00734EF0" w:rsidRDefault="004754BC" w:rsidP="0EDACB8C">
          <w:pPr>
            <w:pStyle w:val="Cuprins2"/>
            <w:tabs>
              <w:tab w:val="right" w:leader="dot" w:pos="9015"/>
            </w:tabs>
            <w:rPr>
              <w:rFonts w:ascii="Times New Roman" w:hAnsi="Times New Roman" w:cs="Times New Roman"/>
              <w:sz w:val="24"/>
              <w:szCs w:val="24"/>
            </w:rPr>
          </w:pPr>
          <w:hyperlink w:anchor="_Toc60959903">
            <w:r w:rsidR="0EDACB8C" w:rsidRPr="00734EF0">
              <w:rPr>
                <w:rStyle w:val="Hyperlink"/>
                <w:rFonts w:ascii="Times New Roman" w:hAnsi="Times New Roman" w:cs="Times New Roman"/>
                <w:sz w:val="24"/>
                <w:szCs w:val="24"/>
              </w:rPr>
              <w:t>Social Engagement</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_Toc60959903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6</w:t>
            </w:r>
            <w:r w:rsidR="0EDACB8C" w:rsidRPr="00734EF0">
              <w:rPr>
                <w:rFonts w:ascii="Times New Roman" w:hAnsi="Times New Roman" w:cs="Times New Roman"/>
                <w:sz w:val="24"/>
                <w:szCs w:val="24"/>
              </w:rPr>
              <w:fldChar w:fldCharType="end"/>
            </w:r>
          </w:hyperlink>
        </w:p>
        <w:p w14:paraId="17BE5B24" w14:textId="3B53E417" w:rsidR="0EDACB8C" w:rsidRPr="00734EF0" w:rsidRDefault="004754BC" w:rsidP="0EDACB8C">
          <w:pPr>
            <w:pStyle w:val="Cuprins2"/>
            <w:tabs>
              <w:tab w:val="right" w:leader="dot" w:pos="9015"/>
            </w:tabs>
            <w:rPr>
              <w:rFonts w:ascii="Times New Roman" w:hAnsi="Times New Roman" w:cs="Times New Roman"/>
              <w:sz w:val="24"/>
              <w:szCs w:val="24"/>
            </w:rPr>
          </w:pPr>
          <w:hyperlink w:anchor="_Toc1526114257">
            <w:r w:rsidR="0EDACB8C" w:rsidRPr="00734EF0">
              <w:rPr>
                <w:rStyle w:val="Hyperlink"/>
                <w:rFonts w:ascii="Times New Roman" w:hAnsi="Times New Roman" w:cs="Times New Roman"/>
                <w:sz w:val="24"/>
                <w:szCs w:val="24"/>
              </w:rPr>
              <w:t>Impact Analysis</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_Toc1526114257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6</w:t>
            </w:r>
            <w:r w:rsidR="0EDACB8C" w:rsidRPr="00734EF0">
              <w:rPr>
                <w:rFonts w:ascii="Times New Roman" w:hAnsi="Times New Roman" w:cs="Times New Roman"/>
                <w:sz w:val="24"/>
                <w:szCs w:val="24"/>
              </w:rPr>
              <w:fldChar w:fldCharType="end"/>
            </w:r>
          </w:hyperlink>
        </w:p>
        <w:p w14:paraId="326167AF" w14:textId="54D7C963" w:rsidR="0EDACB8C" w:rsidRPr="00734EF0" w:rsidRDefault="004754BC" w:rsidP="0EDACB8C">
          <w:pPr>
            <w:pStyle w:val="Cuprins2"/>
            <w:tabs>
              <w:tab w:val="right" w:leader="dot" w:pos="9015"/>
            </w:tabs>
            <w:rPr>
              <w:rFonts w:ascii="Times New Roman" w:hAnsi="Times New Roman" w:cs="Times New Roman"/>
              <w:sz w:val="24"/>
              <w:szCs w:val="24"/>
            </w:rPr>
          </w:pPr>
          <w:hyperlink w:anchor="_Toc315484968">
            <w:r w:rsidR="0EDACB8C" w:rsidRPr="00734EF0">
              <w:rPr>
                <w:rStyle w:val="Hyperlink"/>
                <w:rFonts w:ascii="Times New Roman" w:hAnsi="Times New Roman" w:cs="Times New Roman"/>
                <w:sz w:val="24"/>
                <w:szCs w:val="24"/>
              </w:rPr>
              <w:t>Evaluation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_Toc315484968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7</w:t>
            </w:r>
            <w:r w:rsidR="0EDACB8C" w:rsidRPr="00734EF0">
              <w:rPr>
                <w:rFonts w:ascii="Times New Roman" w:hAnsi="Times New Roman" w:cs="Times New Roman"/>
                <w:sz w:val="24"/>
                <w:szCs w:val="24"/>
              </w:rPr>
              <w:fldChar w:fldCharType="end"/>
            </w:r>
          </w:hyperlink>
        </w:p>
        <w:p w14:paraId="63C6B6DD" w14:textId="0A348E75" w:rsidR="0EDACB8C" w:rsidRPr="00734EF0" w:rsidRDefault="004754BC" w:rsidP="0EDACB8C">
          <w:pPr>
            <w:pStyle w:val="Cuprins2"/>
            <w:tabs>
              <w:tab w:val="right" w:leader="dot" w:pos="9015"/>
            </w:tabs>
            <w:rPr>
              <w:rFonts w:ascii="Times New Roman" w:hAnsi="Times New Roman" w:cs="Times New Roman"/>
              <w:sz w:val="24"/>
              <w:szCs w:val="24"/>
            </w:rPr>
          </w:pPr>
          <w:hyperlink w:anchor="_Toc1037361090">
            <w:r w:rsidR="0EDACB8C" w:rsidRPr="00734EF0">
              <w:rPr>
                <w:rStyle w:val="Hyperlink"/>
                <w:rFonts w:ascii="Times New Roman" w:hAnsi="Times New Roman" w:cs="Times New Roman"/>
                <w:sz w:val="24"/>
                <w:szCs w:val="24"/>
              </w:rPr>
              <w:t>Best Practice</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_Toc1037361090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7</w:t>
            </w:r>
            <w:r w:rsidR="0EDACB8C" w:rsidRPr="00734EF0">
              <w:rPr>
                <w:rFonts w:ascii="Times New Roman" w:hAnsi="Times New Roman" w:cs="Times New Roman"/>
                <w:sz w:val="24"/>
                <w:szCs w:val="24"/>
              </w:rPr>
              <w:fldChar w:fldCharType="end"/>
            </w:r>
          </w:hyperlink>
        </w:p>
        <w:p w14:paraId="659AB257" w14:textId="5387F086" w:rsidR="0EDACB8C" w:rsidRPr="00734EF0" w:rsidRDefault="004754BC" w:rsidP="0EDACB8C">
          <w:pPr>
            <w:pStyle w:val="Cuprins1"/>
            <w:tabs>
              <w:tab w:val="right" w:leader="dot" w:pos="9015"/>
            </w:tabs>
            <w:rPr>
              <w:rFonts w:ascii="Times New Roman" w:hAnsi="Times New Roman" w:cs="Times New Roman"/>
              <w:sz w:val="24"/>
              <w:szCs w:val="24"/>
            </w:rPr>
          </w:pPr>
          <w:hyperlink w:anchor="_Toc855984229">
            <w:r w:rsidR="0EDACB8C" w:rsidRPr="00734EF0">
              <w:rPr>
                <w:rStyle w:val="Hyperlink"/>
                <w:rFonts w:ascii="Times New Roman" w:hAnsi="Times New Roman" w:cs="Times New Roman"/>
                <w:sz w:val="24"/>
                <w:szCs w:val="24"/>
              </w:rPr>
              <w:t>Conclusion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_Toc855984229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7</w:t>
            </w:r>
            <w:r w:rsidR="0EDACB8C" w:rsidRPr="00734EF0">
              <w:rPr>
                <w:rFonts w:ascii="Times New Roman" w:hAnsi="Times New Roman" w:cs="Times New Roman"/>
                <w:sz w:val="24"/>
                <w:szCs w:val="24"/>
              </w:rPr>
              <w:fldChar w:fldCharType="end"/>
            </w:r>
          </w:hyperlink>
        </w:p>
        <w:p w14:paraId="35C11955" w14:textId="4D6ACF60" w:rsidR="0EDACB8C" w:rsidRPr="00734EF0" w:rsidRDefault="004754BC" w:rsidP="0EDACB8C">
          <w:pPr>
            <w:pStyle w:val="Cuprins1"/>
            <w:tabs>
              <w:tab w:val="right" w:leader="dot" w:pos="9015"/>
            </w:tabs>
            <w:rPr>
              <w:rFonts w:ascii="Times New Roman" w:hAnsi="Times New Roman" w:cs="Times New Roman"/>
              <w:sz w:val="24"/>
              <w:szCs w:val="24"/>
            </w:rPr>
          </w:pPr>
          <w:hyperlink w:anchor="_Toc1140404901">
            <w:r w:rsidR="0EDACB8C" w:rsidRPr="00734EF0">
              <w:rPr>
                <w:rStyle w:val="Hyperlink"/>
                <w:rFonts w:ascii="Times New Roman" w:hAnsi="Times New Roman" w:cs="Times New Roman"/>
                <w:sz w:val="24"/>
                <w:szCs w:val="24"/>
              </w:rPr>
              <w:t>Reference List</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_Toc1140404901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8</w:t>
            </w:r>
            <w:r w:rsidR="0EDACB8C" w:rsidRPr="00734EF0">
              <w:rPr>
                <w:rFonts w:ascii="Times New Roman" w:hAnsi="Times New Roman" w:cs="Times New Roman"/>
                <w:sz w:val="24"/>
                <w:szCs w:val="24"/>
              </w:rPr>
              <w:fldChar w:fldCharType="end"/>
            </w:r>
          </w:hyperlink>
          <w:r w:rsidR="0EDACB8C" w:rsidRPr="00734EF0">
            <w:rPr>
              <w:rFonts w:ascii="Times New Roman" w:hAnsi="Times New Roman" w:cs="Times New Roman"/>
              <w:sz w:val="24"/>
              <w:szCs w:val="24"/>
            </w:rPr>
            <w:fldChar w:fldCharType="end"/>
          </w:r>
        </w:p>
      </w:sdtContent>
    </w:sdt>
    <w:p w14:paraId="2A50988D" w14:textId="22439E3B" w:rsidR="0EDACB8C" w:rsidRDefault="0EDACB8C" w:rsidP="0EDACB8C">
      <w:pPr>
        <w:spacing w:line="360" w:lineRule="auto"/>
        <w:rPr>
          <w:rFonts w:ascii="Times New Roman" w:eastAsia="Times New Roman" w:hAnsi="Times New Roman" w:cs="Times New Roman"/>
          <w:b/>
          <w:bCs/>
          <w:color w:val="222222"/>
          <w:sz w:val="28"/>
          <w:szCs w:val="28"/>
        </w:rPr>
      </w:pPr>
    </w:p>
    <w:p w14:paraId="00000008" w14:textId="77777777" w:rsidR="003E718A" w:rsidRDefault="00FF23BA">
      <w:pPr>
        <w:spacing w:line="360" w:lineRule="auto"/>
        <w:jc w:val="both"/>
        <w:rPr>
          <w:rFonts w:ascii="Times New Roman" w:eastAsia="Times New Roman" w:hAnsi="Times New Roman" w:cs="Times New Roman"/>
          <w:b/>
          <w:color w:val="222222"/>
          <w:sz w:val="24"/>
          <w:szCs w:val="24"/>
        </w:rPr>
      </w:pPr>
      <w:r>
        <w:br w:type="page"/>
      </w:r>
    </w:p>
    <w:p w14:paraId="00000009"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1" w:name="_Toc1123920802"/>
      <w:r w:rsidRPr="0EDACB8C">
        <w:rPr>
          <w:rFonts w:ascii="Times New Roman" w:eastAsia="Times New Roman" w:hAnsi="Times New Roman" w:cs="Times New Roman"/>
          <w:b/>
          <w:bCs/>
          <w:sz w:val="24"/>
          <w:szCs w:val="24"/>
        </w:rPr>
        <w:t>Introduction</w:t>
      </w:r>
      <w:bookmarkEnd w:id="1"/>
    </w:p>
    <w:p w14:paraId="0000000A"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This is a reflection report of the previous one, which is the real project. The previous one or the real project deals with a community engagement process of protecting the environment of the communities and societies. As it is important to protect the environment first to survive in the societies and communities. The previous project has dealt with growing green space in nature to reduce climate change and limit the loss of biodiversity. Also, that has dealt with the processes so that the universities will also engage in protecting the nature of the communities and societies. On the other hand, this reflection report is going to be an imaginary one, that will discuss some new ideas, thoughts and processes of protecting nature in other ways. This project report will be discussing the various facts of doing community engagement to protect nature and the environment within the societies and communities. Keeping all these facts aside, this project report aims to give another way of protecting the environment and nature compared to the previous project (</w:t>
      </w:r>
      <w:r>
        <w:rPr>
          <w:rFonts w:ascii="Times New Roman" w:eastAsia="Times New Roman" w:hAnsi="Times New Roman" w:cs="Times New Roman"/>
          <w:color w:val="222222"/>
          <w:sz w:val="24"/>
          <w:szCs w:val="24"/>
          <w:highlight w:val="white"/>
        </w:rPr>
        <w:t>Ryan et al., 2020)</w:t>
      </w:r>
      <w:r>
        <w:rPr>
          <w:rFonts w:ascii="Times New Roman" w:eastAsia="Times New Roman" w:hAnsi="Times New Roman" w:cs="Times New Roman"/>
          <w:color w:val="222222"/>
          <w:sz w:val="24"/>
          <w:szCs w:val="24"/>
        </w:rPr>
        <w:t>. Also, this report has the purpose to identify the different aspects of community engagement and understand them. Comparing both the project reports together with their facts on community engagement will be provided in this report.</w:t>
      </w:r>
    </w:p>
    <w:p w14:paraId="0000000B"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2" w:name="_Toc1767883368"/>
      <w:r w:rsidRPr="0EDACB8C">
        <w:rPr>
          <w:rFonts w:ascii="Times New Roman" w:eastAsia="Times New Roman" w:hAnsi="Times New Roman" w:cs="Times New Roman"/>
          <w:b/>
          <w:bCs/>
          <w:sz w:val="24"/>
          <w:szCs w:val="24"/>
        </w:rPr>
        <w:t>Comparison between Two Projects</w:t>
      </w:r>
      <w:bookmarkEnd w:id="2"/>
    </w:p>
    <w:p w14:paraId="0000000C"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previous project dealt with the solutions to reducing disasters and other natural activities. However, this project report will also be going to provide some of the solutions for reducing climate change. The previous project tells about how the green spaces are getting decreased the communities and societies. Due to that, the biodiversity is getting decreased in those communities or localities. To protect biodiversity, the environment and nature, it is important to have some solutions and implement those. Like the same, the previous project has done. However, this project report has also its solutions to reduce climate change to have healthy and good nature (</w:t>
      </w:r>
      <w:r>
        <w:rPr>
          <w:rFonts w:ascii="Times New Roman" w:eastAsia="Times New Roman" w:hAnsi="Times New Roman" w:cs="Times New Roman"/>
          <w:color w:val="222222"/>
          <w:sz w:val="24"/>
          <w:szCs w:val="24"/>
          <w:highlight w:val="white"/>
        </w:rPr>
        <w:t>World Health Organization, 2020)</w:t>
      </w:r>
      <w:r>
        <w:rPr>
          <w:rFonts w:ascii="Times New Roman" w:eastAsia="Times New Roman" w:hAnsi="Times New Roman" w:cs="Times New Roman"/>
          <w:color w:val="222222"/>
          <w:sz w:val="24"/>
          <w:szCs w:val="24"/>
        </w:rPr>
        <w:t xml:space="preserve">. In both the projects, the previous one focused to include the roles of the universities whereas this project is not aiming so. Thus project wants to analyse the issues, identify the facts, find the solutions and implement them to improve the climate change in the environment. However, both of the projects are on protecting nature only. </w:t>
      </w:r>
    </w:p>
    <w:p w14:paraId="0000000D"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3" w:name="_Toc1652540176"/>
      <w:r w:rsidRPr="0EDACB8C">
        <w:rPr>
          <w:rFonts w:ascii="Times New Roman" w:eastAsia="Times New Roman" w:hAnsi="Times New Roman" w:cs="Times New Roman"/>
          <w:b/>
          <w:bCs/>
          <w:sz w:val="24"/>
          <w:szCs w:val="24"/>
        </w:rPr>
        <w:t xml:space="preserve">Active Consultation </w:t>
      </w:r>
      <w:bookmarkEnd w:id="3"/>
    </w:p>
    <w:p w14:paraId="0000000E"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It is important to have a good and active consultation process before doing or taking any decision. As consultation provides moire ideas and solutions, which are helpful to be taken. The previous project has the active consultatio9n process before deciding on protecting the nature and environment. The previous project report has consulted everything about the issue. Then it has decided on protecting nature from losing biodiversity. There are aspects like identifying the issue, finding solutions and implementing those of the previous project that had been discussed first between the participated individuals. Like the same, this project report is also going to discuss and consult first the issue of climate change in the environment of the communities and societies. Then it is going to discuss the aspects of climate change and then find the solutions (</w:t>
      </w:r>
      <w:r>
        <w:rPr>
          <w:rFonts w:ascii="Times New Roman" w:eastAsia="Times New Roman" w:hAnsi="Times New Roman" w:cs="Times New Roman"/>
          <w:color w:val="222222"/>
          <w:sz w:val="24"/>
          <w:szCs w:val="24"/>
          <w:highlight w:val="white"/>
        </w:rPr>
        <w:t>World Health Organization, 2019)</w:t>
      </w:r>
      <w:r>
        <w:rPr>
          <w:rFonts w:ascii="Times New Roman" w:eastAsia="Times New Roman" w:hAnsi="Times New Roman" w:cs="Times New Roman"/>
          <w:color w:val="222222"/>
          <w:sz w:val="24"/>
          <w:szCs w:val="24"/>
        </w:rPr>
        <w:t>. After that, the solutions which will be fruitful will be implemented to protect nature from climate change within the communities and societies.</w:t>
      </w:r>
    </w:p>
    <w:p w14:paraId="0000000F"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4" w:name="_Toc1078127659"/>
      <w:r w:rsidRPr="0EDACB8C">
        <w:rPr>
          <w:rFonts w:ascii="Times New Roman" w:eastAsia="Times New Roman" w:hAnsi="Times New Roman" w:cs="Times New Roman"/>
          <w:b/>
          <w:bCs/>
          <w:sz w:val="24"/>
          <w:szCs w:val="24"/>
        </w:rPr>
        <w:t>Effective Communication</w:t>
      </w:r>
      <w:bookmarkEnd w:id="4"/>
    </w:p>
    <w:p w14:paraId="00000010"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It is important to connect and communicate with other individuals to do something for the society and community. Moreover, when it comes to the improvement of the environment and nature, then it is obvious to connect with others, have a discussion with them and then make the decisions. Like this, the previous project has communicated with other people in the society and community. Then discussed with them and then took the most fruitful decision for the environment of their society and environment to reduce the loss of biodiversity. Here is this project, this process of communicating with others and discussing with them will be the same. This project will discuss with other members of the community the problem of climate change in nature (</w:t>
      </w:r>
      <w:r>
        <w:rPr>
          <w:rFonts w:ascii="Times New Roman" w:eastAsia="Times New Roman" w:hAnsi="Times New Roman" w:cs="Times New Roman"/>
          <w:color w:val="222222"/>
          <w:sz w:val="24"/>
          <w:szCs w:val="24"/>
          <w:highlight w:val="white"/>
        </w:rPr>
        <w:t>Yuan et al., 2020).</w:t>
      </w:r>
      <w:r>
        <w:rPr>
          <w:rFonts w:ascii="Times New Roman" w:eastAsia="Times New Roman" w:hAnsi="Times New Roman" w:cs="Times New Roman"/>
          <w:color w:val="222222"/>
          <w:sz w:val="24"/>
          <w:szCs w:val="24"/>
        </w:rPr>
        <w:t xml:space="preserve"> Then they will discuss the possible aspects of climate change and then make their decisions to find solutions for its implementation. By including the process of communicating, there will be more innovative solutions to the problem.</w:t>
      </w:r>
    </w:p>
    <w:p w14:paraId="00000011"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5" w:name="_Toc566998610"/>
      <w:r w:rsidRPr="0EDACB8C">
        <w:rPr>
          <w:rFonts w:ascii="Times New Roman" w:eastAsia="Times New Roman" w:hAnsi="Times New Roman" w:cs="Times New Roman"/>
          <w:b/>
          <w:bCs/>
          <w:sz w:val="24"/>
          <w:szCs w:val="24"/>
        </w:rPr>
        <w:t>Stakeholders Participation</w:t>
      </w:r>
      <w:bookmarkEnd w:id="5"/>
    </w:p>
    <w:p w14:paraId="00000012"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Participation of stakeholders in any work of society and community is an important thing to be done. The stakeholders are the one who does the funding for the well-being of the societies and communities. SO it is important to include the credit of the stakeholders in the well-being of the community and its environment. The previous project which was dealing with the loss of biodiversity and its reduction has included some of the stakeholders who did the funding and then gave them to do the implementation. This project is also going to include some of the stakeholders, who care for the environment and the communities where people use to live. This project will be done with the help of the stakeholders as they will do the funding and provide all the money to reduce climate change within the communities (</w:t>
      </w:r>
      <w:r>
        <w:rPr>
          <w:rFonts w:ascii="Times New Roman" w:eastAsia="Times New Roman" w:hAnsi="Times New Roman" w:cs="Times New Roman"/>
          <w:color w:val="222222"/>
          <w:sz w:val="24"/>
          <w:szCs w:val="24"/>
          <w:highlight w:val="white"/>
        </w:rPr>
        <w:t>Johnston and Lane, 2018)</w:t>
      </w:r>
      <w:r>
        <w:rPr>
          <w:rFonts w:ascii="Times New Roman" w:eastAsia="Times New Roman" w:hAnsi="Times New Roman" w:cs="Times New Roman"/>
          <w:color w:val="222222"/>
          <w:sz w:val="24"/>
          <w:szCs w:val="24"/>
        </w:rPr>
        <w:t xml:space="preserve">. The stakeholders are the governments, banks, other authorities, businesses, organizations and many more who are going to be a part of it. </w:t>
      </w:r>
    </w:p>
    <w:p w14:paraId="00000013"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6" w:name="_Toc1383091560"/>
      <w:r w:rsidRPr="0EDACB8C">
        <w:rPr>
          <w:rFonts w:ascii="Times New Roman" w:eastAsia="Times New Roman" w:hAnsi="Times New Roman" w:cs="Times New Roman"/>
          <w:b/>
          <w:bCs/>
          <w:sz w:val="24"/>
          <w:szCs w:val="24"/>
        </w:rPr>
        <w:t>Inclusion of Forward-Looking Approach</w:t>
      </w:r>
      <w:bookmarkEnd w:id="6"/>
    </w:p>
    <w:p w14:paraId="00000014" w14:textId="77777777" w:rsidR="003E718A" w:rsidRDefault="00FF23BA" w:rsidP="00115FF7">
      <w:pPr>
        <w:spacing w:line="360" w:lineRule="auto"/>
        <w:ind w:firstLine="720"/>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 xml:space="preserve">The growing community through nature projects help to reduce the impact of natural disasters on the environment. This project also uses nature-based options to decrease climate change in the locality. Also increasing the environment of the community in this environmental project helps to inspire the people to enlarge and bring space to the community </w:t>
      </w:r>
      <w:r>
        <w:rPr>
          <w:rFonts w:ascii="Times New Roman" w:eastAsia="Times New Roman" w:hAnsi="Times New Roman" w:cs="Times New Roman"/>
          <w:b/>
          <w:color w:val="222222"/>
          <w:sz w:val="24"/>
          <w:szCs w:val="24"/>
        </w:rPr>
        <w:t>(</w:t>
      </w:r>
      <w:r>
        <w:rPr>
          <w:rFonts w:ascii="Times New Roman" w:eastAsia="Times New Roman" w:hAnsi="Times New Roman" w:cs="Times New Roman"/>
          <w:color w:val="222222"/>
          <w:sz w:val="24"/>
          <w:szCs w:val="24"/>
          <w:highlight w:val="white"/>
        </w:rPr>
        <w:t>Aram, Solgi and Holden, 2019</w:t>
      </w:r>
      <w:r>
        <w:rPr>
          <w:rFonts w:ascii="Times New Roman" w:eastAsia="Times New Roman" w:hAnsi="Times New Roman" w:cs="Times New Roman"/>
          <w:b/>
          <w:color w:val="222222"/>
          <w:sz w:val="24"/>
          <w:szCs w:val="24"/>
        </w:rPr>
        <w:t>)</w:t>
      </w:r>
      <w:r>
        <w:rPr>
          <w:rFonts w:ascii="Times New Roman" w:eastAsia="Times New Roman" w:hAnsi="Times New Roman" w:cs="Times New Roman"/>
          <w:color w:val="222222"/>
          <w:sz w:val="24"/>
          <w:szCs w:val="24"/>
        </w:rPr>
        <w:t>. Their forward-looking approach includes more green space starting from the local level. This project also implements new designs of sites to maintain the green space and evolve its effect on biodiversity. The other project also has a forward-looking approach. It includes some strategic state plans for the next 5 years. They started their tree plantation from a very small locality that was also able to create a sustainable environment. However, both the projects efficiently engage the community to improve the environment.</w:t>
      </w:r>
    </w:p>
    <w:p w14:paraId="00000015"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7" w:name="_Toc885106257"/>
      <w:r w:rsidRPr="0EDACB8C">
        <w:rPr>
          <w:rFonts w:ascii="Times New Roman" w:eastAsia="Times New Roman" w:hAnsi="Times New Roman" w:cs="Times New Roman"/>
          <w:b/>
          <w:bCs/>
          <w:sz w:val="24"/>
          <w:szCs w:val="24"/>
        </w:rPr>
        <w:t>Project Analysis</w:t>
      </w:r>
      <w:bookmarkEnd w:id="7"/>
    </w:p>
    <w:p w14:paraId="00000016"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Both projects efficiently increase the viability of natural factors. The growing community through the nature project is helping to reduce the impression of climate change by engaging communities that enlarge the green space. This project also has a positive effect on biodiversity as well as the local community. This project also analyses the effect of natural disasters on the environment as well as on the community </w:t>
      </w:r>
      <w:r>
        <w:rPr>
          <w:rFonts w:ascii="Times New Roman" w:eastAsia="Times New Roman" w:hAnsi="Times New Roman" w:cs="Times New Roman"/>
          <w:b/>
          <w:color w:val="222222"/>
          <w:sz w:val="24"/>
          <w:szCs w:val="24"/>
        </w:rPr>
        <w:t>(</w:t>
      </w:r>
      <w:r>
        <w:rPr>
          <w:rFonts w:ascii="Times New Roman" w:eastAsia="Times New Roman" w:hAnsi="Times New Roman" w:cs="Times New Roman"/>
          <w:color w:val="222222"/>
          <w:sz w:val="24"/>
          <w:szCs w:val="24"/>
          <w:highlight w:val="white"/>
        </w:rPr>
        <w:t>Pesch, Spekkink and Quist, 2019</w:t>
      </w:r>
      <w:r>
        <w:rPr>
          <w:rFonts w:ascii="Times New Roman" w:eastAsia="Times New Roman" w:hAnsi="Times New Roman" w:cs="Times New Roman"/>
          <w:b/>
          <w:color w:val="222222"/>
          <w:sz w:val="24"/>
          <w:szCs w:val="24"/>
        </w:rPr>
        <w:t xml:space="preserve">). </w:t>
      </w:r>
      <w:r>
        <w:rPr>
          <w:rFonts w:ascii="Times New Roman" w:eastAsia="Times New Roman" w:hAnsi="Times New Roman" w:cs="Times New Roman"/>
          <w:color w:val="222222"/>
          <w:sz w:val="24"/>
          <w:szCs w:val="24"/>
        </w:rPr>
        <w:t xml:space="preserve"> It can create sustainability in the environment. On the other hand, the next project is also planting trees in very small localities to improve the impact of greenery in those specific localities. The main focus of this project is to make air purify and stabilise the environmental factors. However, the growing community through nature projects is effectively increasing their green space by increasing the awareness about climate change in the community. It can create a more positive impact on a sustainable environment.</w:t>
      </w:r>
    </w:p>
    <w:p w14:paraId="00000017"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8" w:name="_Toc580263651"/>
      <w:r w:rsidRPr="0EDACB8C">
        <w:rPr>
          <w:rFonts w:ascii="Times New Roman" w:eastAsia="Times New Roman" w:hAnsi="Times New Roman" w:cs="Times New Roman"/>
          <w:b/>
          <w:bCs/>
          <w:sz w:val="24"/>
          <w:szCs w:val="24"/>
        </w:rPr>
        <w:t>Community Mapping</w:t>
      </w:r>
      <w:bookmarkEnd w:id="8"/>
    </w:p>
    <w:p w14:paraId="00000018"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Growing community through nature is providing stability to a lot of environmental assets. Increasing the Awareness of Climate Change helps to understand the significance of environmental factors in a society. It can also provide a concept of the damage of environmental factors due to natural disasters. By acknowledging this the community is more active to build a sustainable environment by increasing the green space in the community. It can ultimately increase the overall positive impact in the UK. Also enlarging the bring space is counted as an important environmental asset. The next project is also able to address the challenges that the local people face due to natural disasters (</w:t>
      </w:r>
      <w:r>
        <w:rPr>
          <w:rFonts w:ascii="Times New Roman" w:eastAsia="Times New Roman" w:hAnsi="Times New Roman" w:cs="Times New Roman"/>
          <w:color w:val="222222"/>
          <w:sz w:val="24"/>
          <w:szCs w:val="24"/>
          <w:highlight w:val="white"/>
        </w:rPr>
        <w:t>Papagiannakis et al., 2019</w:t>
      </w:r>
      <w:r>
        <w:rPr>
          <w:rFonts w:ascii="Times New Roman" w:eastAsia="Times New Roman" w:hAnsi="Times New Roman" w:cs="Times New Roman"/>
          <w:color w:val="222222"/>
          <w:sz w:val="24"/>
          <w:szCs w:val="24"/>
        </w:rPr>
        <w:t>). This project efficiently plants a lot of trees that are more sustainable in the natural factors. However, the lack of stakeholders and low engagement of social platforms are decreasing the community involvement in this project. This project can improve the local environment by engaging the community from a small locality. Both the projects efficiently deliver a positive impact on the assets of the environment.</w:t>
      </w:r>
    </w:p>
    <w:p w14:paraId="00000019"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9" w:name="_Toc60959903"/>
      <w:r w:rsidRPr="0EDACB8C">
        <w:rPr>
          <w:rFonts w:ascii="Times New Roman" w:eastAsia="Times New Roman" w:hAnsi="Times New Roman" w:cs="Times New Roman"/>
          <w:b/>
          <w:bCs/>
          <w:sz w:val="24"/>
          <w:szCs w:val="24"/>
        </w:rPr>
        <w:t xml:space="preserve">Social Engagement </w:t>
      </w:r>
      <w:bookmarkEnd w:id="9"/>
    </w:p>
    <w:p w14:paraId="0000001A"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Growing community through nature projects is efficiently working in three cornist terms. Here they are conducting workshops. The workshops can bring many people who interact with their ideas to create a sustainable space and ultimately develop the environmental effect. This project is using several social platforms like Facebook Twitter Instagram to spread the Awareness of climate change in a large Geographic area. The other project also uses social platforms. However, their social engagement is comparatively lower than in the first project. They use WhatsApp groups and a few Facebook pages to interact with people and engage the local people to create a sustainable environmental impact in the locality (</w:t>
      </w:r>
      <w:r>
        <w:rPr>
          <w:rFonts w:ascii="Times New Roman" w:eastAsia="Times New Roman" w:hAnsi="Times New Roman" w:cs="Times New Roman"/>
          <w:color w:val="222222"/>
          <w:sz w:val="24"/>
          <w:szCs w:val="24"/>
          <w:highlight w:val="white"/>
        </w:rPr>
        <w:t>Santos et al., 2018</w:t>
      </w:r>
      <w:r>
        <w:rPr>
          <w:rFonts w:ascii="Times New Roman" w:eastAsia="Times New Roman" w:hAnsi="Times New Roman" w:cs="Times New Roman"/>
          <w:color w:val="222222"/>
          <w:sz w:val="24"/>
          <w:szCs w:val="24"/>
        </w:rPr>
        <w:t>). The next project will provide a comparatively low environmental impact due to the less engagement of stakeholders and donors. This project also does not have viable funding that may influence their sustainable activity in the community. However, both the projects are to efficiently import the social platforms to enhance the environmental sustainability by engaging the community.</w:t>
      </w:r>
    </w:p>
    <w:p w14:paraId="0000001B"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10" w:name="_Toc1526114257"/>
      <w:r w:rsidRPr="0EDACB8C">
        <w:rPr>
          <w:rFonts w:ascii="Times New Roman" w:eastAsia="Times New Roman" w:hAnsi="Times New Roman" w:cs="Times New Roman"/>
          <w:b/>
          <w:bCs/>
          <w:sz w:val="24"/>
          <w:szCs w:val="24"/>
        </w:rPr>
        <w:t xml:space="preserve">Impact Analysis </w:t>
      </w:r>
      <w:bookmarkEnd w:id="10"/>
    </w:p>
    <w:p w14:paraId="0000001C"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significance of stakeholders and members is comparatively more in the first project than in the second one. This project can provide an efficient community engagement product that helps to create a positive impact in nature. According to this project, conducting workshops can cover a lot of people and also raise awareness about climate change. The impact analysis of the growing community nature project is adopted to increase the sustainability of the environment. On the other hand, the next project started its journey from a very small locality that helped to ameliorate the environment in a specific locality. The impact of the first project on the environment is superior to the second one. The first project is not only enlarging the dream space as well as spreading awareness about biodiversity and climate change in the community. It creates a sustainable impact on the environment and also efficiently engages the community. Both projects are playing a viable impact analysis that ultimately provides a positive effect in nature.</w:t>
      </w:r>
    </w:p>
    <w:p w14:paraId="0000001D"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11" w:name="_Toc315484968"/>
      <w:r w:rsidRPr="0EDACB8C">
        <w:rPr>
          <w:rFonts w:ascii="Times New Roman" w:eastAsia="Times New Roman" w:hAnsi="Times New Roman" w:cs="Times New Roman"/>
          <w:b/>
          <w:bCs/>
          <w:sz w:val="24"/>
          <w:szCs w:val="24"/>
        </w:rPr>
        <w:t>Evaluation</w:t>
      </w:r>
      <w:bookmarkEnd w:id="11"/>
    </w:p>
    <w:p w14:paraId="0000001E" w14:textId="77777777" w:rsidR="003E718A" w:rsidRDefault="00FF23BA" w:rsidP="00115FF7">
      <w:pPr>
        <w:spacing w:line="360" w:lineRule="auto"/>
        <w:ind w:firstLine="720"/>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Both the projects are responsible for the evolution of a sustainable environment. After examining the impact of both of the projects it can be said that both projects are performed to increase the sustainability of the environment. The first project was able to increase the awareness of climate change in the community which ultimately helped to provide impartible improvement in the community. As well as ultimately providing a successful community engagement program in the UK. It can also improve the economic infrastructure of the UK. The second project is also to increase the green space in small localities. The second project also plans to develop a more sustainable green space within 5 years. Both the projects are contributing a positive impact that ultimately leads to the evolution of the environment. Those environmental projects efficiently create sustainability in nature through a successful engagement of the community.</w:t>
      </w:r>
    </w:p>
    <w:p w14:paraId="0000001F"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12" w:name="_Toc1037361090"/>
      <w:r w:rsidRPr="0EDACB8C">
        <w:rPr>
          <w:rFonts w:ascii="Times New Roman" w:eastAsia="Times New Roman" w:hAnsi="Times New Roman" w:cs="Times New Roman"/>
          <w:b/>
          <w:bCs/>
          <w:sz w:val="24"/>
          <w:szCs w:val="24"/>
        </w:rPr>
        <w:t>Best Practice</w:t>
      </w:r>
      <w:bookmarkEnd w:id="12"/>
    </w:p>
    <w:p w14:paraId="00000020"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Engaging the community successfully to improve the environmental and communal impact is overall a positive practice for any society. This practice is an efficient way that is beneficial for society. The participation of the members in this program helps to develop a successful impact in the community (</w:t>
      </w:r>
      <w:r>
        <w:rPr>
          <w:rFonts w:ascii="Times New Roman" w:eastAsia="Times New Roman" w:hAnsi="Times New Roman" w:cs="Times New Roman"/>
          <w:color w:val="222222"/>
          <w:sz w:val="24"/>
          <w:szCs w:val="24"/>
          <w:highlight w:val="white"/>
        </w:rPr>
        <w:t>Roe and Booker, 2019</w:t>
      </w:r>
      <w:r>
        <w:rPr>
          <w:rFonts w:ascii="Times New Roman" w:eastAsia="Times New Roman" w:hAnsi="Times New Roman" w:cs="Times New Roman"/>
          <w:color w:val="222222"/>
          <w:sz w:val="24"/>
          <w:szCs w:val="24"/>
        </w:rPr>
        <w:t>). The best practice of the Growing Community Through  Nature project is to spread awareness about climate change in the community. It efficiently increases the value of the natural factors in the community as well as it also inspires the stakeholders to participate in this project. This project is effectively creating a positive impact on the community post on the other hand the next project also performs its best practice by starting its journey from the local area. It effectively helps to understand the local impact due to the natural disaster. In this way, they can efficiently address the challenges in small localities. Also, the planting of trees is providing a beneficial advantage to the community through this project.</w:t>
      </w:r>
    </w:p>
    <w:p w14:paraId="00000021"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13" w:name="_Toc855984229"/>
      <w:r w:rsidRPr="0EDACB8C">
        <w:rPr>
          <w:rFonts w:ascii="Times New Roman" w:eastAsia="Times New Roman" w:hAnsi="Times New Roman" w:cs="Times New Roman"/>
          <w:b/>
          <w:bCs/>
          <w:sz w:val="24"/>
          <w:szCs w:val="24"/>
        </w:rPr>
        <w:t>Conclusion</w:t>
      </w:r>
      <w:bookmarkEnd w:id="13"/>
    </w:p>
    <w:p w14:paraId="00000022"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the conclusion part, it can be said that the community engagement process is an important thing to be done within the communities. It is important to do something for the communities where people reside. Moreover, for this both the projects are working for the communities to reduce the loss of biodiversity and climate change respectively. In this report, a comparison between two of the projects is present. Along with that, the participation of stakeholders to complete the implementation of reducing climate change is analysed here. Besides this, the process of communication with others within the community to do the environmental improvements is very important and also analysed here. Also, some more aspects of community engagement are analysed here in this report. </w:t>
      </w:r>
    </w:p>
    <w:p w14:paraId="00000023" w14:textId="77777777" w:rsidR="003E718A" w:rsidRDefault="00FF23BA">
      <w:pPr>
        <w:spacing w:line="360" w:lineRule="auto"/>
        <w:jc w:val="both"/>
        <w:rPr>
          <w:rFonts w:ascii="Times New Roman" w:eastAsia="Times New Roman" w:hAnsi="Times New Roman" w:cs="Times New Roman"/>
          <w:b/>
          <w:color w:val="222222"/>
          <w:sz w:val="24"/>
          <w:szCs w:val="24"/>
        </w:rPr>
      </w:pPr>
      <w:r>
        <w:br w:type="page"/>
      </w:r>
    </w:p>
    <w:p w14:paraId="00000024"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14" w:name="_Toc1140404901"/>
      <w:r w:rsidRPr="0EDACB8C">
        <w:rPr>
          <w:rFonts w:ascii="Times New Roman" w:eastAsia="Times New Roman" w:hAnsi="Times New Roman" w:cs="Times New Roman"/>
          <w:b/>
          <w:bCs/>
          <w:sz w:val="24"/>
          <w:szCs w:val="24"/>
        </w:rPr>
        <w:t>Reference List</w:t>
      </w:r>
      <w:bookmarkEnd w:id="14"/>
    </w:p>
    <w:p w14:paraId="00000025"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Aram, F., Solgi, E. and Holden, G., 2019. The role of green spaces in increasing social interactions in neighborhoods with periodic markets. </w:t>
      </w:r>
      <w:r>
        <w:rPr>
          <w:rFonts w:ascii="Times New Roman" w:eastAsia="Times New Roman" w:hAnsi="Times New Roman" w:cs="Times New Roman"/>
          <w:i/>
          <w:color w:val="222222"/>
          <w:sz w:val="24"/>
          <w:szCs w:val="24"/>
          <w:highlight w:val="white"/>
        </w:rPr>
        <w:t>Habitat International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84</w:t>
      </w:r>
      <w:r>
        <w:rPr>
          <w:rFonts w:ascii="Times New Roman" w:eastAsia="Times New Roman" w:hAnsi="Times New Roman" w:cs="Times New Roman"/>
          <w:color w:val="222222"/>
          <w:sz w:val="24"/>
          <w:szCs w:val="24"/>
          <w:highlight w:val="white"/>
        </w:rPr>
        <w:t xml:space="preserve">, pp.24-32. Available at: </w:t>
      </w:r>
      <w:hyperlink r:id="rId7">
        <w:r>
          <w:rPr>
            <w:rFonts w:ascii="Times New Roman" w:eastAsia="Times New Roman" w:hAnsi="Times New Roman" w:cs="Times New Roman"/>
            <w:color w:val="222222"/>
            <w:sz w:val="24"/>
            <w:szCs w:val="24"/>
            <w:highlight w:val="white"/>
            <w:u w:val="single"/>
          </w:rPr>
          <w:t>https://oa.upm.es/62470/1/433bd53b3fc7edf7847478713855f83d.pdf</w:t>
        </w:r>
      </w:hyperlink>
    </w:p>
    <w:p w14:paraId="00000026"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Johnston, K.A. and Lane, A.B., 2018. Building relational capital: The contribution of episodic and relational community engagement. </w:t>
      </w:r>
      <w:r>
        <w:rPr>
          <w:rFonts w:ascii="Times New Roman" w:eastAsia="Times New Roman" w:hAnsi="Times New Roman" w:cs="Times New Roman"/>
          <w:i/>
          <w:color w:val="222222"/>
          <w:sz w:val="24"/>
          <w:szCs w:val="24"/>
          <w:highlight w:val="white"/>
        </w:rPr>
        <w:t>Public Relations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 xml:space="preserve">(5), pp.633-644. Available at: </w:t>
      </w:r>
      <w:hyperlink r:id="rId8">
        <w:r>
          <w:rPr>
            <w:rFonts w:ascii="Times New Roman" w:eastAsia="Times New Roman" w:hAnsi="Times New Roman" w:cs="Times New Roman"/>
            <w:color w:val="222222"/>
            <w:sz w:val="24"/>
            <w:szCs w:val="24"/>
            <w:highlight w:val="white"/>
            <w:u w:val="single"/>
          </w:rPr>
          <w:t>ttps://eprints.qut.edu.au/122200/2/122200.pdf</w:t>
        </w:r>
      </w:hyperlink>
      <w:r>
        <w:rPr>
          <w:rFonts w:ascii="Times New Roman" w:eastAsia="Times New Roman" w:hAnsi="Times New Roman" w:cs="Times New Roman"/>
          <w:color w:val="222222"/>
          <w:sz w:val="24"/>
          <w:szCs w:val="24"/>
          <w:highlight w:val="white"/>
        </w:rPr>
        <w:t xml:space="preserve"> </w:t>
      </w:r>
    </w:p>
    <w:p w14:paraId="00000027"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Papagiannakis, G., Voudouris, I., Lioukas, S. and Kassinis, G., 2019. Environmental management systems and environmental product innovation: The role of stakeholder engagement. </w:t>
      </w:r>
      <w:r>
        <w:rPr>
          <w:rFonts w:ascii="Times New Roman" w:eastAsia="Times New Roman" w:hAnsi="Times New Roman" w:cs="Times New Roman"/>
          <w:i/>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xml:space="preserve">(6), pp.939-950. Available at: </w:t>
      </w:r>
      <w:hyperlink r:id="rId9">
        <w:r>
          <w:rPr>
            <w:rFonts w:ascii="Times New Roman" w:eastAsia="Times New Roman" w:hAnsi="Times New Roman" w:cs="Times New Roman"/>
            <w:color w:val="222222"/>
            <w:sz w:val="24"/>
            <w:szCs w:val="24"/>
            <w:highlight w:val="white"/>
            <w:u w:val="single"/>
          </w:rPr>
          <w:t>https://d1wqtxts1xzle7.cloudfront.net/58312438/BSE2-with-cover-page-v2.pdf?Expires=1651049114&amp;Signature=C0txv0h-8EghCsiHhSOvucpX20SnmecEyh78T4CJZ9kTdZVu8541t36zkLydektiYo922f~nBWSOedZgevkCuTCgM01fQatGv2O61s9BRgduePeyFNh-xMUt-jb5iC2c1Z9HC1jDvJeJen7nOjQL0yIMpZ~STbFBSYYWCBDs2WFMszNuXNveRvXPPdi~oGz3EuCP-RCYBkSTMzGOJhtP6cWdlHRR0B3yz~K15tEYhrGqP8rgapr9McybroEogqk5rVnk9YLSRxNMiB~ES-vk4QramTAGxiGd8Vma1IGXjhVQ8UFUYk-yspq622MbdgHSGcETbtXUpBjNE9QCNlTxhw__&amp;Key-Pair-Id=APKAJLOHF5GGSLRBV4ZA</w:t>
        </w:r>
      </w:hyperlink>
    </w:p>
    <w:p w14:paraId="00000028"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Pesch, U., Spekkink, W. and Quist, J., 2019. Local sustainability initiatives: innovation and civic engagement in societal experiments. </w:t>
      </w:r>
      <w:r>
        <w:rPr>
          <w:rFonts w:ascii="Times New Roman" w:eastAsia="Times New Roman" w:hAnsi="Times New Roman" w:cs="Times New Roman"/>
          <w:i/>
          <w:color w:val="222222"/>
          <w:sz w:val="24"/>
          <w:szCs w:val="24"/>
          <w:highlight w:val="white"/>
        </w:rPr>
        <w:t>European planning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 xml:space="preserve">(2), pp.300-317. Available at: </w:t>
      </w:r>
      <w:hyperlink r:id="rId10">
        <w:r>
          <w:rPr>
            <w:rFonts w:ascii="Times New Roman" w:eastAsia="Times New Roman" w:hAnsi="Times New Roman" w:cs="Times New Roman"/>
            <w:color w:val="222222"/>
            <w:sz w:val="24"/>
            <w:szCs w:val="24"/>
            <w:highlight w:val="white"/>
            <w:u w:val="single"/>
          </w:rPr>
          <w:t>https://www.tandfonline.com/doi/pdf/10.1080/09654313.2018.1464549</w:t>
        </w:r>
      </w:hyperlink>
    </w:p>
    <w:p w14:paraId="00000029"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Roe, D. and Booker, F., 2019. Engaging local communities in tackling illegal wildlife trade: A synthesis of approaches and lessons for best practice. </w:t>
      </w:r>
      <w:r>
        <w:rPr>
          <w:rFonts w:ascii="Times New Roman" w:eastAsia="Times New Roman" w:hAnsi="Times New Roman" w:cs="Times New Roman"/>
          <w:i/>
          <w:color w:val="222222"/>
          <w:sz w:val="24"/>
          <w:szCs w:val="24"/>
          <w:highlight w:val="white"/>
        </w:rPr>
        <w:t>Conservation Science and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xml:space="preserve">(5), p.e26. Available at: </w:t>
      </w:r>
      <w:hyperlink r:id="rId11">
        <w:r>
          <w:rPr>
            <w:rFonts w:ascii="Times New Roman" w:eastAsia="Times New Roman" w:hAnsi="Times New Roman" w:cs="Times New Roman"/>
            <w:color w:val="222222"/>
            <w:sz w:val="24"/>
            <w:szCs w:val="24"/>
            <w:highlight w:val="white"/>
            <w:u w:val="single"/>
          </w:rPr>
          <w:t>https://conbio.onlinelibrary.wiley.com/doi/pdf/10.1111/csp2.26</w:t>
        </w:r>
      </w:hyperlink>
    </w:p>
    <w:p w14:paraId="0000002A"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Ryan, B., Johnston, K.A., Taylor, M. and McAndrew, R., 2020. Community engagement for disaster preparedness: A systematic literature review. </w:t>
      </w:r>
      <w:r>
        <w:rPr>
          <w:rFonts w:ascii="Times New Roman" w:eastAsia="Times New Roman" w:hAnsi="Times New Roman" w:cs="Times New Roman"/>
          <w:i/>
          <w:color w:val="222222"/>
          <w:sz w:val="24"/>
          <w:szCs w:val="24"/>
          <w:highlight w:val="white"/>
        </w:rPr>
        <w:t>International journal of disaster risk reduction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 xml:space="preserve">, p.101655. Available at: </w:t>
      </w:r>
      <w:hyperlink r:id="rId12">
        <w:r>
          <w:rPr>
            <w:rFonts w:ascii="Times New Roman" w:eastAsia="Times New Roman" w:hAnsi="Times New Roman" w:cs="Times New Roman"/>
            <w:color w:val="222222"/>
            <w:sz w:val="24"/>
            <w:szCs w:val="24"/>
            <w:highlight w:val="white"/>
            <w:u w:val="single"/>
          </w:rPr>
          <w:t>https://eprints.qut.edu.au/202039/1/59981815.pdf</w:t>
        </w:r>
      </w:hyperlink>
      <w:r>
        <w:rPr>
          <w:rFonts w:ascii="Times New Roman" w:eastAsia="Times New Roman" w:hAnsi="Times New Roman" w:cs="Times New Roman"/>
          <w:color w:val="222222"/>
          <w:sz w:val="24"/>
          <w:szCs w:val="24"/>
          <w:highlight w:val="white"/>
        </w:rPr>
        <w:t xml:space="preserve"> </w:t>
      </w:r>
    </w:p>
    <w:p w14:paraId="0000002B"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Santos, T.O., Correia, A., Biscaia, R. and Pegoraro, A., 2018. Examining fan engagement through social networking sites. </w:t>
      </w:r>
      <w:r>
        <w:rPr>
          <w:rFonts w:ascii="Times New Roman" w:eastAsia="Times New Roman" w:hAnsi="Times New Roman" w:cs="Times New Roman"/>
          <w:i/>
          <w:color w:val="222222"/>
          <w:sz w:val="24"/>
          <w:szCs w:val="24"/>
          <w:highlight w:val="white"/>
        </w:rPr>
        <w:t>International Journal of Sports Marketing and Sponsorship</w:t>
      </w:r>
      <w:r>
        <w:rPr>
          <w:rFonts w:ascii="Times New Roman" w:eastAsia="Times New Roman" w:hAnsi="Times New Roman" w:cs="Times New Roman"/>
          <w:color w:val="222222"/>
          <w:sz w:val="24"/>
          <w:szCs w:val="24"/>
          <w:highlight w:val="white"/>
        </w:rPr>
        <w:t xml:space="preserve">. Available at: </w:t>
      </w:r>
      <w:hyperlink r:id="rId13">
        <w:r>
          <w:rPr>
            <w:rFonts w:ascii="Times New Roman" w:eastAsia="Times New Roman" w:hAnsi="Times New Roman" w:cs="Times New Roman"/>
            <w:color w:val="222222"/>
            <w:sz w:val="24"/>
            <w:szCs w:val="24"/>
            <w:highlight w:val="white"/>
            <w:u w:val="single"/>
          </w:rPr>
          <w:t>http://text2fa.ir/wp-content/uploads/Text2fa.ir-Examining-fan-engagement.pdf</w:t>
        </w:r>
      </w:hyperlink>
    </w:p>
    <w:p w14:paraId="0000002C"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World Health Organization, 2019. Translating community research into global policy reform for national action: a checklist for community engagement to implement the WHO consolidated guideline on the sexual and reproductive health and rights of women living with HIV. Available at: </w:t>
      </w:r>
      <w:hyperlink r:id="rId14">
        <w:r>
          <w:rPr>
            <w:rFonts w:ascii="Times New Roman" w:eastAsia="Times New Roman" w:hAnsi="Times New Roman" w:cs="Times New Roman"/>
            <w:color w:val="222222"/>
            <w:sz w:val="24"/>
            <w:szCs w:val="24"/>
            <w:highlight w:val="white"/>
            <w:u w:val="single"/>
          </w:rPr>
          <w:t>https://apps.who.int/iris/bitstream/handle/10665/325776/9789241515627-eng.pdf</w:t>
        </w:r>
      </w:hyperlink>
      <w:r>
        <w:rPr>
          <w:rFonts w:ascii="Times New Roman" w:eastAsia="Times New Roman" w:hAnsi="Times New Roman" w:cs="Times New Roman"/>
          <w:color w:val="222222"/>
          <w:sz w:val="24"/>
          <w:szCs w:val="24"/>
          <w:highlight w:val="white"/>
        </w:rPr>
        <w:t xml:space="preserve"> </w:t>
      </w:r>
    </w:p>
    <w:p w14:paraId="0000002D"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World Health Organization, 2020. </w:t>
      </w:r>
      <w:r>
        <w:rPr>
          <w:rFonts w:ascii="Times New Roman" w:eastAsia="Times New Roman" w:hAnsi="Times New Roman" w:cs="Times New Roman"/>
          <w:i/>
          <w:color w:val="222222"/>
          <w:sz w:val="24"/>
          <w:szCs w:val="24"/>
          <w:highlight w:val="white"/>
        </w:rPr>
        <w:t>Risk communication and community engagement readiness and response to coronavirus disease (COVID-19): interim guidance, 19 March 2020</w:t>
      </w:r>
      <w:r>
        <w:rPr>
          <w:rFonts w:ascii="Times New Roman" w:eastAsia="Times New Roman" w:hAnsi="Times New Roman" w:cs="Times New Roman"/>
          <w:color w:val="222222"/>
          <w:sz w:val="24"/>
          <w:szCs w:val="24"/>
          <w:highlight w:val="white"/>
        </w:rPr>
        <w:t xml:space="preserve"> (No. WHO/2019-nCoV/RCCE/2020.2). World Health Organization. Available at: </w:t>
      </w:r>
      <w:hyperlink r:id="rId15">
        <w:r>
          <w:rPr>
            <w:rFonts w:ascii="Times New Roman" w:eastAsia="Times New Roman" w:hAnsi="Times New Roman" w:cs="Times New Roman"/>
            <w:color w:val="222222"/>
            <w:sz w:val="24"/>
            <w:szCs w:val="24"/>
            <w:highlight w:val="white"/>
            <w:u w:val="single"/>
          </w:rPr>
          <w:t>https://apps.who.int/iris/bitstream/handle/10665/331513/WHO-2019-nCoV-RCCE-2020.2-eng.pdf</w:t>
        </w:r>
      </w:hyperlink>
      <w:r>
        <w:rPr>
          <w:rFonts w:ascii="Times New Roman" w:eastAsia="Times New Roman" w:hAnsi="Times New Roman" w:cs="Times New Roman"/>
          <w:color w:val="222222"/>
          <w:sz w:val="24"/>
          <w:szCs w:val="24"/>
          <w:highlight w:val="white"/>
        </w:rPr>
        <w:t xml:space="preserve"> </w:t>
      </w:r>
    </w:p>
    <w:p w14:paraId="0000002E"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Yuan, D., Lin, Z., Filieri, R., Liu, R. and Zheng, M., 2020. Managing the product-harm crisis in the digital era: The role of consumer online brand community engagement.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115</w:t>
      </w:r>
      <w:r>
        <w:rPr>
          <w:rFonts w:ascii="Times New Roman" w:eastAsia="Times New Roman" w:hAnsi="Times New Roman" w:cs="Times New Roman"/>
          <w:color w:val="222222"/>
          <w:sz w:val="24"/>
          <w:szCs w:val="24"/>
          <w:highlight w:val="white"/>
        </w:rPr>
        <w:t xml:space="preserve">, pp.38-47. Available at: </w:t>
      </w:r>
      <w:hyperlink r:id="rId16">
        <w:r>
          <w:rPr>
            <w:rFonts w:ascii="Times New Roman" w:eastAsia="Times New Roman" w:hAnsi="Times New Roman" w:cs="Times New Roman"/>
            <w:color w:val="222222"/>
            <w:sz w:val="24"/>
            <w:szCs w:val="24"/>
            <w:highlight w:val="white"/>
            <w:u w:val="single"/>
          </w:rPr>
          <w:t>https://dro.dur.ac.uk/30640/1/30640.pdf?DDD2+rbfw61</w:t>
        </w:r>
      </w:hyperlink>
      <w:r>
        <w:rPr>
          <w:rFonts w:ascii="Times New Roman" w:eastAsia="Times New Roman" w:hAnsi="Times New Roman" w:cs="Times New Roman"/>
          <w:color w:val="222222"/>
          <w:sz w:val="24"/>
          <w:szCs w:val="24"/>
          <w:highlight w:val="white"/>
        </w:rPr>
        <w:t xml:space="preserve"> </w:t>
      </w:r>
    </w:p>
    <w:p w14:paraId="0000002F" w14:textId="77777777" w:rsidR="003E718A" w:rsidRDefault="003E718A">
      <w:pPr>
        <w:spacing w:line="360" w:lineRule="auto"/>
        <w:jc w:val="both"/>
        <w:rPr>
          <w:rFonts w:ascii="Times New Roman" w:eastAsia="Times New Roman" w:hAnsi="Times New Roman" w:cs="Times New Roman"/>
          <w:color w:val="222222"/>
          <w:sz w:val="24"/>
          <w:szCs w:val="24"/>
          <w:highlight w:val="white"/>
        </w:rPr>
      </w:pPr>
    </w:p>
    <w:sectPr w:rsidR="003E718A">
      <w:headerReference w:type="default" r:id="rId17"/>
      <w:footerReference w:type="default" r:id="rId18"/>
      <w:footerReference w:type="first" r:id="rId1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E3876E" w14:textId="77777777" w:rsidR="004754BC" w:rsidRDefault="004754BC">
      <w:pPr>
        <w:spacing w:line="240" w:lineRule="auto"/>
      </w:pPr>
      <w:r>
        <w:separator/>
      </w:r>
    </w:p>
  </w:endnote>
  <w:endnote w:type="continuationSeparator" w:id="0">
    <w:p w14:paraId="63A83959" w14:textId="77777777" w:rsidR="004754BC" w:rsidRDefault="004754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526286"/>
      <w:docPartObj>
        <w:docPartGallery w:val="Page Numbers (Bottom of Page)"/>
        <w:docPartUnique/>
      </w:docPartObj>
    </w:sdtPr>
    <w:sdtEndPr/>
    <w:sdtContent>
      <w:p w14:paraId="59B25CEE" w14:textId="6DBF71B8" w:rsidR="00AD08CF" w:rsidRDefault="00AD08CF">
        <w:pPr>
          <w:pStyle w:val="Subsol"/>
          <w:jc w:val="right"/>
        </w:pPr>
        <w:r>
          <w:fldChar w:fldCharType="begin"/>
        </w:r>
        <w:r>
          <w:instrText>PAGE   \* MERGEFORMAT</w:instrText>
        </w:r>
        <w:r>
          <w:fldChar w:fldCharType="separate"/>
        </w:r>
        <w:r w:rsidR="001D4F0C" w:rsidRPr="001D4F0C">
          <w:rPr>
            <w:noProof/>
            <w:lang w:val="ro-RO"/>
          </w:rPr>
          <w:t>10</w:t>
        </w:r>
        <w:r>
          <w:fldChar w:fldCharType="end"/>
        </w:r>
      </w:p>
    </w:sdtContent>
  </w:sdt>
  <w:p w14:paraId="00000030" w14:textId="06F0A9E5" w:rsidR="003E718A" w:rsidRDefault="003E718A">
    <w:pPr>
      <w:jc w:val="right"/>
      <w:rPr>
        <w:rFonts w:ascii="Times New Roman" w:eastAsia="Times New Roman" w:hAnsi="Times New Roman" w:cs="Times New Roman"/>
        <w:b/>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844252"/>
      <w:docPartObj>
        <w:docPartGallery w:val="Page Numbers (Bottom of Page)"/>
        <w:docPartUnique/>
      </w:docPartObj>
    </w:sdtPr>
    <w:sdtEndPr/>
    <w:sdtContent>
      <w:p w14:paraId="01C92860" w14:textId="3A7CD692" w:rsidR="007E19A0" w:rsidRDefault="007E19A0">
        <w:pPr>
          <w:pStyle w:val="Subsol"/>
          <w:jc w:val="right"/>
        </w:pPr>
        <w:r>
          <w:fldChar w:fldCharType="begin"/>
        </w:r>
        <w:r>
          <w:instrText>PAGE   \* MERGEFORMAT</w:instrText>
        </w:r>
        <w:r>
          <w:fldChar w:fldCharType="separate"/>
        </w:r>
        <w:r w:rsidR="004754BC" w:rsidRPr="004754BC">
          <w:rPr>
            <w:noProof/>
            <w:lang w:val="ro-RO"/>
          </w:rPr>
          <w:t>1</w:t>
        </w:r>
        <w:r>
          <w:fldChar w:fldCharType="end"/>
        </w:r>
      </w:p>
    </w:sdtContent>
  </w:sdt>
  <w:p w14:paraId="229D260B" w14:textId="77777777" w:rsidR="007E19A0" w:rsidRDefault="007E19A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32DC3F" w14:textId="77777777" w:rsidR="004754BC" w:rsidRDefault="004754BC">
      <w:pPr>
        <w:spacing w:line="240" w:lineRule="auto"/>
      </w:pPr>
      <w:r>
        <w:separator/>
      </w:r>
    </w:p>
  </w:footnote>
  <w:footnote w:type="continuationSeparator" w:id="0">
    <w:p w14:paraId="0DD14A21" w14:textId="77777777" w:rsidR="004754BC" w:rsidRDefault="004754B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C95CC" w14:textId="08AE7F2A" w:rsidR="00AD08CF" w:rsidRDefault="00AD08CF">
    <w:pPr>
      <w:pStyle w:val="Antet"/>
    </w:pPr>
    <w:r>
      <w:t>2113196</w:t>
    </w:r>
  </w:p>
  <w:p w14:paraId="5A3C28A9" w14:textId="77777777" w:rsidR="00AD08CF" w:rsidRDefault="00AD08C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DACB8C"/>
    <w:rsid w:val="0008012A"/>
    <w:rsid w:val="00115FF7"/>
    <w:rsid w:val="00181E3E"/>
    <w:rsid w:val="001D4F0C"/>
    <w:rsid w:val="001F25EB"/>
    <w:rsid w:val="003A5A86"/>
    <w:rsid w:val="003C1E46"/>
    <w:rsid w:val="003E718A"/>
    <w:rsid w:val="004754BC"/>
    <w:rsid w:val="00734EF0"/>
    <w:rsid w:val="007E19A0"/>
    <w:rsid w:val="00AD08CF"/>
    <w:rsid w:val="00AD2793"/>
    <w:rsid w:val="00CF3713"/>
    <w:rsid w:val="00E94F25"/>
    <w:rsid w:val="00FF23BA"/>
    <w:rsid w:val="0EDACB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0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unhideWhenUsed/>
    <w:rPr>
      <w:color w:val="0000FF"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paragraph" w:styleId="Antet">
    <w:name w:val="header"/>
    <w:basedOn w:val="Normal"/>
    <w:link w:val="AntetCaracter"/>
    <w:uiPriority w:val="99"/>
    <w:unhideWhenUsed/>
    <w:rsid w:val="0008012A"/>
    <w:pPr>
      <w:tabs>
        <w:tab w:val="center" w:pos="4513"/>
        <w:tab w:val="right" w:pos="9026"/>
      </w:tabs>
      <w:spacing w:line="240" w:lineRule="auto"/>
    </w:pPr>
  </w:style>
  <w:style w:type="character" w:customStyle="1" w:styleId="AntetCaracter">
    <w:name w:val="Antet Caracter"/>
    <w:basedOn w:val="Fontdeparagrafimplicit"/>
    <w:link w:val="Antet"/>
    <w:uiPriority w:val="99"/>
    <w:rsid w:val="0008012A"/>
  </w:style>
  <w:style w:type="paragraph" w:styleId="Subsol">
    <w:name w:val="footer"/>
    <w:basedOn w:val="Normal"/>
    <w:link w:val="SubsolCaracter"/>
    <w:uiPriority w:val="99"/>
    <w:unhideWhenUsed/>
    <w:rsid w:val="0008012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8012A"/>
  </w:style>
  <w:style w:type="paragraph" w:styleId="TextnBalon">
    <w:name w:val="Balloon Text"/>
    <w:basedOn w:val="Normal"/>
    <w:link w:val="TextnBalonCaracter"/>
    <w:uiPriority w:val="99"/>
    <w:semiHidden/>
    <w:unhideWhenUsed/>
    <w:rsid w:val="00AD08CF"/>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D08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unhideWhenUsed/>
    <w:rPr>
      <w:color w:val="0000FF"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paragraph" w:styleId="Antet">
    <w:name w:val="header"/>
    <w:basedOn w:val="Normal"/>
    <w:link w:val="AntetCaracter"/>
    <w:uiPriority w:val="99"/>
    <w:unhideWhenUsed/>
    <w:rsid w:val="0008012A"/>
    <w:pPr>
      <w:tabs>
        <w:tab w:val="center" w:pos="4513"/>
        <w:tab w:val="right" w:pos="9026"/>
      </w:tabs>
      <w:spacing w:line="240" w:lineRule="auto"/>
    </w:pPr>
  </w:style>
  <w:style w:type="character" w:customStyle="1" w:styleId="AntetCaracter">
    <w:name w:val="Antet Caracter"/>
    <w:basedOn w:val="Fontdeparagrafimplicit"/>
    <w:link w:val="Antet"/>
    <w:uiPriority w:val="99"/>
    <w:rsid w:val="0008012A"/>
  </w:style>
  <w:style w:type="paragraph" w:styleId="Subsol">
    <w:name w:val="footer"/>
    <w:basedOn w:val="Normal"/>
    <w:link w:val="SubsolCaracter"/>
    <w:uiPriority w:val="99"/>
    <w:unhideWhenUsed/>
    <w:rsid w:val="0008012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8012A"/>
  </w:style>
  <w:style w:type="paragraph" w:styleId="TextnBalon">
    <w:name w:val="Balloon Text"/>
    <w:basedOn w:val="Normal"/>
    <w:link w:val="TextnBalonCaracter"/>
    <w:uiPriority w:val="99"/>
    <w:semiHidden/>
    <w:unhideWhenUsed/>
    <w:rsid w:val="00AD08CF"/>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D08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qut.edu.au/122200/2/122200.pdf" TargetMode="External"/><Relationship Id="rId13" Type="http://schemas.openxmlformats.org/officeDocument/2006/relationships/hyperlink" Target="http://text2fa.ir/wp-content/uploads/Text2fa.ir-Examining-fan-engagement.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oa.upm.es/62470/1/433bd53b3fc7edf7847478713855f83d.pdf" TargetMode="External"/><Relationship Id="rId12" Type="http://schemas.openxmlformats.org/officeDocument/2006/relationships/hyperlink" Target="https://eprints.qut.edu.au/202039/1/59981815.pdf"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dro.dur.ac.uk/30640/1/30640.pdf?DDD2+rbfw6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conbio.onlinelibrary.wiley.com/doi/pdf/10.1111/csp2.26" TargetMode="External"/><Relationship Id="rId5" Type="http://schemas.openxmlformats.org/officeDocument/2006/relationships/footnotes" Target="footnotes.xml"/><Relationship Id="rId15" Type="http://schemas.openxmlformats.org/officeDocument/2006/relationships/hyperlink" Target="https://apps.who.int/iris/bitstream/handle/10665/331513/WHO-2019-nCoV-RCCE-2020.2-eng.pdf" TargetMode="External"/><Relationship Id="rId10" Type="http://schemas.openxmlformats.org/officeDocument/2006/relationships/hyperlink" Target="https://www.tandfonline.com/doi/pdf/10.1080/09654313.2018.1464549"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1wqtxts1xzle7.cloudfront.net/58312438/BSE2-with-cover-page-v2.pdf?Expires=1651049114&amp;Signature=C0txv0h-8EghCsiHhSOvucpX20SnmecEyh78T4CJZ9kTdZVu8541t36zkLydektiYo922f~nBWSOedZgevkCuTCgM01fQatGv2O61s9BRgduePeyFNh-xMUt-jb5iC2c1Z9HC1jDvJeJen7nOjQL0yIMpZ~STbFBSYYWCBDs2WFMszNuXNveRvXPPdi~oGz3EuCP-RCYBkSTMzGOJhtP6cWdlHRR0B3yz~K15tEYhrGqP8rgapr9McybroEogqk5rVnk9YLSRxNMiB~ES-vk4QramTAGxiGd8Vma1IGXjhVQ8UFUYk-yspq622MbdgHSGcETbtXUpBjNE9QCNlTxhw__&amp;Key-Pair-Id=APKAJLOHF5GGSLRBV4ZA" TargetMode="External"/><Relationship Id="rId14" Type="http://schemas.openxmlformats.org/officeDocument/2006/relationships/hyperlink" Target="https://apps.who.int/iris/bitstream/handle/10665/325776/9789241515627-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2870</Words>
  <Characters>16651</Characters>
  <Application>Microsoft Office Word</Application>
  <DocSecurity>0</DocSecurity>
  <Lines>138</Lines>
  <Paragraphs>38</Paragraphs>
  <ScaleCrop>false</ScaleCrop>
  <HeadingPairs>
    <vt:vector size="2" baseType="variant">
      <vt:variant>
        <vt:lpstr>Titlu</vt:lpstr>
      </vt:variant>
      <vt:variant>
        <vt:i4>1</vt:i4>
      </vt:variant>
    </vt:vector>
  </HeadingPairs>
  <TitlesOfParts>
    <vt:vector size="1" baseType="lpstr">
      <vt:lpstr/>
    </vt:vector>
  </TitlesOfParts>
  <LinksUpToDate>false</LinksUpToDate>
  <CharactersWithSpaces>19483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2022-04-28T21:02:00Z</dcterms:created>
  <dcterms:modified xsi:type="dcterms:W3CDTF">2022-04-28T21:39:00Z</dcterms:modified>
</cp:coreProperties>
</file>