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Kunarsah Kananathan(2240735)</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u w:val="single"/>
          <w:shd w:fill="auto" w:val="clear"/>
        </w:rPr>
        <w:t xml:space="preserve">1) </w:t>
      </w:r>
      <w:r>
        <w:rPr>
          <w:rFonts w:ascii="Calibri" w:hAnsi="Calibri" w:cs="Calibri" w:eastAsia="Calibri"/>
          <w:color w:val="auto"/>
          <w:spacing w:val="0"/>
          <w:position w:val="0"/>
          <w:sz w:val="22"/>
          <w:shd w:fill="auto" w:val="clear"/>
        </w:rPr>
        <w:t xml:space="preserve"> Rachel Jones was is  lawful is that the but reason Rachel jones has been told that she was  assaulted the Mary thomas and it landed under section 20 of the offences against the person act 1981. She has commit an offence which land whcih the police officer will take an account with reasonable grounds to commit an offence. This is also same we  can consider as it is impractitable to do so by reason of their condition / behiavor at the time of the arrest.  The outcome of this also can apply where the nature of offence of arrest which the offecnce taken place or anything said during the arrest as statement . I also want to mention it is high culpability.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 As prosecutor i will have to look at the person wherethe the offender is qulity of the offences at the time of the arrest.  As we dont have an evidence of the no CCTV or no such evidence to prove that the crime has taken place.  When i check the crime , i would need to apply sentencing guidlines and legal guidance and use full code test whcih whenever the injured is serious or not . Uing the all the evidence i will get the feedback from police and other investigator to prove the crime.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3)The dependant willl be a real risk in respect of any of the exceptions to the general right to bail which is important for the prosecutor is under a duty to identify relevant exceptions when applying remaind the custody and exception can not appply if defendant has not convicted and no real prospect to get sentenced  in the custody in this proceeding as it is sldo if the defendant has surrender or not during the course of justice. The dendant has commit offence on bail with physical to an associated person  and will be dated the date of offence. This will must state exceptions and the Reasons for finding. Reasons may include (non-exhaustive) </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 Nature and seriousness of offence · Likely sentence · Character, antecedents, associations and community ties of the defendant · Strength of evidence · Previous record of being granted bail · Risk that the defendant will engage in of physcal injury.</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 a) The maximum sentence that applies to an offence uis the maximum that applied at the date of the offence. This also will be the level of culpability is determined by weighing all the factors of the case.  This is also fall where the characterists prsent and in the court to get fair assessment of the offencers culpability. This is degree of premeditation. It is serious physical injury too. It will 2 years and 6 months in the custody.</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b)It is harm which will be under 2 year and 6 months or fine 50% relevent weekly income  and the court will have use according with the guidelance  in section 125 of sentencing code  which will find will prove that it is serious offence and has to be punish or fine. when we prove the fine it is also important we use section 35 of the sentencing code . it is requiredimposed for the purpose of punishment or fine which unjust the offencers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shd w:fill="auto" w:val="clear"/>
        </w:rPr>
        <w:t xml:space="preserve">4) </w:t>
      </w: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