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098DF7" w14:textId="77777777" w:rsidR="00286FE9" w:rsidRDefault="00286FE9" w:rsidP="00286FE9">
      <w:pPr>
        <w:spacing w:after="0" w:line="240" w:lineRule="auto"/>
        <w:ind w:left="567" w:hanging="567"/>
        <w:rPr>
          <w:rFonts w:cstheme="minorHAnsi"/>
          <w:sz w:val="24"/>
          <w:szCs w:val="24"/>
        </w:rPr>
      </w:pPr>
    </w:p>
    <w:p w14:paraId="0B5F9D88" w14:textId="77777777" w:rsidR="00286FE9" w:rsidRPr="00286FE9" w:rsidRDefault="00286FE9" w:rsidP="00286FE9">
      <w:pPr>
        <w:spacing w:after="0" w:line="240" w:lineRule="auto"/>
        <w:jc w:val="both"/>
        <w:rPr>
          <w:rFonts w:eastAsia="Times New Roman" w:cstheme="minorHAnsi"/>
          <w:b/>
          <w:color w:val="373A3C"/>
          <w:sz w:val="24"/>
          <w:szCs w:val="24"/>
          <w:lang w:eastAsia="en-GB"/>
        </w:rPr>
      </w:pPr>
      <w:r w:rsidRPr="00286FE9">
        <w:rPr>
          <w:rFonts w:eastAsia="Times New Roman" w:cstheme="minorHAnsi"/>
          <w:b/>
          <w:color w:val="373A3C"/>
          <w:sz w:val="24"/>
          <w:szCs w:val="24"/>
          <w:lang w:eastAsia="en-GB"/>
        </w:rPr>
        <w:t>General</w:t>
      </w:r>
    </w:p>
    <w:p w14:paraId="6E2B2C31" w14:textId="77777777" w:rsidR="00286FE9" w:rsidRPr="00286FE9" w:rsidRDefault="00286FE9" w:rsidP="00286FE9">
      <w:pPr>
        <w:spacing w:after="0" w:line="240" w:lineRule="auto"/>
        <w:jc w:val="both"/>
        <w:rPr>
          <w:rFonts w:eastAsia="Times New Roman" w:cstheme="minorHAnsi"/>
          <w:color w:val="373A3C"/>
          <w:sz w:val="24"/>
          <w:szCs w:val="24"/>
          <w:lang w:eastAsia="en-GB"/>
        </w:rPr>
      </w:pPr>
    </w:p>
    <w:p w14:paraId="094B4013" w14:textId="77777777" w:rsidR="00286FE9" w:rsidRPr="00286FE9" w:rsidRDefault="00286FE9" w:rsidP="00286FE9">
      <w:pPr>
        <w:spacing w:after="0" w:line="240" w:lineRule="auto"/>
        <w:jc w:val="both"/>
        <w:rPr>
          <w:rFonts w:eastAsia="Times New Roman" w:cstheme="minorHAnsi"/>
          <w:color w:val="373A3C"/>
          <w:sz w:val="24"/>
          <w:szCs w:val="24"/>
          <w:lang w:eastAsia="en-GB"/>
        </w:rPr>
      </w:pPr>
      <w:r w:rsidRPr="00286FE9">
        <w:rPr>
          <w:rFonts w:eastAsia="Times New Roman" w:cstheme="minorHAnsi"/>
          <w:color w:val="373A3C"/>
          <w:sz w:val="24"/>
          <w:szCs w:val="24"/>
          <w:lang w:eastAsia="en-GB"/>
        </w:rPr>
        <w:t xml:space="preserve">Ashton, N 2017 </w:t>
      </w:r>
      <w:r w:rsidRPr="00286FE9">
        <w:rPr>
          <w:rFonts w:eastAsia="Times New Roman" w:cstheme="minorHAnsi"/>
          <w:i/>
          <w:color w:val="373A3C"/>
          <w:sz w:val="24"/>
          <w:szCs w:val="24"/>
          <w:lang w:eastAsia="en-GB"/>
        </w:rPr>
        <w:t>Early Humans</w:t>
      </w:r>
      <w:r w:rsidRPr="00286FE9">
        <w:rPr>
          <w:rFonts w:eastAsia="Times New Roman" w:cstheme="minorHAnsi"/>
          <w:color w:val="373A3C"/>
          <w:sz w:val="24"/>
          <w:szCs w:val="24"/>
          <w:lang w:eastAsia="en-GB"/>
        </w:rPr>
        <w:t>.  William Collins.</w:t>
      </w:r>
    </w:p>
    <w:p w14:paraId="26E5DE83" w14:textId="77777777" w:rsidR="00286FE9" w:rsidRPr="00286FE9" w:rsidRDefault="00286FE9" w:rsidP="00286FE9">
      <w:pPr>
        <w:spacing w:after="0" w:line="240" w:lineRule="auto"/>
        <w:jc w:val="both"/>
        <w:rPr>
          <w:rFonts w:eastAsia="Times New Roman" w:cstheme="minorHAnsi"/>
          <w:color w:val="373A3C"/>
          <w:sz w:val="24"/>
          <w:szCs w:val="24"/>
          <w:lang w:eastAsia="en-GB"/>
        </w:rPr>
      </w:pPr>
    </w:p>
    <w:p w14:paraId="5B96179D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  <w:r w:rsidRPr="00286FE9">
        <w:rPr>
          <w:sz w:val="24"/>
          <w:szCs w:val="24"/>
        </w:rPr>
        <w:t xml:space="preserve">Bell, M. and Walker, M.J.C. 2005 </w:t>
      </w:r>
      <w:r w:rsidRPr="00286FE9">
        <w:rPr>
          <w:i/>
          <w:sz w:val="24"/>
          <w:szCs w:val="24"/>
        </w:rPr>
        <w:t xml:space="preserve">Late Quaternary Environmental Change: physical and human </w:t>
      </w:r>
      <w:proofErr w:type="gramStart"/>
      <w:r w:rsidRPr="00286FE9">
        <w:rPr>
          <w:i/>
          <w:sz w:val="24"/>
          <w:szCs w:val="24"/>
        </w:rPr>
        <w:t>perspectives</w:t>
      </w:r>
      <w:r w:rsidRPr="00286FE9">
        <w:rPr>
          <w:sz w:val="24"/>
          <w:szCs w:val="24"/>
        </w:rPr>
        <w:t xml:space="preserve">  (</w:t>
      </w:r>
      <w:proofErr w:type="gramEnd"/>
      <w:r w:rsidRPr="00286FE9">
        <w:rPr>
          <w:sz w:val="24"/>
          <w:szCs w:val="24"/>
        </w:rPr>
        <w:t>Longman) (2</w:t>
      </w:r>
      <w:r w:rsidRPr="00286FE9">
        <w:rPr>
          <w:sz w:val="24"/>
          <w:szCs w:val="24"/>
          <w:vertAlign w:val="superscript"/>
        </w:rPr>
        <w:t>nd</w:t>
      </w:r>
      <w:r w:rsidRPr="00286FE9">
        <w:rPr>
          <w:sz w:val="24"/>
          <w:szCs w:val="24"/>
        </w:rPr>
        <w:t xml:space="preserve"> edition) </w:t>
      </w:r>
    </w:p>
    <w:p w14:paraId="2814BB94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</w:p>
    <w:p w14:paraId="3E6CD291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  <w:r w:rsidRPr="00286FE9">
        <w:rPr>
          <w:sz w:val="24"/>
          <w:szCs w:val="24"/>
          <w:shd w:val="clear" w:color="auto" w:fill="FFFFFF"/>
        </w:rPr>
        <w:t>Gamble, C. 2013 </w:t>
      </w:r>
      <w:hyperlink r:id="rId4" w:history="1">
        <w:r w:rsidRPr="00286FE9">
          <w:rPr>
            <w:i/>
            <w:color w:val="000000" w:themeColor="text1"/>
            <w:sz w:val="24"/>
            <w:szCs w:val="24"/>
            <w:shd w:val="clear" w:color="auto" w:fill="FFFFFF"/>
          </w:rPr>
          <w:t>Settling the earth: the archaeology of deep human history</w:t>
        </w:r>
      </w:hyperlink>
      <w:r w:rsidRPr="00286FE9">
        <w:rPr>
          <w:i/>
          <w:color w:val="000000" w:themeColor="text1"/>
          <w:sz w:val="24"/>
          <w:szCs w:val="24"/>
          <w:shd w:val="clear" w:color="auto" w:fill="FFFFFF"/>
        </w:rPr>
        <w:t>.</w:t>
      </w:r>
      <w:r w:rsidRPr="00286FE9">
        <w:rPr>
          <w:i/>
          <w:sz w:val="24"/>
          <w:szCs w:val="24"/>
          <w:shd w:val="clear" w:color="auto" w:fill="FFFFFF"/>
        </w:rPr>
        <w:t xml:space="preserve"> </w:t>
      </w:r>
      <w:r w:rsidRPr="00286FE9">
        <w:rPr>
          <w:sz w:val="24"/>
          <w:szCs w:val="24"/>
          <w:shd w:val="clear" w:color="auto" w:fill="FFFFFF"/>
        </w:rPr>
        <w:t>Cambridge University Press: Cambridge.</w:t>
      </w:r>
    </w:p>
    <w:p w14:paraId="6FD6C82F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</w:p>
    <w:p w14:paraId="1DCAA62B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  <w:r w:rsidRPr="00286FE9">
        <w:rPr>
          <w:sz w:val="24"/>
          <w:szCs w:val="24"/>
        </w:rPr>
        <w:t>Lowe, J. J. and Walker, M. J. C. 2015. </w:t>
      </w:r>
      <w:r w:rsidRPr="00286FE9">
        <w:rPr>
          <w:i/>
          <w:iCs/>
          <w:sz w:val="24"/>
          <w:szCs w:val="24"/>
        </w:rPr>
        <w:t>Reconstructing Quaternary Environments</w:t>
      </w:r>
      <w:r w:rsidRPr="00286FE9">
        <w:rPr>
          <w:sz w:val="24"/>
          <w:szCs w:val="24"/>
        </w:rPr>
        <w:t>. 3</w:t>
      </w:r>
      <w:r w:rsidRPr="00286FE9">
        <w:rPr>
          <w:sz w:val="24"/>
          <w:szCs w:val="24"/>
          <w:vertAlign w:val="superscript"/>
        </w:rPr>
        <w:t>rd</w:t>
      </w:r>
      <w:r w:rsidRPr="00286FE9">
        <w:rPr>
          <w:sz w:val="24"/>
          <w:szCs w:val="24"/>
        </w:rPr>
        <w:t xml:space="preserve"> Edition. Routledge: London.</w:t>
      </w:r>
    </w:p>
    <w:p w14:paraId="0255731A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</w:p>
    <w:p w14:paraId="232D57C2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  <w:r w:rsidRPr="00286FE9">
        <w:rPr>
          <w:sz w:val="24"/>
          <w:szCs w:val="24"/>
        </w:rPr>
        <w:t>McNabb, J. 2007. </w:t>
      </w:r>
      <w:r w:rsidRPr="00286FE9">
        <w:rPr>
          <w:i/>
          <w:iCs/>
          <w:sz w:val="24"/>
          <w:szCs w:val="24"/>
        </w:rPr>
        <w:t>The British Lower Palaeolithic.</w:t>
      </w:r>
      <w:r w:rsidRPr="00286FE9">
        <w:rPr>
          <w:sz w:val="24"/>
          <w:szCs w:val="24"/>
        </w:rPr>
        <w:t> Routledge: London.</w:t>
      </w:r>
    </w:p>
    <w:p w14:paraId="1D8C6082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</w:p>
    <w:p w14:paraId="2D5F1A18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  <w:r w:rsidRPr="00286FE9">
        <w:rPr>
          <w:sz w:val="24"/>
          <w:szCs w:val="24"/>
        </w:rPr>
        <w:t xml:space="preserve">McNabb, J. 2012 </w:t>
      </w:r>
      <w:r w:rsidRPr="00286FE9">
        <w:rPr>
          <w:i/>
          <w:sz w:val="24"/>
          <w:szCs w:val="24"/>
        </w:rPr>
        <w:t>Dissent with modification.  Human origins, Palaeolithic archaeology and evolutionary anthropology in Britain 1859-1901</w:t>
      </w:r>
      <w:r w:rsidRPr="00286FE9">
        <w:rPr>
          <w:sz w:val="24"/>
          <w:szCs w:val="24"/>
        </w:rPr>
        <w:t>. Archaeopress; Oxford.</w:t>
      </w:r>
    </w:p>
    <w:p w14:paraId="3478CD68" w14:textId="77777777" w:rsidR="00286FE9" w:rsidRPr="00286FE9" w:rsidRDefault="00286FE9" w:rsidP="00286FE9">
      <w:pPr>
        <w:spacing w:after="0" w:line="240" w:lineRule="auto"/>
        <w:jc w:val="both"/>
        <w:rPr>
          <w:bCs/>
          <w:sz w:val="24"/>
          <w:szCs w:val="24"/>
        </w:rPr>
      </w:pPr>
    </w:p>
    <w:p w14:paraId="196CDB96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  <w:r w:rsidRPr="00286FE9">
        <w:rPr>
          <w:bCs/>
          <w:sz w:val="24"/>
          <w:szCs w:val="24"/>
        </w:rPr>
        <w:t>O’Connor, A. 2007 Finding Time for the Old Stone Age: A History of Palaeolithic Archaeology and Quaternary Geology in Britain, 1860-1960. Oxford University Press: Oxford.</w:t>
      </w:r>
    </w:p>
    <w:p w14:paraId="0030C3F1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</w:p>
    <w:p w14:paraId="69D99BBC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  <w:r w:rsidRPr="00286FE9">
        <w:rPr>
          <w:sz w:val="24"/>
          <w:szCs w:val="24"/>
        </w:rPr>
        <w:t xml:space="preserve">Pettitt, P. and White, M. 2012 </w:t>
      </w:r>
      <w:r w:rsidRPr="00286FE9">
        <w:rPr>
          <w:i/>
          <w:sz w:val="24"/>
          <w:szCs w:val="24"/>
        </w:rPr>
        <w:t>The British Palaeolithic. Human societies at the edge of the Pleistocene world</w:t>
      </w:r>
      <w:r w:rsidRPr="00286FE9">
        <w:rPr>
          <w:sz w:val="24"/>
          <w:szCs w:val="24"/>
        </w:rPr>
        <w:t>.  Routledge: London.</w:t>
      </w:r>
    </w:p>
    <w:p w14:paraId="5C387B6D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</w:p>
    <w:p w14:paraId="7DE3DDAF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  <w:r w:rsidRPr="00286FE9">
        <w:rPr>
          <w:sz w:val="24"/>
          <w:szCs w:val="24"/>
        </w:rPr>
        <w:t xml:space="preserve">Roberts, N. 1998 </w:t>
      </w:r>
      <w:r w:rsidRPr="00286FE9">
        <w:rPr>
          <w:i/>
          <w:sz w:val="24"/>
          <w:szCs w:val="24"/>
        </w:rPr>
        <w:t>The Holocene: an environmental history</w:t>
      </w:r>
      <w:r w:rsidRPr="00286FE9">
        <w:rPr>
          <w:sz w:val="24"/>
          <w:szCs w:val="24"/>
        </w:rPr>
        <w:t xml:space="preserve">. Blackwell: Oxford. </w:t>
      </w:r>
    </w:p>
    <w:p w14:paraId="29BC81A7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</w:p>
    <w:p w14:paraId="3FC6BFE8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  <w:r w:rsidRPr="00286FE9">
        <w:rPr>
          <w:sz w:val="24"/>
          <w:szCs w:val="24"/>
        </w:rPr>
        <w:t xml:space="preserve">Roe, D.A. 1981 </w:t>
      </w:r>
      <w:r w:rsidRPr="00286FE9">
        <w:rPr>
          <w:i/>
          <w:sz w:val="24"/>
          <w:szCs w:val="24"/>
        </w:rPr>
        <w:t>The Lower and Middle Palaeolithic Periods in Britain</w:t>
      </w:r>
      <w:r w:rsidRPr="00286FE9">
        <w:rPr>
          <w:sz w:val="24"/>
          <w:szCs w:val="24"/>
        </w:rPr>
        <w:t>. Routledge and Keegan Paul: London.</w:t>
      </w:r>
    </w:p>
    <w:p w14:paraId="46BCF1C3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</w:p>
    <w:p w14:paraId="59938E72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  <w:r w:rsidRPr="00286FE9">
        <w:rPr>
          <w:sz w:val="24"/>
          <w:szCs w:val="24"/>
        </w:rPr>
        <w:t>Stringer, C. 2006. </w:t>
      </w:r>
      <w:r w:rsidRPr="00286FE9">
        <w:rPr>
          <w:i/>
          <w:iCs/>
          <w:sz w:val="24"/>
          <w:szCs w:val="24"/>
        </w:rPr>
        <w:t>Homo Britannicus. The Incredible Story of Human Life in Britain</w:t>
      </w:r>
      <w:r w:rsidRPr="00286FE9">
        <w:rPr>
          <w:sz w:val="24"/>
          <w:szCs w:val="24"/>
        </w:rPr>
        <w:t>. Allen Lane. London.</w:t>
      </w:r>
    </w:p>
    <w:p w14:paraId="0CCC85A2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</w:p>
    <w:p w14:paraId="1D2F3FA4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  <w:r w:rsidRPr="00286FE9">
        <w:rPr>
          <w:sz w:val="24"/>
          <w:szCs w:val="24"/>
        </w:rPr>
        <w:t>Walker, M. 2005. </w:t>
      </w:r>
      <w:r w:rsidRPr="00286FE9">
        <w:rPr>
          <w:i/>
          <w:iCs/>
          <w:sz w:val="24"/>
          <w:szCs w:val="24"/>
        </w:rPr>
        <w:t>Quaternary Dating Methods</w:t>
      </w:r>
      <w:r w:rsidRPr="00286FE9">
        <w:rPr>
          <w:sz w:val="24"/>
          <w:szCs w:val="24"/>
        </w:rPr>
        <w:t>. John Wiley and Sons Ltd. Chichester.</w:t>
      </w:r>
    </w:p>
    <w:p w14:paraId="38A93B5D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</w:p>
    <w:p w14:paraId="4F572EE2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  <w:r w:rsidRPr="00286FE9">
        <w:rPr>
          <w:sz w:val="24"/>
          <w:szCs w:val="24"/>
        </w:rPr>
        <w:t xml:space="preserve">Wickham-Jones, C. 2018 </w:t>
      </w:r>
      <w:r w:rsidRPr="00286FE9">
        <w:rPr>
          <w:i/>
          <w:sz w:val="24"/>
          <w:szCs w:val="24"/>
        </w:rPr>
        <w:t>Landscapes beneath the waves.  The archaeological investigation of underwater landscapes.</w:t>
      </w:r>
      <w:r w:rsidRPr="00286FE9">
        <w:rPr>
          <w:sz w:val="24"/>
          <w:szCs w:val="24"/>
        </w:rPr>
        <w:t xml:space="preserve">  Oxbow Books: Oxford.</w:t>
      </w:r>
    </w:p>
    <w:p w14:paraId="5EAE749C" w14:textId="77777777" w:rsidR="00286FE9" w:rsidRPr="00286FE9" w:rsidRDefault="00286FE9" w:rsidP="00286FE9">
      <w:pPr>
        <w:spacing w:after="0" w:line="240" w:lineRule="auto"/>
        <w:jc w:val="both"/>
        <w:rPr>
          <w:sz w:val="24"/>
          <w:szCs w:val="24"/>
        </w:rPr>
      </w:pPr>
    </w:p>
    <w:p w14:paraId="65BC5CB6" w14:textId="77777777" w:rsidR="00286FE9" w:rsidRPr="00286FE9" w:rsidRDefault="00286FE9" w:rsidP="00286FE9">
      <w:pPr>
        <w:spacing w:after="0" w:line="240" w:lineRule="auto"/>
        <w:jc w:val="both"/>
        <w:rPr>
          <w:rFonts w:eastAsia="Times New Roman" w:cs="Times New Roman"/>
          <w:sz w:val="24"/>
          <w:szCs w:val="24"/>
          <w:lang w:val="en-US"/>
        </w:rPr>
      </w:pPr>
      <w:r w:rsidRPr="00286FE9">
        <w:rPr>
          <w:rFonts w:eastAsia="Times New Roman" w:cs="Times New Roman"/>
          <w:sz w:val="24"/>
          <w:szCs w:val="24"/>
          <w:lang w:val="en-US"/>
        </w:rPr>
        <w:t xml:space="preserve">Wymer, J.J. 1999. </w:t>
      </w:r>
      <w:r w:rsidRPr="00286FE9">
        <w:rPr>
          <w:rFonts w:eastAsia="Times New Roman" w:cs="Times New Roman"/>
          <w:i/>
          <w:iCs/>
          <w:sz w:val="24"/>
          <w:szCs w:val="24"/>
          <w:lang w:val="en-US"/>
        </w:rPr>
        <w:t>The Palaeolithic Occupation of Britain</w:t>
      </w:r>
      <w:r w:rsidRPr="00286FE9">
        <w:rPr>
          <w:rFonts w:eastAsia="Times New Roman" w:cs="Times New Roman"/>
          <w:sz w:val="24"/>
          <w:szCs w:val="24"/>
          <w:lang w:val="en-US"/>
        </w:rPr>
        <w:t>. Wessex Archaeology, Salisbury.</w:t>
      </w:r>
    </w:p>
    <w:p w14:paraId="34FA8F7E" w14:textId="77777777" w:rsidR="00286FE9" w:rsidRDefault="00286FE9" w:rsidP="00286FE9">
      <w:pPr>
        <w:spacing w:after="0" w:line="240" w:lineRule="auto"/>
        <w:ind w:left="567" w:hanging="567"/>
        <w:rPr>
          <w:rFonts w:cstheme="minorHAnsi"/>
          <w:sz w:val="24"/>
          <w:szCs w:val="24"/>
        </w:rPr>
      </w:pPr>
    </w:p>
    <w:p w14:paraId="04A48B5B" w14:textId="77777777" w:rsidR="00286FE9" w:rsidRDefault="00286FE9" w:rsidP="00286FE9">
      <w:pPr>
        <w:spacing w:after="0" w:line="240" w:lineRule="auto"/>
        <w:ind w:left="567" w:hanging="567"/>
        <w:rPr>
          <w:rFonts w:cstheme="minorHAnsi"/>
          <w:sz w:val="24"/>
          <w:szCs w:val="24"/>
        </w:rPr>
      </w:pPr>
    </w:p>
    <w:p w14:paraId="7EEC1D2F" w14:textId="77777777" w:rsidR="00286FE9" w:rsidRPr="00286FE9" w:rsidRDefault="00286FE9" w:rsidP="00286FE9">
      <w:pPr>
        <w:spacing w:after="0" w:line="240" w:lineRule="auto"/>
        <w:ind w:left="567" w:hanging="567"/>
        <w:rPr>
          <w:rFonts w:cstheme="minorHAnsi"/>
          <w:b/>
          <w:bCs/>
          <w:sz w:val="24"/>
          <w:szCs w:val="24"/>
        </w:rPr>
      </w:pPr>
      <w:r w:rsidRPr="00286FE9">
        <w:rPr>
          <w:rFonts w:cstheme="minorHAnsi"/>
          <w:b/>
          <w:bCs/>
          <w:sz w:val="24"/>
          <w:szCs w:val="24"/>
        </w:rPr>
        <w:t>Specific</w:t>
      </w:r>
    </w:p>
    <w:p w14:paraId="07D88D71" w14:textId="77777777" w:rsidR="00286FE9" w:rsidRDefault="00286FE9" w:rsidP="00286FE9">
      <w:pPr>
        <w:spacing w:after="0" w:line="240" w:lineRule="auto"/>
        <w:ind w:left="567" w:hanging="567"/>
        <w:rPr>
          <w:rFonts w:cstheme="minorHAnsi"/>
          <w:sz w:val="24"/>
          <w:szCs w:val="24"/>
        </w:rPr>
      </w:pPr>
    </w:p>
    <w:p w14:paraId="5E231B74" w14:textId="43289B3F" w:rsidR="00286FE9" w:rsidRDefault="00286FE9" w:rsidP="00286FE9">
      <w:pPr>
        <w:spacing w:after="0" w:line="240" w:lineRule="auto"/>
        <w:ind w:left="567" w:hanging="567"/>
        <w:rPr>
          <w:rFonts w:cstheme="minorHAnsi"/>
          <w:sz w:val="24"/>
          <w:szCs w:val="24"/>
        </w:rPr>
      </w:pPr>
      <w:r w:rsidRPr="00286FE9">
        <w:rPr>
          <w:rFonts w:cstheme="minorHAnsi"/>
          <w:sz w:val="24"/>
          <w:szCs w:val="24"/>
        </w:rPr>
        <w:t xml:space="preserve">Bates, M.R., Bates, C.R. and Whittaker, J.E. 2007 Mixed method approaches to the investigation and mapping of buried Quaternary deposits:  examples from Southern England.  </w:t>
      </w:r>
      <w:r w:rsidRPr="00286FE9">
        <w:rPr>
          <w:rFonts w:cstheme="minorHAnsi"/>
          <w:i/>
          <w:sz w:val="24"/>
          <w:szCs w:val="24"/>
        </w:rPr>
        <w:t>Archaeological Prospection 14</w:t>
      </w:r>
      <w:r w:rsidRPr="00286FE9">
        <w:rPr>
          <w:rFonts w:cstheme="minorHAnsi"/>
          <w:sz w:val="24"/>
          <w:szCs w:val="24"/>
        </w:rPr>
        <w:t>, 104-129.</w:t>
      </w:r>
    </w:p>
    <w:p w14:paraId="56BBBBAB" w14:textId="77777777" w:rsidR="00286FE9" w:rsidRPr="00286FE9" w:rsidRDefault="00286FE9" w:rsidP="00286FE9">
      <w:pPr>
        <w:spacing w:after="0" w:line="240" w:lineRule="auto"/>
        <w:ind w:left="567" w:hanging="567"/>
        <w:rPr>
          <w:rFonts w:cstheme="minorHAnsi"/>
          <w:sz w:val="24"/>
          <w:szCs w:val="24"/>
        </w:rPr>
      </w:pPr>
    </w:p>
    <w:p w14:paraId="03E1244F" w14:textId="7B1B631D" w:rsidR="00286FE9" w:rsidRDefault="00286FE9" w:rsidP="00286FE9">
      <w:pPr>
        <w:autoSpaceDE w:val="0"/>
        <w:autoSpaceDN w:val="0"/>
        <w:adjustRightInd w:val="0"/>
        <w:spacing w:after="0" w:line="240" w:lineRule="auto"/>
        <w:ind w:left="567" w:hanging="567"/>
        <w:rPr>
          <w:rFonts w:cstheme="minorHAnsi"/>
          <w:sz w:val="24"/>
          <w:szCs w:val="24"/>
        </w:rPr>
      </w:pPr>
      <w:r w:rsidRPr="00286FE9">
        <w:rPr>
          <w:rFonts w:cstheme="minorHAnsi"/>
          <w:sz w:val="24"/>
          <w:szCs w:val="24"/>
        </w:rPr>
        <w:lastRenderedPageBreak/>
        <w:t xml:space="preserve">Bates, M.R., Bates, C.R. and Briant, R.M. 2007 Bridging the gap: a terrestrial view of shallow marine sequences and the importance of the transition zone. </w:t>
      </w:r>
      <w:r w:rsidRPr="00286FE9">
        <w:rPr>
          <w:rFonts w:cstheme="minorHAnsi"/>
          <w:i/>
          <w:sz w:val="24"/>
          <w:szCs w:val="24"/>
        </w:rPr>
        <w:t>Journal of Archaeological Science 34</w:t>
      </w:r>
      <w:r w:rsidRPr="00286FE9">
        <w:rPr>
          <w:rFonts w:cstheme="minorHAnsi"/>
          <w:sz w:val="24"/>
          <w:szCs w:val="24"/>
        </w:rPr>
        <w:t>, 1537-1551.</w:t>
      </w:r>
    </w:p>
    <w:p w14:paraId="64B64120" w14:textId="77777777" w:rsidR="00286FE9" w:rsidRPr="00286FE9" w:rsidRDefault="00286FE9" w:rsidP="00286FE9">
      <w:pPr>
        <w:autoSpaceDE w:val="0"/>
        <w:autoSpaceDN w:val="0"/>
        <w:adjustRightInd w:val="0"/>
        <w:spacing w:after="0" w:line="240" w:lineRule="auto"/>
        <w:ind w:left="567" w:hanging="567"/>
        <w:rPr>
          <w:rFonts w:cstheme="minorHAnsi"/>
          <w:sz w:val="24"/>
          <w:szCs w:val="24"/>
        </w:rPr>
      </w:pPr>
    </w:p>
    <w:p w14:paraId="5A0D159B" w14:textId="0A88B042" w:rsidR="00286FE9" w:rsidRDefault="00286FE9" w:rsidP="00286FE9">
      <w:pPr>
        <w:spacing w:after="0" w:line="240" w:lineRule="auto"/>
        <w:ind w:left="567" w:hanging="567"/>
        <w:rPr>
          <w:rFonts w:cstheme="minorHAnsi"/>
          <w:sz w:val="24"/>
          <w:szCs w:val="24"/>
        </w:rPr>
      </w:pPr>
      <w:r w:rsidRPr="00286FE9">
        <w:rPr>
          <w:rFonts w:cstheme="minorHAnsi"/>
          <w:sz w:val="24"/>
          <w:szCs w:val="24"/>
        </w:rPr>
        <w:t xml:space="preserve">Bates, M.R. and Wenban-Smith, F.F. 2011 Palaeolithic Geoarchaeology: palaeolandscape </w:t>
      </w:r>
      <w:r w:rsidR="002F0833" w:rsidRPr="00286FE9">
        <w:rPr>
          <w:rFonts w:cstheme="minorHAnsi"/>
          <w:sz w:val="24"/>
          <w:szCs w:val="24"/>
        </w:rPr>
        <w:t>modelling</w:t>
      </w:r>
      <w:r w:rsidRPr="00286FE9">
        <w:rPr>
          <w:rFonts w:cstheme="minorHAnsi"/>
          <w:sz w:val="24"/>
          <w:szCs w:val="24"/>
        </w:rPr>
        <w:t xml:space="preserve"> and scales of investigation.  </w:t>
      </w:r>
      <w:r w:rsidRPr="00286FE9">
        <w:rPr>
          <w:rFonts w:cstheme="minorHAnsi"/>
          <w:i/>
          <w:sz w:val="24"/>
          <w:szCs w:val="24"/>
        </w:rPr>
        <w:t>Landscapes 2011 (1),</w:t>
      </w:r>
      <w:r w:rsidRPr="00286FE9">
        <w:rPr>
          <w:rFonts w:cstheme="minorHAnsi"/>
          <w:sz w:val="24"/>
          <w:szCs w:val="24"/>
        </w:rPr>
        <w:t xml:space="preserve"> 69-96.</w:t>
      </w:r>
    </w:p>
    <w:p w14:paraId="31380897" w14:textId="77777777" w:rsidR="00286FE9" w:rsidRPr="00286FE9" w:rsidRDefault="00286FE9" w:rsidP="00286FE9">
      <w:pPr>
        <w:spacing w:after="0" w:line="240" w:lineRule="auto"/>
        <w:ind w:left="567" w:hanging="567"/>
        <w:rPr>
          <w:rFonts w:cstheme="minorHAnsi"/>
          <w:sz w:val="24"/>
          <w:szCs w:val="24"/>
        </w:rPr>
      </w:pPr>
    </w:p>
    <w:p w14:paraId="1D4187DB" w14:textId="77777777" w:rsidR="00286FE9" w:rsidRDefault="00286FE9" w:rsidP="00286FE9">
      <w:pPr>
        <w:autoSpaceDE w:val="0"/>
        <w:autoSpaceDN w:val="0"/>
        <w:adjustRightInd w:val="0"/>
        <w:spacing w:after="0" w:line="240" w:lineRule="auto"/>
        <w:ind w:left="567" w:hanging="567"/>
        <w:rPr>
          <w:rFonts w:cstheme="minorHAnsi"/>
          <w:sz w:val="24"/>
          <w:szCs w:val="24"/>
        </w:rPr>
      </w:pPr>
      <w:r w:rsidRPr="00286FE9">
        <w:rPr>
          <w:rFonts w:cstheme="minorHAnsi"/>
          <w:sz w:val="24"/>
          <w:szCs w:val="24"/>
        </w:rPr>
        <w:t xml:space="preserve">Bates, M.R., Wenban-Smith, F.F., Bello, S.M., Bridgland, D.R., Buck, L.T., Collins, M.J., Keen, D.H., Leary, J., Parfitt, S.A., Penkman, K., Rhodes, E, Ryssaert, C. and Whittaker, J.E. 2014 Late persistence of the Acheulian in southern Britain in an MIS 8 interstadial: evidence from Harnham, Wiltshire.  </w:t>
      </w:r>
      <w:r w:rsidRPr="00286FE9">
        <w:rPr>
          <w:rFonts w:cstheme="minorHAnsi"/>
          <w:i/>
          <w:sz w:val="24"/>
          <w:szCs w:val="24"/>
        </w:rPr>
        <w:t>Quaternary Science Reviews 101</w:t>
      </w:r>
      <w:r w:rsidRPr="00286FE9">
        <w:rPr>
          <w:rFonts w:cstheme="minorHAnsi"/>
          <w:sz w:val="24"/>
          <w:szCs w:val="24"/>
        </w:rPr>
        <w:t>, 159-186.</w:t>
      </w:r>
    </w:p>
    <w:p w14:paraId="507603CB" w14:textId="77777777" w:rsidR="00286FE9" w:rsidRDefault="00286FE9" w:rsidP="00286FE9">
      <w:pPr>
        <w:autoSpaceDE w:val="0"/>
        <w:autoSpaceDN w:val="0"/>
        <w:adjustRightInd w:val="0"/>
        <w:spacing w:after="0" w:line="240" w:lineRule="auto"/>
        <w:ind w:left="567" w:hanging="567"/>
        <w:rPr>
          <w:rFonts w:cstheme="minorHAnsi"/>
          <w:sz w:val="24"/>
          <w:szCs w:val="24"/>
        </w:rPr>
      </w:pPr>
    </w:p>
    <w:p w14:paraId="044978C4" w14:textId="4AA64E55" w:rsidR="00286FE9" w:rsidRPr="00286FE9" w:rsidRDefault="00286FE9" w:rsidP="00286FE9">
      <w:pPr>
        <w:autoSpaceDE w:val="0"/>
        <w:autoSpaceDN w:val="0"/>
        <w:adjustRightInd w:val="0"/>
        <w:spacing w:after="0" w:line="240" w:lineRule="auto"/>
        <w:ind w:left="567" w:hanging="567"/>
        <w:rPr>
          <w:rFonts w:cstheme="minorHAnsi"/>
          <w:sz w:val="24"/>
          <w:szCs w:val="24"/>
        </w:rPr>
      </w:pPr>
      <w:r w:rsidRPr="00286FE9">
        <w:rPr>
          <w:rFonts w:cs="Arial"/>
          <w:sz w:val="24"/>
          <w:szCs w:val="24"/>
        </w:rPr>
        <w:t xml:space="preserve">Bridgland, D.R. 2006 </w:t>
      </w:r>
      <w:hyperlink r:id="rId5" w:history="1">
        <w:r w:rsidRPr="00286FE9">
          <w:rPr>
            <w:rFonts w:cs="Arial"/>
            <w:sz w:val="24"/>
            <w:szCs w:val="24"/>
          </w:rPr>
          <w:t xml:space="preserve">The Middle and Upper Pleistocene sequence in the Lower Thames: a record of Milankovitch climatic fluctuation and early human occupation of southern </w:t>
        </w:r>
        <w:r w:rsidR="002F0833" w:rsidRPr="00286FE9">
          <w:rPr>
            <w:rFonts w:cs="Arial"/>
            <w:sz w:val="24"/>
            <w:szCs w:val="24"/>
          </w:rPr>
          <w:t>Britain</w:t>
        </w:r>
        <w:r w:rsidRPr="00286FE9">
          <w:rPr>
            <w:rFonts w:cs="Arial"/>
            <w:sz w:val="24"/>
            <w:szCs w:val="24"/>
          </w:rPr>
          <w:t>. Henry Stopes Memorial Lecture</w:t>
        </w:r>
      </w:hyperlink>
      <w:r w:rsidRPr="00286FE9">
        <w:rPr>
          <w:rFonts w:cs="Arial"/>
          <w:sz w:val="24"/>
          <w:szCs w:val="24"/>
        </w:rPr>
        <w:t xml:space="preserve">. </w:t>
      </w:r>
      <w:r w:rsidRPr="00286FE9">
        <w:rPr>
          <w:rFonts w:cs="Arial"/>
          <w:i/>
          <w:iCs/>
          <w:sz w:val="24"/>
          <w:szCs w:val="24"/>
        </w:rPr>
        <w:t>Proceedings of the Geologists' Association</w:t>
      </w:r>
      <w:r w:rsidRPr="00286FE9">
        <w:rPr>
          <w:rFonts w:cs="Arial"/>
          <w:sz w:val="24"/>
          <w:szCs w:val="24"/>
        </w:rPr>
        <w:t xml:space="preserve"> 117,281-305.</w:t>
      </w:r>
    </w:p>
    <w:p w14:paraId="34DC660C" w14:textId="77777777" w:rsidR="00286FE9" w:rsidRPr="00286FE9" w:rsidRDefault="00286FE9" w:rsidP="00286FE9">
      <w:pPr>
        <w:autoSpaceDE w:val="0"/>
        <w:autoSpaceDN w:val="0"/>
        <w:adjustRightInd w:val="0"/>
        <w:spacing w:after="0" w:line="240" w:lineRule="auto"/>
        <w:ind w:left="567" w:hanging="567"/>
        <w:rPr>
          <w:rFonts w:cstheme="minorHAnsi"/>
          <w:sz w:val="24"/>
          <w:szCs w:val="24"/>
        </w:rPr>
      </w:pPr>
    </w:p>
    <w:p w14:paraId="5C38EF1A" w14:textId="77777777" w:rsidR="00286FE9" w:rsidRPr="00286FE9" w:rsidRDefault="00286FE9" w:rsidP="00286FE9">
      <w:pPr>
        <w:autoSpaceDE w:val="0"/>
        <w:autoSpaceDN w:val="0"/>
        <w:adjustRightInd w:val="0"/>
        <w:spacing w:after="0" w:line="240" w:lineRule="auto"/>
        <w:ind w:left="567" w:hanging="567"/>
        <w:rPr>
          <w:rFonts w:cstheme="minorHAnsi"/>
          <w:color w:val="231F20"/>
          <w:sz w:val="24"/>
          <w:szCs w:val="24"/>
        </w:rPr>
      </w:pPr>
      <w:bookmarkStart w:id="0" w:name="_Hlk23857807"/>
      <w:r w:rsidRPr="00286FE9">
        <w:rPr>
          <w:rFonts w:cstheme="minorHAnsi"/>
          <w:color w:val="231F20"/>
          <w:sz w:val="24"/>
          <w:szCs w:val="24"/>
        </w:rPr>
        <w:t xml:space="preserve">Wenban-Smith F. F., Bates M. R., Schwenninger J.-L. 2010. Early Devensian (MIS 5d–5b) </w:t>
      </w:r>
    </w:p>
    <w:p w14:paraId="0F39997B" w14:textId="06439C3A" w:rsidR="00286FE9" w:rsidRDefault="00286FE9" w:rsidP="00286FE9">
      <w:pPr>
        <w:autoSpaceDE w:val="0"/>
        <w:autoSpaceDN w:val="0"/>
        <w:adjustRightInd w:val="0"/>
        <w:spacing w:after="0" w:line="240" w:lineRule="auto"/>
        <w:ind w:left="567" w:hanging="567"/>
        <w:rPr>
          <w:rFonts w:cstheme="minorHAnsi"/>
          <w:color w:val="231F20"/>
          <w:sz w:val="24"/>
          <w:szCs w:val="24"/>
        </w:rPr>
      </w:pPr>
      <w:r w:rsidRPr="00286FE9">
        <w:rPr>
          <w:rFonts w:cstheme="minorHAnsi"/>
          <w:color w:val="231F20"/>
          <w:sz w:val="24"/>
          <w:szCs w:val="24"/>
        </w:rPr>
        <w:t xml:space="preserve">          occupation at Dartford, southeast England. </w:t>
      </w:r>
      <w:r w:rsidRPr="00286FE9">
        <w:rPr>
          <w:rFonts w:cstheme="minorHAnsi"/>
          <w:i/>
          <w:color w:val="231F20"/>
          <w:sz w:val="24"/>
          <w:szCs w:val="24"/>
        </w:rPr>
        <w:t>J. Quaternary Sci., Vol. 25</w:t>
      </w:r>
      <w:r w:rsidRPr="00286FE9">
        <w:rPr>
          <w:rFonts w:cstheme="minorHAnsi"/>
          <w:color w:val="231F20"/>
          <w:sz w:val="24"/>
          <w:szCs w:val="24"/>
        </w:rPr>
        <w:t xml:space="preserve"> pp. 1193-1199.</w:t>
      </w:r>
    </w:p>
    <w:p w14:paraId="6ACD0395" w14:textId="77777777" w:rsidR="00286FE9" w:rsidRPr="00286FE9" w:rsidRDefault="00286FE9" w:rsidP="00286FE9">
      <w:pPr>
        <w:autoSpaceDE w:val="0"/>
        <w:autoSpaceDN w:val="0"/>
        <w:adjustRightInd w:val="0"/>
        <w:spacing w:after="0" w:line="240" w:lineRule="auto"/>
        <w:ind w:left="567" w:hanging="567"/>
        <w:rPr>
          <w:rFonts w:cstheme="minorHAnsi"/>
          <w:color w:val="231F20"/>
          <w:sz w:val="24"/>
          <w:szCs w:val="24"/>
        </w:rPr>
      </w:pPr>
    </w:p>
    <w:p w14:paraId="05FE685F" w14:textId="19F09B21" w:rsidR="00286FE9" w:rsidRDefault="00286FE9" w:rsidP="00286FE9">
      <w:pPr>
        <w:autoSpaceDE w:val="0"/>
        <w:autoSpaceDN w:val="0"/>
        <w:adjustRightInd w:val="0"/>
        <w:spacing w:after="0" w:line="240" w:lineRule="auto"/>
        <w:ind w:left="567" w:hanging="567"/>
        <w:rPr>
          <w:rFonts w:cstheme="minorHAnsi"/>
          <w:bCs/>
          <w:sz w:val="24"/>
          <w:szCs w:val="24"/>
        </w:rPr>
      </w:pPr>
      <w:r w:rsidRPr="00286FE9">
        <w:rPr>
          <w:rFonts w:cstheme="minorHAnsi"/>
          <w:i/>
          <w:iCs/>
          <w:sz w:val="24"/>
          <w:szCs w:val="24"/>
        </w:rPr>
        <w:t xml:space="preserve">Wenban-Smith, F. </w:t>
      </w:r>
      <w:r w:rsidRPr="00286FE9">
        <w:rPr>
          <w:rFonts w:cstheme="minorHAnsi"/>
          <w:bCs/>
          <w:i/>
          <w:sz w:val="24"/>
          <w:szCs w:val="24"/>
        </w:rPr>
        <w:t>The Ebbsfleet Elephant Excavations at Southfleet Road, Swanscombe in advance of High Speed 1, 2003 –4.</w:t>
      </w:r>
      <w:r w:rsidRPr="00286FE9">
        <w:rPr>
          <w:rFonts w:cstheme="minorHAnsi"/>
          <w:bCs/>
          <w:sz w:val="24"/>
          <w:szCs w:val="24"/>
        </w:rPr>
        <w:t xml:space="preserve"> Oxford Archaeology Monograph.</w:t>
      </w:r>
    </w:p>
    <w:p w14:paraId="3E7C040D" w14:textId="77777777" w:rsidR="00286FE9" w:rsidRPr="00286FE9" w:rsidRDefault="00286FE9" w:rsidP="00286FE9">
      <w:pPr>
        <w:autoSpaceDE w:val="0"/>
        <w:autoSpaceDN w:val="0"/>
        <w:adjustRightInd w:val="0"/>
        <w:spacing w:after="0" w:line="240" w:lineRule="auto"/>
        <w:ind w:left="567" w:hanging="567"/>
        <w:rPr>
          <w:rFonts w:cstheme="minorHAnsi"/>
          <w:color w:val="231F20"/>
          <w:sz w:val="24"/>
          <w:szCs w:val="24"/>
        </w:rPr>
      </w:pPr>
    </w:p>
    <w:bookmarkEnd w:id="0"/>
    <w:p w14:paraId="71161B68" w14:textId="57F1C19A" w:rsidR="00286FE9" w:rsidRDefault="00286FE9" w:rsidP="00286FE9">
      <w:pPr>
        <w:spacing w:after="0" w:line="240" w:lineRule="auto"/>
        <w:ind w:left="567" w:hanging="567"/>
        <w:rPr>
          <w:rFonts w:eastAsia="Times New Roman" w:cstheme="minorHAnsi"/>
          <w:color w:val="0A263C"/>
          <w:kern w:val="36"/>
          <w:sz w:val="24"/>
          <w:szCs w:val="24"/>
          <w:lang w:eastAsia="en-GB"/>
        </w:rPr>
      </w:pPr>
      <w:r w:rsidRPr="00286FE9">
        <w:rPr>
          <w:rFonts w:eastAsia="Times New Roman" w:cstheme="minorHAnsi"/>
          <w:color w:val="2F2F2F"/>
          <w:sz w:val="24"/>
          <w:szCs w:val="24"/>
          <w:lang w:eastAsia="en-GB"/>
        </w:rPr>
        <w:t xml:space="preserve">Wenban-Smith, F.F., Stafford, L., Bates, </w:t>
      </w:r>
      <w:proofErr w:type="gramStart"/>
      <w:r w:rsidRPr="00286FE9">
        <w:rPr>
          <w:rFonts w:eastAsia="Times New Roman" w:cstheme="minorHAnsi"/>
          <w:color w:val="2F2F2F"/>
          <w:sz w:val="24"/>
          <w:szCs w:val="24"/>
          <w:lang w:eastAsia="en-GB"/>
        </w:rPr>
        <w:t>M.</w:t>
      </w:r>
      <w:proofErr w:type="gramEnd"/>
      <w:r w:rsidRPr="00286FE9">
        <w:rPr>
          <w:rFonts w:eastAsia="Times New Roman" w:cstheme="minorHAnsi"/>
          <w:color w:val="2F2F2F"/>
          <w:sz w:val="24"/>
          <w:szCs w:val="24"/>
          <w:lang w:eastAsia="en-GB"/>
        </w:rPr>
        <w:t xml:space="preserve"> and Parfitt, S. 2020 </w:t>
      </w:r>
      <w:r w:rsidRPr="00286FE9">
        <w:rPr>
          <w:rFonts w:eastAsia="Times New Roman" w:cstheme="minorHAnsi"/>
          <w:i/>
          <w:iCs/>
          <w:color w:val="0A263C"/>
          <w:kern w:val="36"/>
          <w:sz w:val="24"/>
          <w:szCs w:val="24"/>
          <w:lang w:eastAsia="en-GB"/>
        </w:rPr>
        <w:t>Prehistoric Ebbsfleet: Excavations and Research in Advance of High Speed 1 and South Thameside Development Route 4, 1989-2003.</w:t>
      </w:r>
      <w:r w:rsidRPr="00286FE9">
        <w:rPr>
          <w:rFonts w:eastAsia="Times New Roman" w:cstheme="minorHAnsi"/>
          <w:color w:val="0A263C"/>
          <w:kern w:val="36"/>
          <w:sz w:val="24"/>
          <w:szCs w:val="24"/>
          <w:lang w:eastAsia="en-GB"/>
        </w:rPr>
        <w:t xml:space="preserve"> Oxford Wessex Archaeology.  Volume 7.  Wessex Archaeology: Salisbury.</w:t>
      </w:r>
    </w:p>
    <w:p w14:paraId="709D07B6" w14:textId="77777777" w:rsidR="00286FE9" w:rsidRPr="00286FE9" w:rsidRDefault="00286FE9" w:rsidP="00286FE9">
      <w:pPr>
        <w:spacing w:after="0" w:line="240" w:lineRule="auto"/>
        <w:ind w:left="567" w:hanging="567"/>
        <w:rPr>
          <w:rFonts w:eastAsia="Times New Roman" w:cstheme="minorHAnsi"/>
          <w:color w:val="0A263C"/>
          <w:kern w:val="36"/>
          <w:sz w:val="24"/>
          <w:szCs w:val="24"/>
          <w:lang w:eastAsia="en-GB"/>
        </w:rPr>
      </w:pPr>
    </w:p>
    <w:p w14:paraId="18061F8A" w14:textId="77777777" w:rsidR="00286FE9" w:rsidRPr="00286FE9" w:rsidRDefault="00286FE9" w:rsidP="00286FE9">
      <w:pPr>
        <w:spacing w:after="0" w:line="240" w:lineRule="auto"/>
        <w:ind w:left="567" w:hanging="567"/>
        <w:rPr>
          <w:rFonts w:cstheme="minorHAnsi"/>
          <w:sz w:val="24"/>
          <w:szCs w:val="24"/>
        </w:rPr>
      </w:pPr>
      <w:r w:rsidRPr="00286FE9">
        <w:rPr>
          <w:rFonts w:cstheme="minorHAnsi"/>
          <w:sz w:val="24"/>
          <w:szCs w:val="24"/>
        </w:rPr>
        <w:t xml:space="preserve">White, M. (ed.) </w:t>
      </w:r>
      <w:r w:rsidRPr="00286FE9">
        <w:rPr>
          <w:rFonts w:cstheme="minorHAnsi"/>
          <w:i/>
          <w:sz w:val="24"/>
          <w:szCs w:val="24"/>
        </w:rPr>
        <w:t>Lost Landscapes of Palaeolithic Britain. The contribution of projects funded by the Aggregates Levy Sustainability Fund 2002-2011</w:t>
      </w:r>
      <w:r w:rsidRPr="00286FE9">
        <w:rPr>
          <w:rFonts w:cstheme="minorHAnsi"/>
          <w:sz w:val="24"/>
          <w:szCs w:val="24"/>
        </w:rPr>
        <w:t>. Oxford Archaeology Monograph 26. Oxford Archaeology: Oxford.</w:t>
      </w:r>
    </w:p>
    <w:p w14:paraId="07065012" w14:textId="77777777" w:rsidR="00286FE9" w:rsidRDefault="00286FE9"/>
    <w:sectPr w:rsidR="00286F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6FE9"/>
    <w:rsid w:val="00286FE9"/>
    <w:rsid w:val="002F08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076F85"/>
  <w15:chartTrackingRefBased/>
  <w15:docId w15:val="{4B9F19FB-FC2D-4F71-9A17-19E3D855C2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0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6FE9"/>
    <w:pPr>
      <w:spacing w:after="200" w:line="276" w:lineRule="auto"/>
    </w:pPr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86FE9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lockText">
    <w:name w:val="Block Text"/>
    <w:basedOn w:val="Normal"/>
    <w:rsid w:val="00286FE9"/>
    <w:pPr>
      <w:spacing w:after="0" w:line="240" w:lineRule="auto"/>
      <w:ind w:left="567" w:right="368" w:hanging="567"/>
      <w:jc w:val="both"/>
    </w:pPr>
    <w:rPr>
      <w:rFonts w:ascii="Times New Roman" w:eastAsia="Times New Roman" w:hAnsi="Times New Roman" w:cs="Times New Roman"/>
      <w:bCs/>
      <w:sz w:val="20"/>
      <w:szCs w:val="20"/>
    </w:rPr>
  </w:style>
  <w:style w:type="character" w:styleId="Emphasis">
    <w:name w:val="Emphasis"/>
    <w:basedOn w:val="DefaultParagraphFont"/>
    <w:uiPriority w:val="20"/>
    <w:qFormat/>
    <w:rsid w:val="00286FE9"/>
    <w:rPr>
      <w:i/>
      <w:iCs/>
    </w:rPr>
  </w:style>
  <w:style w:type="character" w:customStyle="1" w:styleId="apple-converted-space">
    <w:name w:val="apple-converted-space"/>
    <w:basedOn w:val="DefaultParagraphFont"/>
    <w:rsid w:val="00286FE9"/>
  </w:style>
  <w:style w:type="character" w:styleId="Hyperlink">
    <w:name w:val="Hyperlink"/>
    <w:basedOn w:val="DefaultParagraphFont"/>
    <w:uiPriority w:val="99"/>
    <w:semiHidden/>
    <w:unhideWhenUsed/>
    <w:rsid w:val="00286FE9"/>
    <w:rPr>
      <w:color w:val="0000FF"/>
      <w:u w:val="single"/>
    </w:rPr>
  </w:style>
  <w:style w:type="character" w:customStyle="1" w:styleId="markq7vvfh5ut">
    <w:name w:val="markq7vvfh5ut"/>
    <w:basedOn w:val="DefaultParagraphFont"/>
    <w:rsid w:val="00286FE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dur.ac.uk/geography/staff/geogstaffhidden/?mode=pdetail&amp;id=332&amp;sid=332&amp;pdetail=46033" TargetMode="External"/><Relationship Id="rId4" Type="http://schemas.openxmlformats.org/officeDocument/2006/relationships/hyperlink" Target="http://eprints.soton.ac.uk/345367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553</Words>
  <Characters>3155</Characters>
  <Application>Microsoft Office Word</Application>
  <DocSecurity>0</DocSecurity>
  <Lines>26</Lines>
  <Paragraphs>7</Paragraphs>
  <ScaleCrop>false</ScaleCrop>
  <Company/>
  <LinksUpToDate>false</LinksUpToDate>
  <CharactersWithSpaces>3701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Bates</dc:creator>
  <cp:keywords/>
  <dc:description/>
  <cp:lastModifiedBy>Martin Bates</cp:lastModifiedBy>
  <cp:revision>2</cp:revision>
  <dcterms:created xsi:type="dcterms:W3CDTF">2023-02-12T12:12:00Z</dcterms:created>
  <dcterms:modified xsi:type="dcterms:W3CDTF">2023-02-12T12:22:00Z</dcterms:modified>
</cp:coreProperties>
</file>