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B9181" w14:textId="0F7E99E1" w:rsidR="00FF0F83" w:rsidRPr="009638AB" w:rsidRDefault="007D3C2C" w:rsidP="009638AB">
      <w:pPr>
        <w:jc w:val="center"/>
        <w:rPr>
          <w:rFonts w:ascii="Arial" w:hAnsi="Arial" w:cs="Arial"/>
          <w:b/>
          <w:bCs/>
        </w:rPr>
      </w:pPr>
      <w:r w:rsidRPr="009638AB">
        <w:rPr>
          <w:rFonts w:ascii="Arial" w:hAnsi="Arial" w:cs="Arial"/>
          <w:b/>
          <w:bCs/>
        </w:rPr>
        <w:t>Module:</w:t>
      </w:r>
      <w:r w:rsidRPr="009638AB">
        <w:rPr>
          <w:rFonts w:ascii="Arial" w:hAnsi="Arial" w:cs="Arial"/>
          <w:b/>
          <w:bCs/>
        </w:rPr>
        <w:t xml:space="preserve"> </w:t>
      </w:r>
      <w:r w:rsidRPr="009638AB">
        <w:rPr>
          <w:rFonts w:ascii="Arial" w:hAnsi="Arial" w:cs="Arial"/>
          <w:b/>
          <w:bCs/>
        </w:rPr>
        <w:t>Digital Transformation in the Health and Care Professions</w:t>
      </w:r>
    </w:p>
    <w:p w14:paraId="27E70761" w14:textId="29C887BA" w:rsidR="007D3C2C" w:rsidRPr="009638AB" w:rsidRDefault="007D3C2C" w:rsidP="009638AB">
      <w:pPr>
        <w:jc w:val="center"/>
        <w:rPr>
          <w:rFonts w:ascii="Arial" w:hAnsi="Arial" w:cs="Arial"/>
          <w:b/>
          <w:bCs/>
        </w:rPr>
      </w:pPr>
      <w:r w:rsidRPr="009638AB">
        <w:rPr>
          <w:rFonts w:ascii="Arial" w:hAnsi="Arial" w:cs="Arial"/>
          <w:b/>
          <w:bCs/>
        </w:rPr>
        <w:t>Module code:</w:t>
      </w:r>
      <w:r w:rsidRPr="009638AB">
        <w:rPr>
          <w:rFonts w:ascii="Arial" w:hAnsi="Arial" w:cs="Arial"/>
          <w:b/>
          <w:bCs/>
        </w:rPr>
        <w:tab/>
        <w:t>BMHP6026</w:t>
      </w:r>
    </w:p>
    <w:p w14:paraId="13EE6AB0" w14:textId="722171AE" w:rsidR="007D3C2C" w:rsidRPr="009638AB" w:rsidRDefault="007D3C2C" w:rsidP="009638AB">
      <w:pPr>
        <w:jc w:val="center"/>
        <w:rPr>
          <w:rFonts w:ascii="Arial" w:hAnsi="Arial" w:cs="Arial"/>
          <w:b/>
          <w:bCs/>
          <w:lang w:val="it-IT"/>
        </w:rPr>
      </w:pPr>
      <w:r w:rsidRPr="009638AB">
        <w:rPr>
          <w:rFonts w:ascii="Arial" w:hAnsi="Arial" w:cs="Arial"/>
          <w:b/>
          <w:bCs/>
          <w:lang w:val="it-IT"/>
        </w:rPr>
        <w:t>Student Name: Ana Maria Estera Mandache</w:t>
      </w:r>
    </w:p>
    <w:p w14:paraId="0532B5C8" w14:textId="2837648F" w:rsidR="007D3C2C" w:rsidRPr="009638AB" w:rsidRDefault="007D3C2C" w:rsidP="009638AB">
      <w:pPr>
        <w:jc w:val="center"/>
        <w:rPr>
          <w:rFonts w:ascii="Arial" w:hAnsi="Arial" w:cs="Arial"/>
          <w:b/>
          <w:bCs/>
          <w:lang w:val="it-IT"/>
        </w:rPr>
      </w:pPr>
      <w:r w:rsidRPr="009638AB">
        <w:rPr>
          <w:rFonts w:ascii="Arial" w:hAnsi="Arial" w:cs="Arial"/>
          <w:b/>
          <w:bCs/>
          <w:lang w:val="it-IT"/>
        </w:rPr>
        <w:t>Student ID: 2334689</w:t>
      </w:r>
    </w:p>
    <w:p w14:paraId="1F74FD56" w14:textId="5CCD0D4B" w:rsidR="007D3C2C" w:rsidRDefault="009638AB" w:rsidP="009638AB">
      <w:pPr>
        <w:jc w:val="center"/>
        <w:rPr>
          <w:rFonts w:ascii="Arial" w:hAnsi="Arial" w:cs="Arial"/>
          <w:b/>
          <w:bCs/>
        </w:rPr>
      </w:pPr>
      <w:r w:rsidRPr="009638AB">
        <w:rPr>
          <w:rFonts w:ascii="Arial" w:hAnsi="Arial" w:cs="Arial"/>
          <w:b/>
          <w:bCs/>
        </w:rPr>
        <w:t>The Implementation and Impact of Telehealth in UK Healthcare</w:t>
      </w:r>
    </w:p>
    <w:p w14:paraId="61CF28AB" w14:textId="77777777" w:rsidR="009638AB" w:rsidRDefault="009638AB" w:rsidP="009638AB">
      <w:pPr>
        <w:jc w:val="center"/>
        <w:rPr>
          <w:rFonts w:ascii="Arial" w:hAnsi="Arial" w:cs="Arial"/>
          <w:b/>
          <w:bCs/>
        </w:rPr>
      </w:pPr>
    </w:p>
    <w:p w14:paraId="44C58FB7" w14:textId="77777777" w:rsidR="009638AB" w:rsidRDefault="009638AB" w:rsidP="009638AB">
      <w:pPr>
        <w:jc w:val="center"/>
        <w:rPr>
          <w:rFonts w:ascii="Arial" w:hAnsi="Arial" w:cs="Arial"/>
          <w:b/>
          <w:bCs/>
        </w:rPr>
      </w:pPr>
    </w:p>
    <w:p w14:paraId="007811D1" w14:textId="77777777" w:rsidR="009638AB" w:rsidRDefault="009638AB" w:rsidP="009638AB">
      <w:pPr>
        <w:jc w:val="center"/>
        <w:rPr>
          <w:rFonts w:ascii="Arial" w:hAnsi="Arial" w:cs="Arial"/>
          <w:b/>
          <w:bCs/>
        </w:rPr>
      </w:pPr>
    </w:p>
    <w:p w14:paraId="31F5AA42" w14:textId="77777777" w:rsidR="009638AB" w:rsidRDefault="009638AB" w:rsidP="009638AB">
      <w:pPr>
        <w:jc w:val="center"/>
        <w:rPr>
          <w:rFonts w:ascii="Arial" w:hAnsi="Arial" w:cs="Arial"/>
          <w:b/>
          <w:bCs/>
        </w:rPr>
      </w:pPr>
    </w:p>
    <w:p w14:paraId="41E56AE5" w14:textId="77777777" w:rsidR="009638AB" w:rsidRDefault="009638AB" w:rsidP="009638AB">
      <w:pPr>
        <w:jc w:val="center"/>
        <w:rPr>
          <w:rFonts w:ascii="Arial" w:hAnsi="Arial" w:cs="Arial"/>
          <w:b/>
          <w:bCs/>
        </w:rPr>
      </w:pPr>
    </w:p>
    <w:p w14:paraId="2C9ECCF8" w14:textId="77777777" w:rsidR="009638AB" w:rsidRDefault="009638AB" w:rsidP="009638AB">
      <w:pPr>
        <w:jc w:val="center"/>
        <w:rPr>
          <w:rFonts w:ascii="Arial" w:hAnsi="Arial" w:cs="Arial"/>
          <w:b/>
          <w:bCs/>
        </w:rPr>
      </w:pPr>
    </w:p>
    <w:p w14:paraId="60C794A0" w14:textId="77777777" w:rsidR="009638AB" w:rsidRDefault="009638AB" w:rsidP="009638AB">
      <w:pPr>
        <w:jc w:val="center"/>
        <w:rPr>
          <w:rFonts w:ascii="Arial" w:hAnsi="Arial" w:cs="Arial"/>
          <w:b/>
          <w:bCs/>
        </w:rPr>
      </w:pPr>
    </w:p>
    <w:p w14:paraId="330EEB8C" w14:textId="77777777" w:rsidR="009638AB" w:rsidRDefault="009638AB" w:rsidP="009638AB">
      <w:pPr>
        <w:jc w:val="center"/>
        <w:rPr>
          <w:rFonts w:ascii="Arial" w:hAnsi="Arial" w:cs="Arial"/>
          <w:b/>
          <w:bCs/>
        </w:rPr>
      </w:pPr>
    </w:p>
    <w:p w14:paraId="67847536" w14:textId="77777777" w:rsidR="009638AB" w:rsidRDefault="009638AB" w:rsidP="009638AB">
      <w:pPr>
        <w:jc w:val="center"/>
        <w:rPr>
          <w:rFonts w:ascii="Arial" w:hAnsi="Arial" w:cs="Arial"/>
          <w:b/>
          <w:bCs/>
        </w:rPr>
      </w:pPr>
    </w:p>
    <w:p w14:paraId="6C958501" w14:textId="77777777" w:rsidR="009638AB" w:rsidRDefault="009638AB" w:rsidP="009638AB">
      <w:pPr>
        <w:jc w:val="center"/>
        <w:rPr>
          <w:rFonts w:ascii="Arial" w:hAnsi="Arial" w:cs="Arial"/>
          <w:b/>
          <w:bCs/>
        </w:rPr>
      </w:pPr>
    </w:p>
    <w:p w14:paraId="42B660E7" w14:textId="77777777" w:rsidR="009638AB" w:rsidRDefault="009638AB" w:rsidP="009638AB">
      <w:pPr>
        <w:jc w:val="center"/>
        <w:rPr>
          <w:rFonts w:ascii="Arial" w:hAnsi="Arial" w:cs="Arial"/>
          <w:b/>
          <w:bCs/>
        </w:rPr>
      </w:pPr>
    </w:p>
    <w:p w14:paraId="2C68A78E" w14:textId="77777777" w:rsidR="009638AB" w:rsidRDefault="009638AB" w:rsidP="009638AB">
      <w:pPr>
        <w:jc w:val="center"/>
        <w:rPr>
          <w:rFonts w:ascii="Arial" w:hAnsi="Arial" w:cs="Arial"/>
          <w:b/>
          <w:bCs/>
        </w:rPr>
      </w:pPr>
    </w:p>
    <w:p w14:paraId="41B42536" w14:textId="77777777" w:rsidR="009638AB" w:rsidRDefault="009638AB" w:rsidP="009638AB">
      <w:pPr>
        <w:jc w:val="center"/>
        <w:rPr>
          <w:rFonts w:ascii="Arial" w:hAnsi="Arial" w:cs="Arial"/>
          <w:b/>
          <w:bCs/>
        </w:rPr>
      </w:pPr>
    </w:p>
    <w:p w14:paraId="3BF4AEB0" w14:textId="77777777" w:rsidR="009638AB" w:rsidRDefault="009638AB" w:rsidP="009638AB">
      <w:pPr>
        <w:jc w:val="center"/>
        <w:rPr>
          <w:rFonts w:ascii="Arial" w:hAnsi="Arial" w:cs="Arial"/>
          <w:b/>
          <w:bCs/>
        </w:rPr>
      </w:pPr>
    </w:p>
    <w:p w14:paraId="54815651" w14:textId="77777777" w:rsidR="009638AB" w:rsidRDefault="009638AB" w:rsidP="009638AB">
      <w:pPr>
        <w:jc w:val="center"/>
        <w:rPr>
          <w:rFonts w:ascii="Arial" w:hAnsi="Arial" w:cs="Arial"/>
          <w:b/>
          <w:bCs/>
        </w:rPr>
      </w:pPr>
    </w:p>
    <w:p w14:paraId="2B5B7381" w14:textId="77777777" w:rsidR="009638AB" w:rsidRDefault="009638AB" w:rsidP="009638AB">
      <w:pPr>
        <w:jc w:val="center"/>
        <w:rPr>
          <w:rFonts w:ascii="Arial" w:hAnsi="Arial" w:cs="Arial"/>
          <w:b/>
          <w:bCs/>
        </w:rPr>
      </w:pPr>
    </w:p>
    <w:p w14:paraId="13A0EE46" w14:textId="77777777" w:rsidR="009638AB" w:rsidRDefault="009638AB" w:rsidP="009638AB">
      <w:pPr>
        <w:jc w:val="center"/>
        <w:rPr>
          <w:rFonts w:ascii="Arial" w:hAnsi="Arial" w:cs="Arial"/>
          <w:b/>
          <w:bCs/>
        </w:rPr>
      </w:pPr>
    </w:p>
    <w:p w14:paraId="2DB8F05F" w14:textId="77777777" w:rsidR="009638AB" w:rsidRDefault="009638AB" w:rsidP="009638AB">
      <w:pPr>
        <w:jc w:val="center"/>
        <w:rPr>
          <w:rFonts w:ascii="Arial" w:hAnsi="Arial" w:cs="Arial"/>
          <w:b/>
          <w:bCs/>
        </w:rPr>
      </w:pPr>
    </w:p>
    <w:p w14:paraId="7494AAAA" w14:textId="77777777" w:rsidR="009638AB" w:rsidRDefault="009638AB" w:rsidP="009638AB">
      <w:pPr>
        <w:jc w:val="center"/>
        <w:rPr>
          <w:rFonts w:ascii="Arial" w:hAnsi="Arial" w:cs="Arial"/>
          <w:b/>
          <w:bCs/>
        </w:rPr>
      </w:pPr>
    </w:p>
    <w:p w14:paraId="4B2CC2D8" w14:textId="77777777" w:rsidR="009638AB" w:rsidRDefault="009638AB" w:rsidP="009638AB">
      <w:pPr>
        <w:jc w:val="center"/>
        <w:rPr>
          <w:rFonts w:ascii="Arial" w:hAnsi="Arial" w:cs="Arial"/>
          <w:b/>
          <w:bCs/>
        </w:rPr>
      </w:pPr>
    </w:p>
    <w:p w14:paraId="7E5A07B5" w14:textId="77777777" w:rsidR="009638AB" w:rsidRDefault="009638AB" w:rsidP="009638AB">
      <w:pPr>
        <w:jc w:val="center"/>
        <w:rPr>
          <w:rFonts w:ascii="Arial" w:hAnsi="Arial" w:cs="Arial"/>
          <w:b/>
          <w:bCs/>
        </w:rPr>
      </w:pPr>
    </w:p>
    <w:p w14:paraId="5092BDB0" w14:textId="77777777" w:rsidR="009638AB" w:rsidRDefault="009638AB" w:rsidP="009638AB">
      <w:pPr>
        <w:jc w:val="center"/>
        <w:rPr>
          <w:rFonts w:ascii="Arial" w:hAnsi="Arial" w:cs="Arial"/>
          <w:b/>
          <w:bCs/>
        </w:rPr>
      </w:pPr>
    </w:p>
    <w:p w14:paraId="655AEC94" w14:textId="77777777" w:rsidR="009638AB" w:rsidRDefault="009638AB" w:rsidP="009638AB">
      <w:pPr>
        <w:jc w:val="center"/>
        <w:rPr>
          <w:rFonts w:ascii="Arial" w:hAnsi="Arial" w:cs="Arial"/>
          <w:b/>
          <w:bCs/>
        </w:rPr>
      </w:pPr>
    </w:p>
    <w:p w14:paraId="7341BA92" w14:textId="77777777" w:rsidR="009638AB" w:rsidRDefault="009638AB" w:rsidP="009638AB">
      <w:pPr>
        <w:jc w:val="center"/>
        <w:rPr>
          <w:rFonts w:ascii="Arial" w:hAnsi="Arial" w:cs="Arial"/>
          <w:b/>
          <w:bCs/>
        </w:rPr>
      </w:pPr>
    </w:p>
    <w:p w14:paraId="6F2062C0" w14:textId="77777777" w:rsidR="009638AB" w:rsidRDefault="009638AB" w:rsidP="009638AB">
      <w:pPr>
        <w:jc w:val="center"/>
        <w:rPr>
          <w:rFonts w:ascii="Arial" w:hAnsi="Arial" w:cs="Arial"/>
          <w:b/>
          <w:bCs/>
        </w:rPr>
      </w:pPr>
    </w:p>
    <w:p w14:paraId="71E496A9" w14:textId="77777777" w:rsidR="009638AB" w:rsidRDefault="009638AB" w:rsidP="009638AB">
      <w:pPr>
        <w:jc w:val="center"/>
        <w:rPr>
          <w:rFonts w:ascii="Arial" w:hAnsi="Arial" w:cs="Arial"/>
          <w:b/>
          <w:bCs/>
        </w:rPr>
      </w:pPr>
    </w:p>
    <w:p w14:paraId="3F85E454" w14:textId="77777777" w:rsidR="009638AB" w:rsidRDefault="009638AB" w:rsidP="009638AB">
      <w:pPr>
        <w:jc w:val="center"/>
        <w:rPr>
          <w:rFonts w:ascii="Arial" w:hAnsi="Arial" w:cs="Arial"/>
          <w:b/>
          <w:bCs/>
        </w:rPr>
      </w:pPr>
    </w:p>
    <w:p w14:paraId="6CDF5E0E" w14:textId="77777777" w:rsidR="009638AB" w:rsidRPr="009638AB" w:rsidRDefault="009638AB" w:rsidP="009638AB">
      <w:pPr>
        <w:jc w:val="center"/>
        <w:rPr>
          <w:rFonts w:ascii="Arial" w:hAnsi="Arial" w:cs="Arial"/>
          <w:b/>
          <w:bCs/>
        </w:rPr>
      </w:pPr>
      <w:r w:rsidRPr="009638AB">
        <w:rPr>
          <w:rFonts w:ascii="Arial" w:hAnsi="Arial" w:cs="Arial"/>
          <w:b/>
          <w:bCs/>
        </w:rPr>
        <w:lastRenderedPageBreak/>
        <w:t>Table of Contents</w:t>
      </w:r>
    </w:p>
    <w:p w14:paraId="50284103" w14:textId="77777777" w:rsidR="009638AB" w:rsidRPr="009638AB" w:rsidRDefault="009638AB" w:rsidP="009638AB">
      <w:pPr>
        <w:rPr>
          <w:rFonts w:ascii="Arial" w:hAnsi="Arial" w:cs="Arial"/>
        </w:rPr>
      </w:pPr>
    </w:p>
    <w:p w14:paraId="3352E8BB" w14:textId="77777777"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Introduction  </w:t>
      </w:r>
    </w:p>
    <w:p w14:paraId="0EB72335" w14:textId="77777777"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Background and Development of Telehealth in the UK  </w:t>
      </w:r>
    </w:p>
    <w:p w14:paraId="0C573E2B" w14:textId="12A1CAA7"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Impact on the Workforce  </w:t>
      </w:r>
    </w:p>
    <w:p w14:paraId="21A3DD7D" w14:textId="59D49164"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Changes in Service Delivery  </w:t>
      </w:r>
    </w:p>
    <w:p w14:paraId="32CD263A" w14:textId="4ADA7DEC"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Patient and Service User Perspectives  </w:t>
      </w:r>
    </w:p>
    <w:p w14:paraId="442EAB72" w14:textId="3B1DA359"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Community and Public Health Impacts  </w:t>
      </w:r>
    </w:p>
    <w:p w14:paraId="4D74039D" w14:textId="77777777" w:rsidR="009638AB" w:rsidRPr="009638AB" w:rsidRDefault="009638AB" w:rsidP="009638AB">
      <w:pPr>
        <w:pStyle w:val="ListParagraph"/>
        <w:numPr>
          <w:ilvl w:val="0"/>
          <w:numId w:val="1"/>
        </w:numPr>
        <w:rPr>
          <w:rFonts w:ascii="Arial" w:hAnsi="Arial" w:cs="Arial"/>
        </w:rPr>
      </w:pPr>
      <w:r w:rsidRPr="009638AB">
        <w:rPr>
          <w:rFonts w:ascii="Arial" w:hAnsi="Arial" w:cs="Arial"/>
        </w:rPr>
        <w:t xml:space="preserve">Conclusion  </w:t>
      </w:r>
    </w:p>
    <w:p w14:paraId="33C2C03A" w14:textId="0BA6765E" w:rsidR="009638AB" w:rsidRDefault="009638AB" w:rsidP="009638AB">
      <w:pPr>
        <w:pStyle w:val="ListParagraph"/>
        <w:numPr>
          <w:ilvl w:val="0"/>
          <w:numId w:val="1"/>
        </w:numPr>
        <w:rPr>
          <w:rFonts w:ascii="Arial" w:hAnsi="Arial" w:cs="Arial"/>
        </w:rPr>
      </w:pPr>
      <w:r w:rsidRPr="009638AB">
        <w:rPr>
          <w:rFonts w:ascii="Arial" w:hAnsi="Arial" w:cs="Arial"/>
        </w:rPr>
        <w:t>References</w:t>
      </w:r>
    </w:p>
    <w:p w14:paraId="035E0D1A" w14:textId="77777777" w:rsidR="009638AB" w:rsidRDefault="009638AB" w:rsidP="009638AB">
      <w:pPr>
        <w:rPr>
          <w:rFonts w:ascii="Arial" w:hAnsi="Arial" w:cs="Arial"/>
        </w:rPr>
      </w:pPr>
    </w:p>
    <w:p w14:paraId="6B4CCED8" w14:textId="77777777" w:rsidR="009638AB" w:rsidRDefault="009638AB" w:rsidP="009638AB">
      <w:pPr>
        <w:rPr>
          <w:rFonts w:ascii="Arial" w:hAnsi="Arial" w:cs="Arial"/>
        </w:rPr>
      </w:pPr>
    </w:p>
    <w:p w14:paraId="592ADC90" w14:textId="77777777" w:rsidR="009638AB" w:rsidRDefault="009638AB" w:rsidP="009638AB">
      <w:pPr>
        <w:rPr>
          <w:rFonts w:ascii="Arial" w:hAnsi="Arial" w:cs="Arial"/>
        </w:rPr>
      </w:pPr>
    </w:p>
    <w:p w14:paraId="5E239A07" w14:textId="77777777" w:rsidR="009638AB" w:rsidRDefault="009638AB" w:rsidP="009638AB">
      <w:pPr>
        <w:rPr>
          <w:rFonts w:ascii="Arial" w:hAnsi="Arial" w:cs="Arial"/>
        </w:rPr>
      </w:pPr>
    </w:p>
    <w:p w14:paraId="1ABAD934" w14:textId="77777777" w:rsidR="009638AB" w:rsidRDefault="009638AB" w:rsidP="009638AB">
      <w:pPr>
        <w:rPr>
          <w:rFonts w:ascii="Arial" w:hAnsi="Arial" w:cs="Arial"/>
        </w:rPr>
      </w:pPr>
    </w:p>
    <w:p w14:paraId="5429B7CD" w14:textId="77777777" w:rsidR="009638AB" w:rsidRDefault="009638AB" w:rsidP="009638AB">
      <w:pPr>
        <w:rPr>
          <w:rFonts w:ascii="Arial" w:hAnsi="Arial" w:cs="Arial"/>
        </w:rPr>
      </w:pPr>
    </w:p>
    <w:p w14:paraId="5AB11087" w14:textId="77777777" w:rsidR="009638AB" w:rsidRDefault="009638AB" w:rsidP="009638AB">
      <w:pPr>
        <w:rPr>
          <w:rFonts w:ascii="Arial" w:hAnsi="Arial" w:cs="Arial"/>
        </w:rPr>
      </w:pPr>
    </w:p>
    <w:p w14:paraId="3EAFB060" w14:textId="77777777" w:rsidR="009638AB" w:rsidRDefault="009638AB" w:rsidP="009638AB">
      <w:pPr>
        <w:rPr>
          <w:rFonts w:ascii="Arial" w:hAnsi="Arial" w:cs="Arial"/>
        </w:rPr>
      </w:pPr>
    </w:p>
    <w:p w14:paraId="3B1E426E" w14:textId="77777777" w:rsidR="009638AB" w:rsidRDefault="009638AB" w:rsidP="009638AB">
      <w:pPr>
        <w:rPr>
          <w:rFonts w:ascii="Arial" w:hAnsi="Arial" w:cs="Arial"/>
        </w:rPr>
      </w:pPr>
    </w:p>
    <w:p w14:paraId="4E29C5F0" w14:textId="77777777" w:rsidR="009638AB" w:rsidRDefault="009638AB" w:rsidP="009638AB">
      <w:pPr>
        <w:rPr>
          <w:rFonts w:ascii="Arial" w:hAnsi="Arial" w:cs="Arial"/>
        </w:rPr>
      </w:pPr>
    </w:p>
    <w:p w14:paraId="6CBBA4D0" w14:textId="77777777" w:rsidR="009638AB" w:rsidRDefault="009638AB" w:rsidP="009638AB">
      <w:pPr>
        <w:rPr>
          <w:rFonts w:ascii="Arial" w:hAnsi="Arial" w:cs="Arial"/>
        </w:rPr>
      </w:pPr>
    </w:p>
    <w:p w14:paraId="4B479C3A" w14:textId="77777777" w:rsidR="009638AB" w:rsidRDefault="009638AB" w:rsidP="009638AB">
      <w:pPr>
        <w:rPr>
          <w:rFonts w:ascii="Arial" w:hAnsi="Arial" w:cs="Arial"/>
        </w:rPr>
      </w:pPr>
    </w:p>
    <w:p w14:paraId="02295737" w14:textId="77777777" w:rsidR="009638AB" w:rsidRDefault="009638AB" w:rsidP="009638AB">
      <w:pPr>
        <w:rPr>
          <w:rFonts w:ascii="Arial" w:hAnsi="Arial" w:cs="Arial"/>
        </w:rPr>
      </w:pPr>
    </w:p>
    <w:p w14:paraId="308BDB05" w14:textId="77777777" w:rsidR="009638AB" w:rsidRDefault="009638AB" w:rsidP="009638AB">
      <w:pPr>
        <w:rPr>
          <w:rFonts w:ascii="Arial" w:hAnsi="Arial" w:cs="Arial"/>
        </w:rPr>
      </w:pPr>
    </w:p>
    <w:p w14:paraId="377548CA" w14:textId="77777777" w:rsidR="009638AB" w:rsidRDefault="009638AB" w:rsidP="009638AB">
      <w:pPr>
        <w:rPr>
          <w:rFonts w:ascii="Arial" w:hAnsi="Arial" w:cs="Arial"/>
        </w:rPr>
      </w:pPr>
    </w:p>
    <w:p w14:paraId="39174B7C" w14:textId="77777777" w:rsidR="009638AB" w:rsidRDefault="009638AB" w:rsidP="009638AB">
      <w:pPr>
        <w:rPr>
          <w:rFonts w:ascii="Arial" w:hAnsi="Arial" w:cs="Arial"/>
        </w:rPr>
      </w:pPr>
    </w:p>
    <w:p w14:paraId="18046CC1" w14:textId="77777777" w:rsidR="009638AB" w:rsidRDefault="009638AB" w:rsidP="009638AB">
      <w:pPr>
        <w:rPr>
          <w:rFonts w:ascii="Arial" w:hAnsi="Arial" w:cs="Arial"/>
        </w:rPr>
      </w:pPr>
    </w:p>
    <w:p w14:paraId="5D723A99" w14:textId="77777777" w:rsidR="009638AB" w:rsidRDefault="009638AB" w:rsidP="009638AB">
      <w:pPr>
        <w:rPr>
          <w:rFonts w:ascii="Arial" w:hAnsi="Arial" w:cs="Arial"/>
        </w:rPr>
      </w:pPr>
    </w:p>
    <w:p w14:paraId="43EDAA74" w14:textId="77777777" w:rsidR="009638AB" w:rsidRDefault="009638AB" w:rsidP="009638AB">
      <w:pPr>
        <w:rPr>
          <w:rFonts w:ascii="Arial" w:hAnsi="Arial" w:cs="Arial"/>
        </w:rPr>
      </w:pPr>
    </w:p>
    <w:p w14:paraId="137135D8" w14:textId="77777777" w:rsidR="009638AB" w:rsidRDefault="009638AB" w:rsidP="009638AB">
      <w:pPr>
        <w:rPr>
          <w:rFonts w:ascii="Arial" w:hAnsi="Arial" w:cs="Arial"/>
        </w:rPr>
      </w:pPr>
    </w:p>
    <w:p w14:paraId="11475AFD" w14:textId="77777777" w:rsidR="009638AB" w:rsidRDefault="009638AB" w:rsidP="009638AB">
      <w:pPr>
        <w:rPr>
          <w:rFonts w:ascii="Arial" w:hAnsi="Arial" w:cs="Arial"/>
        </w:rPr>
      </w:pPr>
    </w:p>
    <w:p w14:paraId="67A87394" w14:textId="77777777" w:rsidR="009638AB" w:rsidRDefault="009638AB" w:rsidP="009638AB">
      <w:pPr>
        <w:rPr>
          <w:rFonts w:ascii="Arial" w:hAnsi="Arial" w:cs="Arial"/>
        </w:rPr>
      </w:pPr>
    </w:p>
    <w:p w14:paraId="3A35BDC5" w14:textId="77777777" w:rsidR="009638AB" w:rsidRDefault="009638AB" w:rsidP="009638AB">
      <w:pPr>
        <w:rPr>
          <w:rFonts w:ascii="Arial" w:hAnsi="Arial" w:cs="Arial"/>
        </w:rPr>
      </w:pPr>
    </w:p>
    <w:p w14:paraId="26D11567" w14:textId="77777777" w:rsidR="009638AB" w:rsidRDefault="009638AB" w:rsidP="009638AB">
      <w:pPr>
        <w:rPr>
          <w:rFonts w:ascii="Arial" w:hAnsi="Arial" w:cs="Arial"/>
        </w:rPr>
      </w:pPr>
    </w:p>
    <w:p w14:paraId="2F4DE37A" w14:textId="77777777" w:rsidR="009638AB" w:rsidRDefault="009638AB" w:rsidP="009638AB">
      <w:pPr>
        <w:rPr>
          <w:rFonts w:ascii="Arial" w:hAnsi="Arial" w:cs="Arial"/>
        </w:rPr>
      </w:pPr>
    </w:p>
    <w:p w14:paraId="67AFEAB4" w14:textId="77777777" w:rsidR="009638AB" w:rsidRPr="001C5398" w:rsidRDefault="009638AB" w:rsidP="009638AB">
      <w:pPr>
        <w:rPr>
          <w:rFonts w:ascii="Arial" w:hAnsi="Arial" w:cs="Arial"/>
          <w:b/>
          <w:bCs/>
        </w:rPr>
      </w:pPr>
      <w:r w:rsidRPr="001C5398">
        <w:rPr>
          <w:rFonts w:ascii="Arial" w:hAnsi="Arial" w:cs="Arial"/>
          <w:b/>
          <w:bCs/>
        </w:rPr>
        <w:lastRenderedPageBreak/>
        <w:t>1. Introduction</w:t>
      </w:r>
    </w:p>
    <w:p w14:paraId="62CBE902" w14:textId="77777777" w:rsidR="009638AB" w:rsidRPr="009638AB" w:rsidRDefault="009638AB" w:rsidP="009638AB">
      <w:pPr>
        <w:rPr>
          <w:rFonts w:ascii="Arial" w:hAnsi="Arial" w:cs="Arial"/>
        </w:rPr>
      </w:pPr>
      <w:r w:rsidRPr="009638AB">
        <w:rPr>
          <w:rFonts w:ascii="Arial" w:hAnsi="Arial" w:cs="Arial"/>
        </w:rPr>
        <w:t>Over the past decade, digital innovations have fundamentally reshaped the landscape of healthcare delivery in the United Kingdom. Among the most prominent of these innovations is telehealth, which involves delivering healthcare services remotely via digital platforms, video calls, and mobile applications. The rapid expansion of telehealth was notably accelerated during the COVID-19 pandemic, which necessitated minimizing in-person contact to curb the spread of the virus. This report critically evaluates the implementation of telehealth within UK health and social care, considering its effects on the workforce, service delivery, patients, and the wider community. Drawing on recent credible sources, the analysis highlights both the positive outcomes and challenges associated with this digital transformation.</w:t>
      </w:r>
    </w:p>
    <w:p w14:paraId="43B6E7F7" w14:textId="77777777" w:rsidR="009638AB" w:rsidRPr="009638AB" w:rsidRDefault="009638AB" w:rsidP="009638AB">
      <w:pPr>
        <w:rPr>
          <w:rFonts w:ascii="Arial" w:hAnsi="Arial" w:cs="Arial"/>
        </w:rPr>
      </w:pPr>
    </w:p>
    <w:p w14:paraId="5AEDBA55" w14:textId="77777777" w:rsidR="009638AB" w:rsidRPr="001C5398" w:rsidRDefault="009638AB" w:rsidP="009638AB">
      <w:pPr>
        <w:rPr>
          <w:rFonts w:ascii="Arial" w:hAnsi="Arial" w:cs="Arial"/>
          <w:b/>
          <w:bCs/>
        </w:rPr>
      </w:pPr>
      <w:r w:rsidRPr="001C5398">
        <w:rPr>
          <w:rFonts w:ascii="Arial" w:hAnsi="Arial" w:cs="Arial"/>
          <w:b/>
          <w:bCs/>
        </w:rPr>
        <w:t>2. Background and Development of Telehealth in the UK</w:t>
      </w:r>
    </w:p>
    <w:p w14:paraId="21B18638" w14:textId="77777777" w:rsidR="009638AB" w:rsidRPr="009638AB" w:rsidRDefault="009638AB" w:rsidP="009638AB">
      <w:pPr>
        <w:rPr>
          <w:rFonts w:ascii="Arial" w:hAnsi="Arial" w:cs="Arial"/>
        </w:rPr>
      </w:pPr>
      <w:r w:rsidRPr="009638AB">
        <w:rPr>
          <w:rFonts w:ascii="Arial" w:hAnsi="Arial" w:cs="Arial"/>
        </w:rPr>
        <w:t>Over the past decade, telehealth has transitioned from a supplementary service to a core component of the UK healthcare system, driven by advances in digital technology, policy support, and the pressing need for accessible healthcare. The foundation for this shift was laid with the NHS Long Term Plan (2019), which explicitly emphasized the importance of digital transformation to deliver more efficient, patient-</w:t>
      </w:r>
      <w:proofErr w:type="spellStart"/>
      <w:r w:rsidRPr="009638AB">
        <w:rPr>
          <w:rFonts w:ascii="Arial" w:hAnsi="Arial" w:cs="Arial"/>
        </w:rPr>
        <w:t>centered</w:t>
      </w:r>
      <w:proofErr w:type="spellEnd"/>
      <w:r w:rsidRPr="009638AB">
        <w:rPr>
          <w:rFonts w:ascii="Arial" w:hAnsi="Arial" w:cs="Arial"/>
        </w:rPr>
        <w:t xml:space="preserve"> care (NHS England, 2019). This strategic document outlined plans for expanding remote consultations, digital monitoring, and electronic health records, recognizing that technological innovation could significantly improve health outcomes, reduce waiting times, and alleviate pressure on healthcare facilities.</w:t>
      </w:r>
    </w:p>
    <w:p w14:paraId="3276E870" w14:textId="77777777" w:rsidR="009638AB" w:rsidRPr="009638AB" w:rsidRDefault="009638AB" w:rsidP="009638AB">
      <w:pPr>
        <w:rPr>
          <w:rFonts w:ascii="Arial" w:hAnsi="Arial" w:cs="Arial"/>
        </w:rPr>
      </w:pPr>
      <w:r w:rsidRPr="009638AB">
        <w:rPr>
          <w:rFonts w:ascii="Arial" w:hAnsi="Arial" w:cs="Arial"/>
        </w:rPr>
        <w:t>Prior to the COVID-19 pandemic, telehealth was predominantly used in specialized areas such as mental health services, chronic disease management, and remote monitoring for vulnerable populations. Its adoption was hindered by barriers such as limited infrastructure, resistance from healthcare professionals, and concerns about data security. However, the pandemic acted as a catalyst, forcing rapid implementation and widespread acceptance. Lockdowns and social distancing measures made in-person visits risky, prompting healthcare providers and policymakers to accelerate the deployment of telehealth solutions.</w:t>
      </w:r>
    </w:p>
    <w:p w14:paraId="6E463A47" w14:textId="16BFDF37" w:rsidR="009638AB" w:rsidRPr="009638AB" w:rsidRDefault="009638AB" w:rsidP="009638AB">
      <w:pPr>
        <w:rPr>
          <w:rFonts w:ascii="Arial" w:hAnsi="Arial" w:cs="Arial"/>
        </w:rPr>
      </w:pPr>
      <w:r w:rsidRPr="009638AB">
        <w:rPr>
          <w:rFonts w:ascii="Arial" w:hAnsi="Arial" w:cs="Arial"/>
        </w:rPr>
        <w:t>During this period, NHS Digital worked tirelessly to expand digital infrastructure, implementing secure video conferencing platforms, telehealth apps, and remote monitoring devices. These efforts were supported by government policies and funding initiatives aimed at digital inclusion. The rapid scale-up demonstrated both the feasibility and the necessity of integrating telehealth into routine care. As a result, telehealth became more than an emergency measure; it evolved into a strategic priority for the NHS, with expectations for its continued role in delivering accessible, efficient, and equitable healthcare services well into the future.</w:t>
      </w:r>
    </w:p>
    <w:p w14:paraId="1736B001" w14:textId="77777777" w:rsidR="009638AB" w:rsidRPr="001C5398" w:rsidRDefault="009638AB" w:rsidP="009638AB">
      <w:pPr>
        <w:rPr>
          <w:rFonts w:ascii="Arial" w:hAnsi="Arial" w:cs="Arial"/>
          <w:b/>
          <w:bCs/>
        </w:rPr>
      </w:pPr>
      <w:r w:rsidRPr="001C5398">
        <w:rPr>
          <w:rFonts w:ascii="Arial" w:hAnsi="Arial" w:cs="Arial"/>
          <w:b/>
          <w:bCs/>
        </w:rPr>
        <w:t>3. Impact on the Workforce</w:t>
      </w:r>
    </w:p>
    <w:p w14:paraId="280AD3BB" w14:textId="77777777" w:rsidR="009638AB" w:rsidRPr="009638AB" w:rsidRDefault="009638AB" w:rsidP="009638AB">
      <w:pPr>
        <w:rPr>
          <w:rFonts w:ascii="Arial" w:hAnsi="Arial" w:cs="Arial"/>
        </w:rPr>
      </w:pPr>
      <w:r w:rsidRPr="009638AB">
        <w:rPr>
          <w:rFonts w:ascii="Arial" w:hAnsi="Arial" w:cs="Arial"/>
        </w:rPr>
        <w:t xml:space="preserve">The adoption of telehealth has significantly impacted the roles, responsibilities, and competencies of healthcare professionals across the UK. Traditionally, healthcare roles involved face-to-face interactions, physical examinations, and direct patient contact. However, the introduction of remote consultation platforms has necessitated a shift in skill sets, requiring clinicians to develop proficiency in digital communication, remote assessment techniques, and digital record management (NHS Digital, 2020). </w:t>
      </w:r>
    </w:p>
    <w:p w14:paraId="42697DB5" w14:textId="77777777" w:rsidR="009638AB" w:rsidRPr="009638AB" w:rsidRDefault="009638AB" w:rsidP="009638AB">
      <w:pPr>
        <w:rPr>
          <w:rFonts w:ascii="Arial" w:hAnsi="Arial" w:cs="Arial"/>
        </w:rPr>
      </w:pPr>
      <w:r w:rsidRPr="009638AB">
        <w:rPr>
          <w:rFonts w:ascii="Arial" w:hAnsi="Arial" w:cs="Arial"/>
        </w:rPr>
        <w:lastRenderedPageBreak/>
        <w:t>Healthcare workers, including general practitioners, nurses, and allied health professionals, have had to adapt quickly to these new responsibilities, often with limited prior training. This rapid transition has brought both opportunities and challenges. On the positive side, clinicians now enjoy greater flexibility, with some able to work remotely or manage their caseloads more efficiently. The development of digital skills has also broadened their roles, making them more versatile and capable of providing care across different settings.</w:t>
      </w:r>
    </w:p>
    <w:p w14:paraId="64085B40" w14:textId="77777777" w:rsidR="009638AB" w:rsidRPr="009638AB" w:rsidRDefault="009638AB" w:rsidP="009638AB">
      <w:pPr>
        <w:rPr>
          <w:rFonts w:ascii="Arial" w:hAnsi="Arial" w:cs="Arial"/>
        </w:rPr>
      </w:pPr>
      <w:r w:rsidRPr="009638AB">
        <w:rPr>
          <w:rFonts w:ascii="Arial" w:hAnsi="Arial" w:cs="Arial"/>
        </w:rPr>
        <w:t>However, the transition has not been without issues. Many healthcare professionals have expressed concerns about the adequacy of training, feeling unprepared to conduct effective assessments remotely, especially in complex cases requiring physical examinations or nuanced communication cues. This has occasionally led to increased stress and uncertainty, impacting role confidence and job satisfaction. Furthermore, the digital divide—where some practitioners lack access to necessary infrastructure or training—poses ongoing challenges to equitable implementation. As the NHS continues to embed telehealth into routine practice, ongoing professional development and support systems are essential to ensuring that staff can operate competently and confidently in this digital environment.</w:t>
      </w:r>
    </w:p>
    <w:p w14:paraId="2FA17F91" w14:textId="77777777" w:rsidR="009638AB" w:rsidRPr="009638AB" w:rsidRDefault="009638AB" w:rsidP="009638AB">
      <w:pPr>
        <w:rPr>
          <w:rFonts w:ascii="Arial" w:hAnsi="Arial" w:cs="Arial"/>
        </w:rPr>
      </w:pPr>
    </w:p>
    <w:p w14:paraId="61A7A4EE" w14:textId="77777777" w:rsidR="009638AB" w:rsidRPr="001C5398" w:rsidRDefault="009638AB" w:rsidP="009638AB">
      <w:pPr>
        <w:rPr>
          <w:rFonts w:ascii="Arial" w:hAnsi="Arial" w:cs="Arial"/>
          <w:b/>
          <w:bCs/>
        </w:rPr>
      </w:pPr>
      <w:r w:rsidRPr="001C5398">
        <w:rPr>
          <w:rFonts w:ascii="Arial" w:hAnsi="Arial" w:cs="Arial"/>
          <w:b/>
          <w:bCs/>
        </w:rPr>
        <w:t>4. Changes in Service Delivery</w:t>
      </w:r>
    </w:p>
    <w:p w14:paraId="776F34B2" w14:textId="77777777" w:rsidR="009638AB" w:rsidRPr="009638AB" w:rsidRDefault="009638AB" w:rsidP="009638AB">
      <w:pPr>
        <w:rPr>
          <w:rFonts w:ascii="Arial" w:hAnsi="Arial" w:cs="Arial"/>
        </w:rPr>
      </w:pPr>
      <w:r w:rsidRPr="009638AB">
        <w:rPr>
          <w:rFonts w:ascii="Arial" w:hAnsi="Arial" w:cs="Arial"/>
        </w:rPr>
        <w:t xml:space="preserve">Telehealth has profoundly altered the day-to-day operation of healthcare services in the UK. The most immediate impact has been the shift from in-person consultations to virtual appointments, which became the norm during the COVID-19 pandemic (NHS Digital, 2020). This transformation has allowed healthcare providers to maintain continuity of care while minimizing infection risks. </w:t>
      </w:r>
    </w:p>
    <w:p w14:paraId="004582A2" w14:textId="77777777" w:rsidR="009638AB" w:rsidRPr="009638AB" w:rsidRDefault="009638AB" w:rsidP="009638AB">
      <w:pPr>
        <w:rPr>
          <w:rFonts w:ascii="Arial" w:hAnsi="Arial" w:cs="Arial"/>
        </w:rPr>
      </w:pPr>
      <w:r w:rsidRPr="009638AB">
        <w:rPr>
          <w:rFonts w:ascii="Arial" w:hAnsi="Arial" w:cs="Arial"/>
        </w:rPr>
        <w:t>In practical terms, routine check-ups, mental health consultations, and chronic disease management now often occur through video calls or secure messaging platforms. This shift has led to increased flexibility for both patients and healthcare providers, with appointments scheduled more easily and less time spent traveling or waiting. Patients, especially those in remote or rural areas, benefit from improved access to specialist services that were previously difficult to reach. Additionally, digital tools enable continuous monitoring of vital signs and health data, allowing for more proactive and personalized care.</w:t>
      </w:r>
    </w:p>
    <w:p w14:paraId="05B13EF9" w14:textId="77777777" w:rsidR="009638AB" w:rsidRPr="009638AB" w:rsidRDefault="009638AB" w:rsidP="009638AB">
      <w:pPr>
        <w:rPr>
          <w:rFonts w:ascii="Arial" w:hAnsi="Arial" w:cs="Arial"/>
        </w:rPr>
      </w:pPr>
      <w:r w:rsidRPr="009638AB">
        <w:rPr>
          <w:rFonts w:ascii="Arial" w:hAnsi="Arial" w:cs="Arial"/>
        </w:rPr>
        <w:t>Despite these benefits, several limitations and challenges have emerged. Technical issues such as poor internet connectivity or unfamiliarity with digital platforms can hinder effective communication. Certain clinical assessments, such as physical examinations or diagnostic tests, cannot be performed remotely, which raises concerns about the quality and safety of care in some cases. Healthcare providers have also expressed concerns that over-reliance on digital consultations might reduce the richness of patient-provider interactions, potentially impacting diagnostic accuracy and patient satisfaction. Furthermore, some patient groups, particularly the elderly or those with disabilities, face barriers in accessing or using telehealth services, highlighting ongoing issues with digital equity.</w:t>
      </w:r>
    </w:p>
    <w:p w14:paraId="7BC979D2" w14:textId="77777777" w:rsidR="009638AB" w:rsidRPr="009638AB" w:rsidRDefault="009638AB" w:rsidP="009638AB">
      <w:pPr>
        <w:rPr>
          <w:rFonts w:ascii="Arial" w:hAnsi="Arial" w:cs="Arial"/>
        </w:rPr>
      </w:pPr>
    </w:p>
    <w:p w14:paraId="7B5371AC" w14:textId="77777777" w:rsidR="009638AB" w:rsidRPr="001C5398" w:rsidRDefault="009638AB" w:rsidP="009638AB">
      <w:pPr>
        <w:rPr>
          <w:rFonts w:ascii="Arial" w:hAnsi="Arial" w:cs="Arial"/>
          <w:b/>
          <w:bCs/>
        </w:rPr>
      </w:pPr>
      <w:r w:rsidRPr="001C5398">
        <w:rPr>
          <w:rFonts w:ascii="Arial" w:hAnsi="Arial" w:cs="Arial"/>
          <w:b/>
          <w:bCs/>
        </w:rPr>
        <w:t>5. Patient and Service User Perspectives</w:t>
      </w:r>
    </w:p>
    <w:p w14:paraId="4B3CBB42" w14:textId="77777777" w:rsidR="009638AB" w:rsidRPr="009638AB" w:rsidRDefault="009638AB" w:rsidP="009638AB">
      <w:pPr>
        <w:rPr>
          <w:rFonts w:ascii="Arial" w:hAnsi="Arial" w:cs="Arial"/>
        </w:rPr>
      </w:pPr>
      <w:r w:rsidRPr="009638AB">
        <w:rPr>
          <w:rFonts w:ascii="Arial" w:hAnsi="Arial" w:cs="Arial"/>
        </w:rPr>
        <w:t xml:space="preserve">The perceptions and experiences of patients are central to evaluating the success of telehealth. Many patients appreciate the convenience, reduced travel time, and the ability to access healthcare services from home. Especially during the pandemic, telehealth provided a lifeline for vulnerable populations, allowing them to avoid potential exposure to the virus while still receiving necessary care (NHS England, 2019). For patients managing chronic </w:t>
      </w:r>
      <w:r w:rsidRPr="009638AB">
        <w:rPr>
          <w:rFonts w:ascii="Arial" w:hAnsi="Arial" w:cs="Arial"/>
        </w:rPr>
        <w:lastRenderedPageBreak/>
        <w:t>conditions, remote monitoring and virtual consultations have enhanced their ability to participate actively in their health management, fostering feelings of empowerment and autonomy.</w:t>
      </w:r>
    </w:p>
    <w:p w14:paraId="73E8C2D7" w14:textId="77777777" w:rsidR="009638AB" w:rsidRPr="009638AB" w:rsidRDefault="009638AB" w:rsidP="009638AB">
      <w:pPr>
        <w:rPr>
          <w:rFonts w:ascii="Arial" w:hAnsi="Arial" w:cs="Arial"/>
        </w:rPr>
      </w:pPr>
      <w:r w:rsidRPr="009638AB">
        <w:rPr>
          <w:rFonts w:ascii="Arial" w:hAnsi="Arial" w:cs="Arial"/>
        </w:rPr>
        <w:t>However, not all patients have embraced telehealth equally. Older adults, individuals with sensory impairments, or those unfamiliar with digital devices often encounter difficulties in engaging with virtual platforms. Some patients report feeling less satisfied with remote consultations, citing concerns about the lack of personal connection and perceived impersonal nature of virtual interactions. Privacy and data security are also significant concerns, with some users worried about the confidentiality of their health information transmitted electronically (Greenhalgh et al., 2017). Despite these challenges, many patients acknowledge the benefits of telehealth, but clinicians and policymakers must address these barriers to ensure equitable and inclusive access.</w:t>
      </w:r>
    </w:p>
    <w:p w14:paraId="4387B993" w14:textId="77777777" w:rsidR="009638AB" w:rsidRPr="009638AB" w:rsidRDefault="009638AB" w:rsidP="009638AB">
      <w:pPr>
        <w:rPr>
          <w:rFonts w:ascii="Arial" w:hAnsi="Arial" w:cs="Arial"/>
        </w:rPr>
      </w:pPr>
    </w:p>
    <w:p w14:paraId="48E725D4" w14:textId="77777777" w:rsidR="009638AB" w:rsidRPr="001C5398" w:rsidRDefault="009638AB" w:rsidP="009638AB">
      <w:pPr>
        <w:rPr>
          <w:rFonts w:ascii="Arial" w:hAnsi="Arial" w:cs="Arial"/>
          <w:b/>
          <w:bCs/>
        </w:rPr>
      </w:pPr>
      <w:r w:rsidRPr="001C5398">
        <w:rPr>
          <w:rFonts w:ascii="Arial" w:hAnsi="Arial" w:cs="Arial"/>
          <w:b/>
          <w:bCs/>
        </w:rPr>
        <w:t>6. Community and Public Health Impacts</w:t>
      </w:r>
    </w:p>
    <w:p w14:paraId="72E70E16" w14:textId="77777777" w:rsidR="009638AB" w:rsidRPr="009638AB" w:rsidRDefault="009638AB" w:rsidP="009638AB">
      <w:pPr>
        <w:rPr>
          <w:rFonts w:ascii="Arial" w:hAnsi="Arial" w:cs="Arial"/>
        </w:rPr>
      </w:pPr>
      <w:r w:rsidRPr="009638AB">
        <w:rPr>
          <w:rFonts w:ascii="Arial" w:hAnsi="Arial" w:cs="Arial"/>
        </w:rPr>
        <w:t>Telehealth’s implementation extends beyond individual consultations, significantly influencing community health and public health strategies in the UK. One of the most notable advantages is its potential to improve access to healthcare services for populations residing in geographically isolated, rural, or underserved areas. By enabling remote consultations and digital health monitoring, telehealth reduces the need for travel, thereby overcoming traditional barriers related to distance and transportation. This increased access promotes health equity by ensuring that more community members can receive timely advice, screenings, and management for chronic conditions without the logistical challenges of in-person visits (The King's Fund, 2020).</w:t>
      </w:r>
    </w:p>
    <w:p w14:paraId="25144859" w14:textId="77777777" w:rsidR="009638AB" w:rsidRPr="009638AB" w:rsidRDefault="009638AB" w:rsidP="009638AB">
      <w:pPr>
        <w:rPr>
          <w:rFonts w:ascii="Arial" w:hAnsi="Arial" w:cs="Arial"/>
        </w:rPr>
      </w:pPr>
      <w:r w:rsidRPr="009638AB">
        <w:rPr>
          <w:rFonts w:ascii="Arial" w:hAnsi="Arial" w:cs="Arial"/>
        </w:rPr>
        <w:t>Furthermore, telehealth fosters greater involvement of family members and caregivers in the healthcare process, especially for vulnerable groups such as the elderly or disabled. Digital platforms facilitate real-time communication, allowing family members to participate in consultations, better supporting shared decision-making and coordinated care efforts. This active involvement enhances the quality of care and ensures that patients’ needs are more comprehensively addressed, which is especially important for those with complex health conditions.</w:t>
      </w:r>
    </w:p>
    <w:p w14:paraId="1628369B" w14:textId="77777777" w:rsidR="009638AB" w:rsidRPr="009638AB" w:rsidRDefault="009638AB" w:rsidP="009638AB">
      <w:pPr>
        <w:rPr>
          <w:rFonts w:ascii="Arial" w:hAnsi="Arial" w:cs="Arial"/>
        </w:rPr>
      </w:pPr>
      <w:r w:rsidRPr="009638AB">
        <w:rPr>
          <w:rFonts w:ascii="Arial" w:hAnsi="Arial" w:cs="Arial"/>
        </w:rPr>
        <w:t>On a broader scale, telehealth has become a crucial tool for public health initiatives, particularly during the COVID-19 pandemic. Governments and health authorities in the UK have employed digital platforms to disseminate vital health information rapidly, conduct mass vaccination campaigns, and monitor disease outbreaks. These efforts have improved community engagement and promoted health literacy, ultimately supporting disease prevention and health promotion efforts (Greenhalgh et al., 2017).</w:t>
      </w:r>
    </w:p>
    <w:p w14:paraId="1FC39B99" w14:textId="77777777" w:rsidR="009638AB" w:rsidRPr="009638AB" w:rsidRDefault="009638AB" w:rsidP="009638AB">
      <w:pPr>
        <w:rPr>
          <w:rFonts w:ascii="Arial" w:hAnsi="Arial" w:cs="Arial"/>
        </w:rPr>
      </w:pPr>
      <w:r w:rsidRPr="009638AB">
        <w:rPr>
          <w:rFonts w:ascii="Arial" w:hAnsi="Arial" w:cs="Arial"/>
        </w:rPr>
        <w:t>However, despite these benefits, significant challenges remain. The digital divide continues to be a critical barrier, as individuals with limited internet access, low digital literacy, or language barriers can be excluded from the benefits of telehealth, thereby widening existing health inequalities. Vulnerable populations—such as low-income families, the elderly, and marginalized communities—are at risk of being left behind if digital inclusion measures are not prioritized. Additionally, concerns about data privacy and security pose risks to building and maintaining public trust in digital health services. Ensuring that these services are accessible, secure, and culturally appropriate is essential for fostering community acceptance and maximizing public health benefits.</w:t>
      </w:r>
    </w:p>
    <w:p w14:paraId="385F6611" w14:textId="2E34F468" w:rsidR="009638AB" w:rsidRPr="009638AB" w:rsidRDefault="009638AB" w:rsidP="009638AB">
      <w:pPr>
        <w:rPr>
          <w:rFonts w:ascii="Arial" w:hAnsi="Arial" w:cs="Arial"/>
        </w:rPr>
      </w:pPr>
      <w:r w:rsidRPr="009638AB">
        <w:rPr>
          <w:rFonts w:ascii="Arial" w:hAnsi="Arial" w:cs="Arial"/>
        </w:rPr>
        <w:lastRenderedPageBreak/>
        <w:t>In conclusion, telehealth has the potential to transform community health by improving access, fostering engagement, and supporting public health initiatives. Nevertheless, policymakers and healthcare providers must address the persistent challenges of digital inequality and privacy concerns to ensure that digital health innovations benefit all members of society equitably.</w:t>
      </w:r>
    </w:p>
    <w:p w14:paraId="3EDB70F1" w14:textId="77777777" w:rsidR="009638AB" w:rsidRPr="001C5398" w:rsidRDefault="009638AB" w:rsidP="009638AB">
      <w:pPr>
        <w:rPr>
          <w:rFonts w:ascii="Arial" w:hAnsi="Arial" w:cs="Arial"/>
          <w:b/>
          <w:bCs/>
        </w:rPr>
      </w:pPr>
      <w:r w:rsidRPr="001C5398">
        <w:rPr>
          <w:rFonts w:ascii="Arial" w:hAnsi="Arial" w:cs="Arial"/>
          <w:b/>
          <w:bCs/>
        </w:rPr>
        <w:t>7. Conclusion</w:t>
      </w:r>
    </w:p>
    <w:p w14:paraId="5E6F6755" w14:textId="77777777" w:rsidR="009638AB" w:rsidRPr="009638AB" w:rsidRDefault="009638AB" w:rsidP="009638AB">
      <w:pPr>
        <w:rPr>
          <w:rFonts w:ascii="Arial" w:hAnsi="Arial" w:cs="Arial"/>
        </w:rPr>
      </w:pPr>
      <w:r w:rsidRPr="009638AB">
        <w:rPr>
          <w:rFonts w:ascii="Arial" w:hAnsi="Arial" w:cs="Arial"/>
        </w:rPr>
        <w:t>The future of digital health in the UK appears promising, with ongoing investments, technological advancements, and policy initiatives poised to further embed digital solutions into mainstream healthcare. The NHS’s commitment to digital transformation is evident in its strategic plans, which aim to leverage emerging technologies such as artificial intelligence (AI), machine learning, and big data analytics to enhance diagnostic accuracy, personalize treatment plans, and improve population health outcomes (NHS England, 2020). These innovations hold the potential to revolutionize how healthcare is delivered, enabling predictive analytics for early intervention and more efficient resource allocation.</w:t>
      </w:r>
    </w:p>
    <w:p w14:paraId="72DC1D24" w14:textId="77777777" w:rsidR="009638AB" w:rsidRPr="009638AB" w:rsidRDefault="009638AB" w:rsidP="009638AB">
      <w:pPr>
        <w:rPr>
          <w:rFonts w:ascii="Arial" w:hAnsi="Arial" w:cs="Arial"/>
        </w:rPr>
      </w:pPr>
      <w:r w:rsidRPr="009638AB">
        <w:rPr>
          <w:rFonts w:ascii="Arial" w:hAnsi="Arial" w:cs="Arial"/>
        </w:rPr>
        <w:t>Moreover, the integration of wearable devices and mobile health applications is expected to grow, empowering individuals to monitor their health continuously and share real-time data with healthcare providers. This shift toward proactive, data-driven care can lead to better management of chronic conditions, reduced hospital admissions, and improved overall health outcomes. The increasing adoption of telehealth platforms, combined with advancements in virtual reality and augmented reality, may also expand the scope of remote consultations, mental health services, and rehabilitation programs.</w:t>
      </w:r>
    </w:p>
    <w:p w14:paraId="0156D230" w14:textId="77777777" w:rsidR="009638AB" w:rsidRPr="009638AB" w:rsidRDefault="009638AB" w:rsidP="009638AB">
      <w:pPr>
        <w:rPr>
          <w:rFonts w:ascii="Arial" w:hAnsi="Arial" w:cs="Arial"/>
        </w:rPr>
      </w:pPr>
      <w:r w:rsidRPr="009638AB">
        <w:rPr>
          <w:rFonts w:ascii="Arial" w:hAnsi="Arial" w:cs="Arial"/>
        </w:rPr>
        <w:t>Policymakers recognize that addressing current challenges—such as ensuring equitable access, safeguarding data privacy, and maintaining high standards of clinical quality—is essential for realizing these future benefits. Initiatives aimed at reducing the digital divide, such as providing digital literacy training and infrastructure improvements in underserved communities, will be crucial in promoting inclusivity. Furthermore, continuous professional development and training for healthcare workers will be necessary to keep pace with rapidly evolving technologies.</w:t>
      </w:r>
    </w:p>
    <w:p w14:paraId="12E53155" w14:textId="7ACA2252" w:rsidR="009638AB" w:rsidRDefault="009638AB" w:rsidP="009638AB">
      <w:pPr>
        <w:rPr>
          <w:rFonts w:ascii="Arial" w:hAnsi="Arial" w:cs="Arial"/>
        </w:rPr>
      </w:pPr>
      <w:r w:rsidRPr="009638AB">
        <w:rPr>
          <w:rFonts w:ascii="Arial" w:hAnsi="Arial" w:cs="Arial"/>
        </w:rPr>
        <w:t>In addition, the COVID-19 pandemic has demonstrated the resilience and adaptability of the UK's healthcare system when embracing innovation. The successful scaling of telehealth during this period serves as a blueprint for future integration of digital health solutions into routine care. As technology continues to advance, the UK is poised to become a leader in digital health innovation, ultimately improving patient experience, enhancing service efficiency, and promoting healthier communities.</w:t>
      </w:r>
    </w:p>
    <w:p w14:paraId="3796B282" w14:textId="77777777" w:rsidR="009638AB" w:rsidRDefault="009638AB" w:rsidP="009638AB">
      <w:pPr>
        <w:rPr>
          <w:rFonts w:ascii="Arial" w:hAnsi="Arial" w:cs="Arial"/>
        </w:rPr>
      </w:pPr>
    </w:p>
    <w:p w14:paraId="77531EE8" w14:textId="77777777" w:rsidR="009638AB" w:rsidRDefault="009638AB" w:rsidP="009638AB">
      <w:pPr>
        <w:rPr>
          <w:rFonts w:ascii="Arial" w:hAnsi="Arial" w:cs="Arial"/>
        </w:rPr>
      </w:pPr>
    </w:p>
    <w:p w14:paraId="7E6531F8" w14:textId="77777777" w:rsidR="009638AB" w:rsidRDefault="009638AB" w:rsidP="009638AB">
      <w:pPr>
        <w:rPr>
          <w:rFonts w:ascii="Arial" w:hAnsi="Arial" w:cs="Arial"/>
        </w:rPr>
      </w:pPr>
    </w:p>
    <w:p w14:paraId="71A67F7D" w14:textId="77777777" w:rsidR="009638AB" w:rsidRDefault="009638AB" w:rsidP="009638AB">
      <w:pPr>
        <w:rPr>
          <w:rFonts w:ascii="Arial" w:hAnsi="Arial" w:cs="Arial"/>
        </w:rPr>
      </w:pPr>
    </w:p>
    <w:p w14:paraId="0FC54E95" w14:textId="77777777" w:rsidR="009638AB" w:rsidRDefault="009638AB" w:rsidP="009638AB">
      <w:pPr>
        <w:rPr>
          <w:rFonts w:ascii="Arial" w:hAnsi="Arial" w:cs="Arial"/>
        </w:rPr>
      </w:pPr>
    </w:p>
    <w:p w14:paraId="685975A0" w14:textId="77777777" w:rsidR="009638AB" w:rsidRDefault="009638AB" w:rsidP="009638AB">
      <w:pPr>
        <w:rPr>
          <w:rFonts w:ascii="Arial" w:hAnsi="Arial" w:cs="Arial"/>
        </w:rPr>
      </w:pPr>
    </w:p>
    <w:p w14:paraId="3687969D" w14:textId="77777777" w:rsidR="009638AB" w:rsidRDefault="009638AB" w:rsidP="009638AB">
      <w:pPr>
        <w:rPr>
          <w:rFonts w:ascii="Arial" w:hAnsi="Arial" w:cs="Arial"/>
        </w:rPr>
      </w:pPr>
    </w:p>
    <w:p w14:paraId="0F404F82" w14:textId="1009CA87" w:rsidR="009638AB" w:rsidRDefault="009638AB" w:rsidP="009638AB">
      <w:pPr>
        <w:rPr>
          <w:rFonts w:ascii="Arial" w:hAnsi="Arial" w:cs="Arial"/>
        </w:rPr>
      </w:pPr>
    </w:p>
    <w:p w14:paraId="53BC7500" w14:textId="77777777" w:rsidR="009638AB" w:rsidRPr="001C5398" w:rsidRDefault="009638AB" w:rsidP="009638AB">
      <w:pPr>
        <w:rPr>
          <w:rFonts w:ascii="Arial" w:hAnsi="Arial" w:cs="Arial"/>
          <w:b/>
          <w:bCs/>
        </w:rPr>
      </w:pPr>
      <w:r w:rsidRPr="001C5398">
        <w:rPr>
          <w:rFonts w:ascii="Arial" w:hAnsi="Arial" w:cs="Arial"/>
          <w:b/>
          <w:bCs/>
        </w:rPr>
        <w:lastRenderedPageBreak/>
        <w:t>References</w:t>
      </w:r>
    </w:p>
    <w:p w14:paraId="7FE16613" w14:textId="44CECB9E"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Greenhalgh, T., </w:t>
      </w:r>
      <w:proofErr w:type="spellStart"/>
      <w:r w:rsidRPr="009638AB">
        <w:rPr>
          <w:rFonts w:ascii="Arial" w:hAnsi="Arial" w:cs="Arial"/>
        </w:rPr>
        <w:t>Wherton</w:t>
      </w:r>
      <w:proofErr w:type="spellEnd"/>
      <w:r w:rsidRPr="009638AB">
        <w:rPr>
          <w:rFonts w:ascii="Arial" w:hAnsi="Arial" w:cs="Arial"/>
        </w:rPr>
        <w:t xml:space="preserve">, J., Shaw, S., Morrison, C. and Bhattacharya, M., 2017. Beyond adoption: A new framework for theorizing and evaluating </w:t>
      </w:r>
      <w:proofErr w:type="spellStart"/>
      <w:r w:rsidRPr="009638AB">
        <w:rPr>
          <w:rFonts w:ascii="Arial" w:hAnsi="Arial" w:cs="Arial"/>
        </w:rPr>
        <w:t>nonadoption</w:t>
      </w:r>
      <w:proofErr w:type="spellEnd"/>
      <w:r w:rsidRPr="009638AB">
        <w:rPr>
          <w:rFonts w:ascii="Arial" w:hAnsi="Arial" w:cs="Arial"/>
        </w:rPr>
        <w:t xml:space="preserve">, abandonment, and challenges to the scale-up, spread, and sustainability of health and care technologies. Journal of Medical Internet Research, 19(11), p.e367. Available at: </w:t>
      </w:r>
      <w:r>
        <w:rPr>
          <w:rFonts w:ascii="Arial" w:hAnsi="Arial" w:cs="Arial"/>
        </w:rPr>
        <w:t xml:space="preserve"> </w:t>
      </w:r>
      <w:hyperlink r:id="rId5" w:history="1">
        <w:r w:rsidRPr="00A670A6">
          <w:rPr>
            <w:rStyle w:val="Hyperlink"/>
            <w:rFonts w:ascii="Arial" w:hAnsi="Arial" w:cs="Arial"/>
          </w:rPr>
          <w:t>https://www.jmir.org/2017/11/e367/</w:t>
        </w:r>
      </w:hyperlink>
      <w:r>
        <w:rPr>
          <w:rFonts w:ascii="Arial" w:hAnsi="Arial" w:cs="Arial"/>
        </w:rPr>
        <w:t xml:space="preserve"> accessed 04/07/2026 </w:t>
      </w:r>
    </w:p>
    <w:p w14:paraId="0515E862" w14:textId="1FF2777C"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NHS England, 2019. The NHS Long Term Plan. Available at: </w:t>
      </w:r>
      <w:hyperlink r:id="rId6" w:history="1">
        <w:r w:rsidRPr="009638AB">
          <w:rPr>
            <w:rStyle w:val="Hyperlink"/>
            <w:rFonts w:ascii="Arial" w:hAnsi="Arial" w:cs="Arial"/>
          </w:rPr>
          <w:t>https://www.england.nhs.uk/long-term-plan/</w:t>
        </w:r>
      </w:hyperlink>
      <w:r w:rsidRPr="009638AB">
        <w:rPr>
          <w:rFonts w:ascii="Arial" w:hAnsi="Arial" w:cs="Arial"/>
        </w:rPr>
        <w:t>.</w:t>
      </w:r>
      <w:r w:rsidRPr="009638AB">
        <w:rPr>
          <w:rFonts w:ascii="Arial" w:hAnsi="Arial" w:cs="Arial"/>
        </w:rPr>
        <w:t xml:space="preserve"> </w:t>
      </w:r>
      <w:r w:rsidRPr="009638AB">
        <w:rPr>
          <w:rFonts w:ascii="Arial" w:hAnsi="Arial" w:cs="Arial"/>
        </w:rPr>
        <w:t xml:space="preserve">04/07/2026 </w:t>
      </w:r>
    </w:p>
    <w:p w14:paraId="3480A648" w14:textId="3A2EB71A"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NHS Digital, 2020. COVID-19 Digital Response. Available at: </w:t>
      </w:r>
      <w:hyperlink r:id="rId7" w:history="1">
        <w:r w:rsidRPr="009638AB">
          <w:rPr>
            <w:rStyle w:val="Hyperlink"/>
            <w:rFonts w:ascii="Arial" w:hAnsi="Arial" w:cs="Arial"/>
          </w:rPr>
          <w:t>https://digital.nhs.uk/coronavirus</w:t>
        </w:r>
      </w:hyperlink>
      <w:r w:rsidRPr="009638AB">
        <w:rPr>
          <w:rFonts w:ascii="Arial" w:hAnsi="Arial" w:cs="Arial"/>
        </w:rPr>
        <w:t>.</w:t>
      </w:r>
      <w:r w:rsidRPr="009638AB">
        <w:rPr>
          <w:rFonts w:ascii="Arial" w:hAnsi="Arial" w:cs="Arial"/>
        </w:rPr>
        <w:t xml:space="preserve"> </w:t>
      </w:r>
      <w:r w:rsidRPr="009638AB">
        <w:rPr>
          <w:rFonts w:ascii="Arial" w:hAnsi="Arial" w:cs="Arial"/>
        </w:rPr>
        <w:t xml:space="preserve">04/07/2026 </w:t>
      </w:r>
    </w:p>
    <w:p w14:paraId="4677F837" w14:textId="76BDCB73"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NHS Digital, 2021. Annual Report 2020-2021. Available at: </w:t>
      </w:r>
      <w:hyperlink r:id="rId8" w:history="1">
        <w:r w:rsidRPr="009638AB">
          <w:rPr>
            <w:rStyle w:val="Hyperlink"/>
            <w:rFonts w:ascii="Arial" w:hAnsi="Arial" w:cs="Arial"/>
          </w:rPr>
          <w:t>https://www.gov.uk/government/publications/nhs-digital-annual-report-and-accounts-2020-to-2021</w:t>
        </w:r>
      </w:hyperlink>
      <w:r w:rsidRPr="009638AB">
        <w:rPr>
          <w:rFonts w:ascii="Arial" w:hAnsi="Arial" w:cs="Arial"/>
        </w:rPr>
        <w:t xml:space="preserve"> </w:t>
      </w:r>
      <w:r w:rsidRPr="009638AB">
        <w:rPr>
          <w:rFonts w:ascii="Arial" w:hAnsi="Arial" w:cs="Arial"/>
        </w:rPr>
        <w:t xml:space="preserve">04/07/2026 </w:t>
      </w:r>
    </w:p>
    <w:p w14:paraId="037A2A94" w14:textId="58FA9F1A" w:rsidR="009638AB" w:rsidRPr="001C5398" w:rsidRDefault="009638AB" w:rsidP="001C5398">
      <w:pPr>
        <w:pStyle w:val="ListParagraph"/>
        <w:numPr>
          <w:ilvl w:val="0"/>
          <w:numId w:val="3"/>
        </w:numPr>
        <w:rPr>
          <w:rFonts w:ascii="Arial" w:hAnsi="Arial" w:cs="Arial"/>
        </w:rPr>
      </w:pPr>
      <w:r w:rsidRPr="001C5398">
        <w:rPr>
          <w:rFonts w:ascii="Arial" w:hAnsi="Arial" w:cs="Arial"/>
        </w:rPr>
        <w:t xml:space="preserve">The King's Fund, 2020. Digital Health and Care in the NHS. Available at: </w:t>
      </w:r>
      <w:hyperlink r:id="rId9" w:history="1">
        <w:r w:rsidR="001C5398" w:rsidRPr="001C5398">
          <w:rPr>
            <w:rStyle w:val="Hyperlink"/>
            <w:rFonts w:ascii="Arial" w:hAnsi="Arial" w:cs="Arial"/>
          </w:rPr>
          <w:t>https://www.kingsfund.org.uk/publications</w:t>
        </w:r>
      </w:hyperlink>
      <w:r w:rsidRPr="001C5398">
        <w:rPr>
          <w:rFonts w:ascii="Arial" w:hAnsi="Arial" w:cs="Arial"/>
        </w:rPr>
        <w:t>.</w:t>
      </w:r>
      <w:r w:rsidR="001C5398" w:rsidRPr="001C5398">
        <w:rPr>
          <w:rFonts w:ascii="Arial" w:hAnsi="Arial" w:cs="Arial"/>
        </w:rPr>
        <w:t xml:space="preserve"> </w:t>
      </w:r>
      <w:r w:rsidR="001C5398" w:rsidRPr="001C5398">
        <w:rPr>
          <w:rFonts w:ascii="Arial" w:hAnsi="Arial" w:cs="Arial"/>
        </w:rPr>
        <w:t xml:space="preserve">04/07/2026 </w:t>
      </w:r>
    </w:p>
    <w:p w14:paraId="00C02605" w14:textId="53A0B64F" w:rsidR="009638AB" w:rsidRPr="009638AB" w:rsidRDefault="009638AB" w:rsidP="009638AB">
      <w:pPr>
        <w:pStyle w:val="ListParagraph"/>
        <w:numPr>
          <w:ilvl w:val="0"/>
          <w:numId w:val="3"/>
        </w:numPr>
        <w:rPr>
          <w:rFonts w:ascii="Arial" w:hAnsi="Arial" w:cs="Arial"/>
        </w:rPr>
      </w:pPr>
      <w:r w:rsidRPr="009638AB">
        <w:rPr>
          <w:rFonts w:ascii="Arial" w:hAnsi="Arial" w:cs="Arial"/>
        </w:rPr>
        <w:t>UK Government, 2020. COVID-19 Response: Digital and Remote Care. Available at:</w:t>
      </w:r>
      <w:r w:rsidR="001C5398" w:rsidRPr="001C5398">
        <w:t xml:space="preserve"> </w:t>
      </w:r>
      <w:hyperlink r:id="rId10" w:history="1">
        <w:r w:rsidR="001C5398" w:rsidRPr="00A670A6">
          <w:rPr>
            <w:rStyle w:val="Hyperlink"/>
            <w:rFonts w:ascii="Arial" w:hAnsi="Arial" w:cs="Arial"/>
          </w:rPr>
          <w:t>https://www.gov.uk/government/publications/a-plan-for-digital-health-and-social-care/a-plan-for-digital-health-and-social-care</w:t>
        </w:r>
      </w:hyperlink>
      <w:r w:rsidR="001C5398">
        <w:rPr>
          <w:rFonts w:ascii="Arial" w:hAnsi="Arial" w:cs="Arial"/>
        </w:rPr>
        <w:t xml:space="preserve"> </w:t>
      </w:r>
      <w:r w:rsidR="001C5398" w:rsidRPr="001C5398">
        <w:rPr>
          <w:rFonts w:ascii="Arial" w:hAnsi="Arial" w:cs="Arial"/>
        </w:rPr>
        <w:t>04/07/2026</w:t>
      </w:r>
    </w:p>
    <w:p w14:paraId="667F2E68" w14:textId="4A6492B4"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Health Education England, 2020. Developing the Digital Workforce. Available at: </w:t>
      </w:r>
      <w:hyperlink r:id="rId11" w:history="1">
        <w:r w:rsidR="001C5398" w:rsidRPr="00A670A6">
          <w:rPr>
            <w:rStyle w:val="Hyperlink"/>
            <w:rFonts w:ascii="Arial" w:hAnsi="Arial" w:cs="Arial"/>
          </w:rPr>
          <w:t>https://www.hee.nhs.uk/our-work/future-digital-workforce</w:t>
        </w:r>
      </w:hyperlink>
      <w:r w:rsidR="001C5398">
        <w:rPr>
          <w:rFonts w:ascii="Arial" w:hAnsi="Arial" w:cs="Arial"/>
        </w:rPr>
        <w:t xml:space="preserve"> </w:t>
      </w:r>
      <w:r w:rsidR="001C5398" w:rsidRPr="001C5398">
        <w:rPr>
          <w:rFonts w:ascii="Arial" w:hAnsi="Arial" w:cs="Arial"/>
        </w:rPr>
        <w:t>04/07/2026</w:t>
      </w:r>
    </w:p>
    <w:p w14:paraId="38244C83" w14:textId="2BD57A2F" w:rsidR="009638AB" w:rsidRPr="009638AB" w:rsidRDefault="009638AB" w:rsidP="009638AB">
      <w:pPr>
        <w:pStyle w:val="ListParagraph"/>
        <w:numPr>
          <w:ilvl w:val="0"/>
          <w:numId w:val="3"/>
        </w:numPr>
        <w:rPr>
          <w:rFonts w:ascii="Arial" w:hAnsi="Arial" w:cs="Arial"/>
        </w:rPr>
      </w:pPr>
      <w:r w:rsidRPr="009638AB">
        <w:rPr>
          <w:rFonts w:ascii="Arial" w:hAnsi="Arial" w:cs="Arial"/>
        </w:rPr>
        <w:t>Royal College of General Practitioners, 2020. Guidance on Remote Consultations. Available at:</w:t>
      </w:r>
      <w:r w:rsidR="001C5398" w:rsidRPr="001C5398">
        <w:t xml:space="preserve"> </w:t>
      </w:r>
      <w:hyperlink r:id="rId12" w:history="1">
        <w:r w:rsidR="001C5398" w:rsidRPr="00A670A6">
          <w:rPr>
            <w:rStyle w:val="Hyperlink"/>
            <w:rFonts w:ascii="Arial" w:hAnsi="Arial" w:cs="Arial"/>
          </w:rPr>
          <w:t>https://www.rcgp.org.uk/representing-you/policy-areas/remote-care</w:t>
        </w:r>
      </w:hyperlink>
      <w:r w:rsidR="001C5398">
        <w:rPr>
          <w:rFonts w:ascii="Arial" w:hAnsi="Arial" w:cs="Arial"/>
        </w:rPr>
        <w:t xml:space="preserve"> </w:t>
      </w:r>
      <w:r w:rsidR="001C5398" w:rsidRPr="001C5398">
        <w:rPr>
          <w:rFonts w:ascii="Arial" w:hAnsi="Arial" w:cs="Arial"/>
        </w:rPr>
        <w:t>04/07/2026</w:t>
      </w:r>
    </w:p>
    <w:p w14:paraId="26636BD4" w14:textId="66E952A7" w:rsidR="009638AB" w:rsidRPr="009638AB" w:rsidRDefault="009638AB" w:rsidP="009638AB">
      <w:pPr>
        <w:pStyle w:val="ListParagraph"/>
        <w:numPr>
          <w:ilvl w:val="0"/>
          <w:numId w:val="3"/>
        </w:numPr>
        <w:rPr>
          <w:rFonts w:ascii="Arial" w:hAnsi="Arial" w:cs="Arial"/>
        </w:rPr>
      </w:pPr>
      <w:r w:rsidRPr="009638AB">
        <w:rPr>
          <w:rFonts w:ascii="Arial" w:hAnsi="Arial" w:cs="Arial"/>
        </w:rPr>
        <w:t xml:space="preserve">Office for National Statistics, 2021. Digital Divide and Health Inequalities. Available at: </w:t>
      </w:r>
      <w:hyperlink r:id="rId13" w:history="1">
        <w:r w:rsidR="001C5398" w:rsidRPr="00A670A6">
          <w:rPr>
            <w:rStyle w:val="Hyperlink"/>
            <w:rFonts w:ascii="Arial" w:hAnsi="Arial" w:cs="Arial"/>
          </w:rPr>
          <w:t>https://www.ons.gov.uk/peoplepopulationandcommunity/householdcharacteristics/homeinternetandsocialmediausage/articles/exploringtheuksdigitaldivide/2019-03-04</w:t>
        </w:r>
        <w:r w:rsidR="001C5398" w:rsidRPr="00A670A6">
          <w:rPr>
            <w:rStyle w:val="Hyperlink"/>
            <w:rFonts w:ascii="Arial" w:hAnsi="Arial" w:cs="Arial"/>
          </w:rPr>
          <w:t xml:space="preserve"> </w:t>
        </w:r>
      </w:hyperlink>
      <w:r w:rsidR="001C5398">
        <w:rPr>
          <w:rFonts w:ascii="Arial" w:hAnsi="Arial" w:cs="Arial"/>
        </w:rPr>
        <w:t xml:space="preserve">   </w:t>
      </w:r>
      <w:r w:rsidR="001C5398" w:rsidRPr="001C5398">
        <w:rPr>
          <w:rFonts w:ascii="Arial" w:hAnsi="Arial" w:cs="Arial"/>
        </w:rPr>
        <w:t>04/07/2026</w:t>
      </w:r>
      <w:r w:rsidR="001C5398">
        <w:rPr>
          <w:rFonts w:ascii="Arial" w:hAnsi="Arial" w:cs="Arial"/>
        </w:rPr>
        <w:t xml:space="preserve"> </w:t>
      </w:r>
    </w:p>
    <w:sectPr w:rsidR="009638AB" w:rsidRPr="00963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61D16"/>
    <w:multiLevelType w:val="hybridMultilevel"/>
    <w:tmpl w:val="14BA8A22"/>
    <w:lvl w:ilvl="0" w:tplc="EDA0A67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3B4E09"/>
    <w:multiLevelType w:val="hybridMultilevel"/>
    <w:tmpl w:val="09FC7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B14435"/>
    <w:multiLevelType w:val="hybridMultilevel"/>
    <w:tmpl w:val="AF20D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7107645">
    <w:abstractNumId w:val="2"/>
  </w:num>
  <w:num w:numId="2" w16cid:durableId="1811703270">
    <w:abstractNumId w:val="0"/>
  </w:num>
  <w:num w:numId="3" w16cid:durableId="2032805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2C"/>
    <w:rsid w:val="00045426"/>
    <w:rsid w:val="00052BAB"/>
    <w:rsid w:val="001C5398"/>
    <w:rsid w:val="00762BB9"/>
    <w:rsid w:val="007D3C2C"/>
    <w:rsid w:val="00883E95"/>
    <w:rsid w:val="0092451A"/>
    <w:rsid w:val="009638AB"/>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851F"/>
  <w15:chartTrackingRefBased/>
  <w15:docId w15:val="{F35524D9-0CC9-4919-BE0E-36E874EF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C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C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C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C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C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C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C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C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C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C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C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C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C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C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C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C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C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C2C"/>
    <w:rPr>
      <w:rFonts w:eastAsiaTheme="majorEastAsia" w:cstheme="majorBidi"/>
      <w:color w:val="272727" w:themeColor="text1" w:themeTint="D8"/>
    </w:rPr>
  </w:style>
  <w:style w:type="paragraph" w:styleId="Title">
    <w:name w:val="Title"/>
    <w:basedOn w:val="Normal"/>
    <w:next w:val="Normal"/>
    <w:link w:val="TitleChar"/>
    <w:uiPriority w:val="10"/>
    <w:qFormat/>
    <w:rsid w:val="007D3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C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C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C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C2C"/>
    <w:pPr>
      <w:spacing w:before="160"/>
      <w:jc w:val="center"/>
    </w:pPr>
    <w:rPr>
      <w:i/>
      <w:iCs/>
      <w:color w:val="404040" w:themeColor="text1" w:themeTint="BF"/>
    </w:rPr>
  </w:style>
  <w:style w:type="character" w:customStyle="1" w:styleId="QuoteChar">
    <w:name w:val="Quote Char"/>
    <w:basedOn w:val="DefaultParagraphFont"/>
    <w:link w:val="Quote"/>
    <w:uiPriority w:val="29"/>
    <w:rsid w:val="007D3C2C"/>
    <w:rPr>
      <w:i/>
      <w:iCs/>
      <w:color w:val="404040" w:themeColor="text1" w:themeTint="BF"/>
    </w:rPr>
  </w:style>
  <w:style w:type="paragraph" w:styleId="ListParagraph">
    <w:name w:val="List Paragraph"/>
    <w:basedOn w:val="Normal"/>
    <w:uiPriority w:val="34"/>
    <w:qFormat/>
    <w:rsid w:val="007D3C2C"/>
    <w:pPr>
      <w:ind w:left="720"/>
      <w:contextualSpacing/>
    </w:pPr>
  </w:style>
  <w:style w:type="character" w:styleId="IntenseEmphasis">
    <w:name w:val="Intense Emphasis"/>
    <w:basedOn w:val="DefaultParagraphFont"/>
    <w:uiPriority w:val="21"/>
    <w:qFormat/>
    <w:rsid w:val="007D3C2C"/>
    <w:rPr>
      <w:i/>
      <w:iCs/>
      <w:color w:val="0F4761" w:themeColor="accent1" w:themeShade="BF"/>
    </w:rPr>
  </w:style>
  <w:style w:type="paragraph" w:styleId="IntenseQuote">
    <w:name w:val="Intense Quote"/>
    <w:basedOn w:val="Normal"/>
    <w:next w:val="Normal"/>
    <w:link w:val="IntenseQuoteChar"/>
    <w:uiPriority w:val="30"/>
    <w:qFormat/>
    <w:rsid w:val="007D3C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C2C"/>
    <w:rPr>
      <w:i/>
      <w:iCs/>
      <w:color w:val="0F4761" w:themeColor="accent1" w:themeShade="BF"/>
    </w:rPr>
  </w:style>
  <w:style w:type="character" w:styleId="IntenseReference">
    <w:name w:val="Intense Reference"/>
    <w:basedOn w:val="DefaultParagraphFont"/>
    <w:uiPriority w:val="32"/>
    <w:qFormat/>
    <w:rsid w:val="007D3C2C"/>
    <w:rPr>
      <w:b/>
      <w:bCs/>
      <w:smallCaps/>
      <w:color w:val="0F4761" w:themeColor="accent1" w:themeShade="BF"/>
      <w:spacing w:val="5"/>
    </w:rPr>
  </w:style>
  <w:style w:type="character" w:styleId="Hyperlink">
    <w:name w:val="Hyperlink"/>
    <w:basedOn w:val="DefaultParagraphFont"/>
    <w:uiPriority w:val="99"/>
    <w:unhideWhenUsed/>
    <w:rsid w:val="009638AB"/>
    <w:rPr>
      <w:color w:val="467886" w:themeColor="hyperlink"/>
      <w:u w:val="single"/>
    </w:rPr>
  </w:style>
  <w:style w:type="character" w:styleId="UnresolvedMention">
    <w:name w:val="Unresolved Mention"/>
    <w:basedOn w:val="DefaultParagraphFont"/>
    <w:uiPriority w:val="99"/>
    <w:semiHidden/>
    <w:unhideWhenUsed/>
    <w:rsid w:val="00963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hs-digital-annual-report-and-accounts-2020-to-2021" TargetMode="External"/><Relationship Id="rId13" Type="http://schemas.openxmlformats.org/officeDocument/2006/relationships/hyperlink" Target="https://www.ons.gov.uk/peoplepopulationandcommunity/householdcharacteristics/homeinternetandsocialmediausage/articles/exploringtheuksdigitaldivide/2019-03-04%2004/07/2026" TargetMode="External"/><Relationship Id="rId3" Type="http://schemas.openxmlformats.org/officeDocument/2006/relationships/settings" Target="settings.xml"/><Relationship Id="rId7" Type="http://schemas.openxmlformats.org/officeDocument/2006/relationships/hyperlink" Target="https://digital.nhs.uk/coronavirus" TargetMode="External"/><Relationship Id="rId12" Type="http://schemas.openxmlformats.org/officeDocument/2006/relationships/hyperlink" Target="https://www.rcgp.org.uk/representing-you/policy-areas/remote-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long-term-plan/" TargetMode="External"/><Relationship Id="rId11" Type="http://schemas.openxmlformats.org/officeDocument/2006/relationships/hyperlink" Target="https://www.hee.nhs.uk/our-work/future-digital-workforce" TargetMode="External"/><Relationship Id="rId5" Type="http://schemas.openxmlformats.org/officeDocument/2006/relationships/hyperlink" Target="https://www.jmir.org/2017/11/e367/" TargetMode="External"/><Relationship Id="rId15" Type="http://schemas.openxmlformats.org/officeDocument/2006/relationships/theme" Target="theme/theme1.xml"/><Relationship Id="rId10" Type="http://schemas.openxmlformats.org/officeDocument/2006/relationships/hyperlink" Target="https://www.gov.uk/government/publications/a-plan-for-digital-health-and-social-care/a-plan-for-digital-health-and-social-care" TargetMode="External"/><Relationship Id="rId4" Type="http://schemas.openxmlformats.org/officeDocument/2006/relationships/webSettings" Target="webSettings.xml"/><Relationship Id="rId9" Type="http://schemas.openxmlformats.org/officeDocument/2006/relationships/hyperlink" Target="https://www.kingsfund.org.uk/public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2026-07-04T22:39:00Z</dcterms:created>
  <dcterms:modified xsi:type="dcterms:W3CDTF">2026-07-04T23:54:00Z</dcterms:modified>
</cp:coreProperties>
</file>