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6614E5" w14:textId="77777777" w:rsidR="00920B97" w:rsidRPr="009567D5" w:rsidRDefault="00920B97" w:rsidP="00920B97">
      <w:pPr>
        <w:jc w:val="center"/>
        <w:rPr>
          <w:rFonts w:ascii="Times New Roman" w:hAnsi="Times New Roman" w:cs="Times New Roman"/>
        </w:rPr>
      </w:pPr>
      <w:r w:rsidRPr="009567D5">
        <w:rPr>
          <w:rFonts w:ascii="Times New Roman" w:hAnsi="Times New Roman" w:cs="Times New Roman"/>
          <w:noProof/>
        </w:rPr>
        <w:drawing>
          <wp:inline distT="0" distB="0" distL="0" distR="0" wp14:anchorId="43A5D68E" wp14:editId="4C24ECFD">
            <wp:extent cx="3381375" cy="1352550"/>
            <wp:effectExtent l="0" t="0" r="9525" b="0"/>
            <wp:docPr id="183754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4B3C521C" w14:textId="77777777" w:rsidR="00920B97" w:rsidRPr="009567D5" w:rsidRDefault="00920B97" w:rsidP="00920B97">
      <w:pPr>
        <w:jc w:val="center"/>
        <w:rPr>
          <w:rFonts w:ascii="Times New Roman" w:hAnsi="Times New Roman" w:cs="Times New Roman"/>
        </w:rPr>
      </w:pPr>
    </w:p>
    <w:p w14:paraId="6426C97F" w14:textId="77777777" w:rsidR="00920B97" w:rsidRPr="009567D5" w:rsidRDefault="00920B97" w:rsidP="00920B97">
      <w:pPr>
        <w:jc w:val="center"/>
        <w:rPr>
          <w:rFonts w:ascii="Times New Roman" w:hAnsi="Times New Roman" w:cs="Times New Roman"/>
        </w:rPr>
      </w:pPr>
    </w:p>
    <w:p w14:paraId="3F0CF85C" w14:textId="77777777" w:rsidR="00920B97" w:rsidRPr="009567D5" w:rsidRDefault="00920B97" w:rsidP="00920B97">
      <w:pPr>
        <w:jc w:val="center"/>
        <w:rPr>
          <w:rFonts w:ascii="Times New Roman" w:hAnsi="Times New Roman" w:cs="Times New Roman"/>
        </w:rPr>
      </w:pPr>
    </w:p>
    <w:p w14:paraId="6FA0B87C" w14:textId="77777777" w:rsidR="00920B97" w:rsidRPr="009567D5" w:rsidRDefault="00920B97" w:rsidP="00920B97">
      <w:pPr>
        <w:jc w:val="center"/>
        <w:rPr>
          <w:rFonts w:ascii="Times New Roman" w:hAnsi="Times New Roman" w:cs="Times New Roman"/>
        </w:rPr>
      </w:pPr>
    </w:p>
    <w:p w14:paraId="03D26FCD" w14:textId="77777777" w:rsidR="00920B97" w:rsidRPr="009567D5" w:rsidRDefault="00920B97" w:rsidP="00920B97">
      <w:pPr>
        <w:jc w:val="center"/>
        <w:rPr>
          <w:rFonts w:ascii="Times New Roman" w:hAnsi="Times New Roman" w:cs="Times New Roman"/>
        </w:rPr>
      </w:pPr>
    </w:p>
    <w:p w14:paraId="3B17BD9A" w14:textId="77777777" w:rsidR="00920B97" w:rsidRPr="009567D5" w:rsidRDefault="00920B97" w:rsidP="00920B97">
      <w:pPr>
        <w:jc w:val="center"/>
        <w:rPr>
          <w:rFonts w:ascii="Times New Roman" w:hAnsi="Times New Roman" w:cs="Times New Roman"/>
          <w:b/>
          <w:bCs/>
          <w:sz w:val="28"/>
          <w:szCs w:val="28"/>
        </w:rPr>
      </w:pPr>
      <w:r w:rsidRPr="009567D5">
        <w:rPr>
          <w:rFonts w:ascii="Times New Roman" w:hAnsi="Times New Roman" w:cs="Times New Roman"/>
          <w:b/>
          <w:bCs/>
          <w:sz w:val="28"/>
          <w:szCs w:val="28"/>
        </w:rPr>
        <w:t>Student Name:</w:t>
      </w:r>
      <w:r>
        <w:rPr>
          <w:rFonts w:ascii="Times New Roman" w:hAnsi="Times New Roman" w:cs="Times New Roman"/>
          <w:b/>
          <w:bCs/>
          <w:sz w:val="28"/>
          <w:szCs w:val="28"/>
        </w:rPr>
        <w:t xml:space="preserve"> Meet </w:t>
      </w:r>
      <w:proofErr w:type="spellStart"/>
      <w:r>
        <w:rPr>
          <w:rFonts w:ascii="Times New Roman" w:hAnsi="Times New Roman" w:cs="Times New Roman"/>
          <w:b/>
          <w:bCs/>
          <w:sz w:val="28"/>
          <w:szCs w:val="28"/>
        </w:rPr>
        <w:t>Shantibhai</w:t>
      </w:r>
      <w:proofErr w:type="spellEnd"/>
      <w:r>
        <w:rPr>
          <w:rFonts w:ascii="Times New Roman" w:hAnsi="Times New Roman" w:cs="Times New Roman"/>
          <w:b/>
          <w:bCs/>
          <w:sz w:val="28"/>
          <w:szCs w:val="28"/>
        </w:rPr>
        <w:t xml:space="preserve"> Dholiya</w:t>
      </w:r>
    </w:p>
    <w:p w14:paraId="18D18448" w14:textId="77777777" w:rsidR="00920B97" w:rsidRPr="009567D5" w:rsidRDefault="00920B97" w:rsidP="00920B97">
      <w:pPr>
        <w:jc w:val="center"/>
        <w:rPr>
          <w:rFonts w:ascii="Times New Roman" w:hAnsi="Times New Roman" w:cs="Times New Roman"/>
          <w:b/>
          <w:bCs/>
          <w:sz w:val="28"/>
          <w:szCs w:val="28"/>
        </w:rPr>
      </w:pPr>
    </w:p>
    <w:p w14:paraId="38CC6EA3" w14:textId="77777777" w:rsidR="00920B97" w:rsidRPr="009567D5" w:rsidRDefault="00920B97" w:rsidP="00920B97">
      <w:pPr>
        <w:jc w:val="center"/>
        <w:rPr>
          <w:rFonts w:ascii="Times New Roman" w:hAnsi="Times New Roman" w:cs="Times New Roman"/>
          <w:b/>
          <w:bCs/>
          <w:sz w:val="28"/>
          <w:szCs w:val="28"/>
        </w:rPr>
      </w:pPr>
      <w:r w:rsidRPr="009567D5">
        <w:rPr>
          <w:rFonts w:ascii="Times New Roman" w:hAnsi="Times New Roman" w:cs="Times New Roman"/>
          <w:b/>
          <w:bCs/>
          <w:sz w:val="28"/>
          <w:szCs w:val="28"/>
        </w:rPr>
        <w:t>Student ID:</w:t>
      </w:r>
      <w:r>
        <w:rPr>
          <w:rFonts w:ascii="Times New Roman" w:hAnsi="Times New Roman" w:cs="Times New Roman"/>
          <w:b/>
          <w:bCs/>
          <w:sz w:val="28"/>
          <w:szCs w:val="28"/>
        </w:rPr>
        <w:t xml:space="preserve"> 2532977</w:t>
      </w:r>
    </w:p>
    <w:p w14:paraId="151BD372" w14:textId="77777777" w:rsidR="00920B97" w:rsidRPr="009567D5" w:rsidRDefault="00920B97" w:rsidP="00920B97">
      <w:pPr>
        <w:jc w:val="center"/>
        <w:rPr>
          <w:rFonts w:ascii="Times New Roman" w:hAnsi="Times New Roman" w:cs="Times New Roman"/>
          <w:sz w:val="28"/>
          <w:szCs w:val="28"/>
        </w:rPr>
      </w:pPr>
    </w:p>
    <w:p w14:paraId="678B7BA7" w14:textId="77777777" w:rsidR="00920B97" w:rsidRPr="009567D5" w:rsidRDefault="00920B97" w:rsidP="00920B97">
      <w:pPr>
        <w:jc w:val="center"/>
        <w:rPr>
          <w:rFonts w:ascii="Times New Roman" w:hAnsi="Times New Roman" w:cs="Times New Roman"/>
          <w:b/>
          <w:bCs/>
          <w:sz w:val="28"/>
          <w:szCs w:val="28"/>
        </w:rPr>
      </w:pPr>
      <w:r w:rsidRPr="009567D5">
        <w:rPr>
          <w:rFonts w:ascii="Times New Roman" w:hAnsi="Times New Roman" w:cs="Times New Roman"/>
          <w:b/>
          <w:bCs/>
          <w:sz w:val="28"/>
          <w:szCs w:val="28"/>
        </w:rPr>
        <w:t>Module Name: Marketing Management</w:t>
      </w:r>
    </w:p>
    <w:p w14:paraId="6D139B32" w14:textId="77777777" w:rsidR="00920B97" w:rsidRPr="009567D5" w:rsidRDefault="00920B97" w:rsidP="00920B97">
      <w:pPr>
        <w:jc w:val="center"/>
        <w:rPr>
          <w:rFonts w:ascii="Times New Roman" w:hAnsi="Times New Roman" w:cs="Times New Roman"/>
          <w:b/>
          <w:bCs/>
          <w:sz w:val="28"/>
          <w:szCs w:val="28"/>
        </w:rPr>
      </w:pPr>
    </w:p>
    <w:p w14:paraId="774D0364" w14:textId="73C920FD" w:rsidR="00920B97" w:rsidRPr="009567D5" w:rsidRDefault="00920B97" w:rsidP="00920B97">
      <w:pPr>
        <w:jc w:val="center"/>
        <w:rPr>
          <w:rFonts w:ascii="Times New Roman" w:hAnsi="Times New Roman" w:cs="Times New Roman"/>
          <w:b/>
          <w:bCs/>
          <w:sz w:val="28"/>
          <w:szCs w:val="28"/>
        </w:rPr>
      </w:pPr>
      <w:r w:rsidRPr="009567D5">
        <w:rPr>
          <w:rFonts w:ascii="Times New Roman" w:hAnsi="Times New Roman" w:cs="Times New Roman"/>
          <w:b/>
          <w:bCs/>
          <w:sz w:val="28"/>
          <w:szCs w:val="28"/>
        </w:rPr>
        <w:t>Module Code: LCMB7024</w:t>
      </w:r>
    </w:p>
    <w:p w14:paraId="60880DC2" w14:textId="77777777" w:rsidR="00920B97" w:rsidRPr="009567D5" w:rsidRDefault="00920B97" w:rsidP="00920B97">
      <w:pPr>
        <w:jc w:val="center"/>
        <w:rPr>
          <w:rFonts w:ascii="Times New Roman" w:hAnsi="Times New Roman" w:cs="Times New Roman"/>
          <w:b/>
          <w:bCs/>
          <w:sz w:val="28"/>
          <w:szCs w:val="28"/>
        </w:rPr>
      </w:pPr>
    </w:p>
    <w:p w14:paraId="5E84C409" w14:textId="77777777" w:rsidR="00920B97" w:rsidRPr="009567D5" w:rsidRDefault="00920B97" w:rsidP="00920B97">
      <w:pPr>
        <w:jc w:val="center"/>
        <w:rPr>
          <w:rFonts w:ascii="Times New Roman" w:hAnsi="Times New Roman" w:cs="Times New Roman"/>
          <w:b/>
          <w:bCs/>
          <w:sz w:val="28"/>
          <w:szCs w:val="28"/>
        </w:rPr>
      </w:pPr>
      <w:r w:rsidRPr="009567D5">
        <w:rPr>
          <w:rFonts w:ascii="Times New Roman" w:hAnsi="Times New Roman" w:cs="Times New Roman"/>
          <w:b/>
          <w:bCs/>
          <w:sz w:val="28"/>
          <w:szCs w:val="28"/>
        </w:rPr>
        <w:t>Lecturer’s Name:</w:t>
      </w:r>
      <w:r>
        <w:rPr>
          <w:rFonts w:ascii="Times New Roman" w:hAnsi="Times New Roman" w:cs="Times New Roman"/>
          <w:b/>
          <w:bCs/>
          <w:sz w:val="28"/>
          <w:szCs w:val="28"/>
        </w:rPr>
        <w:t xml:space="preserve"> Haoran Liu</w:t>
      </w:r>
    </w:p>
    <w:p w14:paraId="25E73151" w14:textId="77777777" w:rsidR="00920B97" w:rsidRPr="009567D5" w:rsidRDefault="00920B97" w:rsidP="00920B97">
      <w:pPr>
        <w:rPr>
          <w:rFonts w:ascii="Times New Roman" w:hAnsi="Times New Roman" w:cs="Times New Roman"/>
          <w:b/>
          <w:bCs/>
          <w:sz w:val="28"/>
          <w:szCs w:val="28"/>
        </w:rPr>
      </w:pPr>
    </w:p>
    <w:p w14:paraId="0C684BBA" w14:textId="5FF363E4" w:rsidR="00920B97" w:rsidRPr="009567D5" w:rsidRDefault="00920B97" w:rsidP="00920B97">
      <w:pPr>
        <w:jc w:val="center"/>
        <w:rPr>
          <w:rFonts w:ascii="Times New Roman" w:hAnsi="Times New Roman" w:cs="Times New Roman"/>
          <w:b/>
          <w:bCs/>
          <w:sz w:val="28"/>
          <w:szCs w:val="28"/>
        </w:rPr>
      </w:pPr>
      <w:r w:rsidRPr="009567D5">
        <w:rPr>
          <w:rFonts w:ascii="Times New Roman" w:hAnsi="Times New Roman" w:cs="Times New Roman"/>
          <w:b/>
          <w:bCs/>
          <w:sz w:val="28"/>
          <w:szCs w:val="28"/>
        </w:rPr>
        <w:t>Work Count:</w:t>
      </w:r>
      <w:r>
        <w:rPr>
          <w:rFonts w:ascii="Times New Roman" w:hAnsi="Times New Roman" w:cs="Times New Roman"/>
          <w:b/>
          <w:bCs/>
          <w:sz w:val="28"/>
          <w:szCs w:val="28"/>
        </w:rPr>
        <w:t xml:space="preserve"> </w:t>
      </w:r>
      <w:r w:rsidR="00F61985">
        <w:rPr>
          <w:rFonts w:ascii="Times New Roman" w:hAnsi="Times New Roman" w:cs="Times New Roman"/>
          <w:b/>
          <w:bCs/>
          <w:sz w:val="28"/>
          <w:szCs w:val="28"/>
        </w:rPr>
        <w:t xml:space="preserve">2884 </w:t>
      </w:r>
    </w:p>
    <w:p w14:paraId="182DE66E" w14:textId="77777777" w:rsidR="00920B97" w:rsidRPr="009567D5" w:rsidRDefault="00920B97" w:rsidP="00920B97">
      <w:pPr>
        <w:jc w:val="center"/>
        <w:rPr>
          <w:rFonts w:ascii="Times New Roman" w:hAnsi="Times New Roman" w:cs="Times New Roman"/>
          <w:b/>
          <w:bCs/>
          <w:sz w:val="28"/>
          <w:szCs w:val="28"/>
        </w:rPr>
      </w:pPr>
    </w:p>
    <w:p w14:paraId="151F0F26" w14:textId="7DC0D931" w:rsidR="00C534D6" w:rsidRDefault="00920B97" w:rsidP="00920B97">
      <w:pPr>
        <w:jc w:val="center"/>
        <w:rPr>
          <w:rFonts w:ascii="Times New Roman" w:hAnsi="Times New Roman" w:cs="Times New Roman"/>
          <w:b/>
          <w:bCs/>
          <w:sz w:val="28"/>
          <w:szCs w:val="28"/>
        </w:rPr>
      </w:pPr>
      <w:r w:rsidRPr="009567D5">
        <w:rPr>
          <w:rFonts w:ascii="Times New Roman" w:hAnsi="Times New Roman" w:cs="Times New Roman"/>
          <w:b/>
          <w:bCs/>
          <w:sz w:val="28"/>
          <w:szCs w:val="28"/>
        </w:rPr>
        <w:t xml:space="preserve">Term </w:t>
      </w:r>
      <w:r>
        <w:rPr>
          <w:rFonts w:ascii="Times New Roman" w:hAnsi="Times New Roman" w:cs="Times New Roman"/>
          <w:b/>
          <w:bCs/>
          <w:sz w:val="28"/>
          <w:szCs w:val="28"/>
        </w:rPr>
        <w:t>1</w:t>
      </w:r>
    </w:p>
    <w:p w14:paraId="51F64115" w14:textId="77777777" w:rsidR="00920B97" w:rsidRDefault="00920B97" w:rsidP="00920B97">
      <w:pPr>
        <w:jc w:val="center"/>
        <w:rPr>
          <w:rFonts w:ascii="Times New Roman" w:hAnsi="Times New Roman" w:cs="Times New Roman"/>
          <w:b/>
          <w:bCs/>
          <w:sz w:val="28"/>
          <w:szCs w:val="28"/>
        </w:rPr>
      </w:pPr>
    </w:p>
    <w:p w14:paraId="36C2DFFA" w14:textId="77777777" w:rsidR="00920B97" w:rsidRDefault="00920B97" w:rsidP="00920B97">
      <w:pPr>
        <w:jc w:val="center"/>
        <w:rPr>
          <w:rFonts w:ascii="Times New Roman" w:hAnsi="Times New Roman" w:cs="Times New Roman"/>
          <w:b/>
          <w:bCs/>
          <w:sz w:val="28"/>
          <w:szCs w:val="28"/>
        </w:rPr>
      </w:pPr>
    </w:p>
    <w:p w14:paraId="77665608" w14:textId="6D17401A" w:rsidR="00920B97" w:rsidRDefault="00920B97" w:rsidP="00920B97">
      <w:pPr>
        <w:jc w:val="center"/>
        <w:rPr>
          <w:rFonts w:ascii="Times New Roman" w:hAnsi="Times New Roman" w:cs="Times New Roman"/>
          <w:b/>
          <w:bCs/>
          <w:sz w:val="28"/>
          <w:szCs w:val="28"/>
        </w:rPr>
      </w:pPr>
    </w:p>
    <w:p w14:paraId="6F82BB65" w14:textId="77777777" w:rsidR="00920B97" w:rsidRDefault="00920B97" w:rsidP="00920B97">
      <w:pPr>
        <w:jc w:val="center"/>
        <w:rPr>
          <w:rFonts w:ascii="Times New Roman" w:hAnsi="Times New Roman" w:cs="Times New Roman"/>
          <w:b/>
          <w:bCs/>
          <w:sz w:val="28"/>
          <w:szCs w:val="28"/>
        </w:rPr>
      </w:pPr>
    </w:p>
    <w:p w14:paraId="7DA3BEF5" w14:textId="77777777" w:rsidR="00920B97" w:rsidRPr="00920B97" w:rsidRDefault="00920B97" w:rsidP="00920B97">
      <w:pPr>
        <w:jc w:val="center"/>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val="en-IN"/>
          <w14:ligatures w14:val="standardContextual"/>
        </w:rPr>
        <w:id w:val="-299772580"/>
        <w:docPartObj>
          <w:docPartGallery w:val="Table of Contents"/>
          <w:docPartUnique/>
        </w:docPartObj>
      </w:sdtPr>
      <w:sdtEndPr>
        <w:rPr>
          <w:b/>
          <w:bCs/>
          <w:noProof/>
        </w:rPr>
      </w:sdtEndPr>
      <w:sdtContent>
        <w:p w14:paraId="31B2277A" w14:textId="375F4D8F" w:rsidR="00C534D6" w:rsidRDefault="00C534D6">
          <w:pPr>
            <w:pStyle w:val="TOCHeading"/>
            <w:rPr>
              <w:b/>
              <w:bCs/>
              <w:color w:val="auto"/>
            </w:rPr>
          </w:pPr>
          <w:r w:rsidRPr="00C534D6">
            <w:rPr>
              <w:b/>
              <w:bCs/>
              <w:color w:val="auto"/>
            </w:rPr>
            <w:t>Table of Contents</w:t>
          </w:r>
        </w:p>
        <w:p w14:paraId="7846065F" w14:textId="77777777" w:rsidR="00920B97" w:rsidRPr="00920B97" w:rsidRDefault="00920B97" w:rsidP="00920B97">
          <w:pPr>
            <w:rPr>
              <w:lang w:val="en-US"/>
            </w:rPr>
          </w:pPr>
        </w:p>
        <w:p w14:paraId="32D4C8C6" w14:textId="6E1B11E3" w:rsidR="00C534D6" w:rsidRPr="00C534D6" w:rsidRDefault="00C534D6">
          <w:pPr>
            <w:pStyle w:val="TOC1"/>
            <w:tabs>
              <w:tab w:val="right" w:leader="dot" w:pos="9016"/>
            </w:tabs>
            <w:rPr>
              <w:rFonts w:eastAsiaTheme="minorEastAsia"/>
              <w:noProof/>
              <w:sz w:val="24"/>
              <w:szCs w:val="24"/>
              <w:lang w:eastAsia="en-IN"/>
            </w:rPr>
          </w:pPr>
          <w:r w:rsidRPr="00C534D6">
            <w:fldChar w:fldCharType="begin"/>
          </w:r>
          <w:r w:rsidRPr="00C534D6">
            <w:instrText xml:space="preserve"> TOC \o "1-3" \h \z \u </w:instrText>
          </w:r>
          <w:r w:rsidRPr="00C534D6">
            <w:fldChar w:fldCharType="separate"/>
          </w:r>
          <w:hyperlink w:anchor="_Toc236233189" w:history="1">
            <w:r w:rsidRPr="00C534D6">
              <w:rPr>
                <w:rStyle w:val="Hyperlink"/>
                <w:rFonts w:ascii="Times New Roman" w:hAnsi="Times New Roman" w:cs="Times New Roman"/>
                <w:noProof/>
              </w:rPr>
              <w:t>Element 1: Sustainable Brand Extension Poster</w:t>
            </w:r>
            <w:r w:rsidRPr="00C534D6">
              <w:rPr>
                <w:noProof/>
                <w:webHidden/>
              </w:rPr>
              <w:tab/>
            </w:r>
            <w:r w:rsidRPr="00C534D6">
              <w:rPr>
                <w:noProof/>
                <w:webHidden/>
              </w:rPr>
              <w:fldChar w:fldCharType="begin"/>
            </w:r>
            <w:r w:rsidRPr="00C534D6">
              <w:rPr>
                <w:noProof/>
                <w:webHidden/>
              </w:rPr>
              <w:instrText xml:space="preserve"> PAGEREF _Toc236233189 \h </w:instrText>
            </w:r>
            <w:r w:rsidRPr="00C534D6">
              <w:rPr>
                <w:noProof/>
                <w:webHidden/>
              </w:rPr>
            </w:r>
            <w:r w:rsidRPr="00C534D6">
              <w:rPr>
                <w:noProof/>
                <w:webHidden/>
              </w:rPr>
              <w:fldChar w:fldCharType="separate"/>
            </w:r>
            <w:r w:rsidRPr="00C534D6">
              <w:rPr>
                <w:noProof/>
                <w:webHidden/>
              </w:rPr>
              <w:t>3</w:t>
            </w:r>
            <w:r w:rsidRPr="00C534D6">
              <w:rPr>
                <w:noProof/>
                <w:webHidden/>
              </w:rPr>
              <w:fldChar w:fldCharType="end"/>
            </w:r>
          </w:hyperlink>
        </w:p>
        <w:p w14:paraId="28272348" w14:textId="109DE188" w:rsidR="00C534D6" w:rsidRPr="00C534D6" w:rsidRDefault="00C534D6">
          <w:pPr>
            <w:pStyle w:val="TOC1"/>
            <w:tabs>
              <w:tab w:val="right" w:leader="dot" w:pos="9016"/>
            </w:tabs>
            <w:rPr>
              <w:rFonts w:eastAsiaTheme="minorEastAsia"/>
              <w:noProof/>
              <w:sz w:val="24"/>
              <w:szCs w:val="24"/>
              <w:lang w:eastAsia="en-IN"/>
            </w:rPr>
          </w:pPr>
          <w:hyperlink w:anchor="_Toc236233190" w:history="1">
            <w:r w:rsidRPr="00C534D6">
              <w:rPr>
                <w:rStyle w:val="Hyperlink"/>
                <w:rFonts w:ascii="Times New Roman" w:hAnsi="Times New Roman" w:cs="Times New Roman"/>
                <w:noProof/>
              </w:rPr>
              <w:t>Element 2: STDP Analysis</w:t>
            </w:r>
            <w:r w:rsidRPr="00C534D6">
              <w:rPr>
                <w:noProof/>
                <w:webHidden/>
              </w:rPr>
              <w:tab/>
            </w:r>
            <w:r w:rsidRPr="00C534D6">
              <w:rPr>
                <w:noProof/>
                <w:webHidden/>
              </w:rPr>
              <w:fldChar w:fldCharType="begin"/>
            </w:r>
            <w:r w:rsidRPr="00C534D6">
              <w:rPr>
                <w:noProof/>
                <w:webHidden/>
              </w:rPr>
              <w:instrText xml:space="preserve"> PAGEREF _Toc236233190 \h </w:instrText>
            </w:r>
            <w:r w:rsidRPr="00C534D6">
              <w:rPr>
                <w:noProof/>
                <w:webHidden/>
              </w:rPr>
            </w:r>
            <w:r w:rsidRPr="00C534D6">
              <w:rPr>
                <w:noProof/>
                <w:webHidden/>
              </w:rPr>
              <w:fldChar w:fldCharType="separate"/>
            </w:r>
            <w:r w:rsidRPr="00C534D6">
              <w:rPr>
                <w:noProof/>
                <w:webHidden/>
              </w:rPr>
              <w:t>4</w:t>
            </w:r>
            <w:r w:rsidRPr="00C534D6">
              <w:rPr>
                <w:noProof/>
                <w:webHidden/>
              </w:rPr>
              <w:fldChar w:fldCharType="end"/>
            </w:r>
          </w:hyperlink>
        </w:p>
        <w:p w14:paraId="00814259" w14:textId="59013F7D" w:rsidR="00C534D6" w:rsidRPr="00C534D6" w:rsidRDefault="00C534D6">
          <w:pPr>
            <w:pStyle w:val="TOC1"/>
            <w:tabs>
              <w:tab w:val="right" w:leader="dot" w:pos="9016"/>
            </w:tabs>
            <w:rPr>
              <w:rFonts w:eastAsiaTheme="minorEastAsia"/>
              <w:noProof/>
              <w:sz w:val="24"/>
              <w:szCs w:val="24"/>
              <w:lang w:eastAsia="en-IN"/>
            </w:rPr>
          </w:pPr>
          <w:hyperlink w:anchor="_Toc236233191" w:history="1">
            <w:r w:rsidRPr="00C534D6">
              <w:rPr>
                <w:rStyle w:val="Hyperlink"/>
                <w:rFonts w:ascii="Times New Roman" w:hAnsi="Times New Roman" w:cs="Times New Roman"/>
                <w:noProof/>
              </w:rPr>
              <w:t>Element 3: Marketing Mix (7Ps)</w:t>
            </w:r>
            <w:r w:rsidRPr="00C534D6">
              <w:rPr>
                <w:noProof/>
                <w:webHidden/>
              </w:rPr>
              <w:tab/>
            </w:r>
            <w:r w:rsidRPr="00C534D6">
              <w:rPr>
                <w:noProof/>
                <w:webHidden/>
              </w:rPr>
              <w:fldChar w:fldCharType="begin"/>
            </w:r>
            <w:r w:rsidRPr="00C534D6">
              <w:rPr>
                <w:noProof/>
                <w:webHidden/>
              </w:rPr>
              <w:instrText xml:space="preserve"> PAGEREF _Toc236233191 \h </w:instrText>
            </w:r>
            <w:r w:rsidRPr="00C534D6">
              <w:rPr>
                <w:noProof/>
                <w:webHidden/>
              </w:rPr>
            </w:r>
            <w:r w:rsidRPr="00C534D6">
              <w:rPr>
                <w:noProof/>
                <w:webHidden/>
              </w:rPr>
              <w:fldChar w:fldCharType="separate"/>
            </w:r>
            <w:r w:rsidRPr="00C534D6">
              <w:rPr>
                <w:noProof/>
                <w:webHidden/>
              </w:rPr>
              <w:t>7</w:t>
            </w:r>
            <w:r w:rsidRPr="00C534D6">
              <w:rPr>
                <w:noProof/>
                <w:webHidden/>
              </w:rPr>
              <w:fldChar w:fldCharType="end"/>
            </w:r>
          </w:hyperlink>
        </w:p>
        <w:p w14:paraId="79DB04DB" w14:textId="759250C1" w:rsidR="00C534D6" w:rsidRPr="00C534D6" w:rsidRDefault="00C534D6">
          <w:pPr>
            <w:pStyle w:val="TOC1"/>
            <w:tabs>
              <w:tab w:val="right" w:leader="dot" w:pos="9016"/>
            </w:tabs>
            <w:rPr>
              <w:rFonts w:eastAsiaTheme="minorEastAsia"/>
              <w:noProof/>
              <w:sz w:val="24"/>
              <w:szCs w:val="24"/>
              <w:lang w:eastAsia="en-IN"/>
            </w:rPr>
          </w:pPr>
          <w:hyperlink w:anchor="_Toc236233192" w:history="1">
            <w:r w:rsidRPr="00C534D6">
              <w:rPr>
                <w:rStyle w:val="Hyperlink"/>
                <w:rFonts w:ascii="Times New Roman" w:hAnsi="Times New Roman" w:cs="Times New Roman"/>
                <w:noProof/>
              </w:rPr>
              <w:t>Element 4: Reflection</w:t>
            </w:r>
            <w:r w:rsidRPr="00C534D6">
              <w:rPr>
                <w:noProof/>
                <w:webHidden/>
              </w:rPr>
              <w:tab/>
            </w:r>
            <w:r w:rsidRPr="00C534D6">
              <w:rPr>
                <w:noProof/>
                <w:webHidden/>
              </w:rPr>
              <w:fldChar w:fldCharType="begin"/>
            </w:r>
            <w:r w:rsidRPr="00C534D6">
              <w:rPr>
                <w:noProof/>
                <w:webHidden/>
              </w:rPr>
              <w:instrText xml:space="preserve"> PAGEREF _Toc236233192 \h </w:instrText>
            </w:r>
            <w:r w:rsidRPr="00C534D6">
              <w:rPr>
                <w:noProof/>
                <w:webHidden/>
              </w:rPr>
            </w:r>
            <w:r w:rsidRPr="00C534D6">
              <w:rPr>
                <w:noProof/>
                <w:webHidden/>
              </w:rPr>
              <w:fldChar w:fldCharType="separate"/>
            </w:r>
            <w:r w:rsidRPr="00C534D6">
              <w:rPr>
                <w:noProof/>
                <w:webHidden/>
              </w:rPr>
              <w:t>11</w:t>
            </w:r>
            <w:r w:rsidRPr="00C534D6">
              <w:rPr>
                <w:noProof/>
                <w:webHidden/>
              </w:rPr>
              <w:fldChar w:fldCharType="end"/>
            </w:r>
          </w:hyperlink>
        </w:p>
        <w:p w14:paraId="62562C0F" w14:textId="34C5BE59" w:rsidR="00C534D6" w:rsidRPr="00C534D6" w:rsidRDefault="00C534D6">
          <w:pPr>
            <w:pStyle w:val="TOC1"/>
            <w:tabs>
              <w:tab w:val="right" w:leader="dot" w:pos="9016"/>
            </w:tabs>
            <w:rPr>
              <w:rFonts w:eastAsiaTheme="minorEastAsia"/>
              <w:noProof/>
              <w:sz w:val="24"/>
              <w:szCs w:val="24"/>
              <w:lang w:eastAsia="en-IN"/>
            </w:rPr>
          </w:pPr>
          <w:hyperlink w:anchor="_Toc236233193" w:history="1">
            <w:r w:rsidRPr="00C534D6">
              <w:rPr>
                <w:rStyle w:val="Hyperlink"/>
                <w:rFonts w:ascii="Times New Roman" w:hAnsi="Times New Roman" w:cs="Times New Roman"/>
                <w:noProof/>
              </w:rPr>
              <w:t>Overall Conclusion</w:t>
            </w:r>
            <w:r w:rsidRPr="00C534D6">
              <w:rPr>
                <w:noProof/>
                <w:webHidden/>
              </w:rPr>
              <w:tab/>
            </w:r>
            <w:r w:rsidRPr="00C534D6">
              <w:rPr>
                <w:noProof/>
                <w:webHidden/>
              </w:rPr>
              <w:fldChar w:fldCharType="begin"/>
            </w:r>
            <w:r w:rsidRPr="00C534D6">
              <w:rPr>
                <w:noProof/>
                <w:webHidden/>
              </w:rPr>
              <w:instrText xml:space="preserve"> PAGEREF _Toc236233193 \h </w:instrText>
            </w:r>
            <w:r w:rsidRPr="00C534D6">
              <w:rPr>
                <w:noProof/>
                <w:webHidden/>
              </w:rPr>
            </w:r>
            <w:r w:rsidRPr="00C534D6">
              <w:rPr>
                <w:noProof/>
                <w:webHidden/>
              </w:rPr>
              <w:fldChar w:fldCharType="separate"/>
            </w:r>
            <w:r w:rsidRPr="00C534D6">
              <w:rPr>
                <w:noProof/>
                <w:webHidden/>
              </w:rPr>
              <w:t>13</w:t>
            </w:r>
            <w:r w:rsidRPr="00C534D6">
              <w:rPr>
                <w:noProof/>
                <w:webHidden/>
              </w:rPr>
              <w:fldChar w:fldCharType="end"/>
            </w:r>
          </w:hyperlink>
        </w:p>
        <w:p w14:paraId="1EE53369" w14:textId="027EC758" w:rsidR="00C534D6" w:rsidRPr="00C534D6" w:rsidRDefault="00C534D6">
          <w:pPr>
            <w:pStyle w:val="TOC1"/>
            <w:tabs>
              <w:tab w:val="right" w:leader="dot" w:pos="9016"/>
            </w:tabs>
            <w:rPr>
              <w:rFonts w:eastAsiaTheme="minorEastAsia"/>
              <w:noProof/>
              <w:sz w:val="24"/>
              <w:szCs w:val="24"/>
              <w:lang w:eastAsia="en-IN"/>
            </w:rPr>
          </w:pPr>
          <w:hyperlink w:anchor="_Toc236233194" w:history="1">
            <w:r w:rsidRPr="00C534D6">
              <w:rPr>
                <w:rStyle w:val="Hyperlink"/>
                <w:rFonts w:ascii="Times New Roman" w:hAnsi="Times New Roman" w:cs="Times New Roman"/>
                <w:noProof/>
              </w:rPr>
              <w:t>References</w:t>
            </w:r>
            <w:r w:rsidRPr="00C534D6">
              <w:rPr>
                <w:noProof/>
                <w:webHidden/>
              </w:rPr>
              <w:tab/>
            </w:r>
            <w:r w:rsidRPr="00C534D6">
              <w:rPr>
                <w:noProof/>
                <w:webHidden/>
              </w:rPr>
              <w:fldChar w:fldCharType="begin"/>
            </w:r>
            <w:r w:rsidRPr="00C534D6">
              <w:rPr>
                <w:noProof/>
                <w:webHidden/>
              </w:rPr>
              <w:instrText xml:space="preserve"> PAGEREF _Toc236233194 \h </w:instrText>
            </w:r>
            <w:r w:rsidRPr="00C534D6">
              <w:rPr>
                <w:noProof/>
                <w:webHidden/>
              </w:rPr>
            </w:r>
            <w:r w:rsidRPr="00C534D6">
              <w:rPr>
                <w:noProof/>
                <w:webHidden/>
              </w:rPr>
              <w:fldChar w:fldCharType="separate"/>
            </w:r>
            <w:r w:rsidRPr="00C534D6">
              <w:rPr>
                <w:noProof/>
                <w:webHidden/>
              </w:rPr>
              <w:t>15</w:t>
            </w:r>
            <w:r w:rsidRPr="00C534D6">
              <w:rPr>
                <w:noProof/>
                <w:webHidden/>
              </w:rPr>
              <w:fldChar w:fldCharType="end"/>
            </w:r>
          </w:hyperlink>
        </w:p>
        <w:p w14:paraId="1AA13FE6" w14:textId="59F21590" w:rsidR="00C534D6" w:rsidRDefault="00C534D6">
          <w:r w:rsidRPr="00C534D6">
            <w:rPr>
              <w:noProof/>
            </w:rPr>
            <w:fldChar w:fldCharType="end"/>
          </w:r>
        </w:p>
      </w:sdtContent>
    </w:sdt>
    <w:p w14:paraId="4AD9FF29" w14:textId="77777777" w:rsidR="00476521" w:rsidRDefault="00476521" w:rsidP="0068272F">
      <w:pPr>
        <w:spacing w:line="360" w:lineRule="auto"/>
        <w:jc w:val="both"/>
        <w:rPr>
          <w:rFonts w:ascii="Times New Roman" w:hAnsi="Times New Roman" w:cs="Times New Roman"/>
          <w:b/>
          <w:bCs/>
          <w:sz w:val="24"/>
          <w:szCs w:val="24"/>
        </w:rPr>
      </w:pPr>
    </w:p>
    <w:p w14:paraId="3B93EAEF" w14:textId="77777777" w:rsidR="00476521" w:rsidRDefault="00476521" w:rsidP="0068272F">
      <w:pPr>
        <w:spacing w:line="360" w:lineRule="auto"/>
        <w:jc w:val="both"/>
        <w:rPr>
          <w:rFonts w:ascii="Times New Roman" w:hAnsi="Times New Roman" w:cs="Times New Roman"/>
          <w:b/>
          <w:bCs/>
          <w:sz w:val="24"/>
          <w:szCs w:val="24"/>
        </w:rPr>
      </w:pPr>
    </w:p>
    <w:p w14:paraId="440C1D6A" w14:textId="77777777" w:rsidR="00476521" w:rsidRDefault="00476521" w:rsidP="0068272F">
      <w:pPr>
        <w:spacing w:line="360" w:lineRule="auto"/>
        <w:jc w:val="both"/>
        <w:rPr>
          <w:rFonts w:ascii="Times New Roman" w:hAnsi="Times New Roman" w:cs="Times New Roman"/>
          <w:b/>
          <w:bCs/>
          <w:sz w:val="24"/>
          <w:szCs w:val="24"/>
        </w:rPr>
      </w:pPr>
    </w:p>
    <w:p w14:paraId="3BCE2873" w14:textId="77777777" w:rsidR="00476521" w:rsidRDefault="00476521" w:rsidP="0068272F">
      <w:pPr>
        <w:spacing w:line="360" w:lineRule="auto"/>
        <w:jc w:val="both"/>
        <w:rPr>
          <w:rFonts w:ascii="Times New Roman" w:hAnsi="Times New Roman" w:cs="Times New Roman"/>
          <w:b/>
          <w:bCs/>
          <w:sz w:val="24"/>
          <w:szCs w:val="24"/>
        </w:rPr>
      </w:pPr>
    </w:p>
    <w:p w14:paraId="6DF4384A" w14:textId="77777777" w:rsidR="00476521" w:rsidRDefault="00476521" w:rsidP="0068272F">
      <w:pPr>
        <w:spacing w:line="360" w:lineRule="auto"/>
        <w:jc w:val="both"/>
        <w:rPr>
          <w:rFonts w:ascii="Times New Roman" w:hAnsi="Times New Roman" w:cs="Times New Roman"/>
          <w:b/>
          <w:bCs/>
          <w:sz w:val="24"/>
          <w:szCs w:val="24"/>
        </w:rPr>
      </w:pPr>
    </w:p>
    <w:p w14:paraId="6FA5F87F" w14:textId="77777777" w:rsidR="00476521" w:rsidRDefault="00476521" w:rsidP="0068272F">
      <w:pPr>
        <w:spacing w:line="360" w:lineRule="auto"/>
        <w:jc w:val="both"/>
        <w:rPr>
          <w:rFonts w:ascii="Times New Roman" w:hAnsi="Times New Roman" w:cs="Times New Roman"/>
          <w:b/>
          <w:bCs/>
          <w:sz w:val="24"/>
          <w:szCs w:val="24"/>
        </w:rPr>
      </w:pPr>
    </w:p>
    <w:p w14:paraId="6E1E34E7" w14:textId="77777777" w:rsidR="00476521" w:rsidRDefault="00476521" w:rsidP="0068272F">
      <w:pPr>
        <w:spacing w:line="360" w:lineRule="auto"/>
        <w:jc w:val="both"/>
        <w:rPr>
          <w:rFonts w:ascii="Times New Roman" w:hAnsi="Times New Roman" w:cs="Times New Roman"/>
          <w:b/>
          <w:bCs/>
          <w:sz w:val="24"/>
          <w:szCs w:val="24"/>
        </w:rPr>
      </w:pPr>
    </w:p>
    <w:p w14:paraId="1820F14A" w14:textId="77777777" w:rsidR="00476521" w:rsidRDefault="00476521" w:rsidP="0068272F">
      <w:pPr>
        <w:spacing w:line="360" w:lineRule="auto"/>
        <w:jc w:val="both"/>
        <w:rPr>
          <w:rFonts w:ascii="Times New Roman" w:hAnsi="Times New Roman" w:cs="Times New Roman"/>
          <w:b/>
          <w:bCs/>
          <w:sz w:val="24"/>
          <w:szCs w:val="24"/>
        </w:rPr>
      </w:pPr>
    </w:p>
    <w:p w14:paraId="0E17CF80" w14:textId="77777777" w:rsidR="00476521" w:rsidRDefault="00476521" w:rsidP="0068272F">
      <w:pPr>
        <w:spacing w:line="360" w:lineRule="auto"/>
        <w:jc w:val="both"/>
        <w:rPr>
          <w:rFonts w:ascii="Times New Roman" w:hAnsi="Times New Roman" w:cs="Times New Roman"/>
          <w:b/>
          <w:bCs/>
          <w:sz w:val="24"/>
          <w:szCs w:val="24"/>
        </w:rPr>
      </w:pPr>
    </w:p>
    <w:p w14:paraId="499FCABD" w14:textId="77777777" w:rsidR="00476521" w:rsidRDefault="00476521" w:rsidP="0068272F">
      <w:pPr>
        <w:spacing w:line="360" w:lineRule="auto"/>
        <w:jc w:val="both"/>
        <w:rPr>
          <w:rFonts w:ascii="Times New Roman" w:hAnsi="Times New Roman" w:cs="Times New Roman"/>
          <w:b/>
          <w:bCs/>
          <w:sz w:val="24"/>
          <w:szCs w:val="24"/>
        </w:rPr>
      </w:pPr>
    </w:p>
    <w:p w14:paraId="11ECB968" w14:textId="77777777" w:rsidR="00476521" w:rsidRDefault="00476521" w:rsidP="0068272F">
      <w:pPr>
        <w:spacing w:line="360" w:lineRule="auto"/>
        <w:jc w:val="both"/>
        <w:rPr>
          <w:rFonts w:ascii="Times New Roman" w:hAnsi="Times New Roman" w:cs="Times New Roman"/>
          <w:b/>
          <w:bCs/>
          <w:sz w:val="24"/>
          <w:szCs w:val="24"/>
        </w:rPr>
      </w:pPr>
    </w:p>
    <w:p w14:paraId="09852F09" w14:textId="77777777" w:rsidR="00476521" w:rsidRDefault="00476521" w:rsidP="0068272F">
      <w:pPr>
        <w:spacing w:line="360" w:lineRule="auto"/>
        <w:jc w:val="both"/>
        <w:rPr>
          <w:rFonts w:ascii="Times New Roman" w:hAnsi="Times New Roman" w:cs="Times New Roman"/>
          <w:b/>
          <w:bCs/>
          <w:sz w:val="24"/>
          <w:szCs w:val="24"/>
        </w:rPr>
      </w:pPr>
    </w:p>
    <w:p w14:paraId="62E658D8" w14:textId="77777777" w:rsidR="00476521" w:rsidRDefault="00476521" w:rsidP="0068272F">
      <w:pPr>
        <w:spacing w:line="360" w:lineRule="auto"/>
        <w:jc w:val="both"/>
        <w:rPr>
          <w:rFonts w:ascii="Times New Roman" w:hAnsi="Times New Roman" w:cs="Times New Roman"/>
          <w:b/>
          <w:bCs/>
          <w:sz w:val="24"/>
          <w:szCs w:val="24"/>
        </w:rPr>
      </w:pPr>
    </w:p>
    <w:p w14:paraId="0E727AD5" w14:textId="77777777" w:rsidR="00476521" w:rsidRDefault="00476521" w:rsidP="0068272F">
      <w:pPr>
        <w:spacing w:line="360" w:lineRule="auto"/>
        <w:jc w:val="both"/>
        <w:rPr>
          <w:rFonts w:ascii="Times New Roman" w:hAnsi="Times New Roman" w:cs="Times New Roman"/>
          <w:b/>
          <w:bCs/>
          <w:sz w:val="24"/>
          <w:szCs w:val="24"/>
        </w:rPr>
      </w:pPr>
    </w:p>
    <w:p w14:paraId="4C85F2BD" w14:textId="358E4768" w:rsidR="00476521" w:rsidRDefault="00476521" w:rsidP="0068272F">
      <w:pPr>
        <w:spacing w:line="360" w:lineRule="auto"/>
        <w:jc w:val="both"/>
        <w:rPr>
          <w:rFonts w:ascii="Times New Roman" w:hAnsi="Times New Roman" w:cs="Times New Roman"/>
          <w:b/>
          <w:bCs/>
          <w:sz w:val="24"/>
          <w:szCs w:val="24"/>
        </w:rPr>
      </w:pPr>
    </w:p>
    <w:p w14:paraId="2248F2C8" w14:textId="1C0D7D20" w:rsidR="001B0960" w:rsidRPr="003059A5" w:rsidRDefault="0012310A" w:rsidP="003059A5">
      <w:pPr>
        <w:pStyle w:val="Heading1"/>
        <w:rPr>
          <w:rFonts w:ascii="Times New Roman" w:hAnsi="Times New Roman" w:cs="Times New Roman"/>
          <w:b/>
          <w:bCs/>
          <w:color w:val="auto"/>
          <w:sz w:val="28"/>
          <w:szCs w:val="28"/>
        </w:rPr>
      </w:pPr>
      <w:bookmarkStart w:id="0" w:name="_Toc236233189"/>
      <w:bookmarkStart w:id="1" w:name="OLE_LINK1"/>
      <w:r w:rsidRPr="003059A5">
        <w:rPr>
          <w:rFonts w:ascii="Times New Roman" w:hAnsi="Times New Roman" w:cs="Times New Roman"/>
          <w:b/>
          <w:bCs/>
          <w:color w:val="auto"/>
          <w:sz w:val="28"/>
          <w:szCs w:val="28"/>
        </w:rPr>
        <w:lastRenderedPageBreak/>
        <w:t>Element 1: Sustainable Brand Extension Poster</w:t>
      </w:r>
      <w:bookmarkEnd w:id="0"/>
      <w:r w:rsidRPr="003059A5">
        <w:rPr>
          <w:rFonts w:ascii="Times New Roman" w:hAnsi="Times New Roman" w:cs="Times New Roman"/>
          <w:b/>
          <w:bCs/>
          <w:color w:val="auto"/>
          <w:sz w:val="28"/>
          <w:szCs w:val="28"/>
        </w:rPr>
        <w:t xml:space="preserve"> </w:t>
      </w:r>
    </w:p>
    <w:bookmarkEnd w:id="1"/>
    <w:p w14:paraId="2C2265D9" w14:textId="50ADC966" w:rsidR="0052255A" w:rsidRDefault="001B0960" w:rsidP="0068272F">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AD556A4" wp14:editId="569AF8FF">
            <wp:extent cx="5731510" cy="8021256"/>
            <wp:effectExtent l="0" t="0" r="2540" b="0"/>
            <wp:docPr id="1506829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829332" name="Picture 150682933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4706" cy="8025728"/>
                    </a:xfrm>
                    <a:prstGeom prst="rect">
                      <a:avLst/>
                    </a:prstGeom>
                  </pic:spPr>
                </pic:pic>
              </a:graphicData>
            </a:graphic>
          </wp:inline>
        </w:drawing>
      </w:r>
    </w:p>
    <w:p w14:paraId="3F3CC300" w14:textId="77777777" w:rsidR="0052255A" w:rsidRDefault="0052255A" w:rsidP="0068272F">
      <w:pPr>
        <w:spacing w:line="360" w:lineRule="auto"/>
        <w:jc w:val="both"/>
        <w:rPr>
          <w:rFonts w:ascii="Times New Roman" w:hAnsi="Times New Roman" w:cs="Times New Roman"/>
          <w:b/>
          <w:bCs/>
          <w:sz w:val="24"/>
          <w:szCs w:val="24"/>
        </w:rPr>
      </w:pPr>
    </w:p>
    <w:p w14:paraId="3EB83F19" w14:textId="36142E30" w:rsidR="00CF6207" w:rsidRPr="003059A5" w:rsidRDefault="00CF6207" w:rsidP="003059A5">
      <w:pPr>
        <w:pStyle w:val="Heading1"/>
        <w:rPr>
          <w:rFonts w:ascii="Times New Roman" w:hAnsi="Times New Roman" w:cs="Times New Roman"/>
          <w:b/>
          <w:bCs/>
          <w:color w:val="auto"/>
          <w:sz w:val="28"/>
          <w:szCs w:val="28"/>
        </w:rPr>
      </w:pPr>
      <w:bookmarkStart w:id="2" w:name="_Toc236233190"/>
      <w:r w:rsidRPr="003059A5">
        <w:rPr>
          <w:rFonts w:ascii="Times New Roman" w:hAnsi="Times New Roman" w:cs="Times New Roman"/>
          <w:b/>
          <w:bCs/>
          <w:color w:val="auto"/>
          <w:sz w:val="28"/>
          <w:szCs w:val="28"/>
        </w:rPr>
        <w:lastRenderedPageBreak/>
        <w:t>Element 2: STDP Analysis</w:t>
      </w:r>
      <w:bookmarkEnd w:id="2"/>
      <w:r w:rsidRPr="003059A5">
        <w:rPr>
          <w:rFonts w:ascii="Times New Roman" w:hAnsi="Times New Roman" w:cs="Times New Roman"/>
          <w:b/>
          <w:bCs/>
          <w:color w:val="auto"/>
          <w:sz w:val="28"/>
          <w:szCs w:val="28"/>
        </w:rPr>
        <w:t xml:space="preserve"> </w:t>
      </w:r>
    </w:p>
    <w:p w14:paraId="3D597B06" w14:textId="5C78A3E8" w:rsidR="00CF6207" w:rsidRPr="0068272F" w:rsidRDefault="00CF6207"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2.1 Introduction </w:t>
      </w:r>
    </w:p>
    <w:p w14:paraId="541C347B" w14:textId="77777777" w:rsidR="00CF6207" w:rsidRDefault="00CF6207"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Segmentation, Targeting, Differentiation and Positioning (STDP) is a strategic marketing model that assists organisations to find appealing customer segments and establish a unique value creation (Kotler et al., 2024). In the case of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STDP aids in the creation of a sustainable furniture subscription service that meets the evolving consumer demands on affordability, flexibility and circular consumption, as well as the sustainability strategy of IKEA (IKEA, 2024).</w:t>
      </w:r>
    </w:p>
    <w:p w14:paraId="0F4F0DC9" w14:textId="2A2E3D16" w:rsidR="00F628AA" w:rsidRPr="0068272F" w:rsidRDefault="00F628AA" w:rsidP="001B0960">
      <w:pPr>
        <w:spacing w:line="360" w:lineRule="auto"/>
        <w:jc w:val="center"/>
        <w:rPr>
          <w:rFonts w:ascii="Times New Roman" w:hAnsi="Times New Roman" w:cs="Times New Roman"/>
          <w:sz w:val="24"/>
          <w:szCs w:val="24"/>
        </w:rPr>
      </w:pPr>
      <w:r>
        <w:rPr>
          <w:noProof/>
        </w:rPr>
        <w:drawing>
          <wp:inline distT="0" distB="0" distL="0" distR="0" wp14:anchorId="36D4B531" wp14:editId="579625EB">
            <wp:extent cx="3150230" cy="3314700"/>
            <wp:effectExtent l="0" t="0" r="0" b="0"/>
            <wp:docPr id="133610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9"/>
                    <pic:cNvPicPr>
                      <a:picLocks noChangeAspect="1" noChangeArrowheads="1"/>
                    </pic:cNvPicPr>
                  </pic:nvPicPr>
                  <pic:blipFill rotWithShape="1">
                    <a:blip r:embed="rId10">
                      <a:extLst>
                        <a:ext uri="{28A0092B-C50C-407E-A947-70E740481C1C}">
                          <a14:useLocalDpi xmlns:a14="http://schemas.microsoft.com/office/drawing/2010/main" val="0"/>
                        </a:ext>
                      </a:extLst>
                    </a:blip>
                    <a:srcRect l="1883" t="5319" r="70530" b="51138"/>
                    <a:stretch>
                      <a:fillRect/>
                    </a:stretch>
                  </pic:blipFill>
                  <pic:spPr bwMode="auto">
                    <a:xfrm>
                      <a:off x="0" y="0"/>
                      <a:ext cx="3158138" cy="3323020"/>
                    </a:xfrm>
                    <a:prstGeom prst="rect">
                      <a:avLst/>
                    </a:prstGeom>
                    <a:noFill/>
                    <a:ln>
                      <a:noFill/>
                    </a:ln>
                    <a:extLst>
                      <a:ext uri="{53640926-AAD7-44D8-BBD7-CCE9431645EC}">
                        <a14:shadowObscured xmlns:a14="http://schemas.microsoft.com/office/drawing/2010/main"/>
                      </a:ext>
                    </a:extLst>
                  </pic:spPr>
                </pic:pic>
              </a:graphicData>
            </a:graphic>
          </wp:inline>
        </w:drawing>
      </w:r>
    </w:p>
    <w:p w14:paraId="7120801E" w14:textId="77777777" w:rsidR="001B0960" w:rsidRPr="008A465E" w:rsidRDefault="00CF6207" w:rsidP="001B0960">
      <w:pPr>
        <w:spacing w:line="360" w:lineRule="auto"/>
        <w:jc w:val="center"/>
        <w:rPr>
          <w:rFonts w:ascii="Times New Roman" w:hAnsi="Times New Roman" w:cs="Times New Roman"/>
          <w:b/>
          <w:bCs/>
          <w:sz w:val="24"/>
          <w:szCs w:val="24"/>
        </w:rPr>
      </w:pPr>
      <w:r w:rsidRPr="008A465E">
        <w:rPr>
          <w:rFonts w:ascii="Times New Roman" w:hAnsi="Times New Roman" w:cs="Times New Roman"/>
          <w:b/>
          <w:bCs/>
          <w:sz w:val="24"/>
          <w:szCs w:val="24"/>
        </w:rPr>
        <w:t xml:space="preserve">Figure 2.1: STDP Framework </w:t>
      </w:r>
    </w:p>
    <w:p w14:paraId="1F601FBE" w14:textId="77777777" w:rsidR="0052255A" w:rsidRDefault="001B0960" w:rsidP="0052255A">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52255A" w:rsidRPr="0052255A">
        <w:rPr>
          <w:rFonts w:ascii="Times New Roman" w:hAnsi="Times New Roman" w:cs="Times New Roman"/>
          <w:sz w:val="24"/>
          <w:szCs w:val="24"/>
        </w:rPr>
        <w:t>Adapted from Kotler, Keller and Chernev (2024).</w:t>
      </w:r>
    </w:p>
    <w:p w14:paraId="52519C4A" w14:textId="26BC42EC" w:rsidR="00CF6207" w:rsidRPr="0068272F" w:rsidRDefault="00CF6207" w:rsidP="0052255A">
      <w:pPr>
        <w:spacing w:line="360" w:lineRule="auto"/>
        <w:rPr>
          <w:rFonts w:ascii="Times New Roman" w:hAnsi="Times New Roman" w:cs="Times New Roman"/>
          <w:b/>
          <w:bCs/>
          <w:sz w:val="24"/>
          <w:szCs w:val="24"/>
        </w:rPr>
      </w:pPr>
      <w:r w:rsidRPr="0068272F">
        <w:rPr>
          <w:rFonts w:ascii="Times New Roman" w:hAnsi="Times New Roman" w:cs="Times New Roman"/>
          <w:b/>
          <w:bCs/>
          <w:sz w:val="24"/>
          <w:szCs w:val="24"/>
        </w:rPr>
        <w:t xml:space="preserve">2.2 Segmentation </w:t>
      </w:r>
    </w:p>
    <w:p w14:paraId="532D94DE" w14:textId="77777777" w:rsidR="0068272F" w:rsidRPr="0068272F" w:rsidRDefault="00CF6207"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A proper segmentation will help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to concentrate on the customers who are most likely to embrace the services of circular furniture. IKEA does not consider the UK market as a single group but applies geographic, demographic, psychographic and behavioural variables to find out appropriate customers (Kotler et al., 2024). </w:t>
      </w:r>
    </w:p>
    <w:p w14:paraId="02696E62" w14:textId="21BC62F8" w:rsidR="0068272F" w:rsidRPr="0068272F" w:rsidRDefault="00CF6207"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The geographic segmentation focuses on the key cities of the United Kingdom like London, Manchester, Birmingham, Bristol, as well as Glasgow, which has large populations of renters, </w:t>
      </w:r>
      <w:r w:rsidRPr="0068272F">
        <w:rPr>
          <w:rFonts w:ascii="Times New Roman" w:hAnsi="Times New Roman" w:cs="Times New Roman"/>
          <w:sz w:val="24"/>
          <w:szCs w:val="24"/>
        </w:rPr>
        <w:lastRenderedPageBreak/>
        <w:t xml:space="preserve">young professionals and environment-conscious people. Efficient collection, repair and redistribution services are also facilitated in urban locations. </w:t>
      </w:r>
    </w:p>
    <w:p w14:paraId="2939ACA5" w14:textId="7747392D" w:rsidR="00CF6207" w:rsidRPr="0068272F" w:rsidRDefault="00CF6207"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Demographic segmentation is based on the age of consumers between 22-45 years old, young professionals, university graduates, students and small families with middle income. These populations constantly change their residence and thus prefer flexible furniture options over the permanent possession. </w:t>
      </w:r>
    </w:p>
    <w:p w14:paraId="51258AAF" w14:textId="28463A5C" w:rsidR="00CF6207" w:rsidRPr="0068272F" w:rsidRDefault="00CF6207"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Psychographic segmentation aims at the environmentally aware market segment that embraces minimalist lifestyles and sustainable purchases. These consumers are becoming more demanding of brands to show that they are truly environmentally responsible and not merely make green marketing claims. The circular strategy by IKEA corresponds with these consumer values (IKEA, 2024). </w:t>
      </w:r>
    </w:p>
    <w:p w14:paraId="4EBA33B9" w14:textId="72A57926" w:rsidR="00CF6207" w:rsidRPr="0068272F" w:rsidRDefault="00CF6207"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The behavioural segmentation is targeted at the customers who shop online regularly, use subscriptions and make purchasing decisions based on sustainability. People who change furniture due to moving or alterations in family requirements are more prone to appreciate a subscription model. By integrating these segmentation variables,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would be able to focus on consumers whose lifestyles and purchasing behaviour would uphold a circular business model (Kotler et al., 2024).</w:t>
      </w:r>
    </w:p>
    <w:p w14:paraId="585F311F" w14:textId="76F7F468" w:rsidR="00CF6207" w:rsidRPr="0068272F" w:rsidRDefault="00CF6207"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2.3 Targeting </w:t>
      </w:r>
    </w:p>
    <w:p w14:paraId="2D3B33ED"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is using a narrow target marketing approach targeting young urban professionals between 22-45 years. This segment is highly digitally active, more likely to adopt subscription solutions and be more environmentally conscious than most traditional furniture customers. The constant changing of location also provides constant pressure on the need of flexibility in furniture. </w:t>
      </w:r>
    </w:p>
    <w:p w14:paraId="53650B9E" w14:textId="667B8F74"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Other segments such as retired homeowners and buyers of luxury furniture are not so appropriate as they tend to be permanent owners that demand high quality products. These groups should not be targeted as they would dilute the value proposition of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and lower the effectiveness of marketing. The chosen target market also helps IKEA in its aspiration to increase circular business models that prevent waste and increase the life of products and maintain customer relationships in the long term (IKEA, 2024).</w:t>
      </w:r>
    </w:p>
    <w:p w14:paraId="6A768425" w14:textId="3249C706" w:rsidR="00CF6207" w:rsidRPr="0068272F" w:rsidRDefault="00CF6207"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2.4 Differentiation </w:t>
      </w:r>
    </w:p>
    <w:p w14:paraId="0D155B96"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lastRenderedPageBreak/>
        <w:t xml:space="preserve">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can be distinguished by the combination of furniture subscription, repair, refurbishment and buy-back services in a single circular ecosystem.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builds recurring customer relationships by extending the lifecycle of the furniture unlike traditional retailers who get the bulk of their revenue by selling the products. </w:t>
      </w:r>
    </w:p>
    <w:p w14:paraId="1E922828"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Sustainability initiatives have been launched by competitors like Wayfair, DFS and Habitat, however, they still concentrate on the ownership, but do not offer a complete circle of services (Wayfair, 2024). The current sustainability approach of IKEA, store network and buy-back programme offers a more robust base of offering an integrated circular service. </w:t>
      </w:r>
    </w:p>
    <w:p w14:paraId="042E8B9C" w14:textId="07673CBF"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The combination is a source of competitive advantage through waste reduction, enhanced customer loyalty and recurring subscription revenues. This makes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unique in that it does not solely compete on price or product design, but rather, on sustainable value creation (Porter, 1985).</w:t>
      </w:r>
    </w:p>
    <w:p w14:paraId="11C4BFB5" w14:textId="77777777" w:rsidR="00CF6207" w:rsidRPr="0068272F" w:rsidRDefault="00CF6207"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Table 2.1 Competitor Comparison</w:t>
      </w:r>
    </w:p>
    <w:tbl>
      <w:tblPr>
        <w:tblStyle w:val="GridTable4-Accent1"/>
        <w:tblW w:w="0" w:type="auto"/>
        <w:tblLook w:val="04A0" w:firstRow="1" w:lastRow="0" w:firstColumn="1" w:lastColumn="0" w:noHBand="0" w:noVBand="1"/>
      </w:tblPr>
      <w:tblGrid>
        <w:gridCol w:w="2592"/>
        <w:gridCol w:w="1610"/>
        <w:gridCol w:w="1836"/>
        <w:gridCol w:w="1083"/>
        <w:gridCol w:w="1083"/>
      </w:tblGrid>
      <w:tr w:rsidR="00CF6207" w:rsidRPr="0068272F" w14:paraId="311B2F34" w14:textId="77777777" w:rsidTr="00F628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FB2EF6" w14:textId="77777777" w:rsidR="00CF6207" w:rsidRPr="0068272F" w:rsidRDefault="00CF6207" w:rsidP="0068272F">
            <w:pPr>
              <w:spacing w:after="160" w:line="360" w:lineRule="auto"/>
              <w:jc w:val="both"/>
              <w:rPr>
                <w:rFonts w:ascii="Times New Roman" w:hAnsi="Times New Roman" w:cs="Times New Roman"/>
                <w:sz w:val="24"/>
                <w:szCs w:val="24"/>
              </w:rPr>
            </w:pPr>
            <w:r w:rsidRPr="0068272F">
              <w:rPr>
                <w:rFonts w:ascii="Times New Roman" w:hAnsi="Times New Roman" w:cs="Times New Roman"/>
                <w:sz w:val="24"/>
                <w:szCs w:val="24"/>
              </w:rPr>
              <w:t>Feature</w:t>
            </w:r>
          </w:p>
        </w:tc>
        <w:tc>
          <w:tcPr>
            <w:tcW w:w="0" w:type="auto"/>
            <w:hideMark/>
          </w:tcPr>
          <w:p w14:paraId="164573A7" w14:textId="77777777" w:rsidR="00CF6207" w:rsidRPr="0068272F" w:rsidRDefault="00CF6207" w:rsidP="0068272F">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 xml:space="preserve">IKEA </w:t>
            </w:r>
            <w:proofErr w:type="spellStart"/>
            <w:r w:rsidRPr="0068272F">
              <w:rPr>
                <w:rFonts w:ascii="Times New Roman" w:hAnsi="Times New Roman" w:cs="Times New Roman"/>
                <w:sz w:val="24"/>
                <w:szCs w:val="24"/>
              </w:rPr>
              <w:t>ReNew</w:t>
            </w:r>
            <w:proofErr w:type="spellEnd"/>
          </w:p>
        </w:tc>
        <w:tc>
          <w:tcPr>
            <w:tcW w:w="0" w:type="auto"/>
            <w:hideMark/>
          </w:tcPr>
          <w:p w14:paraId="017290CF" w14:textId="77777777" w:rsidR="00CF6207" w:rsidRPr="0068272F" w:rsidRDefault="00CF6207" w:rsidP="0068272F">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Wayfair</w:t>
            </w:r>
          </w:p>
        </w:tc>
        <w:tc>
          <w:tcPr>
            <w:tcW w:w="0" w:type="auto"/>
            <w:hideMark/>
          </w:tcPr>
          <w:p w14:paraId="2329FF16" w14:textId="77777777" w:rsidR="00CF6207" w:rsidRPr="0068272F" w:rsidRDefault="00CF6207" w:rsidP="0068272F">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DFS</w:t>
            </w:r>
          </w:p>
        </w:tc>
        <w:tc>
          <w:tcPr>
            <w:tcW w:w="0" w:type="auto"/>
            <w:hideMark/>
          </w:tcPr>
          <w:p w14:paraId="1D2BB714" w14:textId="77777777" w:rsidR="00CF6207" w:rsidRPr="0068272F" w:rsidRDefault="00CF6207" w:rsidP="0068272F">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Habitat</w:t>
            </w:r>
          </w:p>
        </w:tc>
      </w:tr>
      <w:tr w:rsidR="00CF6207" w:rsidRPr="0068272F" w14:paraId="5D61FB1D" w14:textId="77777777" w:rsidTr="00F628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EEB12C" w14:textId="77777777" w:rsidR="00CF6207" w:rsidRPr="0068272F" w:rsidRDefault="00CF6207" w:rsidP="0068272F">
            <w:pPr>
              <w:spacing w:after="160" w:line="360" w:lineRule="auto"/>
              <w:jc w:val="both"/>
              <w:rPr>
                <w:rFonts w:ascii="Times New Roman" w:hAnsi="Times New Roman" w:cs="Times New Roman"/>
                <w:sz w:val="24"/>
                <w:szCs w:val="24"/>
              </w:rPr>
            </w:pPr>
            <w:r w:rsidRPr="0068272F">
              <w:rPr>
                <w:rFonts w:ascii="Times New Roman" w:hAnsi="Times New Roman" w:cs="Times New Roman"/>
                <w:sz w:val="24"/>
                <w:szCs w:val="24"/>
              </w:rPr>
              <w:t>Furniture Subscription</w:t>
            </w:r>
          </w:p>
        </w:tc>
        <w:tc>
          <w:tcPr>
            <w:tcW w:w="0" w:type="auto"/>
            <w:hideMark/>
          </w:tcPr>
          <w:p w14:paraId="320FCDEC"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Segoe UI Symbol" w:hAnsi="Segoe UI Symbol" w:cs="Segoe UI Symbol"/>
                <w:sz w:val="24"/>
                <w:szCs w:val="24"/>
              </w:rPr>
              <w:t>✔</w:t>
            </w:r>
          </w:p>
        </w:tc>
        <w:tc>
          <w:tcPr>
            <w:tcW w:w="0" w:type="auto"/>
            <w:hideMark/>
          </w:tcPr>
          <w:p w14:paraId="235BAC61"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Mainly Purchase</w:t>
            </w:r>
          </w:p>
        </w:tc>
        <w:tc>
          <w:tcPr>
            <w:tcW w:w="0" w:type="auto"/>
            <w:hideMark/>
          </w:tcPr>
          <w:p w14:paraId="0EF0D052"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Purchase</w:t>
            </w:r>
          </w:p>
        </w:tc>
        <w:tc>
          <w:tcPr>
            <w:tcW w:w="0" w:type="auto"/>
            <w:hideMark/>
          </w:tcPr>
          <w:p w14:paraId="47748D6A"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Purchase</w:t>
            </w:r>
          </w:p>
        </w:tc>
      </w:tr>
      <w:tr w:rsidR="00CF6207" w:rsidRPr="0068272F" w14:paraId="387D83B9" w14:textId="77777777" w:rsidTr="00F628AA">
        <w:tc>
          <w:tcPr>
            <w:cnfStyle w:val="001000000000" w:firstRow="0" w:lastRow="0" w:firstColumn="1" w:lastColumn="0" w:oddVBand="0" w:evenVBand="0" w:oddHBand="0" w:evenHBand="0" w:firstRowFirstColumn="0" w:firstRowLastColumn="0" w:lastRowFirstColumn="0" w:lastRowLastColumn="0"/>
            <w:tcW w:w="0" w:type="auto"/>
            <w:hideMark/>
          </w:tcPr>
          <w:p w14:paraId="12EB7F0D" w14:textId="77777777" w:rsidR="00CF6207" w:rsidRPr="0068272F" w:rsidRDefault="00CF6207" w:rsidP="0068272F">
            <w:pPr>
              <w:spacing w:after="160" w:line="360" w:lineRule="auto"/>
              <w:jc w:val="both"/>
              <w:rPr>
                <w:rFonts w:ascii="Times New Roman" w:hAnsi="Times New Roman" w:cs="Times New Roman"/>
                <w:sz w:val="24"/>
                <w:szCs w:val="24"/>
              </w:rPr>
            </w:pPr>
            <w:r w:rsidRPr="0068272F">
              <w:rPr>
                <w:rFonts w:ascii="Times New Roman" w:hAnsi="Times New Roman" w:cs="Times New Roman"/>
                <w:sz w:val="24"/>
                <w:szCs w:val="24"/>
              </w:rPr>
              <w:t>Repair Service</w:t>
            </w:r>
          </w:p>
        </w:tc>
        <w:tc>
          <w:tcPr>
            <w:tcW w:w="0" w:type="auto"/>
            <w:hideMark/>
          </w:tcPr>
          <w:p w14:paraId="6F75BE55" w14:textId="77777777" w:rsidR="00CF6207" w:rsidRPr="0068272F" w:rsidRDefault="00CF6207" w:rsidP="0068272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Segoe UI Symbol" w:hAnsi="Segoe UI Symbol" w:cs="Segoe UI Symbol"/>
                <w:sz w:val="24"/>
                <w:szCs w:val="24"/>
              </w:rPr>
              <w:t>✔</w:t>
            </w:r>
          </w:p>
        </w:tc>
        <w:tc>
          <w:tcPr>
            <w:tcW w:w="0" w:type="auto"/>
            <w:hideMark/>
          </w:tcPr>
          <w:p w14:paraId="1313ADF4" w14:textId="77777777" w:rsidR="00CF6207" w:rsidRPr="0068272F" w:rsidRDefault="00CF6207" w:rsidP="0068272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Limited</w:t>
            </w:r>
          </w:p>
        </w:tc>
        <w:tc>
          <w:tcPr>
            <w:tcW w:w="0" w:type="auto"/>
            <w:hideMark/>
          </w:tcPr>
          <w:p w14:paraId="750532D8" w14:textId="77777777" w:rsidR="00CF6207" w:rsidRPr="0068272F" w:rsidRDefault="00CF6207" w:rsidP="0068272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Limited</w:t>
            </w:r>
          </w:p>
        </w:tc>
        <w:tc>
          <w:tcPr>
            <w:tcW w:w="0" w:type="auto"/>
            <w:hideMark/>
          </w:tcPr>
          <w:p w14:paraId="637C7410" w14:textId="77777777" w:rsidR="00CF6207" w:rsidRPr="0068272F" w:rsidRDefault="00CF6207" w:rsidP="0068272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Limited</w:t>
            </w:r>
          </w:p>
        </w:tc>
      </w:tr>
      <w:tr w:rsidR="00CF6207" w:rsidRPr="0068272F" w14:paraId="317DB5AA" w14:textId="77777777" w:rsidTr="00F628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3317FD" w14:textId="77777777" w:rsidR="00CF6207" w:rsidRPr="0068272F" w:rsidRDefault="00CF6207" w:rsidP="0068272F">
            <w:pPr>
              <w:spacing w:after="160" w:line="360" w:lineRule="auto"/>
              <w:jc w:val="both"/>
              <w:rPr>
                <w:rFonts w:ascii="Times New Roman" w:hAnsi="Times New Roman" w:cs="Times New Roman"/>
                <w:sz w:val="24"/>
                <w:szCs w:val="24"/>
              </w:rPr>
            </w:pPr>
            <w:r w:rsidRPr="0068272F">
              <w:rPr>
                <w:rFonts w:ascii="Times New Roman" w:hAnsi="Times New Roman" w:cs="Times New Roman"/>
                <w:sz w:val="24"/>
                <w:szCs w:val="24"/>
              </w:rPr>
              <w:t>Refurbished Products</w:t>
            </w:r>
          </w:p>
        </w:tc>
        <w:tc>
          <w:tcPr>
            <w:tcW w:w="0" w:type="auto"/>
            <w:hideMark/>
          </w:tcPr>
          <w:p w14:paraId="3D2C1F33"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Segoe UI Symbol" w:hAnsi="Segoe UI Symbol" w:cs="Segoe UI Symbol"/>
                <w:sz w:val="24"/>
                <w:szCs w:val="24"/>
              </w:rPr>
              <w:t>✔</w:t>
            </w:r>
          </w:p>
        </w:tc>
        <w:tc>
          <w:tcPr>
            <w:tcW w:w="0" w:type="auto"/>
            <w:hideMark/>
          </w:tcPr>
          <w:p w14:paraId="60B5BCA5"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Limited</w:t>
            </w:r>
          </w:p>
        </w:tc>
        <w:tc>
          <w:tcPr>
            <w:tcW w:w="0" w:type="auto"/>
            <w:hideMark/>
          </w:tcPr>
          <w:p w14:paraId="3712ECF8"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Limited</w:t>
            </w:r>
          </w:p>
        </w:tc>
        <w:tc>
          <w:tcPr>
            <w:tcW w:w="0" w:type="auto"/>
            <w:hideMark/>
          </w:tcPr>
          <w:p w14:paraId="6C19B690"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Limited</w:t>
            </w:r>
          </w:p>
        </w:tc>
      </w:tr>
      <w:tr w:rsidR="00CF6207" w:rsidRPr="0068272F" w14:paraId="0A868089" w14:textId="77777777" w:rsidTr="00F628AA">
        <w:tc>
          <w:tcPr>
            <w:cnfStyle w:val="001000000000" w:firstRow="0" w:lastRow="0" w:firstColumn="1" w:lastColumn="0" w:oddVBand="0" w:evenVBand="0" w:oddHBand="0" w:evenHBand="0" w:firstRowFirstColumn="0" w:firstRowLastColumn="0" w:lastRowFirstColumn="0" w:lastRowLastColumn="0"/>
            <w:tcW w:w="0" w:type="auto"/>
            <w:hideMark/>
          </w:tcPr>
          <w:p w14:paraId="3EAEFE45" w14:textId="77777777" w:rsidR="00CF6207" w:rsidRPr="0068272F" w:rsidRDefault="00CF6207" w:rsidP="0068272F">
            <w:pPr>
              <w:spacing w:after="160" w:line="360" w:lineRule="auto"/>
              <w:jc w:val="both"/>
              <w:rPr>
                <w:rFonts w:ascii="Times New Roman" w:hAnsi="Times New Roman" w:cs="Times New Roman"/>
                <w:sz w:val="24"/>
                <w:szCs w:val="24"/>
              </w:rPr>
            </w:pPr>
            <w:r w:rsidRPr="0068272F">
              <w:rPr>
                <w:rFonts w:ascii="Times New Roman" w:hAnsi="Times New Roman" w:cs="Times New Roman"/>
                <w:sz w:val="24"/>
                <w:szCs w:val="24"/>
              </w:rPr>
              <w:t>Circular Economy</w:t>
            </w:r>
          </w:p>
        </w:tc>
        <w:tc>
          <w:tcPr>
            <w:tcW w:w="0" w:type="auto"/>
            <w:hideMark/>
          </w:tcPr>
          <w:p w14:paraId="5A5D69CB" w14:textId="77777777" w:rsidR="00CF6207" w:rsidRPr="0068272F" w:rsidRDefault="00CF6207" w:rsidP="0068272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Strong</w:t>
            </w:r>
          </w:p>
        </w:tc>
        <w:tc>
          <w:tcPr>
            <w:tcW w:w="0" w:type="auto"/>
            <w:hideMark/>
          </w:tcPr>
          <w:p w14:paraId="4CB06A96" w14:textId="77777777" w:rsidR="00CF6207" w:rsidRPr="0068272F" w:rsidRDefault="00CF6207" w:rsidP="0068272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Partial</w:t>
            </w:r>
          </w:p>
        </w:tc>
        <w:tc>
          <w:tcPr>
            <w:tcW w:w="0" w:type="auto"/>
            <w:hideMark/>
          </w:tcPr>
          <w:p w14:paraId="26F5CE2A" w14:textId="77777777" w:rsidR="00CF6207" w:rsidRPr="0068272F" w:rsidRDefault="00CF6207" w:rsidP="0068272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Partial</w:t>
            </w:r>
          </w:p>
        </w:tc>
        <w:tc>
          <w:tcPr>
            <w:tcW w:w="0" w:type="auto"/>
            <w:hideMark/>
          </w:tcPr>
          <w:p w14:paraId="3EF2FAA6" w14:textId="77777777" w:rsidR="00CF6207" w:rsidRPr="0068272F" w:rsidRDefault="00CF6207" w:rsidP="0068272F">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Partial</w:t>
            </w:r>
          </w:p>
        </w:tc>
      </w:tr>
      <w:tr w:rsidR="00CF6207" w:rsidRPr="0068272F" w14:paraId="38C3D9CF" w14:textId="77777777" w:rsidTr="00F628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FDAD28" w14:textId="77777777" w:rsidR="00CF6207" w:rsidRPr="0068272F" w:rsidRDefault="00CF6207" w:rsidP="0068272F">
            <w:pPr>
              <w:spacing w:after="160" w:line="360" w:lineRule="auto"/>
              <w:jc w:val="both"/>
              <w:rPr>
                <w:rFonts w:ascii="Times New Roman" w:hAnsi="Times New Roman" w:cs="Times New Roman"/>
                <w:sz w:val="24"/>
                <w:szCs w:val="24"/>
              </w:rPr>
            </w:pPr>
            <w:r w:rsidRPr="0068272F">
              <w:rPr>
                <w:rFonts w:ascii="Times New Roman" w:hAnsi="Times New Roman" w:cs="Times New Roman"/>
                <w:sz w:val="24"/>
                <w:szCs w:val="24"/>
              </w:rPr>
              <w:t>Buy-back Programme</w:t>
            </w:r>
          </w:p>
        </w:tc>
        <w:tc>
          <w:tcPr>
            <w:tcW w:w="0" w:type="auto"/>
            <w:hideMark/>
          </w:tcPr>
          <w:p w14:paraId="72E8C9DE"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Segoe UI Symbol" w:hAnsi="Segoe UI Symbol" w:cs="Segoe UI Symbol"/>
                <w:sz w:val="24"/>
                <w:szCs w:val="24"/>
              </w:rPr>
              <w:t>✔</w:t>
            </w:r>
          </w:p>
        </w:tc>
        <w:tc>
          <w:tcPr>
            <w:tcW w:w="0" w:type="auto"/>
            <w:hideMark/>
          </w:tcPr>
          <w:p w14:paraId="679550E4"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Limited</w:t>
            </w:r>
          </w:p>
        </w:tc>
        <w:tc>
          <w:tcPr>
            <w:tcW w:w="0" w:type="auto"/>
            <w:hideMark/>
          </w:tcPr>
          <w:p w14:paraId="664D35C9"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No</w:t>
            </w:r>
          </w:p>
        </w:tc>
        <w:tc>
          <w:tcPr>
            <w:tcW w:w="0" w:type="auto"/>
            <w:hideMark/>
          </w:tcPr>
          <w:p w14:paraId="3B153CA2" w14:textId="77777777" w:rsidR="00CF6207" w:rsidRPr="0068272F" w:rsidRDefault="00CF6207" w:rsidP="0068272F">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72F">
              <w:rPr>
                <w:rFonts w:ascii="Times New Roman" w:hAnsi="Times New Roman" w:cs="Times New Roman"/>
                <w:sz w:val="24"/>
                <w:szCs w:val="24"/>
              </w:rPr>
              <w:t>Limited</w:t>
            </w:r>
          </w:p>
        </w:tc>
      </w:tr>
    </w:tbl>
    <w:p w14:paraId="069B130E" w14:textId="77777777" w:rsidR="003059A5" w:rsidRDefault="003059A5" w:rsidP="0068272F">
      <w:pPr>
        <w:spacing w:line="360" w:lineRule="auto"/>
        <w:jc w:val="both"/>
        <w:rPr>
          <w:rFonts w:ascii="Times New Roman" w:hAnsi="Times New Roman" w:cs="Times New Roman"/>
          <w:sz w:val="24"/>
          <w:szCs w:val="24"/>
        </w:rPr>
      </w:pPr>
    </w:p>
    <w:p w14:paraId="33292FCA" w14:textId="0636B9C9" w:rsidR="00F628AA" w:rsidRPr="003059A5" w:rsidRDefault="00CF6207" w:rsidP="0068272F">
      <w:pPr>
        <w:spacing w:line="360" w:lineRule="auto"/>
        <w:jc w:val="both"/>
        <w:rPr>
          <w:rFonts w:ascii="Times New Roman" w:hAnsi="Times New Roman" w:cs="Times New Roman"/>
          <w:sz w:val="24"/>
          <w:szCs w:val="24"/>
        </w:rPr>
      </w:pPr>
      <w:r w:rsidRPr="003059A5">
        <w:rPr>
          <w:rFonts w:ascii="Times New Roman" w:hAnsi="Times New Roman" w:cs="Times New Roman"/>
          <w:sz w:val="24"/>
          <w:szCs w:val="24"/>
        </w:rPr>
        <w:t>Source: Author, based on company sustainability reports.</w:t>
      </w:r>
    </w:p>
    <w:p w14:paraId="25AF2FF6" w14:textId="561D0A83" w:rsidR="00CF6207" w:rsidRPr="0068272F" w:rsidRDefault="00CF6207"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2.5 Positioning </w:t>
      </w:r>
    </w:p>
    <w:p w14:paraId="56A2DDEB"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uses a value based positioning approach based on the fact it provides cheap, modular and environmentally friendly furniture products to the urban customers. Rather than marketing sustainability as a luxury attribute, IKEA balances affordability with circular consumption, which contributes to its vision of a better everyday life of many individuals (IKEA, 2024).</w:t>
      </w:r>
    </w:p>
    <w:p w14:paraId="59343472" w14:textId="560D487E" w:rsidR="00CF6207" w:rsidRPr="0068272F" w:rsidRDefault="00CF6207" w:rsidP="0068272F">
      <w:pPr>
        <w:spacing w:line="360" w:lineRule="auto"/>
        <w:jc w:val="both"/>
        <w:rPr>
          <w:rFonts w:ascii="Times New Roman" w:hAnsi="Times New Roman" w:cs="Times New Roman"/>
          <w:sz w:val="24"/>
          <w:szCs w:val="24"/>
        </w:rPr>
      </w:pPr>
      <w:r w:rsidRPr="0068272F">
        <w:rPr>
          <w:rFonts w:ascii="Times New Roman" w:hAnsi="Times New Roman" w:cs="Times New Roman"/>
          <w:b/>
          <w:bCs/>
          <w:sz w:val="24"/>
          <w:szCs w:val="24"/>
        </w:rPr>
        <w:lastRenderedPageBreak/>
        <w:t>Positioning Statement</w:t>
      </w:r>
    </w:p>
    <w:p w14:paraId="38672AD4" w14:textId="77777777" w:rsid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offers cheap furniture subscriptions, repair, and refurbishment to environmentally conscious urban consumers in need of flexibility in their home furnishing offering a sustainable solution to the waste issue and increasing the lifespan of products at trusted IKEA quality. This differentiation helps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to stand out based on convenience, sustainability and long-term customer value and reinforces IKEA to move towards a circular economy.</w:t>
      </w:r>
    </w:p>
    <w:p w14:paraId="004C3575" w14:textId="461513A0" w:rsidR="00F628AA" w:rsidRPr="0068272F" w:rsidRDefault="00F628AA" w:rsidP="001B0960">
      <w:pPr>
        <w:spacing w:line="360" w:lineRule="auto"/>
        <w:jc w:val="center"/>
        <w:rPr>
          <w:rFonts w:ascii="Times New Roman" w:hAnsi="Times New Roman" w:cs="Times New Roman"/>
          <w:sz w:val="24"/>
          <w:szCs w:val="24"/>
        </w:rPr>
      </w:pPr>
      <w:r>
        <w:rPr>
          <w:noProof/>
        </w:rPr>
        <w:drawing>
          <wp:inline distT="0" distB="0" distL="0" distR="0" wp14:anchorId="51E98B0E" wp14:editId="40DD30EB">
            <wp:extent cx="3514419" cy="3346450"/>
            <wp:effectExtent l="0" t="0" r="0" b="6350"/>
            <wp:docPr id="1785365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1"/>
                    <pic:cNvPicPr>
                      <a:picLocks noChangeAspect="1" noChangeArrowheads="1"/>
                    </pic:cNvPicPr>
                  </pic:nvPicPr>
                  <pic:blipFill rotWithShape="1">
                    <a:blip r:embed="rId10">
                      <a:extLst>
                        <a:ext uri="{28A0092B-C50C-407E-A947-70E740481C1C}">
                          <a14:useLocalDpi xmlns:a14="http://schemas.microsoft.com/office/drawing/2010/main" val="0"/>
                        </a:ext>
                      </a:extLst>
                    </a:blip>
                    <a:srcRect l="30579" t="5817" r="39286" b="51139"/>
                    <a:stretch>
                      <a:fillRect/>
                    </a:stretch>
                  </pic:blipFill>
                  <pic:spPr bwMode="auto">
                    <a:xfrm>
                      <a:off x="0" y="0"/>
                      <a:ext cx="3528107" cy="3359484"/>
                    </a:xfrm>
                    <a:prstGeom prst="rect">
                      <a:avLst/>
                    </a:prstGeom>
                    <a:noFill/>
                    <a:ln>
                      <a:noFill/>
                    </a:ln>
                    <a:extLst>
                      <a:ext uri="{53640926-AAD7-44D8-BBD7-CCE9431645EC}">
                        <a14:shadowObscured xmlns:a14="http://schemas.microsoft.com/office/drawing/2010/main"/>
                      </a:ext>
                    </a:extLst>
                  </pic:spPr>
                </pic:pic>
              </a:graphicData>
            </a:graphic>
          </wp:inline>
        </w:drawing>
      </w:r>
    </w:p>
    <w:p w14:paraId="5D87EE47" w14:textId="1580F7B8" w:rsidR="0012310A" w:rsidRPr="008A465E" w:rsidRDefault="00CF6207" w:rsidP="001B0960">
      <w:pPr>
        <w:spacing w:line="360" w:lineRule="auto"/>
        <w:jc w:val="center"/>
        <w:rPr>
          <w:rFonts w:ascii="Times New Roman" w:hAnsi="Times New Roman" w:cs="Times New Roman"/>
          <w:b/>
          <w:bCs/>
          <w:sz w:val="24"/>
          <w:szCs w:val="24"/>
        </w:rPr>
      </w:pPr>
      <w:r w:rsidRPr="008A465E">
        <w:rPr>
          <w:rFonts w:ascii="Times New Roman" w:hAnsi="Times New Roman" w:cs="Times New Roman"/>
          <w:b/>
          <w:bCs/>
          <w:sz w:val="24"/>
          <w:szCs w:val="24"/>
        </w:rPr>
        <w:t xml:space="preserve">Figure 2.2: Perceptual Positioning Map of IKEA </w:t>
      </w:r>
      <w:proofErr w:type="spellStart"/>
      <w:r w:rsidRPr="008A465E">
        <w:rPr>
          <w:rFonts w:ascii="Times New Roman" w:hAnsi="Times New Roman" w:cs="Times New Roman"/>
          <w:b/>
          <w:bCs/>
          <w:sz w:val="24"/>
          <w:szCs w:val="24"/>
        </w:rPr>
        <w:t>ReNew</w:t>
      </w:r>
      <w:proofErr w:type="spellEnd"/>
      <w:r w:rsidRPr="008A465E">
        <w:rPr>
          <w:rFonts w:ascii="Times New Roman" w:hAnsi="Times New Roman" w:cs="Times New Roman"/>
          <w:b/>
          <w:bCs/>
          <w:sz w:val="24"/>
          <w:szCs w:val="24"/>
        </w:rPr>
        <w:t xml:space="preserve"> against Key Competitors.</w:t>
      </w:r>
    </w:p>
    <w:p w14:paraId="798D943B" w14:textId="4ED5FAAC" w:rsidR="001B0960" w:rsidRPr="0068272F" w:rsidRDefault="001B0960" w:rsidP="003059A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1B0960">
        <w:rPr>
          <w:rFonts w:ascii="Times New Roman" w:hAnsi="Times New Roman" w:cs="Times New Roman"/>
          <w:sz w:val="24"/>
          <w:szCs w:val="24"/>
        </w:rPr>
        <w:t>Adapted from IKEA (2025), Wayfair (2024), DFS (2024) and Habitat (2024).</w:t>
      </w:r>
    </w:p>
    <w:p w14:paraId="394B3DB9" w14:textId="49726F0B" w:rsidR="0012310A" w:rsidRPr="003059A5" w:rsidRDefault="0012310A" w:rsidP="003059A5">
      <w:pPr>
        <w:pStyle w:val="Heading1"/>
        <w:rPr>
          <w:rFonts w:ascii="Times New Roman" w:hAnsi="Times New Roman" w:cs="Times New Roman"/>
          <w:b/>
          <w:bCs/>
          <w:color w:val="auto"/>
          <w:sz w:val="28"/>
          <w:szCs w:val="28"/>
        </w:rPr>
      </w:pPr>
      <w:bookmarkStart w:id="3" w:name="_Toc236233191"/>
      <w:r w:rsidRPr="003059A5">
        <w:rPr>
          <w:rFonts w:ascii="Times New Roman" w:hAnsi="Times New Roman" w:cs="Times New Roman"/>
          <w:b/>
          <w:bCs/>
          <w:color w:val="auto"/>
          <w:sz w:val="28"/>
          <w:szCs w:val="28"/>
        </w:rPr>
        <w:t>Element 3: Marketing Mix (7Ps)</w:t>
      </w:r>
      <w:bookmarkEnd w:id="3"/>
      <w:r w:rsidRPr="003059A5">
        <w:rPr>
          <w:rFonts w:ascii="Times New Roman" w:hAnsi="Times New Roman" w:cs="Times New Roman"/>
          <w:b/>
          <w:bCs/>
          <w:color w:val="auto"/>
          <w:sz w:val="28"/>
          <w:szCs w:val="28"/>
        </w:rPr>
        <w:t xml:space="preserve"> </w:t>
      </w:r>
    </w:p>
    <w:p w14:paraId="168BA4D2" w14:textId="7CC91689"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3.1 Introduction</w:t>
      </w:r>
    </w:p>
    <w:p w14:paraId="245C4201" w14:textId="77777777" w:rsid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The 4Ps developed into the 7Ps that show the growing role of services in the formation of customer value in the traditional marketing mix (Kotler et al., 2024). Since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is a combination of physical furniture and subscription, repair and refurbish services, the 7Ps framework offers a more holistic approach to the creation of a sustainable customer experience. All components will help to reinforce the IKEA circular business model, improve customer satisfaction and long-term competitive advantage.</w:t>
      </w:r>
    </w:p>
    <w:p w14:paraId="287962CD" w14:textId="540D165F" w:rsidR="00F628AA" w:rsidRPr="0068272F" w:rsidRDefault="00F628AA" w:rsidP="001B0960">
      <w:pPr>
        <w:spacing w:line="360" w:lineRule="auto"/>
        <w:jc w:val="center"/>
        <w:rPr>
          <w:rFonts w:ascii="Times New Roman" w:hAnsi="Times New Roman" w:cs="Times New Roman"/>
          <w:sz w:val="24"/>
          <w:szCs w:val="24"/>
        </w:rPr>
      </w:pPr>
      <w:r>
        <w:rPr>
          <w:noProof/>
        </w:rPr>
        <w:lastRenderedPageBreak/>
        <w:drawing>
          <wp:inline distT="0" distB="0" distL="0" distR="0" wp14:anchorId="7CD038C5" wp14:editId="67DCF51D">
            <wp:extent cx="3473450" cy="2793766"/>
            <wp:effectExtent l="0" t="0" r="0" b="6985"/>
            <wp:docPr id="501262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3"/>
                    <pic:cNvPicPr>
                      <a:picLocks noChangeAspect="1" noChangeArrowheads="1"/>
                    </pic:cNvPicPr>
                  </pic:nvPicPr>
                  <pic:blipFill rotWithShape="1">
                    <a:blip r:embed="rId10">
                      <a:extLst>
                        <a:ext uri="{28A0092B-C50C-407E-A947-70E740481C1C}">
                          <a14:useLocalDpi xmlns:a14="http://schemas.microsoft.com/office/drawing/2010/main" val="0"/>
                        </a:ext>
                      </a:extLst>
                    </a:blip>
                    <a:srcRect l="2327" t="54512" r="59340" b="1612"/>
                    <a:stretch>
                      <a:fillRect/>
                    </a:stretch>
                  </pic:blipFill>
                  <pic:spPr bwMode="auto">
                    <a:xfrm>
                      <a:off x="0" y="0"/>
                      <a:ext cx="3498699" cy="2814074"/>
                    </a:xfrm>
                    <a:prstGeom prst="rect">
                      <a:avLst/>
                    </a:prstGeom>
                    <a:noFill/>
                    <a:ln>
                      <a:noFill/>
                    </a:ln>
                    <a:extLst>
                      <a:ext uri="{53640926-AAD7-44D8-BBD7-CCE9431645EC}">
                        <a14:shadowObscured xmlns:a14="http://schemas.microsoft.com/office/drawing/2010/main"/>
                      </a:ext>
                    </a:extLst>
                  </pic:spPr>
                </pic:pic>
              </a:graphicData>
            </a:graphic>
          </wp:inline>
        </w:drawing>
      </w:r>
    </w:p>
    <w:p w14:paraId="014C28FB" w14:textId="4C7E4CFC" w:rsidR="0012310A" w:rsidRPr="001B0960" w:rsidRDefault="0012310A" w:rsidP="001B0960">
      <w:pPr>
        <w:spacing w:line="360" w:lineRule="auto"/>
        <w:jc w:val="center"/>
        <w:rPr>
          <w:rFonts w:ascii="Times New Roman" w:hAnsi="Times New Roman" w:cs="Times New Roman"/>
          <w:b/>
          <w:bCs/>
          <w:sz w:val="24"/>
          <w:szCs w:val="24"/>
        </w:rPr>
      </w:pPr>
      <w:r w:rsidRPr="001B0960">
        <w:rPr>
          <w:rFonts w:ascii="Times New Roman" w:hAnsi="Times New Roman" w:cs="Times New Roman"/>
          <w:b/>
          <w:bCs/>
          <w:sz w:val="24"/>
          <w:szCs w:val="24"/>
        </w:rPr>
        <w:t>Figure 3.1 The 7Ps Marketing Mix</w:t>
      </w:r>
    </w:p>
    <w:p w14:paraId="0086C11F" w14:textId="5A9B7037" w:rsidR="0012310A" w:rsidRPr="001B0960" w:rsidRDefault="001B0960" w:rsidP="001B096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52255A" w:rsidRPr="0052255A">
        <w:rPr>
          <w:rFonts w:ascii="Times New Roman" w:hAnsi="Times New Roman" w:cs="Times New Roman"/>
          <w:sz w:val="24"/>
          <w:szCs w:val="24"/>
        </w:rPr>
        <w:t>Adapted from Booms and Bitner (1981).</w:t>
      </w:r>
    </w:p>
    <w:p w14:paraId="4CAB6E2B" w14:textId="535DED4F"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3.2 Product </w:t>
      </w:r>
    </w:p>
    <w:p w14:paraId="3C3ABE9C"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is not a furniture retail but a blend of subscription services, repair and refurbishment, buy-back programs and digital booking into a single circular service. Customers have the opportunity to rent furniture, give back the items when they are not in need and buy certified refurbished furniture at a reduced cost. The service innovation enhances product life cycle and minimizes waste and raw material usage. </w:t>
      </w:r>
    </w:p>
    <w:p w14:paraId="229D2DDD" w14:textId="01FE76C0" w:rsidR="003059A5"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In contrast to the traditional furniture retailers that are more interested in ownership,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develops an ongoing communication with the customers based on lifecycle management. But the quality of the products in a multitude of users is operationally difficult and demands efficient refurbishing mechanisms to defend the confidence of the customers. The studies indicate that circular product-service system enhances resource efficiency but is highly reliant on customer trust in product quality and service reliability (Tukker, 2015). The current Buy Back &amp; Resell programme of IKEA is a good starting point to expand this sustainable brand extension based on already developed circular practices (IKEA, 2024).</w:t>
      </w:r>
    </w:p>
    <w:p w14:paraId="4D6ECA00" w14:textId="3B67B686"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3.3 Price </w:t>
      </w:r>
    </w:p>
    <w:p w14:paraId="53FA2556"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implements a tiered monthly subscription model that offers customers with flexible prices depending on the type of furniture and the period of subscription. By providing discounted initial subscription charges, penetration pricing approach may facilitate early </w:t>
      </w:r>
      <w:r w:rsidRPr="0068272F">
        <w:rPr>
          <w:rFonts w:ascii="Times New Roman" w:hAnsi="Times New Roman" w:cs="Times New Roman"/>
          <w:sz w:val="24"/>
          <w:szCs w:val="24"/>
        </w:rPr>
        <w:lastRenderedPageBreak/>
        <w:t xml:space="preserve">adoption of the product because consumers tend to be uncertain about renting furniture. As the demand is growing and more people become aware of it, IKEA should progressively move to value-based pricing, which would indicate the convenience, flexibility as well as environmental benefits provided by the service. </w:t>
      </w:r>
    </w:p>
    <w:p w14:paraId="41EA1391" w14:textId="4BFD6AE1"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Other pricing strategies, like premium pricing, can limit its usage by the IKEA target consumer market of middle-income earners and undermine its affordability image. On the other hand, too low prices might decrease perceived service quality and profitability. Thus, by integrating penetration and value-based pricing, a right balance is generated between the growth in the market and financial sustainability in the long term (Kotler et al., 2024).</w:t>
      </w:r>
    </w:p>
    <w:p w14:paraId="15AC7657" w14:textId="31847786"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3.4 Place </w:t>
      </w:r>
    </w:p>
    <w:p w14:paraId="470F0064"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The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will be based on the omnichannel distribution approach, where the real stores, IKEA web and IKEA mobile apps will be combined. Customers are able to browse products, handle subscriptions, arrange collections and schedule repairs online without losing the showroom experiences in already existing IKEA stores. Reverse logistics are supported with specific collection and refurbishment centres that receive returned furniture and check the quality of the product and resell it or re-subscribe. </w:t>
      </w:r>
    </w:p>
    <w:p w14:paraId="274CF6D3" w14:textId="4EA5BB4B"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The concept of reverse logistics is crucial in the context of business circle models as it allows organisations to reclaim the value of products as well as minimise waste and carbon emissions (</w:t>
      </w:r>
      <w:proofErr w:type="spellStart"/>
      <w:r w:rsidRPr="0068272F">
        <w:rPr>
          <w:rFonts w:ascii="Times New Roman" w:hAnsi="Times New Roman" w:cs="Times New Roman"/>
          <w:sz w:val="24"/>
          <w:szCs w:val="24"/>
        </w:rPr>
        <w:t>Bocken</w:t>
      </w:r>
      <w:proofErr w:type="spellEnd"/>
      <w:r w:rsidRPr="0068272F">
        <w:rPr>
          <w:rFonts w:ascii="Times New Roman" w:hAnsi="Times New Roman" w:cs="Times New Roman"/>
          <w:sz w:val="24"/>
          <w:szCs w:val="24"/>
        </w:rPr>
        <w:t xml:space="preserve"> et al., 2016). The current store network of IKEA is a competitive advantage because it lowers the cost of infrastructure investment as compared to other companies that might venture into the subscription business.</w:t>
      </w:r>
    </w:p>
    <w:p w14:paraId="77C5270B" w14:textId="5C403C0F"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3.5 Promotion </w:t>
      </w:r>
    </w:p>
    <w:p w14:paraId="721D7D4D"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Functional value and environmental impact should be conveyed through promotion. Instagram and TikTok and YouTube campaigns can be used to illustrate actual customer experiences with refurbished furniture and sustainability-oriented influencers can enhance the credibility among younger audiences. Customer testimonials, Before and after refurbishment stories, User-generated content (UGC) increase the perception of authenticity and build brand trust. </w:t>
      </w:r>
    </w:p>
    <w:p w14:paraId="7E04D86B" w14:textId="1AEF8712"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The personalised recommendations, subscription messages and updates on repairs can be delivered through email marketing to keep customers engaged in the product lifecycle. Loyalty members of the IKEA Family might be offered special subscription discounts, which will promote testing and a regular usage. </w:t>
      </w:r>
    </w:p>
    <w:p w14:paraId="6813A0B5" w14:textId="54092608"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lastRenderedPageBreak/>
        <w:t>Green storytelling must be evidence-based and not based on general environmental assertions. It has been shown that consumers are steadily becoming aware of greenwashing and that clear sustainability reporting is a key component in retaining trust (Delmas and Burbano, 2011). Thus, the promotional efforts must be able to explicitly show quantifiable environmental benefits, including waste minimization and longevity of the product, as opposed to merely marketing sustainability as a marketing concept.</w:t>
      </w:r>
    </w:p>
    <w:p w14:paraId="3C04434C" w14:textId="772BD83D"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3.6 People </w:t>
      </w:r>
    </w:p>
    <w:p w14:paraId="1D3B5A88"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The employees are at the heart of the provision of uniform service quality in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Professional repair, trained customer advisors and refurbishment technicians provide products with a high level of safety, functionality and aesthetic appeal during numerous usage cycles. Circular economy principles, customer service and sustainable product management should be the areas of continuous employee training. </w:t>
      </w:r>
    </w:p>
    <w:p w14:paraId="251350A6" w14:textId="7109BA42"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Also, Green Ambassadors will be able to inform the customers about responsible furniture usage, maintenance and recycling possibilities. Professionally trained employees enhance customer trust and minimize service outages. The theory of service marketing suggests that employee competence has a direct impact on customer satisfaction and service perceived quality (Zeithaml, Bitner and Gremler, 2021). Therefore, investing in the ability of the employees turns into a strategic competitive edge instead of just an operational need. </w:t>
      </w:r>
    </w:p>
    <w:p w14:paraId="06379B16" w14:textId="0FCF76F5"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3.7 Process </w:t>
      </w:r>
    </w:p>
    <w:p w14:paraId="43E6ACF0"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Customer journey has to be easy, convenient and digitized. The customers start with picking the furniture using the IKEA site or the mobile app and then choose a suitable subscription package. Online delivery is provided and digital accounts provide the customer with the opportunity to make an arrangement of a repair, exchange or a product return, where it is needed. </w:t>
      </w:r>
    </w:p>
    <w:p w14:paraId="2AF48236"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Furniture is returned and inspected, refurbished and quality checked and re-introduced into the system. Through digital tracking, customers can be updated on the real time progress and this enhances transparency and minimizes uncertainty during the service process. </w:t>
      </w:r>
    </w:p>
    <w:p w14:paraId="75CEA4F5" w14:textId="038546A9"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Circular business models in particular require efficient processes as delays in services can adversely affect customer satisfaction even in the case of good environmental performance. As such, IKEA has to strike a balance between operational efficiency and product quality to make </w:t>
      </w:r>
      <w:r w:rsidRPr="0068272F">
        <w:rPr>
          <w:rFonts w:ascii="Times New Roman" w:hAnsi="Times New Roman" w:cs="Times New Roman"/>
          <w:sz w:val="24"/>
          <w:szCs w:val="24"/>
        </w:rPr>
        <w:lastRenderedPageBreak/>
        <w:t>sure that it can offer sustainable service delivery without violating the convenience that customers have been accustomed to with digital subscription services.</w:t>
      </w:r>
    </w:p>
    <w:p w14:paraId="4A734CEF" w14:textId="1987477F"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3.8 Physical Evidence </w:t>
      </w:r>
    </w:p>
    <w:p w14:paraId="01944294"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Physical evidence supports the reality of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in the sense that the sustainability is apparent throughout the customer experience. Specialized repair shops, distinctly marked refurbishment </w:t>
      </w:r>
      <w:proofErr w:type="spellStart"/>
      <w:r w:rsidRPr="0068272F">
        <w:rPr>
          <w:rFonts w:ascii="Times New Roman" w:hAnsi="Times New Roman" w:cs="Times New Roman"/>
          <w:sz w:val="24"/>
          <w:szCs w:val="24"/>
        </w:rPr>
        <w:t>centers</w:t>
      </w:r>
      <w:proofErr w:type="spellEnd"/>
      <w:r w:rsidRPr="0068272F">
        <w:rPr>
          <w:rFonts w:ascii="Times New Roman" w:hAnsi="Times New Roman" w:cs="Times New Roman"/>
          <w:sz w:val="24"/>
          <w:szCs w:val="24"/>
        </w:rPr>
        <w:t xml:space="preserve"> and even retail stores that have been created in a manner that is environmentally friendly show that IKEA is serious about its circular business model. Reusable packaging also helps mitigate waste, and enhances alignment with sustainability goals of the brand. </w:t>
      </w:r>
    </w:p>
    <w:p w14:paraId="161B5640"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Refurbished furniture can be proved through digital certificates that can check the product inspection process, the history of repairs and the environmental savings that the reuse of the product has brought about. The IKEA web-page shows customer reviews which also gives extra confidence as to the quality of the service and quality of the products. </w:t>
      </w:r>
    </w:p>
    <w:p w14:paraId="35921104" w14:textId="2FCAE762"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Evidence that is visible is especially valuable, as the customer is not able to assess the service quality completely before a purchase. Concrete signals thus diminish the perceived risk and enhance consumer trust (Zeithaml, Bitner and Gremler, 2021). All these physical aspects help make sustainability a realistic experience, rather than an abstract notion, and make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stand out among traditional furniture stores.</w:t>
      </w:r>
    </w:p>
    <w:p w14:paraId="629E035F" w14:textId="6C773DFD" w:rsidR="0012310A" w:rsidRPr="003059A5" w:rsidRDefault="0012310A" w:rsidP="003059A5">
      <w:pPr>
        <w:pStyle w:val="Heading1"/>
        <w:rPr>
          <w:rFonts w:ascii="Times New Roman" w:hAnsi="Times New Roman" w:cs="Times New Roman"/>
          <w:b/>
          <w:bCs/>
          <w:color w:val="auto"/>
          <w:sz w:val="28"/>
          <w:szCs w:val="28"/>
        </w:rPr>
      </w:pPr>
      <w:bookmarkStart w:id="4" w:name="_Toc236233192"/>
      <w:r w:rsidRPr="003059A5">
        <w:rPr>
          <w:rFonts w:ascii="Times New Roman" w:hAnsi="Times New Roman" w:cs="Times New Roman"/>
          <w:b/>
          <w:bCs/>
          <w:color w:val="auto"/>
          <w:sz w:val="28"/>
          <w:szCs w:val="28"/>
        </w:rPr>
        <w:t>Element 4: Reflection</w:t>
      </w:r>
      <w:bookmarkEnd w:id="4"/>
      <w:r w:rsidRPr="003059A5">
        <w:rPr>
          <w:rFonts w:ascii="Times New Roman" w:hAnsi="Times New Roman" w:cs="Times New Roman"/>
          <w:b/>
          <w:bCs/>
          <w:color w:val="auto"/>
          <w:sz w:val="28"/>
          <w:szCs w:val="28"/>
        </w:rPr>
        <w:t xml:space="preserve"> </w:t>
      </w:r>
    </w:p>
    <w:p w14:paraId="4C8B06B8" w14:textId="02C4D9FA" w:rsidR="0012310A" w:rsidRPr="0068272F" w:rsidRDefault="0012310A" w:rsidP="0068272F">
      <w:pPr>
        <w:spacing w:line="360" w:lineRule="auto"/>
        <w:jc w:val="both"/>
        <w:rPr>
          <w:rFonts w:ascii="Times New Roman" w:hAnsi="Times New Roman" w:cs="Times New Roman"/>
          <w:sz w:val="24"/>
          <w:szCs w:val="24"/>
        </w:rPr>
      </w:pPr>
      <w:r w:rsidRPr="0068272F">
        <w:rPr>
          <w:rFonts w:ascii="Times New Roman" w:hAnsi="Times New Roman" w:cs="Times New Roman"/>
          <w:b/>
          <w:bCs/>
          <w:sz w:val="24"/>
          <w:szCs w:val="24"/>
        </w:rPr>
        <w:t>Model Used:</w:t>
      </w:r>
      <w:r w:rsidRPr="0068272F">
        <w:rPr>
          <w:rFonts w:ascii="Times New Roman" w:hAnsi="Times New Roman" w:cs="Times New Roman"/>
          <w:sz w:val="24"/>
          <w:szCs w:val="24"/>
        </w:rPr>
        <w:t xml:space="preserve"> </w:t>
      </w:r>
      <w:r w:rsidRPr="0068272F">
        <w:rPr>
          <w:rFonts w:ascii="Times New Roman" w:hAnsi="Times New Roman" w:cs="Times New Roman"/>
          <w:b/>
          <w:bCs/>
          <w:sz w:val="24"/>
          <w:szCs w:val="24"/>
        </w:rPr>
        <w:t>Gibbs Reflective Cycle (1988)</w:t>
      </w:r>
    </w:p>
    <w:p w14:paraId="0C8DABFF" w14:textId="50038438"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4.1 Description </w:t>
      </w:r>
    </w:p>
    <w:p w14:paraId="3BB20FA4" w14:textId="77777777" w:rsid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The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sustainable brand extension dealt me with the challenge of implementing marketing theories in a practical business environment as opposed to merely illustrating the theoretical concepts in books. I created a circular furniture subscription service which integrates repair, refurbishment and buy-back plans with the current sustainability plan of IKEA. The project challenged me to combine STDP and the 7Ps into a single consistent marketing plan taking into consideration customer expectations, competition and environmental responsibility. </w:t>
      </w:r>
    </w:p>
    <w:p w14:paraId="162AFE99" w14:textId="77777777" w:rsidR="003059A5" w:rsidRDefault="003059A5" w:rsidP="0068272F">
      <w:pPr>
        <w:spacing w:line="360" w:lineRule="auto"/>
        <w:jc w:val="both"/>
        <w:rPr>
          <w:rFonts w:ascii="Times New Roman" w:hAnsi="Times New Roman" w:cs="Times New Roman"/>
          <w:sz w:val="24"/>
          <w:szCs w:val="24"/>
        </w:rPr>
      </w:pPr>
    </w:p>
    <w:p w14:paraId="67732486" w14:textId="77777777" w:rsidR="003059A5" w:rsidRPr="0068272F" w:rsidRDefault="003059A5" w:rsidP="0068272F">
      <w:pPr>
        <w:spacing w:line="360" w:lineRule="auto"/>
        <w:jc w:val="both"/>
        <w:rPr>
          <w:rFonts w:ascii="Times New Roman" w:hAnsi="Times New Roman" w:cs="Times New Roman"/>
          <w:sz w:val="24"/>
          <w:szCs w:val="24"/>
        </w:rPr>
      </w:pPr>
    </w:p>
    <w:p w14:paraId="61E357DB" w14:textId="5BBEA44D"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lastRenderedPageBreak/>
        <w:t xml:space="preserve">4.2 Feelings </w:t>
      </w:r>
    </w:p>
    <w:p w14:paraId="5882D6A4"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Initially, it was challenging to balance sustainability and commercial targets at the start of the project since the two need varying strategic priorities. First, I was more concerned with environmental benefits rather than with customer value. The more I read about the literature and circular business initiatives by IKEA, the more I felt confident in striking the right balance between business and sustainability. This enhanced my belief in using marketing frameworks to resolve practical business problems.</w:t>
      </w:r>
    </w:p>
    <w:p w14:paraId="53F9B704" w14:textId="78D9D9BB"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4.3 Evaluation </w:t>
      </w:r>
    </w:p>
    <w:p w14:paraId="6CA88360"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Critical evaluation of marketing decisions rather than using descriptive explanations was one of the strongest points in this project. The creation of IKEA renew raised my awareness on how segmentation, targeting and positioning affect the strategic decision-making process. The use of the 7Ps also illustrated the role of service innovation that relies on value creation along the customer experience as opposed to focusing on the product attributes (Kotler et al., 2024). </w:t>
      </w:r>
    </w:p>
    <w:p w14:paraId="5E909C9F" w14:textId="77777777" w:rsidR="003059A5" w:rsidRDefault="0068272F"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sz w:val="24"/>
          <w:szCs w:val="24"/>
        </w:rPr>
        <w:t>But I realised a few constraints as well. The assumption was used to predict customer reception of furniture subscription services due to the ever-changing consumer preferences. Moreover, the need to balance affordability with operational costs also revealed the practicability of the issues organisations may have when operating circular business models. These shortcomings cemented the need to back up strategic advice using plausible scholarly sources and industry statistics</w:t>
      </w:r>
      <w:r w:rsidRPr="003059A5">
        <w:rPr>
          <w:rFonts w:ascii="Times New Roman" w:hAnsi="Times New Roman" w:cs="Times New Roman"/>
          <w:sz w:val="24"/>
          <w:szCs w:val="24"/>
        </w:rPr>
        <w:t>.</w:t>
      </w:r>
      <w:r w:rsidR="002B0A74" w:rsidRPr="003059A5">
        <w:t xml:space="preserve"> </w:t>
      </w:r>
      <w:r w:rsidR="003059A5" w:rsidRPr="003059A5">
        <w:rPr>
          <w:rFonts w:ascii="Times New Roman" w:hAnsi="Times New Roman" w:cs="Times New Roman"/>
          <w:sz w:val="24"/>
          <w:szCs w:val="24"/>
        </w:rPr>
        <w:t>It is a drawback of this project because it relies primarily on the secondary research. Primary research like surveys to customers would be more credible to substantiate the proposed marketing strategy.</w:t>
      </w:r>
    </w:p>
    <w:p w14:paraId="3CC92A08" w14:textId="3FE2101A"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4.4 Analysis </w:t>
      </w:r>
    </w:p>
    <w:p w14:paraId="118B9E30" w14:textId="77777777"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This project was a great reinforcement of my knowledge on sustainable marketing and brand development. I perceived sustainability as a corporate responsibility program before doing the assignment. By creating IKEA </w:t>
      </w:r>
      <w:proofErr w:type="spellStart"/>
      <w:r w:rsidRPr="0068272F">
        <w:rPr>
          <w:rFonts w:ascii="Times New Roman" w:hAnsi="Times New Roman" w:cs="Times New Roman"/>
          <w:sz w:val="24"/>
          <w:szCs w:val="24"/>
        </w:rPr>
        <w:t>ReNew</w:t>
      </w:r>
      <w:proofErr w:type="spellEnd"/>
      <w:r w:rsidRPr="0068272F">
        <w:rPr>
          <w:rFonts w:ascii="Times New Roman" w:hAnsi="Times New Roman" w:cs="Times New Roman"/>
          <w:sz w:val="24"/>
          <w:szCs w:val="24"/>
        </w:rPr>
        <w:t xml:space="preserve">, I understood that sustainability could also become a competitive advantage, in case it was incorporated into the main business model. This viewpoint is based on the current research stating that the idea of a circular economy generates environmental and business value through product life extension and resource efficiency (Tukker, Arnold, 2015). </w:t>
      </w:r>
    </w:p>
    <w:p w14:paraId="1D0FF3C2" w14:textId="717F7842"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 xml:space="preserve">My understanding of changing consumer behaviour was also enhanced by the project. Convenience, flexibility and environmental impact and price are all elements of the purchasing </w:t>
      </w:r>
      <w:r w:rsidRPr="0068272F">
        <w:rPr>
          <w:rFonts w:ascii="Times New Roman" w:hAnsi="Times New Roman" w:cs="Times New Roman"/>
          <w:sz w:val="24"/>
          <w:szCs w:val="24"/>
        </w:rPr>
        <w:lastRenderedPageBreak/>
        <w:t>decision that are taken more and more into account by modern customers. Moreover, the competition analysis showed that to build the successful brand extension, clear differentiation is needed other than just launching new products. Altogether, the assignment developed my strategic thinking as it prompted me to consider various options prior to making appropriate marketing decisions with the support of theory and evidence.</w:t>
      </w:r>
      <w:r w:rsidR="002B0A74" w:rsidRPr="002B0A74">
        <w:t xml:space="preserve"> </w:t>
      </w:r>
      <w:r w:rsidR="003059A5" w:rsidRPr="003059A5">
        <w:rPr>
          <w:rFonts w:ascii="Times New Roman" w:hAnsi="Times New Roman" w:cs="Times New Roman"/>
          <w:sz w:val="24"/>
          <w:szCs w:val="24"/>
        </w:rPr>
        <w:t>Furthermore, implementing a furniture subscription model may increase operational costs due to repair, refurbishment and logistics. Thus, IKEA needs to strike the balance between sustainability and operational efficiency.</w:t>
      </w:r>
    </w:p>
    <w:p w14:paraId="616E2104" w14:textId="5B0655A1"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4.5 Conclusion </w:t>
      </w:r>
    </w:p>
    <w:p w14:paraId="625D356D" w14:textId="6E2EEB34" w:rsidR="0068272F" w:rsidRPr="0068272F" w:rsidRDefault="0068272F" w:rsidP="0068272F">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This assignment has empowered me academically and in my career. My new insights into sustainable brand management, service marketing and strategic planning have improved. More to the point, I have learned to be more confident in using marketing theories in real business contexts and to critically assess the alternative solutions rather than mindlessly accept them.</w:t>
      </w:r>
      <w:r w:rsidR="002B0A74" w:rsidRPr="002B0A74">
        <w:t xml:space="preserve"> </w:t>
      </w:r>
      <w:r w:rsidR="003059A5" w:rsidRPr="003059A5">
        <w:rPr>
          <w:rFonts w:ascii="Times New Roman" w:hAnsi="Times New Roman" w:cs="Times New Roman"/>
          <w:sz w:val="24"/>
          <w:szCs w:val="24"/>
        </w:rPr>
        <w:t>On the whole, this project helped me understand how to use marketing theories in a critical way and emphasize the necessity to support the recommendations with credible evidence.</w:t>
      </w:r>
    </w:p>
    <w:p w14:paraId="3C830415" w14:textId="0CD1A96B" w:rsidR="0012310A" w:rsidRPr="0068272F" w:rsidRDefault="0012310A" w:rsidP="0068272F">
      <w:pPr>
        <w:spacing w:line="360" w:lineRule="auto"/>
        <w:jc w:val="both"/>
        <w:rPr>
          <w:rFonts w:ascii="Times New Roman" w:hAnsi="Times New Roman" w:cs="Times New Roman"/>
          <w:b/>
          <w:bCs/>
          <w:sz w:val="24"/>
          <w:szCs w:val="24"/>
        </w:rPr>
      </w:pPr>
      <w:r w:rsidRPr="0068272F">
        <w:rPr>
          <w:rFonts w:ascii="Times New Roman" w:hAnsi="Times New Roman" w:cs="Times New Roman"/>
          <w:b/>
          <w:bCs/>
          <w:sz w:val="24"/>
          <w:szCs w:val="24"/>
        </w:rPr>
        <w:t xml:space="preserve">4.6 Action Plan </w:t>
      </w:r>
    </w:p>
    <w:p w14:paraId="59A3CB54" w14:textId="77777777" w:rsidR="00C534D6" w:rsidRDefault="0068272F" w:rsidP="00C534D6">
      <w:pPr>
        <w:spacing w:line="360" w:lineRule="auto"/>
        <w:jc w:val="both"/>
        <w:rPr>
          <w:rFonts w:ascii="Times New Roman" w:hAnsi="Times New Roman" w:cs="Times New Roman"/>
          <w:sz w:val="24"/>
          <w:szCs w:val="24"/>
        </w:rPr>
      </w:pPr>
      <w:r w:rsidRPr="0068272F">
        <w:rPr>
          <w:rFonts w:ascii="Times New Roman" w:hAnsi="Times New Roman" w:cs="Times New Roman"/>
          <w:sz w:val="24"/>
          <w:szCs w:val="24"/>
        </w:rPr>
        <w:t>When conducting future projects, I will use more industry reports and consumer data to make strategic recommendations to enhance my market research ability. I also intend to enhance my presentation and data visualisation abilities to convey marketing strategies better. These advancements will enhance my future profession since I will be able to create evidence-based marketing initiatives that will build up not only commercial success but sustainable value.</w:t>
      </w:r>
      <w:r w:rsidR="002B0A74" w:rsidRPr="002B0A74">
        <w:rPr>
          <w:rFonts w:ascii="Times New Roman" w:eastAsia="Times New Roman" w:hAnsi="Times New Roman" w:cs="Times New Roman"/>
          <w:kern w:val="0"/>
          <w:sz w:val="24"/>
          <w:szCs w:val="24"/>
          <w:lang w:eastAsia="en-IN"/>
          <w14:ligatures w14:val="none"/>
        </w:rPr>
        <w:t xml:space="preserve"> </w:t>
      </w:r>
      <w:r w:rsidR="003059A5" w:rsidRPr="003059A5">
        <w:rPr>
          <w:rFonts w:ascii="Times New Roman" w:hAnsi="Times New Roman" w:cs="Times New Roman"/>
          <w:sz w:val="24"/>
          <w:szCs w:val="24"/>
        </w:rPr>
        <w:t>In subsequent projects, I will use secondary research and primary data to come up with more evidence-based and reliable marketing recommendations.</w:t>
      </w:r>
    </w:p>
    <w:p w14:paraId="3ECB0B44" w14:textId="6813C61A" w:rsidR="002B0A74" w:rsidRPr="00C534D6" w:rsidRDefault="002B0A74" w:rsidP="00C534D6">
      <w:pPr>
        <w:pStyle w:val="Heading1"/>
        <w:rPr>
          <w:rFonts w:ascii="Times New Roman" w:hAnsi="Times New Roman" w:cs="Times New Roman"/>
          <w:b/>
          <w:bCs/>
          <w:color w:val="auto"/>
          <w:sz w:val="28"/>
          <w:szCs w:val="28"/>
        </w:rPr>
      </w:pPr>
      <w:r w:rsidRPr="00C534D6">
        <w:rPr>
          <w:rFonts w:ascii="Times New Roman" w:hAnsi="Times New Roman" w:cs="Times New Roman"/>
          <w:b/>
          <w:bCs/>
          <w:color w:val="auto"/>
          <w:sz w:val="28"/>
          <w:szCs w:val="28"/>
        </w:rPr>
        <w:t xml:space="preserve"> </w:t>
      </w:r>
      <w:bookmarkStart w:id="5" w:name="_Toc236233193"/>
      <w:r w:rsidRPr="00C534D6">
        <w:rPr>
          <w:rFonts w:ascii="Times New Roman" w:hAnsi="Times New Roman" w:cs="Times New Roman"/>
          <w:b/>
          <w:bCs/>
          <w:color w:val="auto"/>
          <w:sz w:val="28"/>
          <w:szCs w:val="28"/>
        </w:rPr>
        <w:t>Overall Conclusion</w:t>
      </w:r>
      <w:bookmarkEnd w:id="5"/>
    </w:p>
    <w:p w14:paraId="45EAEA33" w14:textId="2826A79D" w:rsidR="002B0A74" w:rsidRPr="003059A5" w:rsidRDefault="003059A5" w:rsidP="003059A5">
      <w:pPr>
        <w:spacing w:line="360" w:lineRule="auto"/>
        <w:jc w:val="both"/>
        <w:rPr>
          <w:rFonts w:ascii="Times New Roman" w:hAnsi="Times New Roman" w:cs="Times New Roman"/>
          <w:sz w:val="24"/>
          <w:szCs w:val="24"/>
        </w:rPr>
      </w:pPr>
      <w:r w:rsidRPr="003059A5">
        <w:rPr>
          <w:rFonts w:ascii="Times New Roman" w:hAnsi="Times New Roman" w:cs="Times New Roman"/>
          <w:sz w:val="24"/>
          <w:szCs w:val="24"/>
        </w:rPr>
        <w:t xml:space="preserve">The IKEA </w:t>
      </w:r>
      <w:proofErr w:type="spellStart"/>
      <w:r w:rsidRPr="003059A5">
        <w:rPr>
          <w:rFonts w:ascii="Times New Roman" w:hAnsi="Times New Roman" w:cs="Times New Roman"/>
          <w:sz w:val="24"/>
          <w:szCs w:val="24"/>
        </w:rPr>
        <w:t>ReNew</w:t>
      </w:r>
      <w:proofErr w:type="spellEnd"/>
      <w:r w:rsidRPr="003059A5">
        <w:rPr>
          <w:rFonts w:ascii="Times New Roman" w:hAnsi="Times New Roman" w:cs="Times New Roman"/>
          <w:sz w:val="24"/>
          <w:szCs w:val="24"/>
        </w:rPr>
        <w:t xml:space="preserve"> sustainable brand extension proposed can illustrate how IKEA can enhance its position in the market with the combination of affinity, innovation, and sustainability within a circular business model. By implementing the use of STDP and the 7Ps marketing mix, the proposal has outlined a very clear target market and strategies that generate customer value and advantages the environmental aspirations of IKEA. Combining furniture subscription, repair, refurbishment and buy-back services is a differentiator between IKEA </w:t>
      </w:r>
      <w:proofErr w:type="spellStart"/>
      <w:r w:rsidRPr="003059A5">
        <w:rPr>
          <w:rFonts w:ascii="Times New Roman" w:hAnsi="Times New Roman" w:cs="Times New Roman"/>
          <w:sz w:val="24"/>
          <w:szCs w:val="24"/>
        </w:rPr>
        <w:t>ReNew</w:t>
      </w:r>
      <w:proofErr w:type="spellEnd"/>
      <w:r w:rsidRPr="003059A5">
        <w:rPr>
          <w:rFonts w:ascii="Times New Roman" w:hAnsi="Times New Roman" w:cs="Times New Roman"/>
          <w:sz w:val="24"/>
          <w:szCs w:val="24"/>
        </w:rPr>
        <w:t xml:space="preserve"> and traditional furniture retailers and helps to build long-term relationships with customers. In general, the </w:t>
      </w:r>
      <w:r w:rsidRPr="003059A5">
        <w:rPr>
          <w:rFonts w:ascii="Times New Roman" w:hAnsi="Times New Roman" w:cs="Times New Roman"/>
          <w:sz w:val="24"/>
          <w:szCs w:val="24"/>
        </w:rPr>
        <w:lastRenderedPageBreak/>
        <w:t>proposal demonstrates that sustainable marketing can be used to create competitive advantage, build brand loyalty and contribute to business expansion over the long term and a more resource-efficient and circular economy.</w:t>
      </w:r>
    </w:p>
    <w:p w14:paraId="48BF3AEC" w14:textId="77777777" w:rsidR="001B0960" w:rsidRDefault="001B0960" w:rsidP="0068272F">
      <w:pPr>
        <w:spacing w:line="360" w:lineRule="auto"/>
        <w:jc w:val="both"/>
        <w:rPr>
          <w:rFonts w:ascii="Times New Roman" w:hAnsi="Times New Roman" w:cs="Times New Roman"/>
          <w:sz w:val="24"/>
          <w:szCs w:val="24"/>
        </w:rPr>
      </w:pPr>
    </w:p>
    <w:p w14:paraId="1E9BB179" w14:textId="77777777" w:rsidR="001B0960" w:rsidRDefault="001B0960" w:rsidP="0068272F">
      <w:pPr>
        <w:spacing w:line="360" w:lineRule="auto"/>
        <w:jc w:val="both"/>
        <w:rPr>
          <w:rFonts w:ascii="Times New Roman" w:hAnsi="Times New Roman" w:cs="Times New Roman"/>
          <w:sz w:val="24"/>
          <w:szCs w:val="24"/>
        </w:rPr>
      </w:pPr>
    </w:p>
    <w:p w14:paraId="11E82D5A" w14:textId="77777777" w:rsidR="001B0960" w:rsidRDefault="001B0960" w:rsidP="0068272F">
      <w:pPr>
        <w:spacing w:line="360" w:lineRule="auto"/>
        <w:jc w:val="both"/>
        <w:rPr>
          <w:rFonts w:ascii="Times New Roman" w:hAnsi="Times New Roman" w:cs="Times New Roman"/>
          <w:sz w:val="24"/>
          <w:szCs w:val="24"/>
        </w:rPr>
      </w:pPr>
    </w:p>
    <w:p w14:paraId="64D330C8" w14:textId="77777777" w:rsidR="001B0960" w:rsidRDefault="001B0960" w:rsidP="0068272F">
      <w:pPr>
        <w:spacing w:line="360" w:lineRule="auto"/>
        <w:jc w:val="both"/>
        <w:rPr>
          <w:rFonts w:ascii="Times New Roman" w:hAnsi="Times New Roman" w:cs="Times New Roman"/>
          <w:sz w:val="24"/>
          <w:szCs w:val="24"/>
        </w:rPr>
      </w:pPr>
    </w:p>
    <w:p w14:paraId="3A1AA84D" w14:textId="77777777" w:rsidR="001B0960" w:rsidRDefault="001B0960" w:rsidP="0068272F">
      <w:pPr>
        <w:spacing w:line="360" w:lineRule="auto"/>
        <w:jc w:val="both"/>
        <w:rPr>
          <w:rFonts w:ascii="Times New Roman" w:hAnsi="Times New Roman" w:cs="Times New Roman"/>
          <w:sz w:val="24"/>
          <w:szCs w:val="24"/>
        </w:rPr>
      </w:pPr>
    </w:p>
    <w:p w14:paraId="3365A221" w14:textId="77777777" w:rsidR="001B0960" w:rsidRDefault="001B0960" w:rsidP="0068272F">
      <w:pPr>
        <w:spacing w:line="360" w:lineRule="auto"/>
        <w:jc w:val="both"/>
        <w:rPr>
          <w:rFonts w:ascii="Times New Roman" w:hAnsi="Times New Roman" w:cs="Times New Roman"/>
          <w:sz w:val="24"/>
          <w:szCs w:val="24"/>
        </w:rPr>
      </w:pPr>
    </w:p>
    <w:p w14:paraId="53150B40" w14:textId="77777777" w:rsidR="001B0960" w:rsidRDefault="001B0960" w:rsidP="0068272F">
      <w:pPr>
        <w:spacing w:line="360" w:lineRule="auto"/>
        <w:jc w:val="both"/>
        <w:rPr>
          <w:rFonts w:ascii="Times New Roman" w:hAnsi="Times New Roman" w:cs="Times New Roman"/>
          <w:sz w:val="24"/>
          <w:szCs w:val="24"/>
        </w:rPr>
      </w:pPr>
    </w:p>
    <w:p w14:paraId="43ACF0FB" w14:textId="77777777" w:rsidR="001B0960" w:rsidRDefault="001B0960" w:rsidP="0068272F">
      <w:pPr>
        <w:spacing w:line="360" w:lineRule="auto"/>
        <w:jc w:val="both"/>
        <w:rPr>
          <w:rFonts w:ascii="Times New Roman" w:hAnsi="Times New Roman" w:cs="Times New Roman"/>
          <w:sz w:val="24"/>
          <w:szCs w:val="24"/>
        </w:rPr>
      </w:pPr>
    </w:p>
    <w:p w14:paraId="59504AFF" w14:textId="77777777" w:rsidR="001B0960" w:rsidRDefault="001B0960" w:rsidP="0068272F">
      <w:pPr>
        <w:spacing w:line="360" w:lineRule="auto"/>
        <w:jc w:val="both"/>
        <w:rPr>
          <w:rFonts w:ascii="Times New Roman" w:hAnsi="Times New Roman" w:cs="Times New Roman"/>
          <w:sz w:val="24"/>
          <w:szCs w:val="24"/>
        </w:rPr>
      </w:pPr>
    </w:p>
    <w:p w14:paraId="75FB19B6" w14:textId="77777777" w:rsidR="003059A5" w:rsidRDefault="003059A5" w:rsidP="0068272F">
      <w:pPr>
        <w:spacing w:line="360" w:lineRule="auto"/>
        <w:jc w:val="both"/>
        <w:rPr>
          <w:rFonts w:ascii="Times New Roman" w:hAnsi="Times New Roman" w:cs="Times New Roman"/>
          <w:sz w:val="24"/>
          <w:szCs w:val="24"/>
        </w:rPr>
      </w:pPr>
    </w:p>
    <w:p w14:paraId="1B6CE520" w14:textId="77777777" w:rsidR="003059A5" w:rsidRDefault="003059A5" w:rsidP="0068272F">
      <w:pPr>
        <w:spacing w:line="360" w:lineRule="auto"/>
        <w:jc w:val="both"/>
        <w:rPr>
          <w:rFonts w:ascii="Times New Roman" w:hAnsi="Times New Roman" w:cs="Times New Roman"/>
          <w:sz w:val="24"/>
          <w:szCs w:val="24"/>
        </w:rPr>
      </w:pPr>
    </w:p>
    <w:p w14:paraId="53FBAE6A" w14:textId="77777777" w:rsidR="003059A5" w:rsidRDefault="003059A5" w:rsidP="0068272F">
      <w:pPr>
        <w:spacing w:line="360" w:lineRule="auto"/>
        <w:jc w:val="both"/>
        <w:rPr>
          <w:rFonts w:ascii="Times New Roman" w:hAnsi="Times New Roman" w:cs="Times New Roman"/>
          <w:sz w:val="24"/>
          <w:szCs w:val="24"/>
        </w:rPr>
      </w:pPr>
    </w:p>
    <w:p w14:paraId="4D38D2D6" w14:textId="77777777" w:rsidR="003059A5" w:rsidRDefault="003059A5" w:rsidP="0068272F">
      <w:pPr>
        <w:spacing w:line="360" w:lineRule="auto"/>
        <w:jc w:val="both"/>
        <w:rPr>
          <w:rFonts w:ascii="Times New Roman" w:hAnsi="Times New Roman" w:cs="Times New Roman"/>
          <w:sz w:val="24"/>
          <w:szCs w:val="24"/>
        </w:rPr>
      </w:pPr>
    </w:p>
    <w:p w14:paraId="6892E013" w14:textId="77777777" w:rsidR="003059A5" w:rsidRDefault="003059A5" w:rsidP="0068272F">
      <w:pPr>
        <w:spacing w:line="360" w:lineRule="auto"/>
        <w:jc w:val="both"/>
        <w:rPr>
          <w:rFonts w:ascii="Times New Roman" w:hAnsi="Times New Roman" w:cs="Times New Roman"/>
          <w:sz w:val="24"/>
          <w:szCs w:val="24"/>
        </w:rPr>
      </w:pPr>
    </w:p>
    <w:p w14:paraId="714AFA0D" w14:textId="77777777" w:rsidR="003059A5" w:rsidRDefault="003059A5" w:rsidP="0068272F">
      <w:pPr>
        <w:spacing w:line="360" w:lineRule="auto"/>
        <w:jc w:val="both"/>
        <w:rPr>
          <w:rFonts w:ascii="Times New Roman" w:hAnsi="Times New Roman" w:cs="Times New Roman"/>
          <w:sz w:val="24"/>
          <w:szCs w:val="24"/>
        </w:rPr>
      </w:pPr>
    </w:p>
    <w:p w14:paraId="7B2B9327" w14:textId="77777777" w:rsidR="003059A5" w:rsidRDefault="003059A5" w:rsidP="0068272F">
      <w:pPr>
        <w:spacing w:line="360" w:lineRule="auto"/>
        <w:jc w:val="both"/>
        <w:rPr>
          <w:rFonts w:ascii="Times New Roman" w:hAnsi="Times New Roman" w:cs="Times New Roman"/>
          <w:sz w:val="24"/>
          <w:szCs w:val="24"/>
        </w:rPr>
      </w:pPr>
    </w:p>
    <w:p w14:paraId="4A3417AC" w14:textId="77777777" w:rsidR="003059A5" w:rsidRDefault="003059A5" w:rsidP="0068272F">
      <w:pPr>
        <w:spacing w:line="360" w:lineRule="auto"/>
        <w:jc w:val="both"/>
        <w:rPr>
          <w:rFonts w:ascii="Times New Roman" w:hAnsi="Times New Roman" w:cs="Times New Roman"/>
          <w:sz w:val="24"/>
          <w:szCs w:val="24"/>
        </w:rPr>
      </w:pPr>
    </w:p>
    <w:p w14:paraId="128C2A4E" w14:textId="77777777" w:rsidR="003059A5" w:rsidRDefault="003059A5" w:rsidP="0068272F">
      <w:pPr>
        <w:spacing w:line="360" w:lineRule="auto"/>
        <w:jc w:val="both"/>
        <w:rPr>
          <w:rFonts w:ascii="Times New Roman" w:hAnsi="Times New Roman" w:cs="Times New Roman"/>
          <w:sz w:val="24"/>
          <w:szCs w:val="24"/>
        </w:rPr>
      </w:pPr>
    </w:p>
    <w:p w14:paraId="73A64446" w14:textId="77777777" w:rsidR="003059A5" w:rsidRDefault="003059A5" w:rsidP="0068272F">
      <w:pPr>
        <w:spacing w:line="360" w:lineRule="auto"/>
        <w:jc w:val="both"/>
        <w:rPr>
          <w:rFonts w:ascii="Times New Roman" w:hAnsi="Times New Roman" w:cs="Times New Roman"/>
          <w:sz w:val="24"/>
          <w:szCs w:val="24"/>
        </w:rPr>
      </w:pPr>
    </w:p>
    <w:p w14:paraId="369374E5" w14:textId="77777777" w:rsidR="001B0960" w:rsidRPr="0068272F" w:rsidRDefault="001B0960" w:rsidP="0068272F">
      <w:pPr>
        <w:spacing w:line="360" w:lineRule="auto"/>
        <w:jc w:val="both"/>
        <w:rPr>
          <w:rFonts w:ascii="Times New Roman" w:hAnsi="Times New Roman" w:cs="Times New Roman"/>
          <w:sz w:val="24"/>
          <w:szCs w:val="24"/>
        </w:rPr>
      </w:pPr>
    </w:p>
    <w:p w14:paraId="448BD9CB" w14:textId="77777777" w:rsidR="001B0960" w:rsidRPr="001B0960" w:rsidRDefault="001B0960" w:rsidP="001B0960">
      <w:pPr>
        <w:pStyle w:val="Heading1"/>
        <w:rPr>
          <w:rFonts w:ascii="Times New Roman" w:hAnsi="Times New Roman" w:cs="Times New Roman"/>
          <w:b/>
          <w:bCs/>
          <w:color w:val="auto"/>
          <w:sz w:val="28"/>
          <w:szCs w:val="28"/>
        </w:rPr>
      </w:pPr>
      <w:bookmarkStart w:id="6" w:name="_Toc236233194"/>
      <w:r w:rsidRPr="001B0960">
        <w:rPr>
          <w:rFonts w:ascii="Times New Roman" w:hAnsi="Times New Roman" w:cs="Times New Roman"/>
          <w:b/>
          <w:bCs/>
          <w:color w:val="auto"/>
          <w:sz w:val="28"/>
          <w:szCs w:val="28"/>
        </w:rPr>
        <w:lastRenderedPageBreak/>
        <w:t>References</w:t>
      </w:r>
      <w:bookmarkEnd w:id="6"/>
    </w:p>
    <w:p w14:paraId="442F19E9"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Booms, B.H. and Bitner, M.J. (1981) ‘Marketing strategies and organisation structures for service firms’, in Donnelly, J.H. and George, W.R. (eds.) </w:t>
      </w:r>
      <w:r w:rsidRPr="001B0960">
        <w:rPr>
          <w:rFonts w:ascii="Times New Roman" w:hAnsi="Times New Roman" w:cs="Times New Roman"/>
          <w:i/>
          <w:iCs/>
          <w:sz w:val="24"/>
          <w:szCs w:val="24"/>
        </w:rPr>
        <w:t>Marketing of Services</w:t>
      </w:r>
      <w:r w:rsidRPr="001B0960">
        <w:rPr>
          <w:rFonts w:ascii="Times New Roman" w:hAnsi="Times New Roman" w:cs="Times New Roman"/>
          <w:sz w:val="24"/>
          <w:szCs w:val="24"/>
        </w:rPr>
        <w:t>. Chicago: American Marketing Association, pp. 47–51.</w:t>
      </w:r>
    </w:p>
    <w:p w14:paraId="5E01DF54" w14:textId="77777777" w:rsidR="001B0960" w:rsidRPr="001B0960" w:rsidRDefault="001B0960" w:rsidP="001B0960">
      <w:pPr>
        <w:spacing w:line="360" w:lineRule="auto"/>
        <w:jc w:val="both"/>
        <w:rPr>
          <w:rFonts w:ascii="Times New Roman" w:hAnsi="Times New Roman" w:cs="Times New Roman"/>
          <w:sz w:val="24"/>
          <w:szCs w:val="24"/>
        </w:rPr>
      </w:pPr>
      <w:proofErr w:type="spellStart"/>
      <w:r w:rsidRPr="001B0960">
        <w:rPr>
          <w:rFonts w:ascii="Times New Roman" w:hAnsi="Times New Roman" w:cs="Times New Roman"/>
          <w:sz w:val="24"/>
          <w:szCs w:val="24"/>
        </w:rPr>
        <w:t>Bocken</w:t>
      </w:r>
      <w:proofErr w:type="spellEnd"/>
      <w:r w:rsidRPr="001B0960">
        <w:rPr>
          <w:rFonts w:ascii="Times New Roman" w:hAnsi="Times New Roman" w:cs="Times New Roman"/>
          <w:sz w:val="24"/>
          <w:szCs w:val="24"/>
        </w:rPr>
        <w:t xml:space="preserve">, N.M.P., de Pauw, I., Bakker, C. and van der </w:t>
      </w:r>
      <w:proofErr w:type="spellStart"/>
      <w:r w:rsidRPr="001B0960">
        <w:rPr>
          <w:rFonts w:ascii="Times New Roman" w:hAnsi="Times New Roman" w:cs="Times New Roman"/>
          <w:sz w:val="24"/>
          <w:szCs w:val="24"/>
        </w:rPr>
        <w:t>Grinten</w:t>
      </w:r>
      <w:proofErr w:type="spellEnd"/>
      <w:r w:rsidRPr="001B0960">
        <w:rPr>
          <w:rFonts w:ascii="Times New Roman" w:hAnsi="Times New Roman" w:cs="Times New Roman"/>
          <w:sz w:val="24"/>
          <w:szCs w:val="24"/>
        </w:rPr>
        <w:t xml:space="preserve">, B. (2016) ‘Product design and business model strategies for a circular economy’, </w:t>
      </w:r>
      <w:r w:rsidRPr="001B0960">
        <w:rPr>
          <w:rFonts w:ascii="Times New Roman" w:hAnsi="Times New Roman" w:cs="Times New Roman"/>
          <w:i/>
          <w:iCs/>
          <w:sz w:val="24"/>
          <w:szCs w:val="24"/>
        </w:rPr>
        <w:t>Journal of Industrial and Production Engineering</w:t>
      </w:r>
      <w:r w:rsidRPr="001B0960">
        <w:rPr>
          <w:rFonts w:ascii="Times New Roman" w:hAnsi="Times New Roman" w:cs="Times New Roman"/>
          <w:sz w:val="24"/>
          <w:szCs w:val="24"/>
        </w:rPr>
        <w:t>, 33(5), pp. 308–320.</w:t>
      </w:r>
    </w:p>
    <w:p w14:paraId="08E171A3"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Delmas, M.A. and Burbano, V.C. (2011) ‘The drivers of greenwashing’, </w:t>
      </w:r>
      <w:r w:rsidRPr="001B0960">
        <w:rPr>
          <w:rFonts w:ascii="Times New Roman" w:hAnsi="Times New Roman" w:cs="Times New Roman"/>
          <w:i/>
          <w:iCs/>
          <w:sz w:val="24"/>
          <w:szCs w:val="24"/>
        </w:rPr>
        <w:t>California Management Review</w:t>
      </w:r>
      <w:r w:rsidRPr="001B0960">
        <w:rPr>
          <w:rFonts w:ascii="Times New Roman" w:hAnsi="Times New Roman" w:cs="Times New Roman"/>
          <w:sz w:val="24"/>
          <w:szCs w:val="24"/>
        </w:rPr>
        <w:t>, 54(1), pp. 64–87.</w:t>
      </w:r>
    </w:p>
    <w:p w14:paraId="4BD11EB4"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Ellen MacArthur Foundation (2021) </w:t>
      </w:r>
      <w:r w:rsidRPr="001B0960">
        <w:rPr>
          <w:rFonts w:ascii="Times New Roman" w:hAnsi="Times New Roman" w:cs="Times New Roman"/>
          <w:i/>
          <w:iCs/>
          <w:sz w:val="24"/>
          <w:szCs w:val="24"/>
        </w:rPr>
        <w:t>Completing the picture: How the circular economy tackles climate change</w:t>
      </w:r>
      <w:r w:rsidRPr="001B0960">
        <w:rPr>
          <w:rFonts w:ascii="Times New Roman" w:hAnsi="Times New Roman" w:cs="Times New Roman"/>
          <w:sz w:val="24"/>
          <w:szCs w:val="24"/>
        </w:rPr>
        <w:t xml:space="preserve">. Available at: </w:t>
      </w:r>
      <w:hyperlink r:id="rId11" w:tgtFrame="_new" w:history="1">
        <w:r w:rsidRPr="001B0960">
          <w:rPr>
            <w:rStyle w:val="Hyperlink"/>
            <w:rFonts w:ascii="Times New Roman" w:hAnsi="Times New Roman" w:cs="Times New Roman"/>
            <w:sz w:val="24"/>
            <w:szCs w:val="24"/>
          </w:rPr>
          <w:t>https://www.ellenmacarthurfoundation.org/completing-the-picture</w:t>
        </w:r>
      </w:hyperlink>
      <w:r w:rsidRPr="001B0960">
        <w:rPr>
          <w:rFonts w:ascii="Times New Roman" w:hAnsi="Times New Roman" w:cs="Times New Roman"/>
          <w:sz w:val="24"/>
          <w:szCs w:val="24"/>
        </w:rPr>
        <w:t xml:space="preserve"> (Accessed: 29 July 2026).</w:t>
      </w:r>
    </w:p>
    <w:p w14:paraId="3093CAD7"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IKEA (2025) </w:t>
      </w:r>
      <w:r w:rsidRPr="001B0960">
        <w:rPr>
          <w:rFonts w:ascii="Times New Roman" w:hAnsi="Times New Roman" w:cs="Times New Roman"/>
          <w:i/>
          <w:iCs/>
          <w:sz w:val="24"/>
          <w:szCs w:val="24"/>
        </w:rPr>
        <w:t>IKEA Sustainability Report FY24</w:t>
      </w:r>
      <w:r w:rsidRPr="001B0960">
        <w:rPr>
          <w:rFonts w:ascii="Times New Roman" w:hAnsi="Times New Roman" w:cs="Times New Roman"/>
          <w:sz w:val="24"/>
          <w:szCs w:val="24"/>
        </w:rPr>
        <w:t xml:space="preserve">. Inter IKEA Group. Available at: </w:t>
      </w:r>
      <w:hyperlink r:id="rId12" w:tgtFrame="_new" w:history="1">
        <w:r w:rsidRPr="001B0960">
          <w:rPr>
            <w:rStyle w:val="Hyperlink"/>
            <w:rFonts w:ascii="Times New Roman" w:hAnsi="Times New Roman" w:cs="Times New Roman"/>
            <w:sz w:val="24"/>
            <w:szCs w:val="24"/>
          </w:rPr>
          <w:t>https://www.ikea.com/global/en/our-business/reports/</w:t>
        </w:r>
      </w:hyperlink>
      <w:r w:rsidRPr="001B0960">
        <w:rPr>
          <w:rFonts w:ascii="Times New Roman" w:hAnsi="Times New Roman" w:cs="Times New Roman"/>
          <w:sz w:val="24"/>
          <w:szCs w:val="24"/>
        </w:rPr>
        <w:t xml:space="preserve"> (Accessed: 29 July 2026).</w:t>
      </w:r>
    </w:p>
    <w:p w14:paraId="30D95FB7"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IKEA (2025) </w:t>
      </w:r>
      <w:r w:rsidRPr="001B0960">
        <w:rPr>
          <w:rFonts w:ascii="Times New Roman" w:hAnsi="Times New Roman" w:cs="Times New Roman"/>
          <w:i/>
          <w:iCs/>
          <w:sz w:val="24"/>
          <w:szCs w:val="24"/>
        </w:rPr>
        <w:t>IKEA Sustainability and Climate Reports FY24</w:t>
      </w:r>
      <w:r w:rsidRPr="001B0960">
        <w:rPr>
          <w:rFonts w:ascii="Times New Roman" w:hAnsi="Times New Roman" w:cs="Times New Roman"/>
          <w:sz w:val="24"/>
          <w:szCs w:val="24"/>
        </w:rPr>
        <w:t xml:space="preserve">. Inter IKEA Group. Available at: </w:t>
      </w:r>
      <w:hyperlink r:id="rId13" w:tgtFrame="_new" w:history="1">
        <w:r w:rsidRPr="001B0960">
          <w:rPr>
            <w:rStyle w:val="Hyperlink"/>
            <w:rFonts w:ascii="Times New Roman" w:hAnsi="Times New Roman" w:cs="Times New Roman"/>
            <w:sz w:val="24"/>
            <w:szCs w:val="24"/>
          </w:rPr>
          <w:t>https://www.ikea.com/global/en/newsroom/sustainability/ikea-sustainability-and-climate-reports-fy24-250130/</w:t>
        </w:r>
      </w:hyperlink>
      <w:r w:rsidRPr="001B0960">
        <w:rPr>
          <w:rFonts w:ascii="Times New Roman" w:hAnsi="Times New Roman" w:cs="Times New Roman"/>
          <w:sz w:val="24"/>
          <w:szCs w:val="24"/>
        </w:rPr>
        <w:t xml:space="preserve"> (Accessed: 29 July 2026).</w:t>
      </w:r>
    </w:p>
    <w:p w14:paraId="1E39BF82"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J Sainsbury plc (2024) </w:t>
      </w:r>
      <w:r w:rsidRPr="001B0960">
        <w:rPr>
          <w:rFonts w:ascii="Times New Roman" w:hAnsi="Times New Roman" w:cs="Times New Roman"/>
          <w:i/>
          <w:iCs/>
          <w:sz w:val="24"/>
          <w:szCs w:val="24"/>
        </w:rPr>
        <w:t>Annual Report and Financial Statements 2024</w:t>
      </w:r>
      <w:r w:rsidRPr="001B0960">
        <w:rPr>
          <w:rFonts w:ascii="Times New Roman" w:hAnsi="Times New Roman" w:cs="Times New Roman"/>
          <w:sz w:val="24"/>
          <w:szCs w:val="24"/>
        </w:rPr>
        <w:t>. London: J Sainsbury plc. Available at: https://www.about.sainsburys.co.uk/investors/reports-and-presentations (Accessed: 29 July 2026).</w:t>
      </w:r>
    </w:p>
    <w:p w14:paraId="28749168"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Kotler, P., Keller, K.L. and Chernev, A. (2024) </w:t>
      </w:r>
      <w:r w:rsidRPr="001B0960">
        <w:rPr>
          <w:rFonts w:ascii="Times New Roman" w:hAnsi="Times New Roman" w:cs="Times New Roman"/>
          <w:i/>
          <w:iCs/>
          <w:sz w:val="24"/>
          <w:szCs w:val="24"/>
        </w:rPr>
        <w:t>Marketing Management</w:t>
      </w:r>
      <w:r w:rsidRPr="001B0960">
        <w:rPr>
          <w:rFonts w:ascii="Times New Roman" w:hAnsi="Times New Roman" w:cs="Times New Roman"/>
          <w:sz w:val="24"/>
          <w:szCs w:val="24"/>
        </w:rPr>
        <w:t xml:space="preserve">. 17th </w:t>
      </w:r>
      <w:proofErr w:type="spellStart"/>
      <w:r w:rsidRPr="001B0960">
        <w:rPr>
          <w:rFonts w:ascii="Times New Roman" w:hAnsi="Times New Roman" w:cs="Times New Roman"/>
          <w:sz w:val="24"/>
          <w:szCs w:val="24"/>
        </w:rPr>
        <w:t>edn</w:t>
      </w:r>
      <w:proofErr w:type="spellEnd"/>
      <w:r w:rsidRPr="001B0960">
        <w:rPr>
          <w:rFonts w:ascii="Times New Roman" w:hAnsi="Times New Roman" w:cs="Times New Roman"/>
          <w:sz w:val="24"/>
          <w:szCs w:val="24"/>
        </w:rPr>
        <w:t>. Harlow: Pearson.</w:t>
      </w:r>
    </w:p>
    <w:p w14:paraId="1AFAF895"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Lemon, K.N. and Verhoef, P.C. (2016) ‘Understanding customer experience throughout the customer journey’, </w:t>
      </w:r>
      <w:r w:rsidRPr="001B0960">
        <w:rPr>
          <w:rFonts w:ascii="Times New Roman" w:hAnsi="Times New Roman" w:cs="Times New Roman"/>
          <w:i/>
          <w:iCs/>
          <w:sz w:val="24"/>
          <w:szCs w:val="24"/>
        </w:rPr>
        <w:t>Journal of Marketing</w:t>
      </w:r>
      <w:r w:rsidRPr="001B0960">
        <w:rPr>
          <w:rFonts w:ascii="Times New Roman" w:hAnsi="Times New Roman" w:cs="Times New Roman"/>
          <w:sz w:val="24"/>
          <w:szCs w:val="24"/>
        </w:rPr>
        <w:t>, 80(6), pp. 69–96.</w:t>
      </w:r>
    </w:p>
    <w:p w14:paraId="291F2FA4"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Porter, M.E. (1985) </w:t>
      </w:r>
      <w:r w:rsidRPr="001B0960">
        <w:rPr>
          <w:rFonts w:ascii="Times New Roman" w:hAnsi="Times New Roman" w:cs="Times New Roman"/>
          <w:i/>
          <w:iCs/>
          <w:sz w:val="24"/>
          <w:szCs w:val="24"/>
        </w:rPr>
        <w:t>Competitive Advantage: Creating and Sustaining Superior Performance</w:t>
      </w:r>
      <w:r w:rsidRPr="001B0960">
        <w:rPr>
          <w:rFonts w:ascii="Times New Roman" w:hAnsi="Times New Roman" w:cs="Times New Roman"/>
          <w:sz w:val="24"/>
          <w:szCs w:val="24"/>
        </w:rPr>
        <w:t>. New York: Free Press.</w:t>
      </w:r>
    </w:p>
    <w:p w14:paraId="2C73734E"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Tukker, A. (2015) ‘Product services for a resource-efficient and circular economy – A review’, </w:t>
      </w:r>
      <w:r w:rsidRPr="001B0960">
        <w:rPr>
          <w:rFonts w:ascii="Times New Roman" w:hAnsi="Times New Roman" w:cs="Times New Roman"/>
          <w:i/>
          <w:iCs/>
          <w:sz w:val="24"/>
          <w:szCs w:val="24"/>
        </w:rPr>
        <w:t>Journal of Cleaner Production</w:t>
      </w:r>
      <w:r w:rsidRPr="001B0960">
        <w:rPr>
          <w:rFonts w:ascii="Times New Roman" w:hAnsi="Times New Roman" w:cs="Times New Roman"/>
          <w:sz w:val="24"/>
          <w:szCs w:val="24"/>
        </w:rPr>
        <w:t>, 97, pp. 76–91.</w:t>
      </w:r>
    </w:p>
    <w:p w14:paraId="641B512C"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lastRenderedPageBreak/>
        <w:t xml:space="preserve">Wayfair Inc. (2024) </w:t>
      </w:r>
      <w:r w:rsidRPr="001B0960">
        <w:rPr>
          <w:rFonts w:ascii="Times New Roman" w:hAnsi="Times New Roman" w:cs="Times New Roman"/>
          <w:i/>
          <w:iCs/>
          <w:sz w:val="24"/>
          <w:szCs w:val="24"/>
        </w:rPr>
        <w:t>Corporate Responsibility Report 2024</w:t>
      </w:r>
      <w:r w:rsidRPr="001B0960">
        <w:rPr>
          <w:rFonts w:ascii="Times New Roman" w:hAnsi="Times New Roman" w:cs="Times New Roman"/>
          <w:sz w:val="24"/>
          <w:szCs w:val="24"/>
        </w:rPr>
        <w:t>. Available at: https://www.aboutwayfair.com/responsibility (Accessed: 29 July 2026).</w:t>
      </w:r>
    </w:p>
    <w:p w14:paraId="0705FD06" w14:textId="77777777" w:rsidR="001B0960" w:rsidRPr="001B0960" w:rsidRDefault="001B0960" w:rsidP="001B0960">
      <w:pPr>
        <w:spacing w:line="360" w:lineRule="auto"/>
        <w:jc w:val="both"/>
        <w:rPr>
          <w:rFonts w:ascii="Times New Roman" w:hAnsi="Times New Roman" w:cs="Times New Roman"/>
          <w:sz w:val="24"/>
          <w:szCs w:val="24"/>
        </w:rPr>
      </w:pPr>
      <w:r w:rsidRPr="001B0960">
        <w:rPr>
          <w:rFonts w:ascii="Times New Roman" w:hAnsi="Times New Roman" w:cs="Times New Roman"/>
          <w:sz w:val="24"/>
          <w:szCs w:val="24"/>
        </w:rPr>
        <w:t xml:space="preserve">Zeithaml, V.A., Bitner, M.J. and Gremler, D.D. (2021) </w:t>
      </w:r>
      <w:r w:rsidRPr="001B0960">
        <w:rPr>
          <w:rFonts w:ascii="Times New Roman" w:hAnsi="Times New Roman" w:cs="Times New Roman"/>
          <w:i/>
          <w:iCs/>
          <w:sz w:val="24"/>
          <w:szCs w:val="24"/>
        </w:rPr>
        <w:t>Services Marketing: Integrating Customer Focus Across the Firm</w:t>
      </w:r>
      <w:r w:rsidRPr="001B0960">
        <w:rPr>
          <w:rFonts w:ascii="Times New Roman" w:hAnsi="Times New Roman" w:cs="Times New Roman"/>
          <w:sz w:val="24"/>
          <w:szCs w:val="24"/>
        </w:rPr>
        <w:t xml:space="preserve">. 8th </w:t>
      </w:r>
      <w:proofErr w:type="spellStart"/>
      <w:r w:rsidRPr="001B0960">
        <w:rPr>
          <w:rFonts w:ascii="Times New Roman" w:hAnsi="Times New Roman" w:cs="Times New Roman"/>
          <w:sz w:val="24"/>
          <w:szCs w:val="24"/>
        </w:rPr>
        <w:t>edn</w:t>
      </w:r>
      <w:proofErr w:type="spellEnd"/>
      <w:r w:rsidRPr="001B0960">
        <w:rPr>
          <w:rFonts w:ascii="Times New Roman" w:hAnsi="Times New Roman" w:cs="Times New Roman"/>
          <w:sz w:val="24"/>
          <w:szCs w:val="24"/>
        </w:rPr>
        <w:t>. New York: McGraw-Hill.</w:t>
      </w:r>
    </w:p>
    <w:p w14:paraId="255F737E" w14:textId="77777777" w:rsidR="0068272F" w:rsidRPr="0068272F" w:rsidRDefault="0068272F" w:rsidP="0068272F">
      <w:pPr>
        <w:spacing w:line="360" w:lineRule="auto"/>
        <w:jc w:val="both"/>
        <w:rPr>
          <w:rFonts w:ascii="Times New Roman" w:hAnsi="Times New Roman" w:cs="Times New Roman"/>
          <w:sz w:val="24"/>
          <w:szCs w:val="24"/>
        </w:rPr>
      </w:pPr>
    </w:p>
    <w:sectPr w:rsidR="0068272F" w:rsidRPr="0068272F" w:rsidSect="00D42539">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4B34DDE" w14:textId="77777777" w:rsidR="00A73A48" w:rsidRDefault="00A73A48" w:rsidP="00476521">
      <w:pPr>
        <w:spacing w:after="0" w:line="240" w:lineRule="auto"/>
      </w:pPr>
      <w:r>
        <w:separator/>
      </w:r>
    </w:p>
  </w:endnote>
  <w:endnote w:type="continuationSeparator" w:id="0">
    <w:p w14:paraId="4AF719EA" w14:textId="77777777" w:rsidR="00A73A48" w:rsidRDefault="00A73A48" w:rsidP="00476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99298883"/>
      <w:docPartObj>
        <w:docPartGallery w:val="Page Numbers (Bottom of Page)"/>
        <w:docPartUnique/>
      </w:docPartObj>
    </w:sdtPr>
    <w:sdtEndPr>
      <w:rPr>
        <w:noProof/>
      </w:rPr>
    </w:sdtEndPr>
    <w:sdtContent>
      <w:p w14:paraId="070F2BDB" w14:textId="16F427DE" w:rsidR="00476521" w:rsidRDefault="004765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9DA43E" w14:textId="77777777" w:rsidR="00476521" w:rsidRDefault="00476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ED85AE" w14:textId="77777777" w:rsidR="00A73A48" w:rsidRDefault="00A73A48" w:rsidP="00476521">
      <w:pPr>
        <w:spacing w:after="0" w:line="240" w:lineRule="auto"/>
      </w:pPr>
      <w:r>
        <w:separator/>
      </w:r>
    </w:p>
  </w:footnote>
  <w:footnote w:type="continuationSeparator" w:id="0">
    <w:p w14:paraId="18CE5DF1" w14:textId="77777777" w:rsidR="00A73A48" w:rsidRDefault="00A73A48" w:rsidP="004765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3F70BFE"/>
    <w:multiLevelType w:val="multilevel"/>
    <w:tmpl w:val="753AC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AF52DA"/>
    <w:multiLevelType w:val="multilevel"/>
    <w:tmpl w:val="630C2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A70A69"/>
    <w:multiLevelType w:val="multilevel"/>
    <w:tmpl w:val="0B089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321DF5"/>
    <w:multiLevelType w:val="multilevel"/>
    <w:tmpl w:val="06903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E55768"/>
    <w:multiLevelType w:val="multilevel"/>
    <w:tmpl w:val="089A7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F12EE4"/>
    <w:multiLevelType w:val="multilevel"/>
    <w:tmpl w:val="1D081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BD25EE"/>
    <w:multiLevelType w:val="multilevel"/>
    <w:tmpl w:val="C6043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F85147"/>
    <w:multiLevelType w:val="multilevel"/>
    <w:tmpl w:val="8E444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723A1F"/>
    <w:multiLevelType w:val="multilevel"/>
    <w:tmpl w:val="DF0EB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E442E4"/>
    <w:multiLevelType w:val="multilevel"/>
    <w:tmpl w:val="F1143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892F93"/>
    <w:multiLevelType w:val="multilevel"/>
    <w:tmpl w:val="CE844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FE2991"/>
    <w:multiLevelType w:val="multilevel"/>
    <w:tmpl w:val="93BAA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F93DDB"/>
    <w:multiLevelType w:val="multilevel"/>
    <w:tmpl w:val="5BEAB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3627218">
    <w:abstractNumId w:val="8"/>
  </w:num>
  <w:num w:numId="2" w16cid:durableId="249317526">
    <w:abstractNumId w:val="4"/>
  </w:num>
  <w:num w:numId="3" w16cid:durableId="932858360">
    <w:abstractNumId w:val="11"/>
  </w:num>
  <w:num w:numId="4" w16cid:durableId="1558128842">
    <w:abstractNumId w:val="10"/>
  </w:num>
  <w:num w:numId="5" w16cid:durableId="1997873321">
    <w:abstractNumId w:val="12"/>
  </w:num>
  <w:num w:numId="6" w16cid:durableId="1328166515">
    <w:abstractNumId w:val="6"/>
  </w:num>
  <w:num w:numId="7" w16cid:durableId="355040291">
    <w:abstractNumId w:val="0"/>
  </w:num>
  <w:num w:numId="8" w16cid:durableId="577402646">
    <w:abstractNumId w:val="1"/>
  </w:num>
  <w:num w:numId="9" w16cid:durableId="1962299824">
    <w:abstractNumId w:val="5"/>
  </w:num>
  <w:num w:numId="10" w16cid:durableId="452284307">
    <w:abstractNumId w:val="3"/>
  </w:num>
  <w:num w:numId="11" w16cid:durableId="1824275354">
    <w:abstractNumId w:val="9"/>
  </w:num>
  <w:num w:numId="12" w16cid:durableId="760027388">
    <w:abstractNumId w:val="7"/>
  </w:num>
  <w:num w:numId="13" w16cid:durableId="1567377125">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C9A"/>
    <w:rsid w:val="00031E9E"/>
    <w:rsid w:val="000B228E"/>
    <w:rsid w:val="0012310A"/>
    <w:rsid w:val="001B0960"/>
    <w:rsid w:val="001B2BE6"/>
    <w:rsid w:val="001D7D67"/>
    <w:rsid w:val="002B0A74"/>
    <w:rsid w:val="002B18D2"/>
    <w:rsid w:val="002D3458"/>
    <w:rsid w:val="003059A5"/>
    <w:rsid w:val="003273E5"/>
    <w:rsid w:val="003C7D79"/>
    <w:rsid w:val="00476521"/>
    <w:rsid w:val="0052255A"/>
    <w:rsid w:val="005519BD"/>
    <w:rsid w:val="00596837"/>
    <w:rsid w:val="0068272F"/>
    <w:rsid w:val="00711E6A"/>
    <w:rsid w:val="00756D92"/>
    <w:rsid w:val="00826777"/>
    <w:rsid w:val="008375BB"/>
    <w:rsid w:val="008432DC"/>
    <w:rsid w:val="008A465E"/>
    <w:rsid w:val="008B7F98"/>
    <w:rsid w:val="00920B97"/>
    <w:rsid w:val="00A73A48"/>
    <w:rsid w:val="00A815BE"/>
    <w:rsid w:val="00C534D6"/>
    <w:rsid w:val="00CF6207"/>
    <w:rsid w:val="00D42539"/>
    <w:rsid w:val="00DB4CF1"/>
    <w:rsid w:val="00E03C9A"/>
    <w:rsid w:val="00E20EEC"/>
    <w:rsid w:val="00EF4E47"/>
    <w:rsid w:val="00F61985"/>
    <w:rsid w:val="00F628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13093"/>
  <w15:chartTrackingRefBased/>
  <w15:docId w15:val="{054649C9-153B-4860-82A1-9F9855BDC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C9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03C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3C9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3C9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3C9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3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C9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3C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3C9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3C9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3C9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3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C9A"/>
    <w:rPr>
      <w:rFonts w:eastAsiaTheme="majorEastAsia" w:cstheme="majorBidi"/>
      <w:color w:val="272727" w:themeColor="text1" w:themeTint="D8"/>
    </w:rPr>
  </w:style>
  <w:style w:type="paragraph" w:styleId="Title">
    <w:name w:val="Title"/>
    <w:basedOn w:val="Normal"/>
    <w:next w:val="Normal"/>
    <w:link w:val="TitleChar"/>
    <w:uiPriority w:val="10"/>
    <w:qFormat/>
    <w:rsid w:val="00E03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C9A"/>
    <w:pPr>
      <w:spacing w:before="160"/>
      <w:jc w:val="center"/>
    </w:pPr>
    <w:rPr>
      <w:i/>
      <w:iCs/>
      <w:color w:val="404040" w:themeColor="text1" w:themeTint="BF"/>
    </w:rPr>
  </w:style>
  <w:style w:type="character" w:customStyle="1" w:styleId="QuoteChar">
    <w:name w:val="Quote Char"/>
    <w:basedOn w:val="DefaultParagraphFont"/>
    <w:link w:val="Quote"/>
    <w:uiPriority w:val="29"/>
    <w:rsid w:val="00E03C9A"/>
    <w:rPr>
      <w:i/>
      <w:iCs/>
      <w:color w:val="404040" w:themeColor="text1" w:themeTint="BF"/>
    </w:rPr>
  </w:style>
  <w:style w:type="paragraph" w:styleId="ListParagraph">
    <w:name w:val="List Paragraph"/>
    <w:basedOn w:val="Normal"/>
    <w:uiPriority w:val="34"/>
    <w:qFormat/>
    <w:rsid w:val="00E03C9A"/>
    <w:pPr>
      <w:ind w:left="720"/>
      <w:contextualSpacing/>
    </w:pPr>
  </w:style>
  <w:style w:type="character" w:styleId="IntenseEmphasis">
    <w:name w:val="Intense Emphasis"/>
    <w:basedOn w:val="DefaultParagraphFont"/>
    <w:uiPriority w:val="21"/>
    <w:qFormat/>
    <w:rsid w:val="00E03C9A"/>
    <w:rPr>
      <w:i/>
      <w:iCs/>
      <w:color w:val="2F5496" w:themeColor="accent1" w:themeShade="BF"/>
    </w:rPr>
  </w:style>
  <w:style w:type="paragraph" w:styleId="IntenseQuote">
    <w:name w:val="Intense Quote"/>
    <w:basedOn w:val="Normal"/>
    <w:next w:val="Normal"/>
    <w:link w:val="IntenseQuoteChar"/>
    <w:uiPriority w:val="30"/>
    <w:qFormat/>
    <w:rsid w:val="00E03C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3C9A"/>
    <w:rPr>
      <w:i/>
      <w:iCs/>
      <w:color w:val="2F5496" w:themeColor="accent1" w:themeShade="BF"/>
    </w:rPr>
  </w:style>
  <w:style w:type="character" w:styleId="IntenseReference">
    <w:name w:val="Intense Reference"/>
    <w:basedOn w:val="DefaultParagraphFont"/>
    <w:uiPriority w:val="32"/>
    <w:qFormat/>
    <w:rsid w:val="00E03C9A"/>
    <w:rPr>
      <w:b/>
      <w:bCs/>
      <w:smallCaps/>
      <w:color w:val="2F5496" w:themeColor="accent1" w:themeShade="BF"/>
      <w:spacing w:val="5"/>
    </w:rPr>
  </w:style>
  <w:style w:type="character" w:styleId="Hyperlink">
    <w:name w:val="Hyperlink"/>
    <w:basedOn w:val="DefaultParagraphFont"/>
    <w:uiPriority w:val="99"/>
    <w:unhideWhenUsed/>
    <w:rsid w:val="0012310A"/>
    <w:rPr>
      <w:color w:val="0563C1" w:themeColor="hyperlink"/>
      <w:u w:val="single"/>
    </w:rPr>
  </w:style>
  <w:style w:type="character" w:styleId="UnresolvedMention">
    <w:name w:val="Unresolved Mention"/>
    <w:basedOn w:val="DefaultParagraphFont"/>
    <w:uiPriority w:val="99"/>
    <w:semiHidden/>
    <w:unhideWhenUsed/>
    <w:rsid w:val="0012310A"/>
    <w:rPr>
      <w:color w:val="605E5C"/>
      <w:shd w:val="clear" w:color="auto" w:fill="E1DFDD"/>
    </w:rPr>
  </w:style>
  <w:style w:type="table" w:styleId="GridTable4-Accent1">
    <w:name w:val="Grid Table 4 Accent 1"/>
    <w:basedOn w:val="TableNormal"/>
    <w:uiPriority w:val="49"/>
    <w:rsid w:val="00F628A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47652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76521"/>
    <w:pPr>
      <w:spacing w:after="100"/>
    </w:pPr>
  </w:style>
  <w:style w:type="paragraph" w:styleId="Header">
    <w:name w:val="header"/>
    <w:basedOn w:val="Normal"/>
    <w:link w:val="HeaderChar"/>
    <w:uiPriority w:val="99"/>
    <w:unhideWhenUsed/>
    <w:rsid w:val="00476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521"/>
  </w:style>
  <w:style w:type="paragraph" w:styleId="Footer">
    <w:name w:val="footer"/>
    <w:basedOn w:val="Normal"/>
    <w:link w:val="FooterChar"/>
    <w:uiPriority w:val="99"/>
    <w:unhideWhenUsed/>
    <w:rsid w:val="00476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5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kea.com/global/en/newsroom/sustainability/ikea-sustainability-and-climate-reports-fy24-25013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kea.com/global/en/our-business/repor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lenmacarthurfoundation.org/completing-the-pictu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1B8251-58F1-4516-91DE-0CF6578A2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3476</Words>
  <Characters>19814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kishu dholiya</cp:lastModifiedBy>
  <cp:revision>3</cp:revision>
  <dcterms:created xsi:type="dcterms:W3CDTF">2026-08-02T12:32:00Z</dcterms:created>
  <dcterms:modified xsi:type="dcterms:W3CDTF">2026-08-12T16:21:00Z</dcterms:modified>
</cp:coreProperties>
</file>