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4414776"/>
        <w:docPartObj>
          <w:docPartGallery w:val="Cover Pages"/>
          <w:docPartUnique/>
        </w:docPartObj>
      </w:sdtPr>
      <w:sdtEndPr>
        <w:rPr>
          <w:rFonts w:eastAsiaTheme="minorEastAsia"/>
          <w:color w:val="4472C4" w:themeColor="accent1"/>
          <w:lang w:val="en-US"/>
        </w:rPr>
      </w:sdtEndPr>
      <w:sdtContent>
        <w:p w14:paraId="5811FECF" w14:textId="1C0CF78F" w:rsidR="00A41ABF" w:rsidRDefault="00A41ABF">
          <w:r>
            <w:rPr>
              <w:noProof/>
            </w:rPr>
            <mc:AlternateContent>
              <mc:Choice Requires="wpg">
                <w:drawing>
                  <wp:anchor distT="0" distB="0" distL="114300" distR="114300" simplePos="0" relativeHeight="251662336" behindDoc="0" locked="0" layoutInCell="1" allowOverlap="1" wp14:anchorId="456921BE" wp14:editId="6D4047F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A80DCC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616D089" wp14:editId="444AFBF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CC5023C" w14:textId="656BB593" w:rsidR="00A41ABF" w:rsidRDefault="00A41ABF">
                                    <w:pPr>
                                      <w:pStyle w:val="NoSpacing"/>
                                      <w:jc w:val="right"/>
                                      <w:rPr>
                                        <w:color w:val="595959" w:themeColor="text1" w:themeTint="A6"/>
                                        <w:sz w:val="28"/>
                                        <w:szCs w:val="28"/>
                                      </w:rPr>
                                    </w:pPr>
                                    <w:r>
                                      <w:rPr>
                                        <w:color w:val="595959" w:themeColor="text1" w:themeTint="A6"/>
                                        <w:sz w:val="28"/>
                                        <w:szCs w:val="28"/>
                                      </w:rPr>
                                      <w:t>Melenie Jane Box</w:t>
                                    </w:r>
                                  </w:p>
                                </w:sdtContent>
                              </w:sdt>
                              <w:p w14:paraId="3CF388CB" w14:textId="6154C04E" w:rsidR="00A41ABF" w:rsidRDefault="00426DDD">
                                <w:pPr>
                                  <w:pStyle w:val="NoSpacing"/>
                                  <w:jc w:val="right"/>
                                  <w:rPr>
                                    <w:color w:val="595959" w:themeColor="text1" w:themeTint="A6"/>
                                    <w:sz w:val="18"/>
                                    <w:szCs w:val="18"/>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870187" w:rsidRPr="00870187">
                                      <w:rPr>
                                        <w:rFonts w:ascii="Arial" w:hAnsi="Arial" w:cs="Arial"/>
                                        <w:color w:val="595959" w:themeColor="text1" w:themeTint="A6"/>
                                        <w:sz w:val="24"/>
                                        <w:szCs w:val="24"/>
                                      </w:rPr>
                                      <w:t>BMLW6008.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616D08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CC5023C" w14:textId="656BB593" w:rsidR="00A41ABF" w:rsidRDefault="00A41ABF">
                              <w:pPr>
                                <w:pStyle w:val="NoSpacing"/>
                                <w:jc w:val="right"/>
                                <w:rPr>
                                  <w:color w:val="595959" w:themeColor="text1" w:themeTint="A6"/>
                                  <w:sz w:val="28"/>
                                  <w:szCs w:val="28"/>
                                </w:rPr>
                              </w:pPr>
                              <w:r>
                                <w:rPr>
                                  <w:color w:val="595959" w:themeColor="text1" w:themeTint="A6"/>
                                  <w:sz w:val="28"/>
                                  <w:szCs w:val="28"/>
                                </w:rPr>
                                <w:t>Melenie Jane Box</w:t>
                              </w:r>
                            </w:p>
                          </w:sdtContent>
                        </w:sdt>
                        <w:p w14:paraId="3CF388CB" w14:textId="6154C04E" w:rsidR="00A41ABF" w:rsidRDefault="00426DDD">
                          <w:pPr>
                            <w:pStyle w:val="NoSpacing"/>
                            <w:jc w:val="right"/>
                            <w:rPr>
                              <w:color w:val="595959" w:themeColor="text1" w:themeTint="A6"/>
                              <w:sz w:val="18"/>
                              <w:szCs w:val="18"/>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870187" w:rsidRPr="00870187">
                                <w:rPr>
                                  <w:rFonts w:ascii="Arial" w:hAnsi="Arial" w:cs="Arial"/>
                                  <w:color w:val="595959" w:themeColor="text1" w:themeTint="A6"/>
                                  <w:sz w:val="24"/>
                                  <w:szCs w:val="24"/>
                                </w:rPr>
                                <w:t>BMLW6008.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31D0FA0" wp14:editId="3881F72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E273DB" w14:textId="50A9009F" w:rsidR="00A41ABF" w:rsidRDefault="00426DD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70187">
                                      <w:rPr>
                                        <w:caps/>
                                        <w:color w:val="4472C4" w:themeColor="accent1"/>
                                        <w:sz w:val="64"/>
                                        <w:szCs w:val="64"/>
                                      </w:rPr>
                                      <w:t>Property Law.</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83843C" w14:textId="2ED6BC41" w:rsidR="00A41ABF" w:rsidRDefault="00870187">
                                    <w:pPr>
                                      <w:jc w:val="right"/>
                                      <w:rPr>
                                        <w:smallCaps/>
                                        <w:color w:val="404040" w:themeColor="text1" w:themeTint="BF"/>
                                        <w:sz w:val="36"/>
                                        <w:szCs w:val="36"/>
                                      </w:rPr>
                                    </w:pPr>
                                    <w:r>
                                      <w:rPr>
                                        <w:color w:val="404040" w:themeColor="text1" w:themeTint="BF"/>
                                        <w:sz w:val="36"/>
                                        <w:szCs w:val="36"/>
                                      </w:rPr>
                                      <w:t>Easement by prescription.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31D0FA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8E273DB" w14:textId="50A9009F" w:rsidR="00A41ABF" w:rsidRDefault="00426DD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70187">
                                <w:rPr>
                                  <w:caps/>
                                  <w:color w:val="4472C4" w:themeColor="accent1"/>
                                  <w:sz w:val="64"/>
                                  <w:szCs w:val="64"/>
                                </w:rPr>
                                <w:t>Property Law.</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83843C" w14:textId="2ED6BC41" w:rsidR="00A41ABF" w:rsidRDefault="00870187">
                              <w:pPr>
                                <w:jc w:val="right"/>
                                <w:rPr>
                                  <w:smallCaps/>
                                  <w:color w:val="404040" w:themeColor="text1" w:themeTint="BF"/>
                                  <w:sz w:val="36"/>
                                  <w:szCs w:val="36"/>
                                </w:rPr>
                              </w:pPr>
                              <w:r>
                                <w:rPr>
                                  <w:color w:val="404040" w:themeColor="text1" w:themeTint="BF"/>
                                  <w:sz w:val="36"/>
                                  <w:szCs w:val="36"/>
                                </w:rPr>
                                <w:t>Easement by prescription.</w:t>
                              </w:r>
                            </w:p>
                          </w:sdtContent>
                        </w:sdt>
                      </w:txbxContent>
                    </v:textbox>
                    <w10:wrap type="square" anchorx="page" anchory="page"/>
                  </v:shape>
                </w:pict>
              </mc:Fallback>
            </mc:AlternateContent>
          </w:r>
        </w:p>
        <w:p w14:paraId="52E8F9A3" w14:textId="7B544396" w:rsidR="00A41ABF" w:rsidRDefault="00A41ABF">
          <w:pPr>
            <w:rPr>
              <w:rFonts w:eastAsiaTheme="minorEastAsia"/>
              <w:color w:val="4472C4" w:themeColor="accent1"/>
              <w:lang w:val="en-US"/>
            </w:rPr>
          </w:pPr>
          <w:r>
            <w:rPr>
              <w:rFonts w:eastAsiaTheme="minorEastAsia"/>
              <w:color w:val="4472C4" w:themeColor="accent1"/>
              <w:lang w:val="en-US"/>
            </w:rPr>
            <w:br w:type="page"/>
          </w:r>
        </w:p>
      </w:sdtContent>
    </w:sdt>
    <w:p w14:paraId="77495E0D" w14:textId="32A16CC3" w:rsidR="00C66A3A" w:rsidRDefault="00C66A3A">
      <w:pPr>
        <w:rPr>
          <w:rFonts w:ascii="Arial" w:hAnsi="Arial" w:cs="Arial"/>
          <w:sz w:val="24"/>
          <w:szCs w:val="24"/>
        </w:rPr>
      </w:pPr>
      <w:r>
        <w:rPr>
          <w:rFonts w:ascii="Arial" w:hAnsi="Arial" w:cs="Arial"/>
          <w:sz w:val="24"/>
          <w:szCs w:val="24"/>
        </w:rPr>
        <w:lastRenderedPageBreak/>
        <w:t xml:space="preserve">For this assignment, you </w:t>
      </w:r>
      <w:proofErr w:type="gramStart"/>
      <w:r>
        <w:rPr>
          <w:rFonts w:ascii="Arial" w:hAnsi="Arial" w:cs="Arial"/>
          <w:sz w:val="24"/>
          <w:szCs w:val="24"/>
        </w:rPr>
        <w:t>have to</w:t>
      </w:r>
      <w:proofErr w:type="gramEnd"/>
      <w:r>
        <w:rPr>
          <w:rFonts w:ascii="Arial" w:hAnsi="Arial" w:cs="Arial"/>
          <w:sz w:val="24"/>
          <w:szCs w:val="24"/>
        </w:rPr>
        <w:t xml:space="preserve"> analyse when and how an easement is to be created by prescription. To achieve this then you are required to look back upon the relevant lectures that have been covered, plus your own academic research by using journals, law cases and textbooks. Within this assignment key cases will be used like Ellenborough Park and land law / property books, also a little knowledge of what common law and statutory law </w:t>
      </w:r>
      <w:proofErr w:type="gramStart"/>
      <w:r>
        <w:rPr>
          <w:rFonts w:ascii="Arial" w:hAnsi="Arial" w:cs="Arial"/>
          <w:sz w:val="24"/>
          <w:szCs w:val="24"/>
        </w:rPr>
        <w:t>actually is</w:t>
      </w:r>
      <w:proofErr w:type="gramEnd"/>
      <w:r>
        <w:rPr>
          <w:rFonts w:ascii="Arial" w:hAnsi="Arial" w:cs="Arial"/>
          <w:sz w:val="24"/>
          <w:szCs w:val="24"/>
        </w:rPr>
        <w:t>.</w:t>
      </w:r>
    </w:p>
    <w:p w14:paraId="75D64E9A" w14:textId="17580C82" w:rsidR="00C66A3A" w:rsidRDefault="00C66A3A">
      <w:pPr>
        <w:rPr>
          <w:rFonts w:ascii="Arial" w:hAnsi="Arial" w:cs="Arial"/>
          <w:sz w:val="24"/>
          <w:szCs w:val="24"/>
        </w:rPr>
      </w:pPr>
      <w:r>
        <w:rPr>
          <w:rFonts w:ascii="Arial" w:hAnsi="Arial" w:cs="Arial"/>
          <w:sz w:val="24"/>
          <w:szCs w:val="24"/>
        </w:rPr>
        <w:t xml:space="preserve">Firstly, you will need to explain what an easement is and how an easement can be created by prescription. This would involve time immemorial, statute and the doctrine of a lost modern grant. You may require the </w:t>
      </w:r>
      <w:r w:rsidR="00FE0DFD">
        <w:rPr>
          <w:rFonts w:ascii="Arial" w:hAnsi="Arial" w:cs="Arial"/>
          <w:sz w:val="24"/>
          <w:szCs w:val="24"/>
        </w:rPr>
        <w:t>use of the view of the Law Commission too.</w:t>
      </w:r>
    </w:p>
    <w:p w14:paraId="7520AA7D" w14:textId="1CA106E7" w:rsidR="00C66A3A" w:rsidRDefault="00870187">
      <w:pPr>
        <w:rPr>
          <w:rFonts w:ascii="Arial" w:hAnsi="Arial" w:cs="Arial"/>
          <w:sz w:val="24"/>
          <w:szCs w:val="24"/>
        </w:rPr>
      </w:pPr>
      <w:r>
        <w:rPr>
          <w:rFonts w:ascii="Arial" w:hAnsi="Arial" w:cs="Arial"/>
          <w:sz w:val="24"/>
          <w:szCs w:val="24"/>
        </w:rPr>
        <w:t xml:space="preserve">A prescriptive easement is an acquisition of a right either for enjoyment or for long term use, which the law presumes that a right has been lawfully granted. To acquire an easement by prescription there are three methods which are to be followed. These three methods are at common law, by lost modern grant and under the prescription Act of 1832. Whatever method is used, then the user must </w:t>
      </w:r>
      <w:r w:rsidR="00FE598E">
        <w:rPr>
          <w:rFonts w:ascii="Arial" w:hAnsi="Arial" w:cs="Arial"/>
          <w:sz w:val="24"/>
          <w:szCs w:val="24"/>
        </w:rPr>
        <w:t>be at least twenty years.</w:t>
      </w:r>
    </w:p>
    <w:p w14:paraId="5A3E7287" w14:textId="25665E2A" w:rsidR="00FE598E" w:rsidRDefault="00FE598E">
      <w:pPr>
        <w:rPr>
          <w:rFonts w:ascii="Arial" w:hAnsi="Arial" w:cs="Arial"/>
          <w:sz w:val="24"/>
          <w:szCs w:val="24"/>
        </w:rPr>
      </w:pPr>
      <w:r>
        <w:rPr>
          <w:rFonts w:ascii="Arial" w:hAnsi="Arial" w:cs="Arial"/>
          <w:sz w:val="24"/>
          <w:szCs w:val="24"/>
        </w:rPr>
        <w:t xml:space="preserve">There must be no force, secrecy and without permission, </w:t>
      </w:r>
      <w:proofErr w:type="gramStart"/>
      <w:r>
        <w:rPr>
          <w:rFonts w:ascii="Arial" w:hAnsi="Arial" w:cs="Arial"/>
          <w:sz w:val="24"/>
          <w:szCs w:val="24"/>
        </w:rPr>
        <w:t>has to</w:t>
      </w:r>
      <w:proofErr w:type="gramEnd"/>
      <w:r>
        <w:rPr>
          <w:rFonts w:ascii="Arial" w:hAnsi="Arial" w:cs="Arial"/>
          <w:sz w:val="24"/>
          <w:szCs w:val="24"/>
        </w:rPr>
        <w:t xml:space="preserve"> be used while the same person has possession from the benefitting and also the burdened land cannot be use as of right. A tenant’s use is used to establish an easement which attaches to a freehold estate. A tenant</w:t>
      </w:r>
      <w:r w:rsidR="00C92ACE">
        <w:rPr>
          <w:rFonts w:ascii="Arial" w:hAnsi="Arial" w:cs="Arial"/>
          <w:sz w:val="24"/>
          <w:szCs w:val="24"/>
        </w:rPr>
        <w:t xml:space="preserve"> may not acquire any easements over any other land which is owned by their own landlord. This is </w:t>
      </w:r>
      <w:proofErr w:type="gramStart"/>
      <w:r w:rsidR="00C92ACE">
        <w:rPr>
          <w:rFonts w:ascii="Arial" w:hAnsi="Arial" w:cs="Arial"/>
          <w:sz w:val="24"/>
          <w:szCs w:val="24"/>
        </w:rPr>
        <w:t>due to the fact that</w:t>
      </w:r>
      <w:proofErr w:type="gramEnd"/>
      <w:r w:rsidR="00C92ACE">
        <w:rPr>
          <w:rFonts w:ascii="Arial" w:hAnsi="Arial" w:cs="Arial"/>
          <w:sz w:val="24"/>
          <w:szCs w:val="24"/>
        </w:rPr>
        <w:t xml:space="preserve"> as a landlord cannot have any rights against themselves. This in turn would apply </w:t>
      </w:r>
      <w:proofErr w:type="gramStart"/>
      <w:r w:rsidR="00C92ACE">
        <w:rPr>
          <w:rFonts w:ascii="Arial" w:hAnsi="Arial" w:cs="Arial"/>
          <w:sz w:val="24"/>
          <w:szCs w:val="24"/>
        </w:rPr>
        <w:t>whether or not</w:t>
      </w:r>
      <w:proofErr w:type="gramEnd"/>
      <w:r w:rsidR="00C92ACE">
        <w:rPr>
          <w:rFonts w:ascii="Arial" w:hAnsi="Arial" w:cs="Arial"/>
          <w:sz w:val="24"/>
          <w:szCs w:val="24"/>
        </w:rPr>
        <w:t xml:space="preserve"> that other land also has a tenant. This would then go on to mean that any easements that do arise would not end with the lease.</w:t>
      </w:r>
    </w:p>
    <w:p w14:paraId="6337421B" w14:textId="53EC995A" w:rsidR="00C92ACE" w:rsidRDefault="00C92ACE">
      <w:pPr>
        <w:rPr>
          <w:rFonts w:ascii="Arial" w:hAnsi="Arial" w:cs="Arial"/>
          <w:sz w:val="24"/>
          <w:szCs w:val="24"/>
        </w:rPr>
      </w:pPr>
      <w:r>
        <w:rPr>
          <w:rFonts w:ascii="Arial" w:hAnsi="Arial" w:cs="Arial"/>
          <w:sz w:val="24"/>
          <w:szCs w:val="24"/>
        </w:rPr>
        <w:t>If the burdened land is occupied by a tenant, and a prescriptive easement were to arise, then it would depend upon w</w:t>
      </w:r>
      <w:r w:rsidR="00971B13">
        <w:rPr>
          <w:rFonts w:ascii="Arial" w:hAnsi="Arial" w:cs="Arial"/>
          <w:sz w:val="24"/>
          <w:szCs w:val="24"/>
        </w:rPr>
        <w:t>hether the freehold owner of this burdened land acquiesced within the use. This is explained in the Williams v Sandy Lane (Chester) Ltd (2006) EWCA civ 1738. It goes on to state that if a tenancy started before the period of use, then the application can be cancelled unless the person with the freehold had any actual knowledge of its use and that they could have stopped this use during the tenancy.</w:t>
      </w:r>
    </w:p>
    <w:p w14:paraId="36C3EC5C" w14:textId="1F3DCD85" w:rsidR="00971B13" w:rsidRDefault="00971B13">
      <w:pPr>
        <w:rPr>
          <w:rFonts w:ascii="Arial" w:hAnsi="Arial" w:cs="Arial"/>
          <w:sz w:val="24"/>
          <w:szCs w:val="24"/>
        </w:rPr>
      </w:pPr>
      <w:r>
        <w:rPr>
          <w:rFonts w:ascii="Arial" w:hAnsi="Arial" w:cs="Arial"/>
          <w:sz w:val="24"/>
          <w:szCs w:val="24"/>
        </w:rPr>
        <w:t xml:space="preserve">It may also state that if the tenancy were to start after a period of </w:t>
      </w:r>
      <w:r w:rsidR="00B020A1">
        <w:rPr>
          <w:rFonts w:ascii="Arial" w:hAnsi="Arial" w:cs="Arial"/>
          <w:sz w:val="24"/>
          <w:szCs w:val="24"/>
        </w:rPr>
        <w:t>use,</w:t>
      </w:r>
      <w:r>
        <w:rPr>
          <w:rFonts w:ascii="Arial" w:hAnsi="Arial" w:cs="Arial"/>
          <w:sz w:val="24"/>
          <w:szCs w:val="24"/>
        </w:rPr>
        <w:t xml:space="preserve"> then the application could be cancelled if the freehold person had prior knowledge</w:t>
      </w:r>
      <w:r w:rsidR="008409BB">
        <w:rPr>
          <w:rFonts w:ascii="Arial" w:hAnsi="Arial" w:cs="Arial"/>
          <w:sz w:val="24"/>
          <w:szCs w:val="24"/>
        </w:rPr>
        <w:t xml:space="preserve"> of the use before the grant or that the freehold person had any actual knowledge of its use, but only after the grant and that they were unable to have taken any action to prevent its use.</w:t>
      </w:r>
      <w:r w:rsidR="00B020A1">
        <w:rPr>
          <w:rFonts w:ascii="Arial" w:hAnsi="Arial" w:cs="Arial"/>
          <w:sz w:val="24"/>
          <w:szCs w:val="24"/>
        </w:rPr>
        <w:t xml:space="preserve"> The use of this need not be constant but needs to be long. If there is to be any unexplained periods where the land is not used, then this will prevent the easement from arising. If the claim is to be made under the 1832 Prescription Act, then a break cannot be treated as an interruption that is in use until acquiesced in for one year.</w:t>
      </w:r>
    </w:p>
    <w:p w14:paraId="21022390" w14:textId="7FEEB2D3" w:rsidR="00B020A1" w:rsidRDefault="00B020A1">
      <w:pPr>
        <w:rPr>
          <w:rFonts w:ascii="Arial" w:hAnsi="Arial" w:cs="Arial"/>
          <w:sz w:val="24"/>
          <w:szCs w:val="24"/>
        </w:rPr>
      </w:pPr>
      <w:r>
        <w:rPr>
          <w:rFonts w:ascii="Arial" w:hAnsi="Arial" w:cs="Arial"/>
          <w:sz w:val="24"/>
          <w:szCs w:val="24"/>
        </w:rPr>
        <w:t xml:space="preserve">The point of all this was to be considered by the House of Lords in the case of Blackwell Management Ltd v Brandwood (2004) UKHL 14). This means that if the right had not been granted lawfully by deed like a right to pollute a river which is contrary to a prohibition, then this would not be acquired by prescription. The Law of </w:t>
      </w:r>
      <w:r>
        <w:rPr>
          <w:rFonts w:ascii="Arial" w:hAnsi="Arial" w:cs="Arial"/>
          <w:sz w:val="24"/>
          <w:szCs w:val="24"/>
        </w:rPr>
        <w:lastRenderedPageBreak/>
        <w:t>Property Act 1925, section 193 su</w:t>
      </w:r>
      <w:r w:rsidR="00395142">
        <w:rPr>
          <w:rFonts w:ascii="Arial" w:hAnsi="Arial" w:cs="Arial"/>
          <w:sz w:val="24"/>
          <w:szCs w:val="24"/>
        </w:rPr>
        <w:t>b section 4 would make this a criminal offence to drive over a common. The Road Traffic Act 1988 section 34 would make this a criminal offence to drive a vehicle over any land which is not a road, but a restricted byway or over a bridleway or public footpath. (HM Land Registry).</w:t>
      </w:r>
      <w:r w:rsidR="00DB2290">
        <w:rPr>
          <w:rFonts w:ascii="Arial" w:hAnsi="Arial" w:cs="Arial"/>
          <w:sz w:val="24"/>
          <w:szCs w:val="24"/>
        </w:rPr>
        <w:t xml:space="preserve"> </w:t>
      </w:r>
    </w:p>
    <w:p w14:paraId="5563C43C" w14:textId="3E19B31B" w:rsidR="00DB2290" w:rsidRDefault="00DB2290">
      <w:pPr>
        <w:rPr>
          <w:rFonts w:ascii="Arial" w:hAnsi="Arial" w:cs="Arial"/>
          <w:sz w:val="24"/>
          <w:szCs w:val="24"/>
        </w:rPr>
      </w:pPr>
      <w:r>
        <w:rPr>
          <w:rFonts w:ascii="Arial" w:hAnsi="Arial" w:cs="Arial"/>
          <w:sz w:val="24"/>
          <w:szCs w:val="24"/>
        </w:rPr>
        <w:t>(Accessed: 30/10/2022).</w:t>
      </w:r>
    </w:p>
    <w:p w14:paraId="7AF8F2B7" w14:textId="0E01471E" w:rsidR="00DB2290" w:rsidRDefault="00DB2290">
      <w:pPr>
        <w:rPr>
          <w:rFonts w:ascii="Arial" w:hAnsi="Arial" w:cs="Arial"/>
          <w:sz w:val="24"/>
          <w:szCs w:val="24"/>
        </w:rPr>
      </w:pPr>
      <w:r>
        <w:rPr>
          <w:rFonts w:ascii="Arial" w:hAnsi="Arial" w:cs="Arial"/>
          <w:sz w:val="24"/>
          <w:szCs w:val="24"/>
        </w:rPr>
        <w:t>Common Law for property will belong to two or more people – pro indiviso which means without any demarcation of shares. This can be characterised by an existence of the right of the common owner to compel a division of said property. The main difference between statutory law and common law would be that statutory law is a current statute or a written law, whereas common law is usually based upon judicial opinions. (Lexis Nexis: accessed: 01/11/2022).</w:t>
      </w:r>
    </w:p>
    <w:p w14:paraId="62120F5B" w14:textId="39088AA1" w:rsidR="00A132F5" w:rsidRDefault="00A132F5">
      <w:pPr>
        <w:rPr>
          <w:rFonts w:ascii="Arial" w:hAnsi="Arial" w:cs="Arial"/>
          <w:sz w:val="24"/>
          <w:szCs w:val="24"/>
        </w:rPr>
      </w:pPr>
      <w:r>
        <w:rPr>
          <w:rFonts w:ascii="Arial" w:hAnsi="Arial" w:cs="Arial"/>
          <w:sz w:val="24"/>
          <w:szCs w:val="24"/>
        </w:rPr>
        <w:t xml:space="preserve">If you have an easement upon your property, it means a third party, an individual or even someone like the waterboard </w:t>
      </w:r>
      <w:proofErr w:type="gramStart"/>
      <w:r>
        <w:rPr>
          <w:rFonts w:ascii="Arial" w:hAnsi="Arial" w:cs="Arial"/>
          <w:sz w:val="24"/>
          <w:szCs w:val="24"/>
        </w:rPr>
        <w:t>actually have</w:t>
      </w:r>
      <w:proofErr w:type="gramEnd"/>
      <w:r>
        <w:rPr>
          <w:rFonts w:ascii="Arial" w:hAnsi="Arial" w:cs="Arial"/>
          <w:sz w:val="24"/>
          <w:szCs w:val="24"/>
        </w:rPr>
        <w:t xml:space="preserve"> the right to use your property for a set purpose. This may mean that someone is passing by foot, or the use of a vehicle over your property. This also gives them the right to pass any service media for the use of utilities on, over or even under your property. (Smith, P, accessed: 01/11/2022)</w:t>
      </w:r>
      <w:r w:rsidR="00E25001">
        <w:rPr>
          <w:rFonts w:ascii="Arial" w:hAnsi="Arial" w:cs="Arial"/>
          <w:sz w:val="24"/>
          <w:szCs w:val="24"/>
        </w:rPr>
        <w:t>.</w:t>
      </w:r>
    </w:p>
    <w:p w14:paraId="7084F51B" w14:textId="47EC20CC" w:rsidR="00A132F5" w:rsidRDefault="00A132F5">
      <w:pPr>
        <w:rPr>
          <w:rFonts w:ascii="Arial" w:hAnsi="Arial" w:cs="Arial"/>
          <w:sz w:val="24"/>
          <w:szCs w:val="24"/>
        </w:rPr>
      </w:pPr>
      <w:r>
        <w:rPr>
          <w:rFonts w:ascii="Arial" w:hAnsi="Arial" w:cs="Arial"/>
          <w:sz w:val="24"/>
          <w:szCs w:val="24"/>
        </w:rPr>
        <w:t>Lost modern grant means a way of acquiring an easement by long user. This is a period of twenty years continuous user that is not enjoyed by stealth, force or with permission gives rise to a presumption that an easement was</w:t>
      </w:r>
      <w:r w:rsidR="00E25001">
        <w:rPr>
          <w:rFonts w:ascii="Arial" w:hAnsi="Arial" w:cs="Arial"/>
          <w:sz w:val="24"/>
          <w:szCs w:val="24"/>
        </w:rPr>
        <w:t xml:space="preserve"> formally granted. The presumption is not rebuttable. (Davies, N, Taggart, L 2021) Accessed: 01/11/2022).</w:t>
      </w:r>
    </w:p>
    <w:p w14:paraId="48B31B15" w14:textId="6372279B" w:rsidR="00ED0C00" w:rsidRDefault="00ED0C00">
      <w:pPr>
        <w:rPr>
          <w:rFonts w:ascii="Arial" w:hAnsi="Arial" w:cs="Arial"/>
          <w:sz w:val="24"/>
          <w:szCs w:val="24"/>
        </w:rPr>
      </w:pPr>
      <w:proofErr w:type="spellStart"/>
      <w:r>
        <w:rPr>
          <w:rFonts w:ascii="Arial" w:hAnsi="Arial" w:cs="Arial"/>
          <w:sz w:val="24"/>
          <w:szCs w:val="24"/>
        </w:rPr>
        <w:t>Tehidy</w:t>
      </w:r>
      <w:proofErr w:type="spellEnd"/>
      <w:r>
        <w:rPr>
          <w:rFonts w:ascii="Arial" w:hAnsi="Arial" w:cs="Arial"/>
          <w:sz w:val="24"/>
          <w:szCs w:val="24"/>
        </w:rPr>
        <w:t xml:space="preserve"> </w:t>
      </w:r>
      <w:r w:rsidR="00CA12A8">
        <w:rPr>
          <w:rFonts w:ascii="Arial" w:hAnsi="Arial" w:cs="Arial"/>
          <w:sz w:val="24"/>
          <w:szCs w:val="24"/>
        </w:rPr>
        <w:t>Minerals was</w:t>
      </w:r>
      <w:r>
        <w:rPr>
          <w:rFonts w:ascii="Arial" w:hAnsi="Arial" w:cs="Arial"/>
          <w:sz w:val="24"/>
          <w:szCs w:val="24"/>
        </w:rPr>
        <w:t xml:space="preserve"> a case that involved a claim for a prescriptive profit on </w:t>
      </w:r>
      <w:proofErr w:type="spellStart"/>
      <w:r>
        <w:rPr>
          <w:rFonts w:ascii="Arial" w:hAnsi="Arial" w:cs="Arial"/>
          <w:sz w:val="24"/>
          <w:szCs w:val="24"/>
        </w:rPr>
        <w:t>Bodmin</w:t>
      </w:r>
      <w:proofErr w:type="spellEnd"/>
      <w:r>
        <w:rPr>
          <w:rFonts w:ascii="Arial" w:hAnsi="Arial" w:cs="Arial"/>
          <w:sz w:val="24"/>
          <w:szCs w:val="24"/>
        </w:rPr>
        <w:t xml:space="preserve"> Moor which allowed animals to graze upon it.</w:t>
      </w:r>
      <w:r w:rsidR="00CA12A8">
        <w:rPr>
          <w:rFonts w:ascii="Arial" w:hAnsi="Arial" w:cs="Arial"/>
          <w:sz w:val="24"/>
          <w:szCs w:val="24"/>
        </w:rPr>
        <w:t xml:space="preserve"> In 1920 some farmers placed their sheep to graze upon the servient land. This was ongoing until 1941 because the War Office requisitioned the land for military purposes. The sheep continued to graze there, but this grazing was by permission only. This was first given by the War Office, after the land had been derequisitioned, from the servient owners. The farmers were able to claim lost modern grant because of a prescriptive profit of pasture </w:t>
      </w:r>
      <w:proofErr w:type="gramStart"/>
      <w:r w:rsidR="00CA12A8">
        <w:rPr>
          <w:rFonts w:ascii="Arial" w:hAnsi="Arial" w:cs="Arial"/>
          <w:sz w:val="24"/>
          <w:szCs w:val="24"/>
        </w:rPr>
        <w:t>on the basis of</w:t>
      </w:r>
      <w:proofErr w:type="gramEnd"/>
      <w:r w:rsidR="00CA12A8">
        <w:rPr>
          <w:rFonts w:ascii="Arial" w:hAnsi="Arial" w:cs="Arial"/>
          <w:sz w:val="24"/>
          <w:szCs w:val="24"/>
        </w:rPr>
        <w:t xml:space="preserve"> their 1920 to 1941 user. This lost modern grant came about as the claimant had strong evidence of twenty years user as of right. If the deed, which had been lost can be assumed to have been executed if immediately before user as of right commenced, and twenty years before user as of right were to ce</w:t>
      </w:r>
      <w:r w:rsidR="00C97F26">
        <w:rPr>
          <w:rFonts w:ascii="Arial" w:hAnsi="Arial" w:cs="Arial"/>
          <w:sz w:val="24"/>
          <w:szCs w:val="24"/>
        </w:rPr>
        <w:t>ase. (</w:t>
      </w:r>
      <w:proofErr w:type="spellStart"/>
      <w:r w:rsidR="00C97F26">
        <w:rPr>
          <w:rFonts w:ascii="Arial" w:hAnsi="Arial" w:cs="Arial"/>
          <w:sz w:val="24"/>
          <w:szCs w:val="24"/>
        </w:rPr>
        <w:t>Bogusz</w:t>
      </w:r>
      <w:proofErr w:type="spellEnd"/>
      <w:r w:rsidR="00C97F26">
        <w:rPr>
          <w:rFonts w:ascii="Arial" w:hAnsi="Arial" w:cs="Arial"/>
          <w:sz w:val="24"/>
          <w:szCs w:val="24"/>
        </w:rPr>
        <w:t>, B, Sexton, R).</w:t>
      </w:r>
      <w:r w:rsidR="00CA12A8">
        <w:rPr>
          <w:rFonts w:ascii="Arial" w:hAnsi="Arial" w:cs="Arial"/>
          <w:sz w:val="24"/>
          <w:szCs w:val="24"/>
        </w:rPr>
        <w:t xml:space="preserve"> </w:t>
      </w:r>
    </w:p>
    <w:p w14:paraId="78F665B2" w14:textId="76941250" w:rsidR="00FE0DFD" w:rsidRDefault="00FE0DFD">
      <w:pPr>
        <w:rPr>
          <w:rFonts w:ascii="Arial" w:hAnsi="Arial" w:cs="Arial"/>
          <w:sz w:val="24"/>
          <w:szCs w:val="24"/>
        </w:rPr>
      </w:pPr>
      <w:r>
        <w:rPr>
          <w:rFonts w:ascii="Arial" w:hAnsi="Arial" w:cs="Arial"/>
          <w:sz w:val="24"/>
          <w:szCs w:val="24"/>
        </w:rPr>
        <w:t>For the Dalton v Angus and Co (1885) All ER, it had to be seen that the servient owner acquiesced within the dominant owner’s use of the right claimed.</w:t>
      </w:r>
      <w:r w:rsidR="00D6344E">
        <w:rPr>
          <w:rFonts w:ascii="Arial" w:hAnsi="Arial" w:cs="Arial"/>
          <w:sz w:val="24"/>
          <w:szCs w:val="24"/>
        </w:rPr>
        <w:t xml:space="preserve"> This case was held that acquiescence had been presumed only if the servient owner had a knowledge of the acts done, the power within him to stop the acts or to sue in respect of them or an abstinence upon his part from the exercise of such powers. This was held as an easement of support for a building that had been acquired, as the building was already there which was supported by its neighbouring building, this was well over twenty years. It was to be said that the neighbouring owner ad acquiesced with the use of the support rights.</w:t>
      </w:r>
    </w:p>
    <w:p w14:paraId="0B76CB63" w14:textId="466AFDA5" w:rsidR="00FE0DFD" w:rsidRDefault="00D6344E">
      <w:pPr>
        <w:rPr>
          <w:rFonts w:ascii="Arial" w:hAnsi="Arial" w:cs="Arial"/>
          <w:sz w:val="24"/>
          <w:szCs w:val="24"/>
        </w:rPr>
      </w:pPr>
      <w:r>
        <w:rPr>
          <w:rFonts w:ascii="Arial" w:hAnsi="Arial" w:cs="Arial"/>
          <w:sz w:val="24"/>
          <w:szCs w:val="24"/>
        </w:rPr>
        <w:lastRenderedPageBreak/>
        <w:t xml:space="preserve">A landowner should not just stand by and let someone else exercise their own rights over the land in which you own. If this landowner does not </w:t>
      </w:r>
      <w:r w:rsidR="000E13C5">
        <w:rPr>
          <w:rFonts w:ascii="Arial" w:hAnsi="Arial" w:cs="Arial"/>
          <w:sz w:val="24"/>
          <w:szCs w:val="24"/>
        </w:rPr>
        <w:t>object,</w:t>
      </w:r>
      <w:r>
        <w:rPr>
          <w:rFonts w:ascii="Arial" w:hAnsi="Arial" w:cs="Arial"/>
          <w:sz w:val="24"/>
          <w:szCs w:val="24"/>
        </w:rPr>
        <w:t xml:space="preserve"> then the right could become irrevocable over </w:t>
      </w:r>
      <w:r w:rsidR="000E13C5">
        <w:rPr>
          <w:rFonts w:ascii="Arial" w:hAnsi="Arial" w:cs="Arial"/>
          <w:sz w:val="24"/>
          <w:szCs w:val="24"/>
        </w:rPr>
        <w:t>time,</w:t>
      </w:r>
      <w:r>
        <w:rPr>
          <w:rFonts w:ascii="Arial" w:hAnsi="Arial" w:cs="Arial"/>
          <w:sz w:val="24"/>
          <w:szCs w:val="24"/>
        </w:rPr>
        <w:t xml:space="preserve"> and they are unable to prevent this from happening.</w:t>
      </w:r>
      <w:r w:rsidR="000E13C5">
        <w:rPr>
          <w:rFonts w:ascii="Arial" w:hAnsi="Arial" w:cs="Arial"/>
          <w:sz w:val="24"/>
          <w:szCs w:val="24"/>
        </w:rPr>
        <w:t xml:space="preserve"> The presumed grant </w:t>
      </w:r>
      <w:proofErr w:type="gramStart"/>
      <w:r w:rsidR="000E13C5">
        <w:rPr>
          <w:rFonts w:ascii="Arial" w:hAnsi="Arial" w:cs="Arial"/>
          <w:sz w:val="24"/>
          <w:szCs w:val="24"/>
        </w:rPr>
        <w:t>has to</w:t>
      </w:r>
      <w:proofErr w:type="gramEnd"/>
      <w:r w:rsidR="000E13C5">
        <w:rPr>
          <w:rFonts w:ascii="Arial" w:hAnsi="Arial" w:cs="Arial"/>
          <w:sz w:val="24"/>
          <w:szCs w:val="24"/>
        </w:rPr>
        <w:t xml:space="preserve"> be by the freehold owner. If the servient land were to be leased to tenants at the time of this presumed grant, this could be said that the freehold owner does not have any power to stop the use of the land. The acts must be exercisable only by the tenants before they can be halted. This must be shown as you can not just state the fact that the servient land had been subjected to a tenancy as this would surely not be enough by itself, there can be no acquiescence by the servient owner. In the case of Williams v Sandy Lane (Chester)Ltd (2006) EWCA </w:t>
      </w:r>
      <w:proofErr w:type="spellStart"/>
      <w:r w:rsidR="000E13C5">
        <w:rPr>
          <w:rFonts w:ascii="Arial" w:hAnsi="Arial" w:cs="Arial"/>
          <w:sz w:val="24"/>
          <w:szCs w:val="24"/>
        </w:rPr>
        <w:t>Civ</w:t>
      </w:r>
      <w:proofErr w:type="spellEnd"/>
      <w:r w:rsidR="008F031F">
        <w:rPr>
          <w:rFonts w:ascii="Arial" w:hAnsi="Arial" w:cs="Arial"/>
          <w:sz w:val="24"/>
          <w:szCs w:val="24"/>
        </w:rPr>
        <w:t xml:space="preserve"> 1738, the Court of Appeal stated that the freeholder did have power to stop claimants from the use of the land. This was held upon the facts of the freeholder not knowing that he had the power to stop the use of the land, during the time that the servient land had been tenanted. This had not acquiesced to the use of the land.</w:t>
      </w:r>
    </w:p>
    <w:p w14:paraId="3325EDE6" w14:textId="77777777" w:rsidR="00FE0DFD" w:rsidRDefault="00FE0DFD">
      <w:pPr>
        <w:rPr>
          <w:rFonts w:ascii="Arial" w:hAnsi="Arial" w:cs="Arial"/>
          <w:sz w:val="24"/>
          <w:szCs w:val="24"/>
        </w:rPr>
      </w:pPr>
    </w:p>
    <w:p w14:paraId="18AD772F" w14:textId="67654571" w:rsidR="00084871" w:rsidRDefault="002163B0">
      <w:pPr>
        <w:rPr>
          <w:rFonts w:ascii="Arial" w:hAnsi="Arial" w:cs="Arial"/>
          <w:sz w:val="24"/>
          <w:szCs w:val="24"/>
        </w:rPr>
      </w:pPr>
      <w:r>
        <w:rPr>
          <w:rFonts w:ascii="Arial" w:hAnsi="Arial" w:cs="Arial"/>
          <w:sz w:val="24"/>
          <w:szCs w:val="24"/>
        </w:rPr>
        <w:t xml:space="preserve">If no easement is implied, then the property becomes landlocked. There must be a common intention of all parties involved so rights maybe granted </w:t>
      </w:r>
      <w:proofErr w:type="gramStart"/>
      <w:r>
        <w:rPr>
          <w:rFonts w:ascii="Arial" w:hAnsi="Arial" w:cs="Arial"/>
          <w:sz w:val="24"/>
          <w:szCs w:val="24"/>
        </w:rPr>
        <w:t>in order to</w:t>
      </w:r>
      <w:proofErr w:type="gramEnd"/>
      <w:r>
        <w:rPr>
          <w:rFonts w:ascii="Arial" w:hAnsi="Arial" w:cs="Arial"/>
          <w:sz w:val="24"/>
          <w:szCs w:val="24"/>
        </w:rPr>
        <w:t xml:space="preserve"> give effect to which the land was intended to be used for.</w:t>
      </w:r>
    </w:p>
    <w:p w14:paraId="2B513F9F" w14:textId="5FD781BE" w:rsidR="002163B0" w:rsidRDefault="002163B0">
      <w:pPr>
        <w:rPr>
          <w:rFonts w:ascii="Arial" w:hAnsi="Arial" w:cs="Arial"/>
          <w:sz w:val="24"/>
          <w:szCs w:val="24"/>
        </w:rPr>
      </w:pPr>
      <w:r>
        <w:rPr>
          <w:rFonts w:ascii="Arial" w:hAnsi="Arial" w:cs="Arial"/>
          <w:sz w:val="24"/>
          <w:szCs w:val="24"/>
        </w:rPr>
        <w:t xml:space="preserve">There are four main essentials characterised to an easement. Two pieces of land linked together which is known as dominant and servient lands. The dominant land enjoys the benefits of the easement and the servient land over which the easement has been </w:t>
      </w:r>
      <w:r w:rsidR="00034D3D">
        <w:rPr>
          <w:rFonts w:ascii="Arial" w:hAnsi="Arial" w:cs="Arial"/>
          <w:sz w:val="24"/>
          <w:szCs w:val="24"/>
        </w:rPr>
        <w:t>exercised.</w:t>
      </w:r>
      <w:r>
        <w:rPr>
          <w:rFonts w:ascii="Arial" w:hAnsi="Arial" w:cs="Arial"/>
          <w:sz w:val="24"/>
          <w:szCs w:val="24"/>
        </w:rPr>
        <w:t xml:space="preserve"> The easement is only used in connection to a piece of land, this may not be used indepe</w:t>
      </w:r>
      <w:r w:rsidR="00034D3D">
        <w:rPr>
          <w:rFonts w:ascii="Arial" w:hAnsi="Arial" w:cs="Arial"/>
          <w:sz w:val="24"/>
          <w:szCs w:val="24"/>
        </w:rPr>
        <w:t xml:space="preserve">ndently. Easement must be linked to the dominant land and not to be used for personal advantages to the owner. These two pieces of land do not need to adjoin to each other, but there must be a good degree of proximity between them. Both owners of the dominant and servient tenements must be different people. Also, the right must be capable of forming the subject matter of a </w:t>
      </w:r>
      <w:r w:rsidR="0007633A">
        <w:rPr>
          <w:rFonts w:ascii="Arial" w:hAnsi="Arial" w:cs="Arial"/>
          <w:sz w:val="24"/>
          <w:szCs w:val="24"/>
        </w:rPr>
        <w:t>grant.</w:t>
      </w:r>
    </w:p>
    <w:p w14:paraId="120A1C2B" w14:textId="5832334A" w:rsidR="00034D3D" w:rsidRDefault="00034D3D">
      <w:pPr>
        <w:rPr>
          <w:rFonts w:ascii="Arial" w:hAnsi="Arial" w:cs="Arial"/>
          <w:sz w:val="24"/>
          <w:szCs w:val="24"/>
        </w:rPr>
      </w:pPr>
      <w:r>
        <w:rPr>
          <w:rFonts w:ascii="Arial" w:hAnsi="Arial" w:cs="Arial"/>
          <w:sz w:val="24"/>
          <w:szCs w:val="24"/>
        </w:rPr>
        <w:t xml:space="preserve">For an easement, requirements were put down by Lord Justice </w:t>
      </w:r>
      <w:proofErr w:type="spellStart"/>
      <w:r>
        <w:rPr>
          <w:rFonts w:ascii="Arial" w:hAnsi="Arial" w:cs="Arial"/>
          <w:sz w:val="24"/>
          <w:szCs w:val="24"/>
        </w:rPr>
        <w:t>Danckwerts</w:t>
      </w:r>
      <w:proofErr w:type="spellEnd"/>
      <w:r>
        <w:rPr>
          <w:rFonts w:ascii="Arial" w:hAnsi="Arial" w:cs="Arial"/>
          <w:sz w:val="24"/>
          <w:szCs w:val="24"/>
        </w:rPr>
        <w:t xml:space="preserve"> in the Ellenborough Park case (1956) Ch 131. This was the case where </w:t>
      </w:r>
      <w:proofErr w:type="gramStart"/>
      <w:r>
        <w:rPr>
          <w:rFonts w:ascii="Arial" w:hAnsi="Arial" w:cs="Arial"/>
          <w:sz w:val="24"/>
          <w:szCs w:val="24"/>
        </w:rPr>
        <w:t>a number of</w:t>
      </w:r>
      <w:proofErr w:type="gramEnd"/>
      <w:r>
        <w:rPr>
          <w:rFonts w:ascii="Arial" w:hAnsi="Arial" w:cs="Arial"/>
          <w:sz w:val="24"/>
          <w:szCs w:val="24"/>
        </w:rPr>
        <w:t xml:space="preserve"> </w:t>
      </w:r>
      <w:r w:rsidR="0007633A">
        <w:rPr>
          <w:rFonts w:ascii="Arial" w:hAnsi="Arial" w:cs="Arial"/>
          <w:sz w:val="24"/>
          <w:szCs w:val="24"/>
        </w:rPr>
        <w:t>landowners</w:t>
      </w:r>
      <w:r>
        <w:rPr>
          <w:rFonts w:ascii="Arial" w:hAnsi="Arial" w:cs="Arial"/>
          <w:sz w:val="24"/>
          <w:szCs w:val="24"/>
        </w:rPr>
        <w:t xml:space="preserve"> claimed the right of enjoyment to a piece of neighbouring land to use for the purpose of leisure, this could </w:t>
      </w:r>
      <w:r w:rsidR="0007633A">
        <w:rPr>
          <w:rFonts w:ascii="Arial" w:hAnsi="Arial" w:cs="Arial"/>
          <w:sz w:val="24"/>
          <w:szCs w:val="24"/>
        </w:rPr>
        <w:t xml:space="preserve">exist as an easement. </w:t>
      </w:r>
      <w:r w:rsidR="00974A99">
        <w:rPr>
          <w:rFonts w:ascii="Arial" w:hAnsi="Arial" w:cs="Arial"/>
          <w:sz w:val="24"/>
          <w:szCs w:val="24"/>
        </w:rPr>
        <w:t>(Smith</w:t>
      </w:r>
      <w:r w:rsidR="0007633A">
        <w:rPr>
          <w:rFonts w:ascii="Arial" w:hAnsi="Arial" w:cs="Arial"/>
          <w:sz w:val="24"/>
          <w:szCs w:val="24"/>
        </w:rPr>
        <w:t xml:space="preserve">, </w:t>
      </w:r>
      <w:r w:rsidR="00974A99">
        <w:rPr>
          <w:rFonts w:ascii="Arial" w:hAnsi="Arial" w:cs="Arial"/>
          <w:sz w:val="24"/>
          <w:szCs w:val="24"/>
        </w:rPr>
        <w:t>P) Accessed</w:t>
      </w:r>
      <w:r w:rsidR="0007633A">
        <w:rPr>
          <w:rFonts w:ascii="Arial" w:hAnsi="Arial" w:cs="Arial"/>
          <w:sz w:val="24"/>
          <w:szCs w:val="24"/>
        </w:rPr>
        <w:t xml:space="preserve"> :01/11/2022.</w:t>
      </w:r>
    </w:p>
    <w:p w14:paraId="56A376D8" w14:textId="21CA8F3F" w:rsidR="00974A99" w:rsidRDefault="00974A99">
      <w:pPr>
        <w:rPr>
          <w:rFonts w:ascii="Arial" w:hAnsi="Arial" w:cs="Arial"/>
          <w:sz w:val="24"/>
          <w:szCs w:val="24"/>
        </w:rPr>
      </w:pPr>
      <w:r>
        <w:rPr>
          <w:rFonts w:ascii="Arial" w:hAnsi="Arial" w:cs="Arial"/>
          <w:sz w:val="24"/>
          <w:szCs w:val="24"/>
        </w:rPr>
        <w:t xml:space="preserve">The easement </w:t>
      </w:r>
      <w:proofErr w:type="gramStart"/>
      <w:r>
        <w:rPr>
          <w:rFonts w:ascii="Arial" w:hAnsi="Arial" w:cs="Arial"/>
          <w:sz w:val="24"/>
          <w:szCs w:val="24"/>
        </w:rPr>
        <w:t>has to</w:t>
      </w:r>
      <w:proofErr w:type="gramEnd"/>
      <w:r>
        <w:rPr>
          <w:rFonts w:ascii="Arial" w:hAnsi="Arial" w:cs="Arial"/>
          <w:sz w:val="24"/>
          <w:szCs w:val="24"/>
        </w:rPr>
        <w:t xml:space="preserve"> also accommodate any dominant tenement, two cases that show this would be Hill v Tupper (1863) 2 H &amp; C121 and also Moody v </w:t>
      </w:r>
      <w:proofErr w:type="spellStart"/>
      <w:r>
        <w:rPr>
          <w:rFonts w:ascii="Arial" w:hAnsi="Arial" w:cs="Arial"/>
          <w:sz w:val="24"/>
          <w:szCs w:val="24"/>
        </w:rPr>
        <w:t>Steggles</w:t>
      </w:r>
      <w:proofErr w:type="spellEnd"/>
      <w:r>
        <w:rPr>
          <w:rFonts w:ascii="Arial" w:hAnsi="Arial" w:cs="Arial"/>
          <w:sz w:val="24"/>
          <w:szCs w:val="24"/>
        </w:rPr>
        <w:t xml:space="preserve"> (1879) 12 Ch D 261.</w:t>
      </w:r>
    </w:p>
    <w:p w14:paraId="72E6176F" w14:textId="53AA33E7" w:rsidR="00974A99" w:rsidRDefault="00974A99">
      <w:pPr>
        <w:rPr>
          <w:rFonts w:ascii="Arial" w:hAnsi="Arial" w:cs="Arial"/>
          <w:sz w:val="24"/>
          <w:szCs w:val="24"/>
        </w:rPr>
      </w:pPr>
      <w:r>
        <w:rPr>
          <w:rFonts w:ascii="Arial" w:hAnsi="Arial" w:cs="Arial"/>
          <w:sz w:val="24"/>
          <w:szCs w:val="24"/>
        </w:rPr>
        <w:t>In the Hill v Tupper case, Hill who was the claimant had a lease of part of some land which was next to a canal. Hill owned the right to put boats on the canal, and when Tupper, the defendant who owned an inn that was near the canal put boats on the water. Hill was to claim that his rights had been infringed upon. The claimant did not have an easement for this case but merely just a licence. As this was unconnected to the enjoyment and use of land then this cannot exist as an easement.</w:t>
      </w:r>
    </w:p>
    <w:p w14:paraId="43961A08" w14:textId="3FBCA561" w:rsidR="00974A99" w:rsidRDefault="00974A99">
      <w:pPr>
        <w:rPr>
          <w:rFonts w:ascii="Arial" w:hAnsi="Arial" w:cs="Arial"/>
          <w:sz w:val="24"/>
          <w:szCs w:val="24"/>
        </w:rPr>
      </w:pPr>
      <w:r>
        <w:rPr>
          <w:rFonts w:ascii="Arial" w:hAnsi="Arial" w:cs="Arial"/>
          <w:sz w:val="24"/>
          <w:szCs w:val="24"/>
        </w:rPr>
        <w:lastRenderedPageBreak/>
        <w:t xml:space="preserve">The Moody v </w:t>
      </w:r>
      <w:proofErr w:type="spellStart"/>
      <w:r>
        <w:rPr>
          <w:rFonts w:ascii="Arial" w:hAnsi="Arial" w:cs="Arial"/>
          <w:sz w:val="24"/>
          <w:szCs w:val="24"/>
        </w:rPr>
        <w:t>Steggles</w:t>
      </w:r>
      <w:proofErr w:type="spellEnd"/>
      <w:r>
        <w:rPr>
          <w:rFonts w:ascii="Arial" w:hAnsi="Arial" w:cs="Arial"/>
          <w:sz w:val="24"/>
          <w:szCs w:val="24"/>
        </w:rPr>
        <w:t xml:space="preserve"> (1879)</w:t>
      </w:r>
      <w:r w:rsidR="001D02AD">
        <w:rPr>
          <w:rFonts w:ascii="Arial" w:hAnsi="Arial" w:cs="Arial"/>
          <w:sz w:val="24"/>
          <w:szCs w:val="24"/>
        </w:rPr>
        <w:t xml:space="preserve"> 12 Ch D 261 case is where an owner of a public house put up an advertising sign on a wall of a neighbouring house. The claim that the right for this existing as an easement was upheld. If the easement would benefit the land, but the fact that the land is being used as a business, then this cannot defeat any claim that this </w:t>
      </w:r>
      <w:proofErr w:type="gramStart"/>
      <w:r w:rsidR="001D02AD">
        <w:rPr>
          <w:rFonts w:ascii="Arial" w:hAnsi="Arial" w:cs="Arial"/>
          <w:sz w:val="24"/>
          <w:szCs w:val="24"/>
        </w:rPr>
        <w:t>actually exists</w:t>
      </w:r>
      <w:proofErr w:type="gramEnd"/>
      <w:r w:rsidR="001D02AD">
        <w:rPr>
          <w:rFonts w:ascii="Arial" w:hAnsi="Arial" w:cs="Arial"/>
          <w:sz w:val="24"/>
          <w:szCs w:val="24"/>
        </w:rPr>
        <w:t xml:space="preserve"> as an easement. (Bray, J).</w:t>
      </w:r>
    </w:p>
    <w:p w14:paraId="4321502E" w14:textId="18DD40FD" w:rsidR="00725593" w:rsidRDefault="00725593">
      <w:pPr>
        <w:rPr>
          <w:rFonts w:ascii="Arial" w:hAnsi="Arial" w:cs="Arial"/>
          <w:sz w:val="24"/>
          <w:szCs w:val="24"/>
        </w:rPr>
      </w:pPr>
      <w:r>
        <w:rPr>
          <w:rFonts w:ascii="Arial" w:hAnsi="Arial" w:cs="Arial"/>
          <w:sz w:val="24"/>
          <w:szCs w:val="24"/>
        </w:rPr>
        <w:t>If an easement is to be made by prescription alone, then this cannot be solely based upon the use of any land that maybe illegal, even if the servient</w:t>
      </w:r>
      <w:r w:rsidR="004D204A">
        <w:rPr>
          <w:rFonts w:ascii="Arial" w:hAnsi="Arial" w:cs="Arial"/>
          <w:sz w:val="24"/>
          <w:szCs w:val="24"/>
        </w:rPr>
        <w:t xml:space="preserve"> landowner were to offer their permission. An example of this would be to discharge any wastewater into rivers or streams. This would be illegal without the consent of the Environment Agency. So, if there is an easement of drainage for such wastewater into the river or the stream this cannot be granted by prescription.  This due to the servient owner as they are unable to legally grant this sort of easement. This can be seen in the case of George </w:t>
      </w:r>
      <w:proofErr w:type="spellStart"/>
      <w:r w:rsidR="004D204A">
        <w:rPr>
          <w:rFonts w:ascii="Arial" w:hAnsi="Arial" w:cs="Arial"/>
          <w:sz w:val="24"/>
          <w:szCs w:val="24"/>
        </w:rPr>
        <w:t>Legge</w:t>
      </w:r>
      <w:proofErr w:type="spellEnd"/>
      <w:r w:rsidR="004D204A">
        <w:rPr>
          <w:rFonts w:ascii="Arial" w:hAnsi="Arial" w:cs="Arial"/>
          <w:sz w:val="24"/>
          <w:szCs w:val="24"/>
        </w:rPr>
        <w:t xml:space="preserve"> and Son Ltd v Wenlock Corporation (1938) 1 ALL ER37.</w:t>
      </w:r>
      <w:r w:rsidR="003353B1">
        <w:rPr>
          <w:rFonts w:ascii="Arial" w:hAnsi="Arial" w:cs="Arial"/>
          <w:sz w:val="24"/>
          <w:szCs w:val="24"/>
        </w:rPr>
        <w:t xml:space="preserve"> </w:t>
      </w:r>
    </w:p>
    <w:p w14:paraId="7B12E374" w14:textId="4DE0674F" w:rsidR="00C41123" w:rsidRDefault="00C41123">
      <w:pPr>
        <w:rPr>
          <w:rFonts w:ascii="Arial" w:hAnsi="Arial" w:cs="Arial"/>
          <w:sz w:val="24"/>
          <w:szCs w:val="24"/>
        </w:rPr>
      </w:pPr>
      <w:r>
        <w:rPr>
          <w:rFonts w:ascii="Arial" w:hAnsi="Arial" w:cs="Arial"/>
          <w:sz w:val="24"/>
          <w:szCs w:val="24"/>
        </w:rPr>
        <w:t xml:space="preserve">For the case of Bakewell Management Ltd v Roland Brandwood and </w:t>
      </w:r>
      <w:proofErr w:type="spellStart"/>
      <w:r>
        <w:rPr>
          <w:rFonts w:ascii="Arial" w:hAnsi="Arial" w:cs="Arial"/>
          <w:sz w:val="24"/>
          <w:szCs w:val="24"/>
        </w:rPr>
        <w:t>Ors</w:t>
      </w:r>
      <w:proofErr w:type="spellEnd"/>
      <w:r>
        <w:rPr>
          <w:rFonts w:ascii="Arial" w:hAnsi="Arial" w:cs="Arial"/>
          <w:sz w:val="24"/>
          <w:szCs w:val="24"/>
        </w:rPr>
        <w:t xml:space="preserve"> (2004) UKHL 14, the owner or the claimant of land which was bordered by houses that belonged to the defendants. The defendants had for years been driving over the land to get to their homes. Following the decision granted by the Court of Appeal in </w:t>
      </w:r>
      <w:proofErr w:type="spellStart"/>
      <w:r>
        <w:rPr>
          <w:rFonts w:ascii="Arial" w:hAnsi="Arial" w:cs="Arial"/>
          <w:sz w:val="24"/>
          <w:szCs w:val="24"/>
        </w:rPr>
        <w:t>Hanning</w:t>
      </w:r>
      <w:proofErr w:type="spellEnd"/>
      <w:r>
        <w:rPr>
          <w:rFonts w:ascii="Arial" w:hAnsi="Arial" w:cs="Arial"/>
          <w:sz w:val="24"/>
          <w:szCs w:val="24"/>
        </w:rPr>
        <w:t xml:space="preserve"> v Top Deck Travel (1993) 68 P &amp;CR 14 were to claim that defendants couldn’t establish any easements of way by a prescription, as driving across common land with no permission would be a criminal offence under LPA 1925 s 193 (4)</w:t>
      </w:r>
      <w:r w:rsidR="00827907">
        <w:rPr>
          <w:rFonts w:ascii="Arial" w:hAnsi="Arial" w:cs="Arial"/>
          <w:sz w:val="24"/>
          <w:szCs w:val="24"/>
        </w:rPr>
        <w:t>. The owner tried to claim a sum of money from the householders, but only in return for an express grant for an easement.</w:t>
      </w:r>
    </w:p>
    <w:p w14:paraId="6EB3726B" w14:textId="19720013" w:rsidR="00827907" w:rsidRDefault="00827907">
      <w:pPr>
        <w:rPr>
          <w:rFonts w:ascii="Arial" w:hAnsi="Arial" w:cs="Arial"/>
          <w:sz w:val="24"/>
          <w:szCs w:val="24"/>
        </w:rPr>
      </w:pPr>
      <w:r>
        <w:rPr>
          <w:rFonts w:ascii="Arial" w:hAnsi="Arial" w:cs="Arial"/>
          <w:sz w:val="24"/>
          <w:szCs w:val="24"/>
        </w:rPr>
        <w:t xml:space="preserve">This was said to be overruled in the </w:t>
      </w:r>
      <w:proofErr w:type="spellStart"/>
      <w:r>
        <w:rPr>
          <w:rFonts w:ascii="Arial" w:hAnsi="Arial" w:cs="Arial"/>
          <w:sz w:val="24"/>
          <w:szCs w:val="24"/>
        </w:rPr>
        <w:t>Hanning</w:t>
      </w:r>
      <w:proofErr w:type="spellEnd"/>
      <w:r>
        <w:rPr>
          <w:rFonts w:ascii="Arial" w:hAnsi="Arial" w:cs="Arial"/>
          <w:sz w:val="24"/>
          <w:szCs w:val="24"/>
        </w:rPr>
        <w:t xml:space="preserve"> v Top Deck Travel case as easements could be established by prescription. This is only allowed if the right claimed, which was to drive over common land then this would be classed as legal within the permission of the servient landowner.</w:t>
      </w:r>
    </w:p>
    <w:p w14:paraId="4579A5DB" w14:textId="6F4168FE" w:rsidR="002F3038" w:rsidRDefault="002F3038">
      <w:pPr>
        <w:rPr>
          <w:rFonts w:ascii="Arial" w:hAnsi="Arial" w:cs="Arial"/>
          <w:sz w:val="24"/>
          <w:szCs w:val="24"/>
        </w:rPr>
      </w:pPr>
      <w:r>
        <w:rPr>
          <w:rFonts w:ascii="Arial" w:hAnsi="Arial" w:cs="Arial"/>
          <w:sz w:val="24"/>
          <w:szCs w:val="24"/>
        </w:rPr>
        <w:t>The 1832 Prescription Act was to rationalise any law that gave regard to prescription. Instead, this went on to add another type of prescription. It went on to complicate the law even further. This third prescription did not receive many complaints over the years, but recently Lord Neuberger was to state in the case of London Tara Hotel Ltd v Kensington Close Hotel Ltd.</w:t>
      </w:r>
      <w:r w:rsidR="00745448">
        <w:rPr>
          <w:rFonts w:ascii="Arial" w:hAnsi="Arial" w:cs="Arial"/>
          <w:sz w:val="24"/>
          <w:szCs w:val="24"/>
        </w:rPr>
        <w:t xml:space="preserve"> (2012) P &amp;CR 271.</w:t>
      </w:r>
    </w:p>
    <w:p w14:paraId="1CB7DB29" w14:textId="34B4DF7B" w:rsidR="009524B0" w:rsidRDefault="002F3038">
      <w:pPr>
        <w:rPr>
          <w:rFonts w:ascii="Arial" w:hAnsi="Arial" w:cs="Arial"/>
          <w:sz w:val="24"/>
          <w:szCs w:val="24"/>
        </w:rPr>
      </w:pPr>
      <w:r>
        <w:rPr>
          <w:rFonts w:ascii="Arial" w:hAnsi="Arial" w:cs="Arial"/>
          <w:sz w:val="24"/>
          <w:szCs w:val="24"/>
        </w:rPr>
        <w:t>“The law pursuant to which easements can be acquired through</w:t>
      </w:r>
      <w:r w:rsidR="009524B0">
        <w:rPr>
          <w:rFonts w:ascii="Arial" w:hAnsi="Arial" w:cs="Arial"/>
          <w:sz w:val="24"/>
          <w:szCs w:val="24"/>
        </w:rPr>
        <w:t xml:space="preserve"> long use has been bedevilled with artificial doctrines developed by judges over many centuries, and the law has been complicated rather than assisted by the notoriously ill – drafted Prescription Act of 1832, whose survival on the statute book for over one hundred and seventy – five years provides some support for the adage that only the good die young”.  (Lord Neuberger MR).</w:t>
      </w:r>
    </w:p>
    <w:p w14:paraId="19EE4AED" w14:textId="3717B47A" w:rsidR="009524B0" w:rsidRDefault="009524B0">
      <w:pPr>
        <w:rPr>
          <w:rFonts w:ascii="Arial" w:hAnsi="Arial" w:cs="Arial"/>
          <w:sz w:val="24"/>
          <w:szCs w:val="24"/>
        </w:rPr>
      </w:pPr>
      <w:r>
        <w:rPr>
          <w:rFonts w:ascii="Arial" w:hAnsi="Arial" w:cs="Arial"/>
          <w:sz w:val="24"/>
          <w:szCs w:val="24"/>
        </w:rPr>
        <w:t>This piece of work wasn’t the easiest to get to grips with, but interesting to learn how to understand</w:t>
      </w:r>
      <w:r w:rsidR="00F62DBC">
        <w:rPr>
          <w:rFonts w:ascii="Arial" w:hAnsi="Arial" w:cs="Arial"/>
          <w:sz w:val="24"/>
          <w:szCs w:val="24"/>
        </w:rPr>
        <w:t xml:space="preserve"> the workings of property law or land law. There are a lot of cases to read and the majority of those are not so easy to follow or understand. By doing this assignment then you are slowly able to learn how an </w:t>
      </w:r>
      <w:r w:rsidR="00745448">
        <w:rPr>
          <w:rFonts w:ascii="Arial" w:hAnsi="Arial" w:cs="Arial"/>
          <w:sz w:val="24"/>
          <w:szCs w:val="24"/>
        </w:rPr>
        <w:t>easement can</w:t>
      </w:r>
      <w:r w:rsidR="00F62DBC">
        <w:rPr>
          <w:rFonts w:ascii="Arial" w:hAnsi="Arial" w:cs="Arial"/>
          <w:sz w:val="24"/>
          <w:szCs w:val="24"/>
        </w:rPr>
        <w:t xml:space="preserve"> be acquired or created by prescription.</w:t>
      </w:r>
      <w:r w:rsidR="00745448">
        <w:rPr>
          <w:rFonts w:ascii="Arial" w:hAnsi="Arial" w:cs="Arial"/>
          <w:sz w:val="24"/>
          <w:szCs w:val="24"/>
        </w:rPr>
        <w:t xml:space="preserve"> </w:t>
      </w:r>
    </w:p>
    <w:p w14:paraId="23736AF6" w14:textId="1DDB3384" w:rsidR="00745448" w:rsidRDefault="00745448">
      <w:pPr>
        <w:rPr>
          <w:rFonts w:ascii="Arial" w:hAnsi="Arial" w:cs="Arial"/>
          <w:sz w:val="24"/>
          <w:szCs w:val="24"/>
        </w:rPr>
      </w:pPr>
    </w:p>
    <w:p w14:paraId="7D5401C0" w14:textId="763E77BF" w:rsidR="00745448" w:rsidRDefault="00745448">
      <w:pPr>
        <w:rPr>
          <w:rFonts w:ascii="Arial" w:hAnsi="Arial" w:cs="Arial"/>
          <w:sz w:val="24"/>
          <w:szCs w:val="24"/>
        </w:rPr>
      </w:pPr>
      <w:proofErr w:type="spellStart"/>
      <w:r>
        <w:rPr>
          <w:rFonts w:ascii="Arial" w:hAnsi="Arial" w:cs="Arial"/>
          <w:sz w:val="24"/>
          <w:szCs w:val="24"/>
        </w:rPr>
        <w:lastRenderedPageBreak/>
        <w:t>Bogusz</w:t>
      </w:r>
      <w:proofErr w:type="spellEnd"/>
      <w:r>
        <w:rPr>
          <w:rFonts w:ascii="Arial" w:hAnsi="Arial" w:cs="Arial"/>
          <w:sz w:val="24"/>
          <w:szCs w:val="24"/>
        </w:rPr>
        <w:t>, B, Sexton, R, 2015 4</w:t>
      </w:r>
      <w:r w:rsidRPr="00745448">
        <w:rPr>
          <w:rFonts w:ascii="Arial" w:hAnsi="Arial" w:cs="Arial"/>
          <w:sz w:val="24"/>
          <w:szCs w:val="24"/>
          <w:vertAlign w:val="superscript"/>
        </w:rPr>
        <w:t>th</w:t>
      </w:r>
      <w:r>
        <w:rPr>
          <w:rFonts w:ascii="Arial" w:hAnsi="Arial" w:cs="Arial"/>
          <w:sz w:val="24"/>
          <w:szCs w:val="24"/>
        </w:rPr>
        <w:t xml:space="preserve"> ed Complete Land Law, Oxford, Oxford University Press.</w:t>
      </w:r>
    </w:p>
    <w:p w14:paraId="5584C156" w14:textId="4BCB8462" w:rsidR="00745448" w:rsidRDefault="00745448">
      <w:pPr>
        <w:rPr>
          <w:rFonts w:ascii="Arial" w:hAnsi="Arial" w:cs="Arial"/>
          <w:sz w:val="24"/>
          <w:szCs w:val="24"/>
        </w:rPr>
      </w:pPr>
      <w:r>
        <w:rPr>
          <w:rFonts w:ascii="Arial" w:hAnsi="Arial" w:cs="Arial"/>
          <w:sz w:val="24"/>
          <w:szCs w:val="24"/>
        </w:rPr>
        <w:t>Bray, J, 2009/2010 The facts at your fingertip’s key cases, Oxon, Hodder Education.</w:t>
      </w:r>
    </w:p>
    <w:p w14:paraId="127D305C" w14:textId="725F5F8D" w:rsidR="00745448" w:rsidRDefault="00745448">
      <w:pPr>
        <w:rPr>
          <w:rFonts w:ascii="Arial" w:hAnsi="Arial" w:cs="Arial"/>
          <w:sz w:val="24"/>
          <w:szCs w:val="24"/>
        </w:rPr>
      </w:pPr>
      <w:r>
        <w:rPr>
          <w:rFonts w:ascii="Arial" w:hAnsi="Arial" w:cs="Arial"/>
          <w:sz w:val="24"/>
          <w:szCs w:val="24"/>
        </w:rPr>
        <w:t>Clarke, S, Greer, S, 2014, 4</w:t>
      </w:r>
      <w:r w:rsidRPr="00745448">
        <w:rPr>
          <w:rFonts w:ascii="Arial" w:hAnsi="Arial" w:cs="Arial"/>
          <w:sz w:val="24"/>
          <w:szCs w:val="24"/>
          <w:vertAlign w:val="superscript"/>
        </w:rPr>
        <w:t>th</w:t>
      </w:r>
      <w:r>
        <w:rPr>
          <w:rFonts w:ascii="Arial" w:hAnsi="Arial" w:cs="Arial"/>
          <w:sz w:val="24"/>
          <w:szCs w:val="24"/>
        </w:rPr>
        <w:t xml:space="preserve"> ed Land Law Directions, Oxford, Oxford University Press.</w:t>
      </w:r>
    </w:p>
    <w:p w14:paraId="4FE1A64C" w14:textId="218A712D" w:rsidR="00745448" w:rsidRDefault="00745448">
      <w:pPr>
        <w:rPr>
          <w:rFonts w:ascii="Arial" w:hAnsi="Arial" w:cs="Arial"/>
          <w:sz w:val="24"/>
          <w:szCs w:val="24"/>
        </w:rPr>
      </w:pPr>
      <w:hyperlink r:id="rId7" w:history="1">
        <w:r w:rsidRPr="0042500F">
          <w:rPr>
            <w:rStyle w:val="Hyperlink"/>
            <w:rFonts w:ascii="Arial" w:hAnsi="Arial" w:cs="Arial"/>
            <w:sz w:val="24"/>
            <w:szCs w:val="24"/>
          </w:rPr>
          <w:t>https://www.gov.uk/government/publications/easement-claimed-by-prescription/practice-guide-52-easeme</w:t>
        </w:r>
      </w:hyperlink>
      <w:r>
        <w:rPr>
          <w:rFonts w:ascii="Arial" w:hAnsi="Arial" w:cs="Arial"/>
          <w:sz w:val="24"/>
          <w:szCs w:val="24"/>
        </w:rPr>
        <w:t xml:space="preserve">...  (Accessed: </w:t>
      </w:r>
      <w:r w:rsidR="008931FB">
        <w:rPr>
          <w:rFonts w:ascii="Arial" w:hAnsi="Arial" w:cs="Arial"/>
          <w:sz w:val="24"/>
          <w:szCs w:val="24"/>
        </w:rPr>
        <w:t>30/10/2022).</w:t>
      </w:r>
    </w:p>
    <w:p w14:paraId="0EFEC8B8" w14:textId="140280B6" w:rsidR="00745448" w:rsidRDefault="008931FB">
      <w:pPr>
        <w:rPr>
          <w:rFonts w:ascii="Arial" w:hAnsi="Arial" w:cs="Arial"/>
          <w:sz w:val="24"/>
          <w:szCs w:val="24"/>
        </w:rPr>
      </w:pPr>
      <w:hyperlink w:history="1">
        <w:r w:rsidRPr="0042500F">
          <w:rPr>
            <w:rStyle w:val="Hyperlink"/>
            <w:rFonts w:ascii="Arial" w:hAnsi="Arial" w:cs="Arial"/>
            <w:sz w:val="24"/>
            <w:szCs w:val="24"/>
          </w:rPr>
          <w:t>https://www.lexisnexis.co.uk&gt;legal</w:t>
        </w:r>
      </w:hyperlink>
      <w:r>
        <w:rPr>
          <w:rFonts w:ascii="Arial" w:hAnsi="Arial" w:cs="Arial"/>
          <w:sz w:val="24"/>
          <w:szCs w:val="24"/>
        </w:rPr>
        <w:t xml:space="preserve">  (Accessed: 01/11/2022).</w:t>
      </w:r>
    </w:p>
    <w:p w14:paraId="3F1093D1" w14:textId="27C1E067" w:rsidR="008931FB" w:rsidRDefault="008931FB">
      <w:pPr>
        <w:rPr>
          <w:rFonts w:ascii="Arial" w:hAnsi="Arial" w:cs="Arial"/>
          <w:sz w:val="24"/>
          <w:szCs w:val="24"/>
        </w:rPr>
      </w:pPr>
      <w:hyperlink r:id="rId8" w:history="1">
        <w:r w:rsidRPr="0042500F">
          <w:rPr>
            <w:rStyle w:val="Hyperlink"/>
            <w:rFonts w:ascii="Arial" w:hAnsi="Arial" w:cs="Arial"/>
            <w:sz w:val="24"/>
            <w:szCs w:val="24"/>
          </w:rPr>
          <w:t>https://parissmith.co.uk/blog/easement-the-basic-explained</w:t>
        </w:r>
      </w:hyperlink>
      <w:r>
        <w:rPr>
          <w:rFonts w:ascii="Arial" w:hAnsi="Arial" w:cs="Arial"/>
          <w:sz w:val="24"/>
          <w:szCs w:val="24"/>
        </w:rPr>
        <w:t xml:space="preserve">  (Accessed: 01/11/2022).</w:t>
      </w:r>
    </w:p>
    <w:p w14:paraId="53CA9A6C" w14:textId="1E92F442" w:rsidR="008931FB" w:rsidRDefault="008931FB">
      <w:pPr>
        <w:rPr>
          <w:rFonts w:ascii="Arial" w:hAnsi="Arial" w:cs="Arial"/>
          <w:sz w:val="24"/>
          <w:szCs w:val="24"/>
        </w:rPr>
      </w:pPr>
    </w:p>
    <w:p w14:paraId="06B14559" w14:textId="1B3B21C5" w:rsidR="008931FB" w:rsidRDefault="008931FB">
      <w:pPr>
        <w:rPr>
          <w:rFonts w:ascii="Arial" w:hAnsi="Arial" w:cs="Arial"/>
          <w:sz w:val="24"/>
          <w:szCs w:val="24"/>
        </w:rPr>
      </w:pPr>
      <w:r>
        <w:rPr>
          <w:rFonts w:ascii="Arial" w:hAnsi="Arial" w:cs="Arial"/>
          <w:sz w:val="24"/>
          <w:szCs w:val="24"/>
        </w:rPr>
        <w:t xml:space="preserve">Williams v Sandy Lane (Chester) Ltd (2006) EWCA </w:t>
      </w:r>
      <w:proofErr w:type="spellStart"/>
      <w:r>
        <w:rPr>
          <w:rFonts w:ascii="Arial" w:hAnsi="Arial" w:cs="Arial"/>
          <w:sz w:val="24"/>
          <w:szCs w:val="24"/>
        </w:rPr>
        <w:t>Civ</w:t>
      </w:r>
      <w:proofErr w:type="spellEnd"/>
      <w:r>
        <w:rPr>
          <w:rFonts w:ascii="Arial" w:hAnsi="Arial" w:cs="Arial"/>
          <w:sz w:val="24"/>
          <w:szCs w:val="24"/>
        </w:rPr>
        <w:t xml:space="preserve"> 1738.</w:t>
      </w:r>
    </w:p>
    <w:p w14:paraId="468B482D" w14:textId="3F853C31" w:rsidR="008931FB" w:rsidRDefault="008931FB">
      <w:pPr>
        <w:rPr>
          <w:rFonts w:ascii="Arial" w:hAnsi="Arial" w:cs="Arial"/>
          <w:sz w:val="24"/>
          <w:szCs w:val="24"/>
        </w:rPr>
      </w:pPr>
      <w:r>
        <w:rPr>
          <w:rFonts w:ascii="Arial" w:hAnsi="Arial" w:cs="Arial"/>
          <w:sz w:val="24"/>
          <w:szCs w:val="24"/>
        </w:rPr>
        <w:t>Bakewell Management Ltd v Brandwood (2004) UKHL 14</w:t>
      </w:r>
    </w:p>
    <w:p w14:paraId="7562EB5B" w14:textId="32A2327C" w:rsidR="008931FB" w:rsidRDefault="008931FB">
      <w:pPr>
        <w:rPr>
          <w:rFonts w:ascii="Arial" w:hAnsi="Arial" w:cs="Arial"/>
          <w:sz w:val="24"/>
          <w:szCs w:val="24"/>
        </w:rPr>
      </w:pPr>
      <w:proofErr w:type="spellStart"/>
      <w:r>
        <w:rPr>
          <w:rFonts w:ascii="Arial" w:hAnsi="Arial" w:cs="Arial"/>
          <w:sz w:val="24"/>
          <w:szCs w:val="24"/>
        </w:rPr>
        <w:t>Tehidy</w:t>
      </w:r>
      <w:proofErr w:type="spellEnd"/>
      <w:r>
        <w:rPr>
          <w:rFonts w:ascii="Arial" w:hAnsi="Arial" w:cs="Arial"/>
          <w:sz w:val="24"/>
          <w:szCs w:val="24"/>
        </w:rPr>
        <w:t xml:space="preserve"> Minerals v Norman (1971) 2 QB 528</w:t>
      </w:r>
    </w:p>
    <w:p w14:paraId="13778EB3" w14:textId="51CF9F29" w:rsidR="008931FB" w:rsidRDefault="00EB3C97">
      <w:pPr>
        <w:rPr>
          <w:rFonts w:ascii="Arial" w:hAnsi="Arial" w:cs="Arial"/>
          <w:sz w:val="24"/>
          <w:szCs w:val="24"/>
        </w:rPr>
      </w:pPr>
      <w:r>
        <w:rPr>
          <w:rFonts w:ascii="Arial" w:hAnsi="Arial" w:cs="Arial"/>
          <w:sz w:val="24"/>
          <w:szCs w:val="24"/>
        </w:rPr>
        <w:t xml:space="preserve">Dalton v Angus (1881) ALL ER Rep 1: (1881) Apps </w:t>
      </w:r>
      <w:proofErr w:type="spellStart"/>
      <w:r>
        <w:rPr>
          <w:rFonts w:ascii="Arial" w:hAnsi="Arial" w:cs="Arial"/>
          <w:sz w:val="24"/>
          <w:szCs w:val="24"/>
        </w:rPr>
        <w:t>cas</w:t>
      </w:r>
      <w:proofErr w:type="spellEnd"/>
      <w:r>
        <w:rPr>
          <w:rFonts w:ascii="Arial" w:hAnsi="Arial" w:cs="Arial"/>
          <w:sz w:val="24"/>
          <w:szCs w:val="24"/>
        </w:rPr>
        <w:t xml:space="preserve"> 740.</w:t>
      </w:r>
    </w:p>
    <w:p w14:paraId="3F5AEB5C" w14:textId="7476C42C" w:rsidR="00745448" w:rsidRDefault="00EB3C97">
      <w:pPr>
        <w:rPr>
          <w:rFonts w:ascii="Arial" w:hAnsi="Arial" w:cs="Arial"/>
          <w:sz w:val="24"/>
          <w:szCs w:val="24"/>
        </w:rPr>
      </w:pPr>
      <w:r>
        <w:rPr>
          <w:rFonts w:ascii="Arial" w:hAnsi="Arial" w:cs="Arial"/>
          <w:sz w:val="24"/>
          <w:szCs w:val="24"/>
        </w:rPr>
        <w:t xml:space="preserve">Sandy Lane (Chester) Ltd (2006) EWCA </w:t>
      </w:r>
      <w:proofErr w:type="spellStart"/>
      <w:r>
        <w:rPr>
          <w:rFonts w:ascii="Arial" w:hAnsi="Arial" w:cs="Arial"/>
          <w:sz w:val="24"/>
          <w:szCs w:val="24"/>
        </w:rPr>
        <w:t>Civ</w:t>
      </w:r>
      <w:proofErr w:type="spellEnd"/>
      <w:r>
        <w:rPr>
          <w:rFonts w:ascii="Arial" w:hAnsi="Arial" w:cs="Arial"/>
          <w:sz w:val="24"/>
          <w:szCs w:val="24"/>
        </w:rPr>
        <w:t xml:space="preserve"> 1738</w:t>
      </w:r>
    </w:p>
    <w:p w14:paraId="0B50B317" w14:textId="5BE5BE0F" w:rsidR="00EB3C97" w:rsidRDefault="00EB3C97">
      <w:pPr>
        <w:rPr>
          <w:rFonts w:ascii="Arial" w:hAnsi="Arial" w:cs="Arial"/>
          <w:sz w:val="24"/>
          <w:szCs w:val="24"/>
        </w:rPr>
      </w:pPr>
      <w:r>
        <w:rPr>
          <w:rFonts w:ascii="Arial" w:hAnsi="Arial" w:cs="Arial"/>
          <w:sz w:val="24"/>
          <w:szCs w:val="24"/>
        </w:rPr>
        <w:t xml:space="preserve">Ellenborough Park (1956) </w:t>
      </w:r>
      <w:proofErr w:type="spellStart"/>
      <w:r>
        <w:rPr>
          <w:rFonts w:ascii="Arial" w:hAnsi="Arial" w:cs="Arial"/>
          <w:sz w:val="24"/>
          <w:szCs w:val="24"/>
        </w:rPr>
        <w:t>ch</w:t>
      </w:r>
      <w:proofErr w:type="spellEnd"/>
      <w:r>
        <w:rPr>
          <w:rFonts w:ascii="Arial" w:hAnsi="Arial" w:cs="Arial"/>
          <w:sz w:val="24"/>
          <w:szCs w:val="24"/>
        </w:rPr>
        <w:t xml:space="preserve"> 131</w:t>
      </w:r>
    </w:p>
    <w:p w14:paraId="17B92E0D" w14:textId="074DD05B" w:rsidR="00EB3C97" w:rsidRDefault="00EB3C97">
      <w:pPr>
        <w:rPr>
          <w:rFonts w:ascii="Arial" w:hAnsi="Arial" w:cs="Arial"/>
          <w:sz w:val="24"/>
          <w:szCs w:val="24"/>
        </w:rPr>
      </w:pPr>
      <w:r>
        <w:rPr>
          <w:rFonts w:ascii="Arial" w:hAnsi="Arial" w:cs="Arial"/>
          <w:sz w:val="24"/>
          <w:szCs w:val="24"/>
        </w:rPr>
        <w:t>Hill v Tupper (1863) 2 H&amp;C 121</w:t>
      </w:r>
    </w:p>
    <w:p w14:paraId="4F3ED740" w14:textId="4A408B67" w:rsidR="00EB3C97" w:rsidRDefault="00EB3C97">
      <w:pPr>
        <w:rPr>
          <w:rFonts w:ascii="Arial" w:hAnsi="Arial" w:cs="Arial"/>
          <w:sz w:val="24"/>
          <w:szCs w:val="24"/>
        </w:rPr>
      </w:pPr>
      <w:r>
        <w:rPr>
          <w:rFonts w:ascii="Arial" w:hAnsi="Arial" w:cs="Arial"/>
          <w:sz w:val="24"/>
          <w:szCs w:val="24"/>
        </w:rPr>
        <w:t xml:space="preserve">Moody v </w:t>
      </w:r>
      <w:proofErr w:type="spellStart"/>
      <w:r>
        <w:rPr>
          <w:rFonts w:ascii="Arial" w:hAnsi="Arial" w:cs="Arial"/>
          <w:sz w:val="24"/>
          <w:szCs w:val="24"/>
        </w:rPr>
        <w:t>Steggles</w:t>
      </w:r>
      <w:proofErr w:type="spellEnd"/>
      <w:r>
        <w:rPr>
          <w:rFonts w:ascii="Arial" w:hAnsi="Arial" w:cs="Arial"/>
          <w:sz w:val="24"/>
          <w:szCs w:val="24"/>
        </w:rPr>
        <w:t xml:space="preserve"> (1879) 12 Ch D 261</w:t>
      </w:r>
    </w:p>
    <w:p w14:paraId="2930D692" w14:textId="6E61E2A6" w:rsidR="00EB3C97" w:rsidRDefault="00EB3C97">
      <w:pPr>
        <w:rPr>
          <w:rFonts w:ascii="Arial" w:hAnsi="Arial" w:cs="Arial"/>
          <w:sz w:val="24"/>
          <w:szCs w:val="24"/>
        </w:rPr>
      </w:pPr>
      <w:r>
        <w:rPr>
          <w:rFonts w:ascii="Arial" w:hAnsi="Arial" w:cs="Arial"/>
          <w:sz w:val="24"/>
          <w:szCs w:val="24"/>
        </w:rPr>
        <w:t xml:space="preserve">George </w:t>
      </w:r>
      <w:proofErr w:type="spellStart"/>
      <w:r>
        <w:rPr>
          <w:rFonts w:ascii="Arial" w:hAnsi="Arial" w:cs="Arial"/>
          <w:sz w:val="24"/>
          <w:szCs w:val="24"/>
        </w:rPr>
        <w:t>Legge</w:t>
      </w:r>
      <w:proofErr w:type="spellEnd"/>
      <w:r>
        <w:rPr>
          <w:rFonts w:ascii="Arial" w:hAnsi="Arial" w:cs="Arial"/>
          <w:sz w:val="24"/>
          <w:szCs w:val="24"/>
        </w:rPr>
        <w:t xml:space="preserve"> and son Ltd v Wenlock Corporation (1938) 1 ALL ER37</w:t>
      </w:r>
    </w:p>
    <w:p w14:paraId="3C40DE09" w14:textId="0B641B34" w:rsidR="00EB3C97" w:rsidRDefault="00EB3C97">
      <w:pPr>
        <w:rPr>
          <w:rFonts w:ascii="Arial" w:hAnsi="Arial" w:cs="Arial"/>
          <w:sz w:val="24"/>
          <w:szCs w:val="24"/>
        </w:rPr>
      </w:pPr>
      <w:proofErr w:type="spellStart"/>
      <w:r>
        <w:rPr>
          <w:rFonts w:ascii="Arial" w:hAnsi="Arial" w:cs="Arial"/>
          <w:sz w:val="24"/>
          <w:szCs w:val="24"/>
        </w:rPr>
        <w:t>Hanning</w:t>
      </w:r>
      <w:proofErr w:type="spellEnd"/>
      <w:r>
        <w:rPr>
          <w:rFonts w:ascii="Arial" w:hAnsi="Arial" w:cs="Arial"/>
          <w:sz w:val="24"/>
          <w:szCs w:val="24"/>
        </w:rPr>
        <w:t xml:space="preserve"> v Top Deck Travel (1993) 68 P</w:t>
      </w:r>
      <w:r w:rsidR="00426DDD">
        <w:rPr>
          <w:rFonts w:ascii="Arial" w:hAnsi="Arial" w:cs="Arial"/>
          <w:sz w:val="24"/>
          <w:szCs w:val="24"/>
        </w:rPr>
        <w:t xml:space="preserve"> &amp; CR 14</w:t>
      </w:r>
    </w:p>
    <w:p w14:paraId="1A74523E" w14:textId="2D1126B6" w:rsidR="00426DDD" w:rsidRPr="00A41ABF" w:rsidRDefault="00426DDD">
      <w:pPr>
        <w:rPr>
          <w:rFonts w:ascii="Arial" w:hAnsi="Arial" w:cs="Arial"/>
          <w:sz w:val="24"/>
          <w:szCs w:val="24"/>
        </w:rPr>
      </w:pPr>
      <w:r>
        <w:rPr>
          <w:rFonts w:ascii="Arial" w:hAnsi="Arial" w:cs="Arial"/>
          <w:sz w:val="24"/>
          <w:szCs w:val="24"/>
        </w:rPr>
        <w:t>London Tara Hotel Ltd v Kensington Close Hotel Ltd (2012) P &amp; CR 271</w:t>
      </w:r>
    </w:p>
    <w:sectPr w:rsidR="00426DDD" w:rsidRPr="00A41ABF" w:rsidSect="00A41AB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ABF"/>
    <w:rsid w:val="00034D3D"/>
    <w:rsid w:val="0007633A"/>
    <w:rsid w:val="000772FC"/>
    <w:rsid w:val="00084871"/>
    <w:rsid w:val="000E13C5"/>
    <w:rsid w:val="001D02AD"/>
    <w:rsid w:val="002163B0"/>
    <w:rsid w:val="002C751A"/>
    <w:rsid w:val="002F3038"/>
    <w:rsid w:val="003353B1"/>
    <w:rsid w:val="00395142"/>
    <w:rsid w:val="00426DDD"/>
    <w:rsid w:val="004D204A"/>
    <w:rsid w:val="00725593"/>
    <w:rsid w:val="00745448"/>
    <w:rsid w:val="00827907"/>
    <w:rsid w:val="008409BB"/>
    <w:rsid w:val="00870187"/>
    <w:rsid w:val="008931FB"/>
    <w:rsid w:val="008F031F"/>
    <w:rsid w:val="009524B0"/>
    <w:rsid w:val="00971B13"/>
    <w:rsid w:val="00974A99"/>
    <w:rsid w:val="00A02589"/>
    <w:rsid w:val="00A132F5"/>
    <w:rsid w:val="00A41ABF"/>
    <w:rsid w:val="00B020A1"/>
    <w:rsid w:val="00C41123"/>
    <w:rsid w:val="00C66A3A"/>
    <w:rsid w:val="00C92ACE"/>
    <w:rsid w:val="00C97F26"/>
    <w:rsid w:val="00CA12A8"/>
    <w:rsid w:val="00D6344E"/>
    <w:rsid w:val="00DB2290"/>
    <w:rsid w:val="00E25001"/>
    <w:rsid w:val="00EB3C97"/>
    <w:rsid w:val="00ED0C00"/>
    <w:rsid w:val="00F62DBC"/>
    <w:rsid w:val="00FE0DFD"/>
    <w:rsid w:val="00FE5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2F7CB"/>
  <w15:chartTrackingRefBased/>
  <w15:docId w15:val="{FA0548C7-939E-49B1-816D-75F21535D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1A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1ABF"/>
    <w:rPr>
      <w:rFonts w:eastAsiaTheme="minorEastAsia"/>
      <w:lang w:val="en-US"/>
    </w:rPr>
  </w:style>
  <w:style w:type="paragraph" w:styleId="Title">
    <w:name w:val="Title"/>
    <w:basedOn w:val="Normal"/>
    <w:next w:val="Normal"/>
    <w:link w:val="TitleChar"/>
    <w:uiPriority w:val="10"/>
    <w:qFormat/>
    <w:rsid w:val="00A41ABF"/>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A41ABF"/>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A41ABF"/>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A41ABF"/>
    <w:rPr>
      <w:rFonts w:eastAsiaTheme="minorEastAsia" w:cs="Times New Roman"/>
      <w:color w:val="5A5A5A" w:themeColor="text1" w:themeTint="A5"/>
      <w:spacing w:val="15"/>
      <w:lang w:val="en-US"/>
    </w:rPr>
  </w:style>
  <w:style w:type="character" w:styleId="Hyperlink">
    <w:name w:val="Hyperlink"/>
    <w:basedOn w:val="DefaultParagraphFont"/>
    <w:uiPriority w:val="99"/>
    <w:unhideWhenUsed/>
    <w:rsid w:val="00745448"/>
    <w:rPr>
      <w:color w:val="0563C1" w:themeColor="hyperlink"/>
      <w:u w:val="single"/>
    </w:rPr>
  </w:style>
  <w:style w:type="character" w:styleId="UnresolvedMention">
    <w:name w:val="Unresolved Mention"/>
    <w:basedOn w:val="DefaultParagraphFont"/>
    <w:uiPriority w:val="99"/>
    <w:semiHidden/>
    <w:unhideWhenUsed/>
    <w:rsid w:val="007454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rissmith.co.uk/blog/easement-the-basic-explained" TargetMode="External"/><Relationship Id="rId3" Type="http://schemas.openxmlformats.org/officeDocument/2006/relationships/settings" Target="settings.xml"/><Relationship Id="rId7" Type="http://schemas.openxmlformats.org/officeDocument/2006/relationships/hyperlink" Target="https://www.gov.uk/government/publications/easement-claimed-by-prescription/practice-guide-52-easem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A prespective easement</Abstract>
  <CompanyAddress/>
  <CompanyPhone/>
  <CompanyFax/>
  <CompanyEmail>BMLW6008.</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2099</Words>
  <Characters>11970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Property Law.</vt:lpstr>
    </vt:vector>
  </TitlesOfParts>
  <Company/>
  <LinksUpToDate>false</LinksUpToDate>
  <CharactersWithSpaces>14041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Property Law.</dc:title>
  <dc:subject>Easement by prescription.</dc:subject>
  <dc:creator>Melenie Jane Box</dc:creator>
  <cp:keywords/>
  <dc:description/>
  <cp:lastModifiedBy>Melenie Jane Box</cp:lastModifiedBy>
  <cp:revision>2</cp:revision>
  <dcterms:created xsi:type="dcterms:W3CDTF">2022-11-09T22:17:00Z</dcterms:created>
  <dcterms:modified xsi:type="dcterms:W3CDTF">2022-11-09T22:17:00Z</dcterms:modified>
</cp:coreProperties>
</file>