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90CFE24" w14:textId="77777777" w:rsidR="00BA5DB0" w:rsidRDefault="00BA5DB0">
      <w:pPr>
        <w:spacing w:after="200" w:line="360" w:lineRule="auto"/>
        <w:jc w:val="both"/>
        <w:rPr>
          <w:rFonts w:eastAsia="Times New Roman" w:cs="Times New Roman"/>
          <w:b/>
          <w:sz w:val="24"/>
          <w:szCs w:val="24"/>
        </w:rPr>
      </w:pPr>
    </w:p>
    <w:p w14:paraId="527E6778" w14:textId="77777777" w:rsidR="00BA5DB0" w:rsidRDefault="00BA5DB0">
      <w:pPr>
        <w:spacing w:after="200" w:line="360" w:lineRule="auto"/>
        <w:jc w:val="both"/>
        <w:rPr>
          <w:rFonts w:eastAsia="Times New Roman" w:cs="Times New Roman"/>
          <w:b/>
          <w:sz w:val="24"/>
          <w:szCs w:val="24"/>
        </w:rPr>
      </w:pPr>
    </w:p>
    <w:p w14:paraId="56544FDE" w14:textId="77777777" w:rsidR="00BA5DB0" w:rsidRDefault="00D37352">
      <w:pPr>
        <w:spacing w:after="200"/>
        <w:jc w:val="center"/>
        <w:rPr>
          <w:sz w:val="24"/>
          <w:szCs w:val="24"/>
        </w:rPr>
      </w:pPr>
      <w:r>
        <w:rPr>
          <w:rFonts w:eastAsia="Times New Roman" w:cs="Times New Roman"/>
          <w:b/>
          <w:sz w:val="24"/>
          <w:szCs w:val="24"/>
        </w:rPr>
        <w:t>Assessment component: Individual report</w:t>
      </w:r>
    </w:p>
    <w:p w14:paraId="7B88D95A" w14:textId="77777777" w:rsidR="00BA5DB0" w:rsidRDefault="00BA5DB0">
      <w:pPr>
        <w:spacing w:after="200"/>
        <w:jc w:val="center"/>
        <w:rPr>
          <w:rFonts w:eastAsia="Times New Roman" w:cs="Times New Roman"/>
          <w:sz w:val="24"/>
          <w:szCs w:val="24"/>
        </w:rPr>
      </w:pPr>
    </w:p>
    <w:p w14:paraId="4C074C81" w14:textId="77777777" w:rsidR="00BA5DB0" w:rsidRDefault="00D37352">
      <w:pPr>
        <w:spacing w:after="200"/>
        <w:jc w:val="center"/>
        <w:rPr>
          <w:sz w:val="24"/>
          <w:szCs w:val="24"/>
        </w:rPr>
      </w:pPr>
      <w:r>
        <w:rPr>
          <w:rFonts w:eastAsia="Times New Roman" w:cs="Times New Roman"/>
          <w:b/>
          <w:sz w:val="24"/>
          <w:szCs w:val="24"/>
        </w:rPr>
        <w:t xml:space="preserve">Student Name : </w:t>
      </w:r>
      <w:r>
        <w:rPr>
          <w:rFonts w:eastAsia="Times New Roman" w:cs="Times New Roman"/>
          <w:sz w:val="24"/>
          <w:szCs w:val="24"/>
        </w:rPr>
        <w:t>Krishna Lakhu Khunti</w:t>
      </w:r>
    </w:p>
    <w:p w14:paraId="4F0EBF9D" w14:textId="77777777" w:rsidR="00BA5DB0" w:rsidRDefault="00D37352">
      <w:pPr>
        <w:spacing w:after="200"/>
        <w:jc w:val="center"/>
        <w:rPr>
          <w:sz w:val="24"/>
          <w:szCs w:val="24"/>
        </w:rPr>
      </w:pPr>
      <w:r>
        <w:rPr>
          <w:rFonts w:eastAsia="Times New Roman" w:cs="Times New Roman"/>
          <w:b/>
          <w:sz w:val="24"/>
          <w:szCs w:val="24"/>
        </w:rPr>
        <w:t xml:space="preserve">Student ID : </w:t>
      </w:r>
      <w:r>
        <w:rPr>
          <w:rFonts w:eastAsia="Times New Roman" w:cs="Times New Roman"/>
          <w:sz w:val="24"/>
          <w:szCs w:val="24"/>
        </w:rPr>
        <w:t>2515605</w:t>
      </w:r>
    </w:p>
    <w:p w14:paraId="03D9C035" w14:textId="77777777" w:rsidR="00BA5DB0" w:rsidRDefault="00D37352">
      <w:pPr>
        <w:spacing w:after="200"/>
        <w:jc w:val="center"/>
        <w:rPr>
          <w:sz w:val="24"/>
          <w:szCs w:val="24"/>
        </w:rPr>
      </w:pPr>
      <w:r>
        <w:rPr>
          <w:rFonts w:eastAsia="Times New Roman" w:cs="Times New Roman"/>
          <w:b/>
          <w:sz w:val="24"/>
          <w:szCs w:val="24"/>
        </w:rPr>
        <w:t>Module Name:</w:t>
      </w:r>
      <w:r>
        <w:rPr>
          <w:rFonts w:eastAsia="Times New Roman" w:cs="Times New Roman"/>
          <w:sz w:val="24"/>
          <w:szCs w:val="24"/>
        </w:rPr>
        <w:t xml:space="preserve"> Strategic Management</w:t>
      </w:r>
    </w:p>
    <w:p w14:paraId="53AF6062" w14:textId="77777777" w:rsidR="00BA5DB0" w:rsidRDefault="00D37352">
      <w:pPr>
        <w:spacing w:after="200"/>
        <w:jc w:val="center"/>
        <w:rPr>
          <w:sz w:val="24"/>
          <w:szCs w:val="24"/>
        </w:rPr>
      </w:pPr>
      <w:r>
        <w:rPr>
          <w:rFonts w:eastAsia="Times New Roman" w:cs="Times New Roman"/>
          <w:b/>
          <w:sz w:val="24"/>
          <w:szCs w:val="24"/>
        </w:rPr>
        <w:t xml:space="preserve">Module Code: </w:t>
      </w:r>
      <w:r>
        <w:rPr>
          <w:rFonts w:eastAsia="Times New Roman" w:cs="Times New Roman"/>
          <w:sz w:val="24"/>
          <w:szCs w:val="24"/>
        </w:rPr>
        <w:t>LCMB7003</w:t>
      </w:r>
    </w:p>
    <w:p w14:paraId="6990E902" w14:textId="77777777" w:rsidR="004520CD" w:rsidRDefault="00D37352" w:rsidP="004520CD">
      <w:pPr>
        <w:spacing w:after="200"/>
        <w:jc w:val="center"/>
        <w:rPr>
          <w:sz w:val="24"/>
          <w:szCs w:val="24"/>
          <w:lang w:val="en-IN"/>
        </w:rPr>
      </w:pPr>
      <w:r>
        <w:rPr>
          <w:rFonts w:eastAsia="Times New Roman" w:cs="Times New Roman"/>
          <w:b/>
          <w:sz w:val="24"/>
          <w:szCs w:val="24"/>
        </w:rPr>
        <w:t>Lecturere’s Name:</w:t>
      </w:r>
      <w:r>
        <w:rPr>
          <w:sz w:val="24"/>
          <w:szCs w:val="24"/>
        </w:rPr>
        <w:t xml:space="preserve"> </w:t>
      </w:r>
      <w:proofErr w:type="spellStart"/>
      <w:r>
        <w:rPr>
          <w:sz w:val="24"/>
          <w:szCs w:val="24"/>
          <w:lang w:val="en-IN"/>
        </w:rPr>
        <w:t>Balendran</w:t>
      </w:r>
      <w:proofErr w:type="spellEnd"/>
      <w:r>
        <w:rPr>
          <w:sz w:val="24"/>
          <w:szCs w:val="24"/>
          <w:lang w:val="en-IN"/>
        </w:rPr>
        <w:t xml:space="preserve"> </w:t>
      </w:r>
      <w:proofErr w:type="spellStart"/>
      <w:r>
        <w:rPr>
          <w:sz w:val="24"/>
          <w:szCs w:val="24"/>
          <w:lang w:val="en-IN"/>
        </w:rPr>
        <w:t>Kandasamy</w:t>
      </w:r>
      <w:proofErr w:type="spellEnd"/>
    </w:p>
    <w:p w14:paraId="0A231F7F" w14:textId="310D62B8" w:rsidR="00BA5DB0" w:rsidRPr="004520CD" w:rsidRDefault="00D37352" w:rsidP="004520CD">
      <w:pPr>
        <w:spacing w:after="200"/>
        <w:jc w:val="center"/>
        <w:rPr>
          <w:sz w:val="24"/>
          <w:szCs w:val="24"/>
          <w:lang w:val="en-IN"/>
        </w:rPr>
      </w:pPr>
      <w:r>
        <w:rPr>
          <w:rFonts w:eastAsia="Times New Roman" w:cs="Times New Roman"/>
          <w:b/>
          <w:sz w:val="24"/>
          <w:szCs w:val="24"/>
        </w:rPr>
        <w:t xml:space="preserve">Word Count : </w:t>
      </w:r>
      <w:r>
        <w:rPr>
          <w:sz w:val="24"/>
          <w:szCs w:val="24"/>
        </w:rPr>
        <w:t xml:space="preserve">5000 words (± 10%) </w:t>
      </w:r>
    </w:p>
    <w:p w14:paraId="007BFCF8" w14:textId="77777777" w:rsidR="00BA5DB0" w:rsidRDefault="00D37352">
      <w:pPr>
        <w:spacing w:after="200"/>
        <w:jc w:val="center"/>
        <w:rPr>
          <w:sz w:val="24"/>
          <w:szCs w:val="24"/>
        </w:rPr>
      </w:pPr>
      <w:r>
        <w:rPr>
          <w:rFonts w:eastAsia="Times New Roman" w:cs="Times New Roman"/>
          <w:sz w:val="24"/>
          <w:szCs w:val="24"/>
        </w:rPr>
        <w:t>Term 2</w:t>
      </w:r>
    </w:p>
    <w:p w14:paraId="2FA4618E" w14:textId="77777777" w:rsidR="00BA5DB0" w:rsidRDefault="00BA5DB0">
      <w:pPr>
        <w:spacing w:after="200" w:line="360" w:lineRule="auto"/>
        <w:jc w:val="both"/>
        <w:rPr>
          <w:rFonts w:eastAsia="Times New Roman" w:cs="Times New Roman"/>
          <w:b/>
          <w:sz w:val="24"/>
          <w:szCs w:val="24"/>
        </w:rPr>
      </w:pPr>
    </w:p>
    <w:p w14:paraId="503F458D" w14:textId="77777777" w:rsidR="00BA5DB0" w:rsidRDefault="00D37352">
      <w:pPr>
        <w:spacing w:after="200" w:line="360" w:lineRule="auto"/>
        <w:jc w:val="both"/>
        <w:rPr>
          <w:rFonts w:eastAsia="Times New Roman" w:cs="Times New Roman"/>
          <w:b/>
          <w:sz w:val="24"/>
          <w:szCs w:val="24"/>
        </w:rPr>
      </w:pPr>
      <w:r>
        <w:br w:type="page"/>
      </w:r>
    </w:p>
    <w:p w14:paraId="265C03B6" w14:textId="77777777" w:rsidR="00BA5DB0" w:rsidRDefault="00D37352">
      <w:pPr>
        <w:spacing w:after="200" w:line="360" w:lineRule="auto"/>
        <w:jc w:val="center"/>
        <w:rPr>
          <w:sz w:val="24"/>
          <w:szCs w:val="24"/>
        </w:rPr>
      </w:pPr>
      <w:r>
        <w:rPr>
          <w:rFonts w:eastAsia="Times New Roman" w:cs="Times New Roman"/>
          <w:b/>
          <w:sz w:val="24"/>
          <w:szCs w:val="24"/>
        </w:rPr>
        <w:lastRenderedPageBreak/>
        <w:t>Table of contents</w:t>
      </w:r>
    </w:p>
    <w:sdt>
      <w:sdtPr>
        <w:id w:val="-509371428"/>
        <w:docPartObj>
          <w:docPartGallery w:val="Table of Contents"/>
          <w:docPartUnique/>
        </w:docPartObj>
      </w:sdtPr>
      <w:sdtContent>
        <w:p w14:paraId="330711F1" w14:textId="77777777" w:rsidR="00BA5DB0" w:rsidRDefault="00D37352">
          <w:pPr>
            <w:pStyle w:val="Normal11"/>
            <w:tabs>
              <w:tab w:val="right" w:leader="dot" w:pos="9350"/>
            </w:tabs>
            <w:spacing w:after="100" w:line="360" w:lineRule="auto"/>
            <w:jc w:val="both"/>
            <w:rPr>
              <w:color w:val="000000"/>
              <w:sz w:val="24"/>
              <w:szCs w:val="24"/>
              <w:lang w:val="en-GB"/>
            </w:rPr>
          </w:pPr>
          <w:r>
            <w:fldChar w:fldCharType="begin"/>
          </w:r>
          <w:r>
            <w:rPr>
              <w:rStyle w:val="IndexLink"/>
              <w:color w:val="000000"/>
              <w:sz w:val="24"/>
              <w:szCs w:val="24"/>
              <w:lang w:val="en-GB"/>
            </w:rPr>
            <w:instrText xml:space="preserve"> TOC \z \o "1-9" \u \t "heading 1,1,heading 2,2,heading 3,3,heading 4,4,heading 5,5,heading 6,6" \h</w:instrText>
          </w:r>
          <w:r>
            <w:rPr>
              <w:rStyle w:val="IndexLink"/>
              <w:lang w:val="en-GB"/>
            </w:rPr>
            <w:fldChar w:fldCharType="separate"/>
          </w:r>
          <w:r>
            <w:rPr>
              <w:rStyle w:val="IndexLink"/>
              <w:color w:val="000000"/>
              <w:sz w:val="24"/>
              <w:szCs w:val="24"/>
              <w:lang w:val="en-GB"/>
            </w:rPr>
            <w:t>Section</w:t>
          </w:r>
          <w:hyperlink w:anchor="_heading=h.23tgpdk0faao">
            <w:r>
              <w:rPr>
                <w:rStyle w:val="IndexLink"/>
                <w:webHidden/>
                <w:color w:val="000000"/>
                <w:sz w:val="24"/>
                <w:szCs w:val="24"/>
                <w:lang w:val="en-GB"/>
              </w:rPr>
              <w:t xml:space="preserve"> 0: </w:t>
            </w:r>
          </w:hyperlink>
          <w:hyperlink w:anchor="_heading=h.ntzrut26mc3g">
            <w:r>
              <w:rPr>
                <w:rStyle w:val="IndexLink"/>
                <w:webHidden/>
                <w:color w:val="000000"/>
                <w:sz w:val="24"/>
                <w:szCs w:val="24"/>
                <w:lang w:val="en-GB"/>
              </w:rPr>
              <w:t xml:space="preserve">Introduction to the report </w:t>
            </w:r>
          </w:hyperlink>
          <w:hyperlink w:anchor="_heading=h.23tgpdk0faao">
            <w:r>
              <w:rPr>
                <w:rStyle w:val="IndexLink"/>
                <w:webHidden/>
                <w:color w:val="000000"/>
                <w:sz w:val="24"/>
                <w:szCs w:val="24"/>
                <w:lang w:val="en-GB"/>
              </w:rPr>
              <w:t xml:space="preserve"> ………………………………………………..….. </w:t>
            </w:r>
          </w:hyperlink>
          <w:r>
            <w:rPr>
              <w:color w:val="000000"/>
              <w:sz w:val="24"/>
              <w:szCs w:val="24"/>
              <w:lang w:val="en-GB"/>
            </w:rPr>
            <w:t>4</w:t>
          </w:r>
        </w:p>
        <w:p w14:paraId="31482690" w14:textId="77777777" w:rsidR="00BA5DB0" w:rsidRDefault="00D37352">
          <w:pPr>
            <w:pStyle w:val="Normal11"/>
            <w:tabs>
              <w:tab w:val="right" w:leader="dot" w:pos="9350"/>
            </w:tabs>
            <w:spacing w:after="100" w:line="360" w:lineRule="auto"/>
            <w:jc w:val="both"/>
            <w:rPr>
              <w:color w:val="000000"/>
              <w:sz w:val="24"/>
              <w:szCs w:val="24"/>
              <w:lang w:val="en-GB"/>
            </w:rPr>
          </w:pPr>
          <w:r>
            <w:rPr>
              <w:color w:val="000000"/>
              <w:sz w:val="24"/>
              <w:szCs w:val="24"/>
              <w:lang w:val="en-GB"/>
            </w:rPr>
            <w:t>Section 1: Organisational Context and Overview …………………………………….... 5</w:t>
          </w:r>
        </w:p>
        <w:p w14:paraId="37FC3E40" w14:textId="77777777" w:rsidR="00BA5DB0" w:rsidRDefault="00D37352">
          <w:pPr>
            <w:pStyle w:val="Normal11"/>
            <w:tabs>
              <w:tab w:val="right" w:leader="dot" w:pos="9350"/>
            </w:tabs>
            <w:spacing w:after="100" w:line="360" w:lineRule="auto"/>
            <w:jc w:val="both"/>
            <w:rPr>
              <w:color w:val="000000"/>
              <w:sz w:val="24"/>
              <w:szCs w:val="24"/>
              <w:lang w:val="en-GB"/>
            </w:rPr>
          </w:pPr>
          <w:r>
            <w:rPr>
              <w:color w:val="000000"/>
              <w:sz w:val="24"/>
              <w:szCs w:val="24"/>
              <w:lang w:val="en-GB"/>
            </w:rPr>
            <w:t>Section 2: External and Internal Analysis …………………………………………….... 8</w:t>
          </w:r>
        </w:p>
        <w:p w14:paraId="62ECF238" w14:textId="77777777" w:rsidR="00BA5DB0" w:rsidRDefault="00D37352">
          <w:pPr>
            <w:pStyle w:val="Normal11"/>
            <w:tabs>
              <w:tab w:val="right" w:leader="dot" w:pos="9350"/>
            </w:tabs>
            <w:spacing w:after="100" w:line="360" w:lineRule="auto"/>
            <w:jc w:val="both"/>
            <w:rPr>
              <w:color w:val="000000"/>
              <w:sz w:val="24"/>
              <w:szCs w:val="24"/>
              <w:lang w:val="en-GB"/>
            </w:rPr>
          </w:pPr>
          <w:r>
            <w:rPr>
              <w:color w:val="000000"/>
              <w:sz w:val="24"/>
              <w:szCs w:val="24"/>
              <w:lang w:val="en-GB"/>
            </w:rPr>
            <w:t xml:space="preserve">    Macro Environmental Analysis (PESTLE) ...………………………………………... 8</w:t>
          </w:r>
        </w:p>
        <w:p w14:paraId="3715276F" w14:textId="77777777" w:rsidR="00BA5DB0" w:rsidRDefault="00D37352">
          <w:pPr>
            <w:pStyle w:val="Normal11"/>
            <w:tabs>
              <w:tab w:val="right" w:leader="dot" w:pos="9350"/>
            </w:tabs>
            <w:spacing w:after="100" w:line="360" w:lineRule="auto"/>
            <w:jc w:val="both"/>
            <w:rPr>
              <w:color w:val="000000"/>
              <w:sz w:val="24"/>
              <w:szCs w:val="24"/>
              <w:lang w:val="en-GB"/>
            </w:rPr>
          </w:pPr>
          <w:r>
            <w:rPr>
              <w:color w:val="000000"/>
              <w:sz w:val="24"/>
              <w:szCs w:val="24"/>
              <w:lang w:val="en-GB"/>
            </w:rPr>
            <w:t xml:space="preserve">    Internal Capabilities VRIO Analysis  ...……………………………….…………….  12</w:t>
          </w:r>
        </w:p>
        <w:p w14:paraId="4196A60A" w14:textId="77777777" w:rsidR="00BA5DB0" w:rsidRDefault="00D37352">
          <w:pPr>
            <w:pStyle w:val="Normal11"/>
            <w:tabs>
              <w:tab w:val="right" w:leader="dot" w:pos="9350"/>
            </w:tabs>
            <w:spacing w:after="100" w:line="360" w:lineRule="auto"/>
            <w:jc w:val="both"/>
            <w:rPr>
              <w:color w:val="000000"/>
              <w:sz w:val="24"/>
              <w:szCs w:val="24"/>
              <w:lang w:val="en-GB"/>
            </w:rPr>
          </w:pPr>
          <w:r>
            <w:rPr>
              <w:color w:val="000000"/>
              <w:sz w:val="24"/>
              <w:szCs w:val="24"/>
              <w:lang w:val="en-GB"/>
            </w:rPr>
            <w:t xml:space="preserve">    SWOT Analysis  …………………………………….………………………….…...  14</w:t>
          </w:r>
        </w:p>
        <w:p w14:paraId="4B6CA9DF" w14:textId="77777777" w:rsidR="00BA5DB0" w:rsidRDefault="00D37352">
          <w:pPr>
            <w:pStyle w:val="Normal11"/>
            <w:tabs>
              <w:tab w:val="right" w:leader="dot" w:pos="9350"/>
            </w:tabs>
            <w:spacing w:after="100" w:line="360" w:lineRule="auto"/>
            <w:jc w:val="both"/>
            <w:rPr>
              <w:color w:val="000000"/>
              <w:sz w:val="24"/>
              <w:szCs w:val="24"/>
              <w:lang w:val="en-GB"/>
            </w:rPr>
          </w:pPr>
          <w:r>
            <w:rPr>
              <w:color w:val="000000"/>
              <w:sz w:val="24"/>
              <w:szCs w:val="24"/>
              <w:lang w:val="en-GB"/>
            </w:rPr>
            <w:t>Section 3: Comprehensive and Holistic View of the Organisation .………………….... 15</w:t>
          </w:r>
        </w:p>
        <w:p w14:paraId="22BD9A7E" w14:textId="77777777" w:rsidR="00BA5DB0" w:rsidRDefault="00D37352">
          <w:pPr>
            <w:pStyle w:val="Normal11"/>
            <w:tabs>
              <w:tab w:val="right" w:leader="dot" w:pos="9350"/>
            </w:tabs>
            <w:spacing w:after="100" w:line="360" w:lineRule="auto"/>
            <w:jc w:val="both"/>
            <w:rPr>
              <w:color w:val="000000"/>
              <w:sz w:val="24"/>
              <w:szCs w:val="24"/>
              <w:lang w:val="en-GB"/>
            </w:rPr>
          </w:pPr>
          <w:r>
            <w:rPr>
              <w:color w:val="000000"/>
              <w:sz w:val="24"/>
              <w:szCs w:val="24"/>
              <w:lang w:val="en-GB"/>
            </w:rPr>
            <w:t xml:space="preserve">    Alignment of Business and CSR Objectives ………………………………………... 15</w:t>
          </w:r>
        </w:p>
        <w:p w14:paraId="5EDC9C61" w14:textId="77777777" w:rsidR="00BA5DB0" w:rsidRDefault="00D37352">
          <w:pPr>
            <w:pStyle w:val="Normal11"/>
            <w:tabs>
              <w:tab w:val="right" w:leader="dot" w:pos="9350"/>
            </w:tabs>
            <w:spacing w:after="100" w:line="360" w:lineRule="auto"/>
            <w:jc w:val="both"/>
            <w:rPr>
              <w:color w:val="000000"/>
              <w:sz w:val="24"/>
              <w:szCs w:val="24"/>
              <w:lang w:val="en-GB"/>
            </w:rPr>
          </w:pPr>
          <w:r>
            <w:rPr>
              <w:color w:val="000000"/>
              <w:sz w:val="24"/>
              <w:szCs w:val="24"/>
              <w:lang w:val="en-GB"/>
            </w:rPr>
            <w:t xml:space="preserve">    Balanced Scorecard Application  ...………..………………………….…………….  18</w:t>
          </w:r>
        </w:p>
        <w:p w14:paraId="50680F74" w14:textId="77777777" w:rsidR="00BA5DB0" w:rsidRDefault="00D37352">
          <w:pPr>
            <w:pStyle w:val="Normal11"/>
            <w:tabs>
              <w:tab w:val="right" w:leader="dot" w:pos="9350"/>
            </w:tabs>
            <w:spacing w:after="100" w:line="360" w:lineRule="auto"/>
            <w:jc w:val="both"/>
            <w:rPr>
              <w:color w:val="000000"/>
              <w:sz w:val="24"/>
              <w:szCs w:val="24"/>
              <w:lang w:val="en-GB"/>
            </w:rPr>
          </w:pPr>
          <w:r>
            <w:rPr>
              <w:color w:val="000000"/>
              <w:sz w:val="24"/>
              <w:szCs w:val="24"/>
              <w:lang w:val="en-GB"/>
            </w:rPr>
            <w:t>Section 4: Strategic Choices and Implementation  ..………………………………….... 20</w:t>
          </w:r>
        </w:p>
        <w:p w14:paraId="4325A34A" w14:textId="77777777" w:rsidR="00BA5DB0" w:rsidRDefault="00D37352">
          <w:pPr>
            <w:pStyle w:val="Normal11"/>
            <w:tabs>
              <w:tab w:val="right" w:leader="dot" w:pos="9350"/>
            </w:tabs>
            <w:spacing w:after="100" w:line="360" w:lineRule="auto"/>
            <w:jc w:val="both"/>
            <w:rPr>
              <w:color w:val="000000"/>
              <w:sz w:val="24"/>
              <w:szCs w:val="24"/>
              <w:lang w:val="en-GB"/>
            </w:rPr>
          </w:pPr>
          <w:r>
            <w:rPr>
              <w:color w:val="000000"/>
              <w:sz w:val="24"/>
              <w:szCs w:val="24"/>
              <w:lang w:val="en-GB"/>
            </w:rPr>
            <w:t xml:space="preserve">    Business Level Choices ……………………………………………………………... 20</w:t>
          </w:r>
        </w:p>
        <w:p w14:paraId="15F63908" w14:textId="77777777" w:rsidR="00BA5DB0" w:rsidRDefault="00D37352">
          <w:pPr>
            <w:pStyle w:val="Normal11"/>
            <w:tabs>
              <w:tab w:val="right" w:leader="dot" w:pos="9350"/>
            </w:tabs>
            <w:spacing w:after="100" w:line="360" w:lineRule="auto"/>
            <w:jc w:val="both"/>
            <w:rPr>
              <w:color w:val="000000"/>
              <w:sz w:val="24"/>
              <w:szCs w:val="24"/>
              <w:lang w:val="en-GB"/>
            </w:rPr>
          </w:pPr>
          <w:r>
            <w:rPr>
              <w:color w:val="000000"/>
              <w:sz w:val="24"/>
              <w:szCs w:val="24"/>
              <w:lang w:val="en-GB"/>
            </w:rPr>
            <w:t xml:space="preserve">    Strategic Recommendations(Ansoff’s Matrix) ……………………….…………….  21</w:t>
          </w:r>
        </w:p>
        <w:p w14:paraId="21F6B802" w14:textId="77777777" w:rsidR="00BA5DB0" w:rsidRDefault="00D37352">
          <w:pPr>
            <w:pStyle w:val="Normal11"/>
            <w:tabs>
              <w:tab w:val="right" w:leader="dot" w:pos="9350"/>
            </w:tabs>
            <w:spacing w:after="100" w:line="360" w:lineRule="auto"/>
            <w:jc w:val="both"/>
            <w:rPr>
              <w:color w:val="000000"/>
              <w:sz w:val="24"/>
              <w:szCs w:val="24"/>
              <w:lang w:val="en-GB"/>
            </w:rPr>
          </w:pPr>
          <w:r>
            <w:rPr>
              <w:color w:val="000000"/>
              <w:sz w:val="24"/>
              <w:szCs w:val="24"/>
              <w:lang w:val="en-GB"/>
            </w:rPr>
            <w:t xml:space="preserve">    Implementation Challenges and Solutions …………….……………………….…...  22</w:t>
          </w:r>
        </w:p>
        <w:p w14:paraId="10FDDEE0" w14:textId="77777777" w:rsidR="00BA5DB0" w:rsidRDefault="00D37352">
          <w:pPr>
            <w:pStyle w:val="Normal11"/>
            <w:tabs>
              <w:tab w:val="right" w:leader="dot" w:pos="9350"/>
            </w:tabs>
            <w:spacing w:after="100" w:line="360" w:lineRule="auto"/>
            <w:jc w:val="both"/>
            <w:rPr>
              <w:color w:val="000000"/>
              <w:sz w:val="24"/>
              <w:szCs w:val="24"/>
              <w:lang w:val="en-GB"/>
            </w:rPr>
          </w:pPr>
          <w:hyperlink w:anchor="_heading=h.p1je4oq0evuy">
            <w:r>
              <w:rPr>
                <w:rStyle w:val="IndexLink"/>
                <w:webHidden/>
                <w:color w:val="000000"/>
                <w:sz w:val="24"/>
                <w:szCs w:val="24"/>
                <w:lang w:val="en-GB"/>
              </w:rPr>
              <w:t xml:space="preserve">Section 5: Reflection  …………………………………………………………..……... </w:t>
            </w:r>
          </w:hyperlink>
          <w:r>
            <w:rPr>
              <w:color w:val="000000"/>
              <w:sz w:val="24"/>
              <w:szCs w:val="24"/>
              <w:lang w:val="en-GB"/>
            </w:rPr>
            <w:t xml:space="preserve"> 24</w:t>
          </w:r>
        </w:p>
        <w:p w14:paraId="765BE90D" w14:textId="77777777" w:rsidR="00BA5DB0" w:rsidRDefault="00D37352">
          <w:pPr>
            <w:pStyle w:val="Normal11"/>
            <w:tabs>
              <w:tab w:val="right" w:leader="dot" w:pos="9350"/>
            </w:tabs>
            <w:spacing w:after="100" w:line="360" w:lineRule="auto"/>
            <w:jc w:val="both"/>
            <w:rPr>
              <w:color w:val="000000"/>
              <w:sz w:val="24"/>
              <w:szCs w:val="24"/>
              <w:lang w:val="en-GB"/>
            </w:rPr>
          </w:pPr>
          <w:hyperlink w:anchor="_heading=h.9awbb0qu0ons">
            <w:r>
              <w:rPr>
                <w:rStyle w:val="IndexLink"/>
                <w:rFonts w:eastAsia="Times New Roman"/>
                <w:webHidden/>
                <w:color w:val="000000"/>
                <w:sz w:val="24"/>
                <w:szCs w:val="24"/>
                <w:lang w:val="en-GB"/>
              </w:rPr>
              <w:t>References …………………………………………………………………………..…</w:t>
            </w:r>
          </w:hyperlink>
          <w:r>
            <w:rPr>
              <w:rFonts w:eastAsia="Times New Roman"/>
              <w:color w:val="000000"/>
              <w:sz w:val="24"/>
              <w:szCs w:val="24"/>
              <w:lang w:val="en-GB"/>
            </w:rPr>
            <w:t xml:space="preserve">  27</w:t>
          </w:r>
          <w:r>
            <w:rPr>
              <w:rFonts w:eastAsia="Times New Roman"/>
              <w:color w:val="000000"/>
              <w:sz w:val="24"/>
              <w:szCs w:val="24"/>
              <w:lang w:val="en-GB"/>
            </w:rPr>
            <w:fldChar w:fldCharType="end"/>
          </w:r>
        </w:p>
      </w:sdtContent>
    </w:sdt>
    <w:p w14:paraId="3F0881F9" w14:textId="77777777" w:rsidR="00BA5DB0" w:rsidRDefault="00BA5DB0">
      <w:pPr>
        <w:spacing w:after="200" w:line="360" w:lineRule="auto"/>
        <w:jc w:val="both"/>
        <w:rPr>
          <w:sz w:val="24"/>
          <w:szCs w:val="24"/>
        </w:rPr>
      </w:pPr>
    </w:p>
    <w:p w14:paraId="446EF6A9" w14:textId="77777777" w:rsidR="00BA5DB0" w:rsidRDefault="00BA5DB0">
      <w:pPr>
        <w:spacing w:after="200" w:line="360" w:lineRule="auto"/>
        <w:jc w:val="both"/>
        <w:rPr>
          <w:sz w:val="24"/>
          <w:szCs w:val="24"/>
        </w:rPr>
      </w:pPr>
    </w:p>
    <w:p w14:paraId="6FF99CFD" w14:textId="77777777" w:rsidR="00BA5DB0" w:rsidRDefault="00BA5DB0">
      <w:pPr>
        <w:spacing w:after="200" w:line="360" w:lineRule="auto"/>
        <w:jc w:val="both"/>
        <w:rPr>
          <w:sz w:val="24"/>
          <w:szCs w:val="24"/>
        </w:rPr>
      </w:pPr>
    </w:p>
    <w:p w14:paraId="56088FD1" w14:textId="77777777" w:rsidR="00BA5DB0" w:rsidRDefault="00BA5DB0">
      <w:pPr>
        <w:spacing w:after="200" w:line="360" w:lineRule="auto"/>
        <w:jc w:val="both"/>
        <w:rPr>
          <w:sz w:val="24"/>
          <w:szCs w:val="24"/>
        </w:rPr>
      </w:pPr>
    </w:p>
    <w:p w14:paraId="21823326" w14:textId="77777777" w:rsidR="00BA5DB0" w:rsidRDefault="00BA5DB0">
      <w:pPr>
        <w:spacing w:after="200" w:line="360" w:lineRule="auto"/>
        <w:jc w:val="both"/>
        <w:rPr>
          <w:sz w:val="24"/>
          <w:szCs w:val="24"/>
        </w:rPr>
      </w:pPr>
    </w:p>
    <w:p w14:paraId="1AF0F3B3" w14:textId="77777777" w:rsidR="00BA5DB0" w:rsidRDefault="00BA5DB0">
      <w:pPr>
        <w:spacing w:after="200" w:line="360" w:lineRule="auto"/>
        <w:jc w:val="both"/>
        <w:rPr>
          <w:sz w:val="24"/>
          <w:szCs w:val="24"/>
        </w:rPr>
      </w:pPr>
    </w:p>
    <w:p w14:paraId="28C1EB07" w14:textId="77777777" w:rsidR="00BA5DB0" w:rsidRDefault="00BA5DB0">
      <w:pPr>
        <w:spacing w:after="200" w:line="360" w:lineRule="auto"/>
        <w:jc w:val="both"/>
        <w:rPr>
          <w:sz w:val="24"/>
          <w:szCs w:val="24"/>
        </w:rPr>
      </w:pPr>
    </w:p>
    <w:p w14:paraId="32622C95" w14:textId="77777777" w:rsidR="00BA5DB0" w:rsidRDefault="00BA5DB0">
      <w:pPr>
        <w:spacing w:after="200" w:line="360" w:lineRule="auto"/>
        <w:jc w:val="both"/>
        <w:rPr>
          <w:sz w:val="24"/>
          <w:szCs w:val="24"/>
        </w:rPr>
      </w:pPr>
    </w:p>
    <w:p w14:paraId="7B551D14" w14:textId="77777777" w:rsidR="00BA5DB0" w:rsidRDefault="00D37352">
      <w:pPr>
        <w:spacing w:after="200" w:line="360" w:lineRule="auto"/>
        <w:jc w:val="center"/>
        <w:rPr>
          <w:b/>
          <w:bCs/>
          <w:sz w:val="24"/>
          <w:szCs w:val="24"/>
        </w:rPr>
      </w:pPr>
      <w:r>
        <w:rPr>
          <w:b/>
          <w:bCs/>
          <w:sz w:val="24"/>
          <w:szCs w:val="24"/>
        </w:rPr>
        <w:lastRenderedPageBreak/>
        <w:t>AI Use Acknowledgement</w:t>
      </w:r>
    </w:p>
    <w:p w14:paraId="0B497703" w14:textId="77777777" w:rsidR="00BA5DB0" w:rsidRDefault="00D37352">
      <w:pPr>
        <w:spacing w:after="200" w:line="360" w:lineRule="auto"/>
        <w:jc w:val="both"/>
        <w:rPr>
          <w:sz w:val="24"/>
          <w:szCs w:val="24"/>
        </w:rPr>
      </w:pPr>
      <w:r>
        <w:rPr>
          <w:sz w:val="24"/>
          <w:szCs w:val="24"/>
        </w:rPr>
        <w:t>I hereby declare that no generative artificial intelligence (AI) technologies, including automated writing assistants, were used to research, write, generate or develop the academic content at any stage of this report. All the steps The research, drafting, writing were conducted entirely by the author. I confirm that the core academic content of this report are my own original work and I relied on authorized academic literature, course materials, and university instructions to develop this report. However, author relied on grammarly only for proofreading and find grammatical errors and then same errors were manually by the author.</w:t>
      </w:r>
    </w:p>
    <w:p w14:paraId="1C677367" w14:textId="77777777" w:rsidR="00BA5DB0" w:rsidRDefault="00BA5DB0">
      <w:pPr>
        <w:spacing w:after="200" w:line="360" w:lineRule="auto"/>
        <w:jc w:val="both"/>
        <w:rPr>
          <w:sz w:val="24"/>
          <w:szCs w:val="24"/>
        </w:rPr>
      </w:pPr>
    </w:p>
    <w:p w14:paraId="47C2EA91" w14:textId="77777777" w:rsidR="00BA5DB0" w:rsidRDefault="00BA5DB0">
      <w:pPr>
        <w:spacing w:after="200" w:line="360" w:lineRule="auto"/>
        <w:jc w:val="both"/>
        <w:rPr>
          <w:sz w:val="24"/>
          <w:szCs w:val="24"/>
        </w:rPr>
      </w:pPr>
    </w:p>
    <w:p w14:paraId="1BADA6B4" w14:textId="77777777" w:rsidR="00BA5DB0" w:rsidRDefault="00BA5DB0">
      <w:pPr>
        <w:spacing w:after="200" w:line="360" w:lineRule="auto"/>
        <w:jc w:val="both"/>
        <w:rPr>
          <w:sz w:val="24"/>
          <w:szCs w:val="24"/>
        </w:rPr>
      </w:pPr>
    </w:p>
    <w:p w14:paraId="6FE0FBB0" w14:textId="77777777" w:rsidR="00BA5DB0" w:rsidRDefault="00BA5DB0">
      <w:pPr>
        <w:spacing w:after="200" w:line="360" w:lineRule="auto"/>
        <w:jc w:val="both"/>
        <w:rPr>
          <w:sz w:val="24"/>
          <w:szCs w:val="24"/>
        </w:rPr>
      </w:pPr>
    </w:p>
    <w:p w14:paraId="252486E6" w14:textId="77777777" w:rsidR="00BA5DB0" w:rsidRDefault="00BA5DB0">
      <w:pPr>
        <w:spacing w:after="200" w:line="360" w:lineRule="auto"/>
        <w:jc w:val="both"/>
        <w:rPr>
          <w:sz w:val="24"/>
          <w:szCs w:val="24"/>
        </w:rPr>
      </w:pPr>
    </w:p>
    <w:p w14:paraId="0557F80E" w14:textId="77777777" w:rsidR="00BA5DB0" w:rsidRDefault="00D37352">
      <w:pPr>
        <w:spacing w:after="200" w:line="360" w:lineRule="auto"/>
        <w:jc w:val="both"/>
        <w:rPr>
          <w:sz w:val="24"/>
          <w:szCs w:val="24"/>
        </w:rPr>
      </w:pPr>
      <w:r>
        <w:br w:type="page"/>
      </w:r>
    </w:p>
    <w:p w14:paraId="1AD3E40A" w14:textId="77777777" w:rsidR="00BA5DB0" w:rsidRDefault="00D37352">
      <w:pPr>
        <w:pStyle w:val="Heading1"/>
        <w:rPr>
          <w:rFonts w:ascii="Arial" w:hAnsi="Arial"/>
        </w:rPr>
      </w:pPr>
      <w:r>
        <w:rPr>
          <w:rFonts w:ascii="Arial" w:hAnsi="Arial"/>
        </w:rPr>
        <w:lastRenderedPageBreak/>
        <w:t>0.0. Introduction</w:t>
      </w:r>
    </w:p>
    <w:p w14:paraId="4DE01AE4" w14:textId="77777777" w:rsidR="00BA5DB0" w:rsidRDefault="00D37352">
      <w:pPr>
        <w:pStyle w:val="normal2"/>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tab/>
        <w:t>Prepared from the perspective of a strategic management consultant, this report contains a comprehensive strategic evaluation of Marks and Spencer Group plc (M&amp;S) within the UK retail market to advise the Board of Directors. The report is structured in two parts. Section 1 presents the primary objective of the report : to critically analyze M&amp;S's current strategic positioning, evaluate the suitability of its overarching "Reshape for Growth" strategy and define its core value proposition. To achieve this, the report has used established strategic management frameworks, including PESTEL, VRIO, and SWOT analyses with a critical evaluation of the organization’s Corporate Social Responsibility (CSR) alignment and a Balanced Scorecard assessment. At the end, this report synthesizes these findings to propose robust, actionable business-level recommendations designed to mitigate implementation challenges and sustain M&amp;S's competitive advantage in a volatile macroeconomic environment. Section 2 provides a reflective account of the research and analytical process followed during this report.</w:t>
      </w:r>
    </w:p>
    <w:p w14:paraId="29746CB4" w14:textId="77777777" w:rsidR="00BA5DB0" w:rsidRDefault="00BA5DB0">
      <w:pPr>
        <w:pStyle w:val="normal2"/>
        <w:spacing w:after="200" w:line="360" w:lineRule="auto"/>
        <w:jc w:val="both"/>
        <w:rPr>
          <w:rFonts w:ascii="Arial" w:eastAsia="Arial" w:hAnsi="Arial" w:cs="Arial"/>
          <w:color w:val="000000"/>
          <w:sz w:val="24"/>
          <w:szCs w:val="24"/>
        </w:rPr>
      </w:pPr>
    </w:p>
    <w:p w14:paraId="727B00FE" w14:textId="77777777" w:rsidR="00BA5DB0" w:rsidRDefault="00BA5DB0">
      <w:pPr>
        <w:pStyle w:val="normal2"/>
        <w:spacing w:after="200" w:line="360" w:lineRule="auto"/>
        <w:jc w:val="both"/>
        <w:rPr>
          <w:rFonts w:ascii="Arial" w:eastAsia="Arial" w:hAnsi="Arial" w:cs="Arial"/>
          <w:color w:val="000000"/>
          <w:sz w:val="24"/>
          <w:szCs w:val="24"/>
        </w:rPr>
      </w:pPr>
    </w:p>
    <w:p w14:paraId="73E1F4AD" w14:textId="77777777" w:rsidR="00BA5DB0" w:rsidRDefault="00BA5DB0">
      <w:pPr>
        <w:pStyle w:val="normal2"/>
        <w:spacing w:after="200" w:line="360" w:lineRule="auto"/>
        <w:jc w:val="both"/>
        <w:rPr>
          <w:rFonts w:ascii="Arial" w:eastAsia="Arial" w:hAnsi="Arial" w:cs="Arial"/>
          <w:color w:val="000000"/>
          <w:sz w:val="24"/>
          <w:szCs w:val="24"/>
        </w:rPr>
      </w:pPr>
    </w:p>
    <w:p w14:paraId="3E7479F9" w14:textId="77777777" w:rsidR="00BA5DB0" w:rsidRDefault="00BA5DB0">
      <w:pPr>
        <w:pStyle w:val="normal2"/>
        <w:spacing w:after="200" w:line="360" w:lineRule="auto"/>
        <w:jc w:val="both"/>
        <w:rPr>
          <w:rFonts w:ascii="Arial" w:eastAsia="Arial" w:hAnsi="Arial" w:cs="Arial"/>
          <w:color w:val="000000"/>
          <w:sz w:val="24"/>
          <w:szCs w:val="24"/>
        </w:rPr>
      </w:pPr>
    </w:p>
    <w:p w14:paraId="1578194E" w14:textId="77777777" w:rsidR="00BA5DB0" w:rsidRDefault="00D37352">
      <w:pPr>
        <w:pStyle w:val="normal2"/>
        <w:spacing w:after="200" w:line="360" w:lineRule="auto"/>
        <w:jc w:val="both"/>
        <w:rPr>
          <w:rFonts w:ascii="Arial" w:eastAsia="Arial" w:hAnsi="Arial" w:cs="Arial"/>
          <w:color w:val="000000"/>
          <w:sz w:val="24"/>
          <w:szCs w:val="24"/>
        </w:rPr>
      </w:pPr>
      <w:r>
        <w:br w:type="page"/>
      </w:r>
    </w:p>
    <w:p w14:paraId="3B6F82A1" w14:textId="77777777" w:rsidR="00BA5DB0" w:rsidRDefault="00D37352">
      <w:pPr>
        <w:pStyle w:val="Heading1"/>
        <w:rPr>
          <w:rFonts w:ascii="Arial" w:hAnsi="Arial"/>
        </w:rPr>
      </w:pPr>
      <w:r>
        <w:rPr>
          <w:rFonts w:ascii="Arial" w:hAnsi="Arial"/>
        </w:rPr>
        <w:lastRenderedPageBreak/>
        <w:t xml:space="preserve">1.0. </w:t>
      </w:r>
      <w:r>
        <w:rPr>
          <w:rFonts w:ascii="Arial" w:hAnsi="Arial"/>
          <w:bCs/>
        </w:rPr>
        <w:t>Organisational Context and Overview</w:t>
      </w:r>
    </w:p>
    <w:p w14:paraId="3FF3244B" w14:textId="77777777" w:rsidR="00BA5DB0" w:rsidRDefault="00D37352">
      <w:pPr>
        <w:spacing w:after="200" w:line="360" w:lineRule="auto"/>
        <w:jc w:val="both"/>
        <w:rPr>
          <w:b/>
          <w:bCs/>
          <w:sz w:val="24"/>
          <w:szCs w:val="24"/>
        </w:rPr>
      </w:pPr>
      <w:r>
        <w:rPr>
          <w:b/>
          <w:bCs/>
          <w:sz w:val="24"/>
          <w:szCs w:val="24"/>
        </w:rPr>
        <w:t>M&amp;S History, Mission, Vision, and Business Model</w:t>
      </w:r>
    </w:p>
    <w:p w14:paraId="6DC427DC" w14:textId="77777777" w:rsidR="00BA5DB0" w:rsidRDefault="00D37352">
      <w:pPr>
        <w:pStyle w:val="normal2"/>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Marks and Spencer Group plc (M&amp;S) was founded in 1884 by Michael Marks and Thomas Spencer as a market stall in Leeds. Over the next 140 years, the brand has grown into one of Britain's best-known heritage retailers (TradingView, 2026). </w:t>
      </w:r>
    </w:p>
    <w:p w14:paraId="193A223A" w14:textId="77777777" w:rsidR="00BA5DB0" w:rsidRDefault="00D37352">
      <w:pPr>
        <w:pStyle w:val="normal2"/>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t>M&amp;S operates across the food, clothing, and home sectors under a vertically integrated, own-label business model with rigorous control over everything from product design and quality to supply chain ethics (Marks and Spencer, 2026a). The organization’s mission statement is “to bring the magic of M&amp;S through exceptional quality, value, service and innovation to every customer, whenever, wherever and however they want to shop with us” (Marks and Spencer, 2026a). Its long-term vision is to remain the United Kingdom’s most trusted brand by delivering outstanding value and maintaining a customer-first approach (Marks and Spencer, 2026a).</w:t>
      </w:r>
    </w:p>
    <w:p w14:paraId="663FD5EC" w14:textId="77777777" w:rsidR="00BA5DB0" w:rsidRDefault="00D37352">
      <w:pPr>
        <w:pStyle w:val="normal2"/>
        <w:spacing w:after="200" w:line="360" w:lineRule="auto"/>
        <w:jc w:val="center"/>
        <w:rPr>
          <w:rFonts w:ascii="Arial" w:eastAsia="Arial" w:hAnsi="Arial" w:cs="Arial"/>
          <w:color w:val="000000"/>
          <w:sz w:val="24"/>
          <w:szCs w:val="24"/>
        </w:rPr>
      </w:pPr>
      <w:r>
        <w:rPr>
          <w:noProof/>
        </w:rPr>
        <w:lastRenderedPageBreak/>
        <w:drawing>
          <wp:anchor distT="0" distB="0" distL="0" distR="0" simplePos="0" relativeHeight="31" behindDoc="0" locked="0" layoutInCell="0" allowOverlap="1" wp14:anchorId="5BFFC6A8" wp14:editId="7E74FD69">
            <wp:simplePos x="0" y="0"/>
            <wp:positionH relativeFrom="column">
              <wp:align>center</wp:align>
            </wp:positionH>
            <wp:positionV relativeFrom="paragraph">
              <wp:posOffset>635</wp:posOffset>
            </wp:positionV>
            <wp:extent cx="3258185" cy="3837940"/>
            <wp:effectExtent l="0" t="0" r="0" b="0"/>
            <wp:wrapTopAndBottom/>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7"/>
                    <a:stretch>
                      <a:fillRect/>
                    </a:stretch>
                  </pic:blipFill>
                  <pic:spPr bwMode="auto">
                    <a:xfrm>
                      <a:off x="0" y="0"/>
                      <a:ext cx="3258185" cy="3837940"/>
                    </a:xfrm>
                    <a:prstGeom prst="rect">
                      <a:avLst/>
                    </a:prstGeom>
                    <a:noFill/>
                  </pic:spPr>
                </pic:pic>
              </a:graphicData>
            </a:graphic>
          </wp:anchor>
        </w:drawing>
      </w:r>
      <w:r>
        <w:rPr>
          <w:rFonts w:ascii="Arial" w:eastAsia="Arial" w:hAnsi="Arial" w:cs="Arial"/>
          <w:color w:val="000000"/>
        </w:rPr>
        <w:t xml:space="preserve">(Source: </w:t>
      </w:r>
      <w:hyperlink r:id="rId8">
        <w:r>
          <w:rPr>
            <w:rStyle w:val="Hyperlink"/>
            <w:rFonts w:ascii="Arial" w:eastAsia="Arial" w:hAnsi="Arial" w:cs="Arial"/>
            <w:color w:val="000000"/>
            <w:u w:val="none"/>
          </w:rPr>
          <w:t>https://corporate.marksandspencer.com/sites/marksandspencer/files/marksandspencer/annual-report/m-and-s-annual-report-and-financial-statements-2026.pdf</w:t>
        </w:r>
      </w:hyperlink>
      <w:r>
        <w:rPr>
          <w:rStyle w:val="Hyperlink"/>
          <w:rFonts w:ascii="Arial" w:eastAsia="Arial" w:hAnsi="Arial" w:cs="Arial"/>
          <w:color w:val="000000"/>
          <w:u w:val="none"/>
        </w:rPr>
        <w:t xml:space="preserve"> </w:t>
      </w:r>
      <w:r>
        <w:rPr>
          <w:rFonts w:ascii="Arial" w:eastAsia="Arial" w:hAnsi="Arial" w:cs="Arial"/>
          <w:color w:val="000000"/>
        </w:rPr>
        <w:t>)</w:t>
      </w:r>
    </w:p>
    <w:p w14:paraId="39FEAA2F" w14:textId="77777777" w:rsidR="00BA5DB0" w:rsidRDefault="00D37352">
      <w:pPr>
        <w:pStyle w:val="normal2"/>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Currently, the company is  shifting from legacy retail operations to a modern, </w:t>
      </w:r>
      <w:proofErr w:type="spellStart"/>
      <w:r>
        <w:rPr>
          <w:rFonts w:ascii="Arial" w:eastAsia="Arial" w:hAnsi="Arial" w:cs="Arial"/>
          <w:color w:val="000000"/>
          <w:sz w:val="24"/>
          <w:szCs w:val="24"/>
        </w:rPr>
        <w:t>omnichannel</w:t>
      </w:r>
      <w:proofErr w:type="spellEnd"/>
      <w:r>
        <w:rPr>
          <w:rFonts w:ascii="Arial" w:eastAsia="Arial" w:hAnsi="Arial" w:cs="Arial"/>
          <w:color w:val="000000"/>
          <w:sz w:val="24"/>
          <w:szCs w:val="24"/>
        </w:rPr>
        <w:t xml:space="preserve"> infrastructure under it’s "Reshape for Growth"  corporate strategy for 2026 (Marks and Spencer, 2026b). This transformation includes renewal of the physical store estate, the aggressive expansion of the food division, the optimization of supply chain logistics and recent acquisition of a fully automated distribution site in Lichfield. Supported by its environmental, social, and governance (ESG) framework; M&amp;S aims to achieve sustainable and profitable growth while protecting its premium brand positioning.</w:t>
      </w:r>
    </w:p>
    <w:p w14:paraId="79D392AE" w14:textId="77777777" w:rsidR="00BA5DB0" w:rsidRDefault="00D37352">
      <w:pPr>
        <w:spacing w:after="200" w:line="360" w:lineRule="auto"/>
        <w:jc w:val="center"/>
        <w:rPr>
          <w:sz w:val="20"/>
          <w:szCs w:val="20"/>
        </w:rPr>
      </w:pPr>
      <w:r>
        <w:rPr>
          <w:noProof/>
        </w:rPr>
        <w:lastRenderedPageBreak/>
        <w:drawing>
          <wp:anchor distT="0" distB="0" distL="0" distR="0" simplePos="0" relativeHeight="32" behindDoc="0" locked="0" layoutInCell="0" allowOverlap="1" wp14:anchorId="692A91F0" wp14:editId="212D9A80">
            <wp:simplePos x="0" y="0"/>
            <wp:positionH relativeFrom="column">
              <wp:align>center</wp:align>
            </wp:positionH>
            <wp:positionV relativeFrom="paragraph">
              <wp:posOffset>635</wp:posOffset>
            </wp:positionV>
            <wp:extent cx="5160645" cy="4910455"/>
            <wp:effectExtent l="0" t="0" r="0" b="0"/>
            <wp:wrapTopAndBottom/>
            <wp:docPr id="2"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4"/>
                    <pic:cNvPicPr>
                      <a:picLocks noChangeAspect="1" noChangeArrowheads="1"/>
                    </pic:cNvPicPr>
                  </pic:nvPicPr>
                  <pic:blipFill>
                    <a:blip r:embed="rId9"/>
                    <a:stretch>
                      <a:fillRect/>
                    </a:stretch>
                  </pic:blipFill>
                  <pic:spPr bwMode="auto">
                    <a:xfrm>
                      <a:off x="0" y="0"/>
                      <a:ext cx="5160645" cy="4910455"/>
                    </a:xfrm>
                    <a:prstGeom prst="rect">
                      <a:avLst/>
                    </a:prstGeom>
                    <a:noFill/>
                  </pic:spPr>
                </pic:pic>
              </a:graphicData>
            </a:graphic>
          </wp:anchor>
        </w:drawing>
      </w:r>
      <w:r>
        <w:rPr>
          <w:sz w:val="20"/>
          <w:szCs w:val="20"/>
        </w:rPr>
        <w:t xml:space="preserve">(Source: </w:t>
      </w:r>
      <w:r>
        <w:fldChar w:fldCharType="begin"/>
      </w:r>
      <w:r>
        <w:instrText>HYPERLINK "https://corporate.marksandspencer.com/sites/marksandspencer/files/2025-05/Marks-and-Spencer-Group-plc-ESG-Report-2025.pdf" \h</w:instrText>
      </w:r>
      <w:r>
        <w:fldChar w:fldCharType="separate"/>
      </w:r>
      <w:r>
        <w:rPr>
          <w:rStyle w:val="Hyperlink"/>
          <w:sz w:val="20"/>
          <w:szCs w:val="20"/>
        </w:rPr>
        <w:t>https://corporate.marksandspencer.com/sites/marksandspencer/files/2025-05/Marks-and-Spencer-Group-plc-ESG-Report-2025.pdf</w:t>
      </w:r>
      <w:r>
        <w:fldChar w:fldCharType="end"/>
      </w:r>
      <w:r>
        <w:rPr>
          <w:sz w:val="20"/>
          <w:szCs w:val="20"/>
        </w:rPr>
        <w:t xml:space="preserve"> )</w:t>
      </w:r>
    </w:p>
    <w:p w14:paraId="44AF1399" w14:textId="77777777" w:rsidR="00BA5DB0" w:rsidRDefault="00BA5DB0">
      <w:pPr>
        <w:spacing w:after="200" w:line="360" w:lineRule="auto"/>
        <w:jc w:val="both"/>
        <w:rPr>
          <w:b/>
          <w:bCs/>
          <w:sz w:val="24"/>
          <w:szCs w:val="24"/>
        </w:rPr>
      </w:pPr>
    </w:p>
    <w:p w14:paraId="0B8FAE20" w14:textId="77777777" w:rsidR="00BA5DB0" w:rsidRDefault="00BA5DB0">
      <w:pPr>
        <w:spacing w:after="200" w:line="360" w:lineRule="auto"/>
        <w:jc w:val="both"/>
        <w:rPr>
          <w:b/>
          <w:bCs/>
          <w:sz w:val="24"/>
          <w:szCs w:val="24"/>
        </w:rPr>
      </w:pPr>
    </w:p>
    <w:p w14:paraId="2217B76D" w14:textId="77777777" w:rsidR="00BA5DB0" w:rsidRDefault="00D37352">
      <w:pPr>
        <w:spacing w:after="200" w:line="360" w:lineRule="auto"/>
        <w:jc w:val="both"/>
        <w:rPr>
          <w:b/>
          <w:bCs/>
          <w:sz w:val="24"/>
          <w:szCs w:val="24"/>
        </w:rPr>
      </w:pPr>
      <w:r>
        <w:rPr>
          <w:b/>
          <w:bCs/>
          <w:sz w:val="24"/>
          <w:szCs w:val="24"/>
        </w:rPr>
        <w:t>UK Market : Industry, Competitors and Market Position</w:t>
      </w:r>
    </w:p>
    <w:p w14:paraId="02E4941D" w14:textId="77777777" w:rsidR="00BA5DB0" w:rsidRDefault="00D37352">
      <w:pPr>
        <w:pStyle w:val="normal2"/>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t>UK retail is highly saturated and competitive industry with significant regulatory burdens. Market is currently facing economic volatility and slowly transitioning towards digital-first shopping (</w:t>
      </w:r>
      <w:proofErr w:type="spellStart"/>
      <w:r>
        <w:rPr>
          <w:rFonts w:ascii="Arial" w:eastAsia="Arial" w:hAnsi="Arial" w:cs="Arial"/>
          <w:color w:val="000000"/>
          <w:sz w:val="24"/>
          <w:szCs w:val="24"/>
        </w:rPr>
        <w:t>Machin</w:t>
      </w:r>
      <w:proofErr w:type="spellEnd"/>
      <w:r>
        <w:rPr>
          <w:rFonts w:ascii="Arial" w:eastAsia="Arial" w:hAnsi="Arial" w:cs="Arial"/>
          <w:color w:val="000000"/>
          <w:sz w:val="24"/>
          <w:szCs w:val="24"/>
        </w:rPr>
        <w:t>, 2026). In such market M&amp;S competes with  fast-fashion retailers(</w:t>
      </w:r>
      <w:proofErr w:type="spellStart"/>
      <w:r>
        <w:rPr>
          <w:rFonts w:ascii="Arial" w:eastAsia="Arial" w:hAnsi="Arial" w:cs="Arial"/>
          <w:color w:val="000000"/>
          <w:sz w:val="24"/>
          <w:szCs w:val="24"/>
        </w:rPr>
        <w:t>Primark</w:t>
      </w:r>
      <w:proofErr w:type="spellEnd"/>
      <w:r>
        <w:rPr>
          <w:rFonts w:ascii="Arial" w:eastAsia="Arial" w:hAnsi="Arial" w:cs="Arial"/>
          <w:color w:val="000000"/>
          <w:sz w:val="24"/>
          <w:szCs w:val="24"/>
        </w:rPr>
        <w:t>), e-commerce giants(</w:t>
      </w:r>
      <w:proofErr w:type="spellStart"/>
      <w:r>
        <w:rPr>
          <w:rFonts w:ascii="Arial" w:eastAsia="Arial" w:hAnsi="Arial" w:cs="Arial"/>
          <w:color w:val="000000"/>
          <w:sz w:val="24"/>
          <w:szCs w:val="24"/>
        </w:rPr>
        <w:t>Shein</w:t>
      </w:r>
      <w:proofErr w:type="spellEnd"/>
      <w:r>
        <w:rPr>
          <w:rFonts w:ascii="Arial" w:eastAsia="Arial" w:hAnsi="Arial" w:cs="Arial"/>
          <w:color w:val="000000"/>
          <w:sz w:val="24"/>
          <w:szCs w:val="24"/>
        </w:rPr>
        <w:t xml:space="preserve">, Temu)  and  established high-street apparel brands (Next) in their  clothing, home and beauty division. M&amp;S Food division </w:t>
      </w:r>
      <w:r>
        <w:rPr>
          <w:rFonts w:ascii="Arial" w:eastAsia="Arial" w:hAnsi="Arial" w:cs="Arial"/>
          <w:color w:val="000000"/>
          <w:sz w:val="24"/>
          <w:szCs w:val="24"/>
        </w:rPr>
        <w:lastRenderedPageBreak/>
        <w:t>competes with premium supermarkets (</w:t>
      </w:r>
      <w:proofErr w:type="spellStart"/>
      <w:r>
        <w:rPr>
          <w:rFonts w:ascii="Arial" w:eastAsia="Arial" w:hAnsi="Arial" w:cs="Arial"/>
          <w:color w:val="000000"/>
          <w:sz w:val="24"/>
          <w:szCs w:val="24"/>
        </w:rPr>
        <w:t>Waitrose</w:t>
      </w:r>
      <w:proofErr w:type="spellEnd"/>
      <w:r>
        <w:rPr>
          <w:rFonts w:ascii="Arial" w:eastAsia="Arial" w:hAnsi="Arial" w:cs="Arial"/>
          <w:color w:val="000000"/>
          <w:sz w:val="24"/>
          <w:szCs w:val="24"/>
        </w:rPr>
        <w:t xml:space="preserve"> and Sainsbury's) and aggressively priced discounters (Aldi and Lidl) simultaneously to defend its market share.</w:t>
      </w:r>
    </w:p>
    <w:p w14:paraId="1612C2E7" w14:textId="77777777" w:rsidR="00BA5DB0" w:rsidRDefault="00D37352">
      <w:pPr>
        <w:pStyle w:val="normal2"/>
        <w:spacing w:after="200" w:line="360" w:lineRule="auto"/>
        <w:jc w:val="center"/>
        <w:rPr>
          <w:rFonts w:ascii="Arial" w:eastAsia="Arial" w:hAnsi="Arial" w:cs="Arial"/>
          <w:color w:val="000000"/>
          <w:sz w:val="24"/>
          <w:szCs w:val="24"/>
        </w:rPr>
      </w:pPr>
      <w:r>
        <w:rPr>
          <w:noProof/>
        </w:rPr>
        <w:drawing>
          <wp:anchor distT="0" distB="0" distL="0" distR="0" simplePos="0" relativeHeight="34" behindDoc="0" locked="0" layoutInCell="0" allowOverlap="1" wp14:anchorId="6D8CF312" wp14:editId="5355D9D2">
            <wp:simplePos x="0" y="0"/>
            <wp:positionH relativeFrom="column">
              <wp:align>center</wp:align>
            </wp:positionH>
            <wp:positionV relativeFrom="paragraph">
              <wp:posOffset>635</wp:posOffset>
            </wp:positionV>
            <wp:extent cx="4735830" cy="3772535"/>
            <wp:effectExtent l="0" t="0" r="0" b="0"/>
            <wp:wrapTopAndBottom/>
            <wp:docPr id="3"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6"/>
                    <pic:cNvPicPr>
                      <a:picLocks noChangeAspect="1" noChangeArrowheads="1"/>
                    </pic:cNvPicPr>
                  </pic:nvPicPr>
                  <pic:blipFill>
                    <a:blip r:embed="rId10"/>
                    <a:stretch>
                      <a:fillRect/>
                    </a:stretch>
                  </pic:blipFill>
                  <pic:spPr bwMode="auto">
                    <a:xfrm>
                      <a:off x="0" y="0"/>
                      <a:ext cx="4735830" cy="3772535"/>
                    </a:xfrm>
                    <a:prstGeom prst="rect">
                      <a:avLst/>
                    </a:prstGeom>
                    <a:noFill/>
                  </pic:spPr>
                </pic:pic>
              </a:graphicData>
            </a:graphic>
          </wp:anchor>
        </w:drawing>
      </w:r>
      <w:r>
        <w:rPr>
          <w:rFonts w:ascii="Arial" w:eastAsia="Arial" w:hAnsi="Arial" w:cs="Arial"/>
          <w:color w:val="000000"/>
        </w:rPr>
        <w:t xml:space="preserve">(Source: </w:t>
      </w:r>
      <w:hyperlink r:id="rId11">
        <w:r>
          <w:rPr>
            <w:rStyle w:val="Hyperlink"/>
            <w:rFonts w:ascii="Arial" w:eastAsia="Arial" w:hAnsi="Arial" w:cs="Arial"/>
            <w:color w:val="000000"/>
            <w:u w:val="none"/>
          </w:rPr>
          <w:t>https://www.tmhcc.com/en/news-and-articles/thought-leadership/uk-retail-sector-report-february-2026</w:t>
        </w:r>
      </w:hyperlink>
      <w:r>
        <w:rPr>
          <w:rFonts w:ascii="Arial" w:eastAsia="Arial" w:hAnsi="Arial" w:cs="Arial"/>
          <w:color w:val="000000"/>
        </w:rPr>
        <w:t xml:space="preserve"> )</w:t>
      </w:r>
    </w:p>
    <w:p w14:paraId="68CBCB65" w14:textId="77777777" w:rsidR="00BA5DB0" w:rsidRDefault="00BA5DB0">
      <w:pPr>
        <w:spacing w:after="200" w:line="360" w:lineRule="auto"/>
        <w:jc w:val="both"/>
        <w:rPr>
          <w:b/>
          <w:bCs/>
          <w:sz w:val="24"/>
          <w:szCs w:val="24"/>
        </w:rPr>
      </w:pPr>
    </w:p>
    <w:p w14:paraId="6D46CA5D" w14:textId="77777777" w:rsidR="00BA5DB0" w:rsidRDefault="00BA5DB0">
      <w:pPr>
        <w:spacing w:after="200" w:line="360" w:lineRule="auto"/>
        <w:jc w:val="both"/>
        <w:rPr>
          <w:b/>
          <w:bCs/>
          <w:sz w:val="24"/>
          <w:szCs w:val="24"/>
        </w:rPr>
      </w:pPr>
    </w:p>
    <w:p w14:paraId="4FCE4879" w14:textId="77777777" w:rsidR="00BA5DB0" w:rsidRDefault="00BA5DB0">
      <w:pPr>
        <w:spacing w:after="200" w:line="360" w:lineRule="auto"/>
        <w:jc w:val="both"/>
        <w:rPr>
          <w:b/>
          <w:bCs/>
          <w:sz w:val="24"/>
          <w:szCs w:val="24"/>
        </w:rPr>
      </w:pPr>
    </w:p>
    <w:p w14:paraId="37BF1902" w14:textId="77777777" w:rsidR="00BA5DB0" w:rsidRDefault="00BA5DB0">
      <w:pPr>
        <w:spacing w:after="200" w:line="360" w:lineRule="auto"/>
        <w:jc w:val="both"/>
        <w:rPr>
          <w:b/>
          <w:bCs/>
          <w:sz w:val="24"/>
          <w:szCs w:val="24"/>
        </w:rPr>
      </w:pPr>
    </w:p>
    <w:p w14:paraId="392F2D68" w14:textId="77777777" w:rsidR="00BA5DB0" w:rsidRDefault="00D37352">
      <w:pPr>
        <w:spacing w:after="200" w:line="360" w:lineRule="auto"/>
        <w:jc w:val="both"/>
        <w:rPr>
          <w:b/>
          <w:bCs/>
          <w:sz w:val="24"/>
          <w:szCs w:val="24"/>
        </w:rPr>
      </w:pPr>
      <w:r>
        <w:rPr>
          <w:b/>
          <w:bCs/>
          <w:sz w:val="24"/>
          <w:szCs w:val="24"/>
        </w:rPr>
        <w:t>2. External and Internal Environment Analysis</w:t>
      </w:r>
    </w:p>
    <w:p w14:paraId="61EDB3CA" w14:textId="77777777" w:rsidR="00BA5DB0" w:rsidRDefault="00D37352">
      <w:pPr>
        <w:spacing w:after="200" w:line="360" w:lineRule="auto"/>
        <w:jc w:val="both"/>
        <w:rPr>
          <w:b/>
          <w:bCs/>
          <w:sz w:val="24"/>
          <w:szCs w:val="24"/>
        </w:rPr>
      </w:pPr>
      <w:r>
        <w:rPr>
          <w:b/>
          <w:bCs/>
          <w:sz w:val="24"/>
          <w:szCs w:val="24"/>
        </w:rPr>
        <w:t>The Macro-Environment and PESTEL Factors</w:t>
      </w:r>
    </w:p>
    <w:p w14:paraId="77173162" w14:textId="77777777" w:rsidR="00BA5DB0" w:rsidRDefault="00D37352">
      <w:pPr>
        <w:spacing w:after="200" w:line="360" w:lineRule="auto"/>
        <w:jc w:val="both"/>
        <w:rPr>
          <w:sz w:val="24"/>
          <w:szCs w:val="24"/>
        </w:rPr>
      </w:pPr>
      <w:r>
        <w:rPr>
          <w:sz w:val="24"/>
          <w:szCs w:val="24"/>
        </w:rPr>
        <w:t>External factors create threats and opportunities for retails players. PESTEL provides systemetic framework to analyze these factors and it’s impact on M&amp;S.</w:t>
      </w:r>
    </w:p>
    <w:p w14:paraId="4FCE771C" w14:textId="77777777" w:rsidR="00BA5DB0" w:rsidRDefault="00D37352">
      <w:pPr>
        <w:spacing w:after="200" w:line="360" w:lineRule="auto"/>
        <w:jc w:val="center"/>
        <w:rPr>
          <w:sz w:val="20"/>
          <w:szCs w:val="20"/>
        </w:rPr>
      </w:pPr>
      <w:r>
        <w:rPr>
          <w:noProof/>
        </w:rPr>
        <w:lastRenderedPageBreak/>
        <w:drawing>
          <wp:anchor distT="0" distB="0" distL="0" distR="0" simplePos="0" relativeHeight="35" behindDoc="0" locked="0" layoutInCell="0" allowOverlap="1" wp14:anchorId="1F9236DE" wp14:editId="474F9380">
            <wp:simplePos x="0" y="0"/>
            <wp:positionH relativeFrom="column">
              <wp:align>center</wp:align>
            </wp:positionH>
            <wp:positionV relativeFrom="paragraph">
              <wp:posOffset>635</wp:posOffset>
            </wp:positionV>
            <wp:extent cx="2680970" cy="2709545"/>
            <wp:effectExtent l="0" t="0" r="0" b="0"/>
            <wp:wrapTopAndBottom/>
            <wp:docPr id="4"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
                    <pic:cNvPicPr>
                      <a:picLocks noChangeAspect="1" noChangeArrowheads="1"/>
                    </pic:cNvPicPr>
                  </pic:nvPicPr>
                  <pic:blipFill>
                    <a:blip r:embed="rId12"/>
                    <a:stretch>
                      <a:fillRect/>
                    </a:stretch>
                  </pic:blipFill>
                  <pic:spPr bwMode="auto">
                    <a:xfrm>
                      <a:off x="0" y="0"/>
                      <a:ext cx="2680970" cy="2709545"/>
                    </a:xfrm>
                    <a:prstGeom prst="rect">
                      <a:avLst/>
                    </a:prstGeom>
                    <a:noFill/>
                  </pic:spPr>
                </pic:pic>
              </a:graphicData>
            </a:graphic>
          </wp:anchor>
        </w:drawing>
      </w:r>
      <w:r>
        <w:rPr>
          <w:sz w:val="20"/>
          <w:szCs w:val="20"/>
        </w:rPr>
        <w:t xml:space="preserve">(Source: </w:t>
      </w:r>
      <w:hyperlink r:id="rId13">
        <w:r>
          <w:rPr>
            <w:rStyle w:val="Hyperlink"/>
            <w:sz w:val="20"/>
            <w:szCs w:val="20"/>
          </w:rPr>
          <w:t>https://www.researchgate.net/figure/PESTEL-analysis-Source-the-authors_fig2_373122171</w:t>
        </w:r>
      </w:hyperlink>
      <w:r>
        <w:rPr>
          <w:sz w:val="20"/>
          <w:szCs w:val="20"/>
        </w:rPr>
        <w:t xml:space="preserve"> )</w:t>
      </w:r>
    </w:p>
    <w:p w14:paraId="3EBC4669" w14:textId="77777777" w:rsidR="00BA5DB0" w:rsidRDefault="00D37352">
      <w:pPr>
        <w:spacing w:after="200" w:line="360" w:lineRule="auto"/>
        <w:jc w:val="both"/>
        <w:rPr>
          <w:sz w:val="24"/>
          <w:szCs w:val="24"/>
        </w:rPr>
      </w:pPr>
      <w:r>
        <w:rPr>
          <w:b/>
          <w:bCs/>
          <w:sz w:val="24"/>
          <w:szCs w:val="24"/>
        </w:rPr>
        <w:t>Political Factors:</w:t>
      </w:r>
      <w:r>
        <w:rPr>
          <w:sz w:val="24"/>
          <w:szCs w:val="24"/>
        </w:rPr>
        <w:t xml:space="preserve"> The pilical landscape of UK 2026 imposes significant regulatory burdens for retailers like M&amp;S. Reform of business rates from April 2026 replaces temporary retail relief with permanent, size-based multipliers; while smaller-format stores gain relief, M&amp;S's larger full-line flagship stores(values above £500,000) face a higher multiplier and raises occupancy costs (Knight Frank, 2026). At the same time, a renewed UK–EU trade relationship promises to ease the post-Brexit border friction; a development directly relevance to M&amp;S, who sources extensively from European suppliers (Multimodal, 2026). Previously since 2021, Post-Brexit trading regulations (phytosanitary checks) caused delays and added import costs and full custom controls due to UK government’s Border Target Operating Model requires additional administrative work and IT integration requirements for vertically integrated retailers  (DCF Analysis, 2026).</w:t>
      </w:r>
    </w:p>
    <w:tbl>
      <w:tblPr>
        <w:tblW w:w="5000" w:type="pct"/>
        <w:tblInd w:w="-5" w:type="dxa"/>
        <w:tblLayout w:type="fixed"/>
        <w:tblCellMar>
          <w:top w:w="55" w:type="dxa"/>
          <w:left w:w="55" w:type="dxa"/>
          <w:bottom w:w="55" w:type="dxa"/>
          <w:right w:w="55" w:type="dxa"/>
        </w:tblCellMar>
        <w:tblLook w:val="04A0" w:firstRow="1" w:lastRow="0" w:firstColumn="1" w:lastColumn="0" w:noHBand="0" w:noVBand="1"/>
      </w:tblPr>
      <w:tblGrid>
        <w:gridCol w:w="4508"/>
        <w:gridCol w:w="4508"/>
      </w:tblGrid>
      <w:tr w:rsidR="00BA5DB0" w14:paraId="386B750A" w14:textId="77777777">
        <w:tc>
          <w:tcPr>
            <w:tcW w:w="4513" w:type="dxa"/>
            <w:tcBorders>
              <w:top w:val="single" w:sz="4" w:space="0" w:color="000000"/>
              <w:left w:val="single" w:sz="4" w:space="0" w:color="000000"/>
              <w:bottom w:val="single" w:sz="4" w:space="0" w:color="000000"/>
            </w:tcBorders>
            <w:shd w:val="clear" w:color="auto" w:fill="DEE6EF"/>
          </w:tcPr>
          <w:p w14:paraId="57E610CC" w14:textId="77777777" w:rsidR="00BA5DB0" w:rsidRDefault="00D37352">
            <w:pPr>
              <w:pStyle w:val="TableContents"/>
            </w:pPr>
            <w:r>
              <w:t>Opportunity</w:t>
            </w:r>
          </w:p>
        </w:tc>
        <w:tc>
          <w:tcPr>
            <w:tcW w:w="4513" w:type="dxa"/>
            <w:tcBorders>
              <w:top w:val="single" w:sz="4" w:space="0" w:color="000000"/>
              <w:left w:val="single" w:sz="4" w:space="0" w:color="000000"/>
              <w:bottom w:val="single" w:sz="4" w:space="0" w:color="000000"/>
              <w:right w:val="single" w:sz="4" w:space="0" w:color="000000"/>
            </w:tcBorders>
            <w:shd w:val="clear" w:color="auto" w:fill="DEE6EF"/>
          </w:tcPr>
          <w:p w14:paraId="301F361B" w14:textId="77777777" w:rsidR="00BA5DB0" w:rsidRDefault="00D37352">
            <w:pPr>
              <w:pStyle w:val="TableContents"/>
            </w:pPr>
            <w:r>
              <w:t>Threat</w:t>
            </w:r>
          </w:p>
        </w:tc>
      </w:tr>
      <w:tr w:rsidR="00BA5DB0" w14:paraId="3D4E8658" w14:textId="77777777">
        <w:tc>
          <w:tcPr>
            <w:tcW w:w="4513" w:type="dxa"/>
            <w:tcBorders>
              <w:left w:val="single" w:sz="4" w:space="0" w:color="000000"/>
              <w:bottom w:val="single" w:sz="4" w:space="0" w:color="000000"/>
            </w:tcBorders>
          </w:tcPr>
          <w:p w14:paraId="0D75C233" w14:textId="77777777" w:rsidR="00BA5DB0" w:rsidRDefault="00D37352">
            <w:pPr>
              <w:pStyle w:val="TableContents"/>
              <w:numPr>
                <w:ilvl w:val="0"/>
                <w:numId w:val="3"/>
              </w:numPr>
            </w:pPr>
            <w:r>
              <w:t>A renewed UK–EU trade relationship could ease border friction and cost for fresh food imports (Multimodal, 2026)</w:t>
            </w:r>
          </w:p>
          <w:p w14:paraId="79A7CF87" w14:textId="77777777" w:rsidR="00BA5DB0" w:rsidRDefault="00D37352">
            <w:pPr>
              <w:pStyle w:val="TableContents"/>
              <w:numPr>
                <w:ilvl w:val="0"/>
                <w:numId w:val="3"/>
              </w:numPr>
            </w:pPr>
            <w:r>
              <w:t>Business rates relief for smaller-format stores supports the store rotation strategy</w:t>
            </w:r>
          </w:p>
        </w:tc>
        <w:tc>
          <w:tcPr>
            <w:tcW w:w="4513" w:type="dxa"/>
            <w:tcBorders>
              <w:left w:val="single" w:sz="4" w:space="0" w:color="000000"/>
              <w:bottom w:val="single" w:sz="4" w:space="0" w:color="000000"/>
              <w:right w:val="single" w:sz="4" w:space="0" w:color="000000"/>
            </w:tcBorders>
          </w:tcPr>
          <w:p w14:paraId="35D1664E" w14:textId="77777777" w:rsidR="00BA5DB0" w:rsidRDefault="00D37352">
            <w:pPr>
              <w:pStyle w:val="TableContents"/>
              <w:numPr>
                <w:ilvl w:val="0"/>
                <w:numId w:val="3"/>
              </w:numPr>
            </w:pPr>
            <w:r>
              <w:t>Business rates reform raises occupancy costs for large-format, flagship stores above £500,000 rateable value</w:t>
            </w:r>
          </w:p>
        </w:tc>
      </w:tr>
    </w:tbl>
    <w:p w14:paraId="0884A6CE" w14:textId="77777777" w:rsidR="00BA5DB0" w:rsidRDefault="00BA5DB0">
      <w:pPr>
        <w:spacing w:after="200" w:line="360" w:lineRule="auto"/>
        <w:jc w:val="both"/>
        <w:rPr>
          <w:sz w:val="24"/>
          <w:szCs w:val="24"/>
        </w:rPr>
      </w:pPr>
    </w:p>
    <w:p w14:paraId="63FFCF3A" w14:textId="77777777" w:rsidR="00BA5DB0" w:rsidRDefault="00D37352">
      <w:pPr>
        <w:spacing w:after="200" w:line="360" w:lineRule="auto"/>
        <w:jc w:val="both"/>
        <w:rPr>
          <w:sz w:val="24"/>
          <w:szCs w:val="24"/>
        </w:rPr>
      </w:pPr>
      <w:r>
        <w:rPr>
          <w:b/>
          <w:bCs/>
          <w:sz w:val="24"/>
          <w:szCs w:val="24"/>
        </w:rPr>
        <w:lastRenderedPageBreak/>
        <w:t>Economic Factors:</w:t>
      </w:r>
      <w:r>
        <w:rPr>
          <w:sz w:val="24"/>
          <w:szCs w:val="24"/>
        </w:rPr>
        <w:t xml:space="preserve"> Overall sales volumes in 2025 and early 2026 are struggling to surpass pre-pandemic levels and persistent inflation continues to erode household purchasing power and consumer confidence. Moreover, UK inflation stayed above the Bank of England's 2% target, with CPI at 3.4% in December 2025 (Tokio Marine HCC, 2026). UK government’s 2025 National Living Wage increase to £12.21 per hourand recent autumn budgets will Increase borrowing costs and employer National Insurance contributions for large employers (DCF Analysis, 2026; Tokio Marine HCC, 2026).  However, M&amp;S itself has shown resilience even within this climate with profit before tax and adjusting items of £875.5 million for FY2024/25. Which is a third consecutive year of sales, profit and market-share growth (Marks and Spencer Group plc, 2025b).</w:t>
      </w:r>
    </w:p>
    <w:p w14:paraId="67BDCC38" w14:textId="77777777" w:rsidR="00BA5DB0" w:rsidRDefault="00D37352">
      <w:pPr>
        <w:spacing w:after="200" w:line="360" w:lineRule="auto"/>
        <w:jc w:val="center"/>
        <w:rPr>
          <w:sz w:val="24"/>
          <w:szCs w:val="24"/>
        </w:rPr>
      </w:pPr>
      <w:r>
        <w:rPr>
          <w:noProof/>
        </w:rPr>
        <w:drawing>
          <wp:anchor distT="0" distB="0" distL="0" distR="0" simplePos="0" relativeHeight="33" behindDoc="0" locked="0" layoutInCell="0" allowOverlap="1" wp14:anchorId="52DA7FD3" wp14:editId="236691D4">
            <wp:simplePos x="0" y="0"/>
            <wp:positionH relativeFrom="column">
              <wp:align>center</wp:align>
            </wp:positionH>
            <wp:positionV relativeFrom="paragraph">
              <wp:posOffset>635</wp:posOffset>
            </wp:positionV>
            <wp:extent cx="2929255" cy="2648585"/>
            <wp:effectExtent l="0" t="0" r="0" b="0"/>
            <wp:wrapTopAndBottom/>
            <wp:docPr id="5"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pic:cNvPicPr>
                      <a:picLocks noChangeAspect="1" noChangeArrowheads="1"/>
                    </pic:cNvPicPr>
                  </pic:nvPicPr>
                  <pic:blipFill>
                    <a:blip r:embed="rId14"/>
                    <a:stretch>
                      <a:fillRect/>
                    </a:stretch>
                  </pic:blipFill>
                  <pic:spPr bwMode="auto">
                    <a:xfrm>
                      <a:off x="0" y="0"/>
                      <a:ext cx="2929255" cy="2648585"/>
                    </a:xfrm>
                    <a:prstGeom prst="rect">
                      <a:avLst/>
                    </a:prstGeom>
                    <a:noFill/>
                  </pic:spPr>
                </pic:pic>
              </a:graphicData>
            </a:graphic>
          </wp:anchor>
        </w:drawing>
      </w:r>
      <w:r>
        <w:rPr>
          <w:sz w:val="20"/>
          <w:szCs w:val="20"/>
        </w:rPr>
        <w:t xml:space="preserve">(Source: </w:t>
      </w:r>
      <w:hyperlink r:id="rId15">
        <w:r>
          <w:rPr>
            <w:rStyle w:val="Hyperlink"/>
            <w:sz w:val="20"/>
            <w:szCs w:val="20"/>
          </w:rPr>
          <w:t>https://www.tmhcc.com/en/news-and-articles/thought-leadership/uk-retail-sector-report-february-2026</w:t>
        </w:r>
      </w:hyperlink>
      <w:r>
        <w:rPr>
          <w:sz w:val="20"/>
          <w:szCs w:val="20"/>
        </w:rPr>
        <w:t xml:space="preserve"> )</w:t>
      </w:r>
    </w:p>
    <w:tbl>
      <w:tblPr>
        <w:tblW w:w="5000" w:type="pct"/>
        <w:tblInd w:w="-5" w:type="dxa"/>
        <w:tblLayout w:type="fixed"/>
        <w:tblCellMar>
          <w:top w:w="55" w:type="dxa"/>
          <w:left w:w="55" w:type="dxa"/>
          <w:bottom w:w="55" w:type="dxa"/>
          <w:right w:w="55" w:type="dxa"/>
        </w:tblCellMar>
        <w:tblLook w:val="04A0" w:firstRow="1" w:lastRow="0" w:firstColumn="1" w:lastColumn="0" w:noHBand="0" w:noVBand="1"/>
      </w:tblPr>
      <w:tblGrid>
        <w:gridCol w:w="4508"/>
        <w:gridCol w:w="4508"/>
      </w:tblGrid>
      <w:tr w:rsidR="00BA5DB0" w14:paraId="023ACFE2" w14:textId="77777777">
        <w:tc>
          <w:tcPr>
            <w:tcW w:w="4513" w:type="dxa"/>
            <w:tcBorders>
              <w:top w:val="single" w:sz="4" w:space="0" w:color="000000"/>
              <w:left w:val="single" w:sz="4" w:space="0" w:color="000000"/>
              <w:bottom w:val="single" w:sz="4" w:space="0" w:color="000000"/>
            </w:tcBorders>
            <w:shd w:val="clear" w:color="auto" w:fill="DEE6EF"/>
          </w:tcPr>
          <w:p w14:paraId="77506C9D" w14:textId="77777777" w:rsidR="00BA5DB0" w:rsidRDefault="00D37352">
            <w:pPr>
              <w:pStyle w:val="TableContents"/>
            </w:pPr>
            <w:r>
              <w:t>Opportunity</w:t>
            </w:r>
          </w:p>
        </w:tc>
        <w:tc>
          <w:tcPr>
            <w:tcW w:w="4513" w:type="dxa"/>
            <w:tcBorders>
              <w:top w:val="single" w:sz="4" w:space="0" w:color="000000"/>
              <w:left w:val="single" w:sz="4" w:space="0" w:color="000000"/>
              <w:bottom w:val="single" w:sz="4" w:space="0" w:color="000000"/>
              <w:right w:val="single" w:sz="4" w:space="0" w:color="000000"/>
            </w:tcBorders>
            <w:shd w:val="clear" w:color="auto" w:fill="DEE6EF"/>
          </w:tcPr>
          <w:p w14:paraId="6363AEEE" w14:textId="77777777" w:rsidR="00BA5DB0" w:rsidRDefault="00D37352">
            <w:pPr>
              <w:pStyle w:val="TableContents"/>
            </w:pPr>
            <w:r>
              <w:t>Threat</w:t>
            </w:r>
          </w:p>
        </w:tc>
      </w:tr>
      <w:tr w:rsidR="00BA5DB0" w14:paraId="33C02522" w14:textId="77777777">
        <w:tc>
          <w:tcPr>
            <w:tcW w:w="4513" w:type="dxa"/>
            <w:tcBorders>
              <w:left w:val="single" w:sz="4" w:space="0" w:color="000000"/>
              <w:bottom w:val="single" w:sz="4" w:space="0" w:color="000000"/>
            </w:tcBorders>
          </w:tcPr>
          <w:p w14:paraId="2545C867" w14:textId="77777777" w:rsidR="00BA5DB0" w:rsidRDefault="00D37352">
            <w:pPr>
              <w:pStyle w:val="TableContents"/>
              <w:numPr>
                <w:ilvl w:val="0"/>
                <w:numId w:val="3"/>
              </w:numPr>
            </w:pPr>
            <w:r>
              <w:t>Three consecutive years of sales, profit and market-share growth showed resilience</w:t>
            </w:r>
          </w:p>
        </w:tc>
        <w:tc>
          <w:tcPr>
            <w:tcW w:w="4513" w:type="dxa"/>
            <w:tcBorders>
              <w:left w:val="single" w:sz="4" w:space="0" w:color="000000"/>
              <w:bottom w:val="single" w:sz="4" w:space="0" w:color="000000"/>
              <w:right w:val="single" w:sz="4" w:space="0" w:color="000000"/>
            </w:tcBorders>
          </w:tcPr>
          <w:p w14:paraId="0125CCD9" w14:textId="77777777" w:rsidR="00BA5DB0" w:rsidRDefault="00D37352">
            <w:pPr>
              <w:pStyle w:val="TableContents"/>
              <w:numPr>
                <w:ilvl w:val="0"/>
                <w:numId w:val="3"/>
              </w:numPr>
            </w:pPr>
            <w:r>
              <w:t xml:space="preserve">Above-target inflation and fragile consumer confidence reduces household spending </w:t>
            </w:r>
          </w:p>
          <w:p w14:paraId="22305882" w14:textId="77777777" w:rsidR="00BA5DB0" w:rsidRDefault="00D37352">
            <w:pPr>
              <w:pStyle w:val="TableContents"/>
              <w:numPr>
                <w:ilvl w:val="0"/>
                <w:numId w:val="3"/>
              </w:numPr>
            </w:pPr>
            <w:r>
              <w:t>higher employer National Insurance and National Living Wage intorduces operational cost inflation</w:t>
            </w:r>
          </w:p>
        </w:tc>
      </w:tr>
    </w:tbl>
    <w:p w14:paraId="6D5D4747" w14:textId="77777777" w:rsidR="00BA5DB0" w:rsidRDefault="00BA5DB0">
      <w:pPr>
        <w:spacing w:after="200" w:line="360" w:lineRule="auto"/>
        <w:jc w:val="both"/>
        <w:rPr>
          <w:sz w:val="24"/>
          <w:szCs w:val="24"/>
        </w:rPr>
      </w:pPr>
    </w:p>
    <w:p w14:paraId="2E8460A6" w14:textId="77777777" w:rsidR="00BA5DB0" w:rsidRDefault="00D37352">
      <w:pPr>
        <w:spacing w:after="200" w:line="360" w:lineRule="auto"/>
        <w:jc w:val="both"/>
        <w:rPr>
          <w:sz w:val="24"/>
          <w:szCs w:val="24"/>
        </w:rPr>
      </w:pPr>
      <w:r>
        <w:rPr>
          <w:b/>
          <w:bCs/>
          <w:sz w:val="24"/>
          <w:szCs w:val="24"/>
        </w:rPr>
        <w:t>Sociocultural Factors:</w:t>
      </w:r>
      <w:r>
        <w:rPr>
          <w:sz w:val="24"/>
          <w:szCs w:val="24"/>
        </w:rPr>
        <w:t xml:space="preserve"> Circular shopping behaviours are gaining traction with consumers seeking both ethical and value-driven purchases while simultaneously </w:t>
      </w:r>
      <w:r>
        <w:rPr>
          <w:sz w:val="24"/>
          <w:szCs w:val="24"/>
        </w:rPr>
        <w:lastRenderedPageBreak/>
        <w:t>expecting more corporate ethical responsibility and fair labor compensation amidst the ongoing cost-of-living crisis. Data also shows more polarising behaviours : While 43% of consumers are shopping around more frequently for food and essentials; Increasing number of consumers prefer spending on in-store experiences, community events and leisure rather than purely transactional goods (UK Parliament, 2026; CBRE, 2026).</w:t>
      </w:r>
    </w:p>
    <w:tbl>
      <w:tblPr>
        <w:tblW w:w="5000" w:type="pct"/>
        <w:tblInd w:w="-5" w:type="dxa"/>
        <w:tblLayout w:type="fixed"/>
        <w:tblCellMar>
          <w:top w:w="55" w:type="dxa"/>
          <w:left w:w="55" w:type="dxa"/>
          <w:bottom w:w="55" w:type="dxa"/>
          <w:right w:w="55" w:type="dxa"/>
        </w:tblCellMar>
        <w:tblLook w:val="04A0" w:firstRow="1" w:lastRow="0" w:firstColumn="1" w:lastColumn="0" w:noHBand="0" w:noVBand="1"/>
      </w:tblPr>
      <w:tblGrid>
        <w:gridCol w:w="4508"/>
        <w:gridCol w:w="4508"/>
      </w:tblGrid>
      <w:tr w:rsidR="00BA5DB0" w14:paraId="2534D4B3" w14:textId="77777777">
        <w:tc>
          <w:tcPr>
            <w:tcW w:w="4513" w:type="dxa"/>
            <w:tcBorders>
              <w:top w:val="single" w:sz="4" w:space="0" w:color="000000"/>
              <w:left w:val="single" w:sz="4" w:space="0" w:color="000000"/>
              <w:bottom w:val="single" w:sz="4" w:space="0" w:color="000000"/>
            </w:tcBorders>
            <w:shd w:val="clear" w:color="auto" w:fill="DEE6EF"/>
          </w:tcPr>
          <w:p w14:paraId="277C871D" w14:textId="77777777" w:rsidR="00BA5DB0" w:rsidRDefault="00D37352">
            <w:pPr>
              <w:pStyle w:val="TableContents"/>
            </w:pPr>
            <w:r>
              <w:t>Opportunity</w:t>
            </w:r>
          </w:p>
        </w:tc>
        <w:tc>
          <w:tcPr>
            <w:tcW w:w="4513" w:type="dxa"/>
            <w:tcBorders>
              <w:top w:val="single" w:sz="4" w:space="0" w:color="000000"/>
              <w:left w:val="single" w:sz="4" w:space="0" w:color="000000"/>
              <w:bottom w:val="single" w:sz="4" w:space="0" w:color="000000"/>
              <w:right w:val="single" w:sz="4" w:space="0" w:color="000000"/>
            </w:tcBorders>
            <w:shd w:val="clear" w:color="auto" w:fill="DEE6EF"/>
          </w:tcPr>
          <w:p w14:paraId="6F582FF6" w14:textId="77777777" w:rsidR="00BA5DB0" w:rsidRDefault="00D37352">
            <w:pPr>
              <w:pStyle w:val="TableContents"/>
            </w:pPr>
            <w:r>
              <w:t>Threat</w:t>
            </w:r>
          </w:p>
        </w:tc>
      </w:tr>
      <w:tr w:rsidR="00BA5DB0" w14:paraId="2FDFDCEA" w14:textId="77777777">
        <w:tc>
          <w:tcPr>
            <w:tcW w:w="4513" w:type="dxa"/>
            <w:tcBorders>
              <w:left w:val="single" w:sz="4" w:space="0" w:color="000000"/>
              <w:bottom w:val="single" w:sz="4" w:space="0" w:color="000000"/>
            </w:tcBorders>
          </w:tcPr>
          <w:p w14:paraId="76D092E4" w14:textId="77777777" w:rsidR="00BA5DB0" w:rsidRDefault="00D37352">
            <w:pPr>
              <w:pStyle w:val="TableContents"/>
              <w:numPr>
                <w:ilvl w:val="0"/>
                <w:numId w:val="3"/>
              </w:numPr>
            </w:pPr>
            <w:r>
              <w:t>Consumer shift towards experiential physical retail supports M&amp;S’s store renewal programme and allows the brand to capture affluent shoppers.</w:t>
            </w:r>
          </w:p>
        </w:tc>
        <w:tc>
          <w:tcPr>
            <w:tcW w:w="4513" w:type="dxa"/>
            <w:tcBorders>
              <w:left w:val="single" w:sz="4" w:space="0" w:color="000000"/>
              <w:bottom w:val="single" w:sz="4" w:space="0" w:color="000000"/>
              <w:right w:val="single" w:sz="4" w:space="0" w:color="000000"/>
            </w:tcBorders>
          </w:tcPr>
          <w:p w14:paraId="3AA03A0D" w14:textId="77777777" w:rsidR="00BA5DB0" w:rsidRDefault="00D37352">
            <w:pPr>
              <w:pStyle w:val="TableContents"/>
              <w:numPr>
                <w:ilvl w:val="0"/>
                <w:numId w:val="3"/>
              </w:numPr>
            </w:pPr>
            <w:r>
              <w:t xml:space="preserve">If its value tiers do not keep pace with discounters, M&amp;S risks loosing it’s premium customer base </w:t>
            </w:r>
          </w:p>
        </w:tc>
      </w:tr>
    </w:tbl>
    <w:p w14:paraId="3A2ACED5" w14:textId="77777777" w:rsidR="00BA5DB0" w:rsidRDefault="00BA5DB0">
      <w:pPr>
        <w:spacing w:after="200" w:line="360" w:lineRule="auto"/>
        <w:jc w:val="both"/>
        <w:rPr>
          <w:sz w:val="24"/>
          <w:szCs w:val="24"/>
        </w:rPr>
      </w:pPr>
    </w:p>
    <w:p w14:paraId="174D8258" w14:textId="77777777" w:rsidR="00BA5DB0" w:rsidRDefault="00D37352">
      <w:pPr>
        <w:spacing w:after="200" w:line="360" w:lineRule="auto"/>
        <w:jc w:val="both"/>
        <w:rPr>
          <w:sz w:val="24"/>
          <w:szCs w:val="24"/>
        </w:rPr>
      </w:pPr>
      <w:r>
        <w:rPr>
          <w:b/>
          <w:bCs/>
          <w:sz w:val="24"/>
          <w:szCs w:val="24"/>
        </w:rPr>
        <w:t>Technological Factors:</w:t>
      </w:r>
      <w:r>
        <w:rPr>
          <w:sz w:val="24"/>
          <w:szCs w:val="24"/>
        </w:rPr>
        <w:t xml:space="preserve"> UK retail market is going throuhg digital transformation where online retail is no longer just an alternative channel but an important channel. ONS data of June, 2026 indicate that online sales represent 29.4% of retail sales. Across UK artificial intelligence is embedded into operations such as supplychain, inventory optimization, real-time pricing and marketing using hyperpersonalization (Deloitte, 2026; Shoosmiths, 2026). M&amp;S is capitalizing on this shift and actively using AI and machine learning in it’s Sparks loyalty scheme relaunched in April 2026. M&amp;S is targeting online sales of 50% of total clothing, home and beauty revenue by 2028 (Marketing Week, 2026; Drapers, 2026).</w:t>
      </w:r>
    </w:p>
    <w:p w14:paraId="138E2FF4" w14:textId="77777777" w:rsidR="00BA5DB0" w:rsidRDefault="00BA5DB0">
      <w:pPr>
        <w:spacing w:after="200" w:line="360" w:lineRule="auto"/>
        <w:jc w:val="both"/>
        <w:rPr>
          <w:sz w:val="24"/>
          <w:szCs w:val="24"/>
        </w:rPr>
      </w:pPr>
    </w:p>
    <w:tbl>
      <w:tblPr>
        <w:tblW w:w="5000" w:type="pct"/>
        <w:tblInd w:w="-5" w:type="dxa"/>
        <w:tblLayout w:type="fixed"/>
        <w:tblCellMar>
          <w:top w:w="55" w:type="dxa"/>
          <w:left w:w="55" w:type="dxa"/>
          <w:bottom w:w="55" w:type="dxa"/>
          <w:right w:w="55" w:type="dxa"/>
        </w:tblCellMar>
        <w:tblLook w:val="04A0" w:firstRow="1" w:lastRow="0" w:firstColumn="1" w:lastColumn="0" w:noHBand="0" w:noVBand="1"/>
      </w:tblPr>
      <w:tblGrid>
        <w:gridCol w:w="4508"/>
        <w:gridCol w:w="4508"/>
      </w:tblGrid>
      <w:tr w:rsidR="00BA5DB0" w14:paraId="0A8C40EA" w14:textId="77777777">
        <w:tc>
          <w:tcPr>
            <w:tcW w:w="4513" w:type="dxa"/>
            <w:tcBorders>
              <w:top w:val="single" w:sz="4" w:space="0" w:color="000000"/>
              <w:left w:val="single" w:sz="4" w:space="0" w:color="000000"/>
              <w:bottom w:val="single" w:sz="4" w:space="0" w:color="000000"/>
            </w:tcBorders>
            <w:shd w:val="clear" w:color="auto" w:fill="DEE6EF"/>
          </w:tcPr>
          <w:p w14:paraId="50D27024" w14:textId="77777777" w:rsidR="00BA5DB0" w:rsidRDefault="00D37352">
            <w:pPr>
              <w:pStyle w:val="TableContents"/>
            </w:pPr>
            <w:r>
              <w:t>Opportunity</w:t>
            </w:r>
          </w:p>
        </w:tc>
        <w:tc>
          <w:tcPr>
            <w:tcW w:w="4513" w:type="dxa"/>
            <w:tcBorders>
              <w:top w:val="single" w:sz="4" w:space="0" w:color="000000"/>
              <w:left w:val="single" w:sz="4" w:space="0" w:color="000000"/>
              <w:bottom w:val="single" w:sz="4" w:space="0" w:color="000000"/>
              <w:right w:val="single" w:sz="4" w:space="0" w:color="000000"/>
            </w:tcBorders>
            <w:shd w:val="clear" w:color="auto" w:fill="DEE6EF"/>
          </w:tcPr>
          <w:p w14:paraId="34250060" w14:textId="77777777" w:rsidR="00BA5DB0" w:rsidRDefault="00D37352">
            <w:pPr>
              <w:pStyle w:val="TableContents"/>
            </w:pPr>
            <w:r>
              <w:t>Threat</w:t>
            </w:r>
          </w:p>
        </w:tc>
      </w:tr>
      <w:tr w:rsidR="00BA5DB0" w14:paraId="71DFEE87" w14:textId="77777777">
        <w:tc>
          <w:tcPr>
            <w:tcW w:w="4513" w:type="dxa"/>
            <w:tcBorders>
              <w:left w:val="single" w:sz="4" w:space="0" w:color="000000"/>
              <w:bottom w:val="single" w:sz="4" w:space="0" w:color="000000"/>
            </w:tcBorders>
          </w:tcPr>
          <w:p w14:paraId="41A302E9" w14:textId="77777777" w:rsidR="00BA5DB0" w:rsidRDefault="00D37352">
            <w:pPr>
              <w:pStyle w:val="TableContents"/>
              <w:numPr>
                <w:ilvl w:val="0"/>
                <w:numId w:val="3"/>
              </w:numPr>
            </w:pPr>
            <w:r>
              <w:t>Growing use of AI supports M&amp;S’s online sales target of 50% and improves supplychain efficiency while reducing food waste and optimizing inventory</w:t>
            </w:r>
          </w:p>
        </w:tc>
        <w:tc>
          <w:tcPr>
            <w:tcW w:w="4513" w:type="dxa"/>
            <w:tcBorders>
              <w:left w:val="single" w:sz="4" w:space="0" w:color="000000"/>
              <w:bottom w:val="single" w:sz="4" w:space="0" w:color="000000"/>
              <w:right w:val="single" w:sz="4" w:space="0" w:color="000000"/>
            </w:tcBorders>
          </w:tcPr>
          <w:p w14:paraId="25B37D70" w14:textId="77777777" w:rsidR="00BA5DB0" w:rsidRDefault="00D37352">
            <w:pPr>
              <w:pStyle w:val="TableContents"/>
              <w:numPr>
                <w:ilvl w:val="0"/>
                <w:numId w:val="3"/>
              </w:numPr>
            </w:pPr>
            <w:r>
              <w:t>Increasing tech adoption proposes cybersecurity risks and supplychain disruptions.</w:t>
            </w:r>
          </w:p>
        </w:tc>
      </w:tr>
    </w:tbl>
    <w:p w14:paraId="36CE9DC4" w14:textId="77777777" w:rsidR="00BA5DB0" w:rsidRDefault="00BA5DB0">
      <w:pPr>
        <w:spacing w:after="200" w:line="360" w:lineRule="auto"/>
        <w:jc w:val="both"/>
        <w:rPr>
          <w:sz w:val="24"/>
          <w:szCs w:val="24"/>
        </w:rPr>
      </w:pPr>
    </w:p>
    <w:p w14:paraId="2F873142" w14:textId="77777777" w:rsidR="00BA5DB0" w:rsidRDefault="00BA5DB0">
      <w:pPr>
        <w:spacing w:after="200" w:line="360" w:lineRule="auto"/>
        <w:jc w:val="both"/>
        <w:rPr>
          <w:sz w:val="24"/>
          <w:szCs w:val="24"/>
        </w:rPr>
      </w:pPr>
    </w:p>
    <w:p w14:paraId="70798EA2" w14:textId="77777777" w:rsidR="00BA5DB0" w:rsidRDefault="00D37352">
      <w:pPr>
        <w:spacing w:after="200" w:line="360" w:lineRule="auto"/>
        <w:jc w:val="both"/>
        <w:rPr>
          <w:sz w:val="24"/>
          <w:szCs w:val="24"/>
        </w:rPr>
      </w:pPr>
      <w:r>
        <w:rPr>
          <w:b/>
          <w:bCs/>
          <w:sz w:val="24"/>
          <w:szCs w:val="24"/>
        </w:rPr>
        <w:t>Environmental Factors:</w:t>
      </w:r>
      <w:r>
        <w:rPr>
          <w:sz w:val="24"/>
          <w:szCs w:val="24"/>
        </w:rPr>
        <w:t xml:space="preserve"> Environmental regulation and stakeholder expectations are pushing UK retailers toward more ambitious decarbonisation and circularity </w:t>
      </w:r>
      <w:r>
        <w:rPr>
          <w:sz w:val="24"/>
          <w:szCs w:val="24"/>
        </w:rPr>
        <w:lastRenderedPageBreak/>
        <w:t>commitments. UK’s tightening regulations like Extended Producer Responsibility(2025) packaging fees and the forthcoming Deposit Return Scheme, require packaging producers to fund the full cost of packaging waste management process including collection, sorting and treatment.</w:t>
      </w:r>
    </w:p>
    <w:p w14:paraId="0261DF02" w14:textId="77777777" w:rsidR="00BA5DB0" w:rsidRDefault="00D37352">
      <w:pPr>
        <w:spacing w:after="200" w:line="360" w:lineRule="auto"/>
        <w:jc w:val="center"/>
        <w:rPr>
          <w:sz w:val="24"/>
          <w:szCs w:val="24"/>
        </w:rPr>
      </w:pPr>
      <w:r>
        <w:rPr>
          <w:noProof/>
        </w:rPr>
        <w:drawing>
          <wp:anchor distT="0" distB="0" distL="0" distR="0" simplePos="0" relativeHeight="36" behindDoc="0" locked="0" layoutInCell="0" allowOverlap="1" wp14:anchorId="30F53321" wp14:editId="49B74CE8">
            <wp:simplePos x="0" y="0"/>
            <wp:positionH relativeFrom="column">
              <wp:align>center</wp:align>
            </wp:positionH>
            <wp:positionV relativeFrom="paragraph">
              <wp:posOffset>635</wp:posOffset>
            </wp:positionV>
            <wp:extent cx="3543300" cy="2823210"/>
            <wp:effectExtent l="0" t="0" r="0" b="0"/>
            <wp:wrapTopAndBottom/>
            <wp:docPr id="6"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7"/>
                    <pic:cNvPicPr>
                      <a:picLocks noChangeAspect="1" noChangeArrowheads="1"/>
                    </pic:cNvPicPr>
                  </pic:nvPicPr>
                  <pic:blipFill>
                    <a:blip r:embed="rId16"/>
                    <a:stretch>
                      <a:fillRect/>
                    </a:stretch>
                  </pic:blipFill>
                  <pic:spPr bwMode="auto">
                    <a:xfrm>
                      <a:off x="0" y="0"/>
                      <a:ext cx="3543300" cy="2823210"/>
                    </a:xfrm>
                    <a:prstGeom prst="rect">
                      <a:avLst/>
                    </a:prstGeom>
                    <a:noFill/>
                  </pic:spPr>
                </pic:pic>
              </a:graphicData>
            </a:graphic>
          </wp:anchor>
        </w:drawing>
      </w:r>
      <w:r>
        <w:rPr>
          <w:sz w:val="20"/>
          <w:szCs w:val="20"/>
        </w:rPr>
        <w:t xml:space="preserve">(Source: </w:t>
      </w:r>
      <w:hyperlink r:id="rId17">
        <w:r>
          <w:rPr>
            <w:rStyle w:val="Hyperlink"/>
            <w:sz w:val="20"/>
            <w:szCs w:val="20"/>
          </w:rPr>
          <w:t>https://www.grocerytradenews.com/supermarket-sustainability-strategy/</w:t>
        </w:r>
      </w:hyperlink>
      <w:r>
        <w:rPr>
          <w:sz w:val="20"/>
          <w:szCs w:val="20"/>
        </w:rPr>
        <w:t xml:space="preserve"> )</w:t>
      </w:r>
    </w:p>
    <w:tbl>
      <w:tblPr>
        <w:tblW w:w="5000" w:type="pct"/>
        <w:tblInd w:w="-5" w:type="dxa"/>
        <w:tblLayout w:type="fixed"/>
        <w:tblCellMar>
          <w:top w:w="55" w:type="dxa"/>
          <w:left w:w="55" w:type="dxa"/>
          <w:bottom w:w="55" w:type="dxa"/>
          <w:right w:w="55" w:type="dxa"/>
        </w:tblCellMar>
        <w:tblLook w:val="04A0" w:firstRow="1" w:lastRow="0" w:firstColumn="1" w:lastColumn="0" w:noHBand="0" w:noVBand="1"/>
      </w:tblPr>
      <w:tblGrid>
        <w:gridCol w:w="4508"/>
        <w:gridCol w:w="4508"/>
      </w:tblGrid>
      <w:tr w:rsidR="00BA5DB0" w14:paraId="755A22F6" w14:textId="77777777">
        <w:tc>
          <w:tcPr>
            <w:tcW w:w="4513" w:type="dxa"/>
            <w:tcBorders>
              <w:top w:val="single" w:sz="4" w:space="0" w:color="000000"/>
              <w:left w:val="single" w:sz="4" w:space="0" w:color="000000"/>
              <w:bottom w:val="single" w:sz="4" w:space="0" w:color="000000"/>
            </w:tcBorders>
            <w:shd w:val="clear" w:color="auto" w:fill="DEE6EF"/>
          </w:tcPr>
          <w:p w14:paraId="7FB4F077" w14:textId="77777777" w:rsidR="00BA5DB0" w:rsidRDefault="00D37352">
            <w:pPr>
              <w:pStyle w:val="TableContents"/>
            </w:pPr>
            <w:r>
              <w:t>Opportunity</w:t>
            </w:r>
          </w:p>
        </w:tc>
        <w:tc>
          <w:tcPr>
            <w:tcW w:w="4513" w:type="dxa"/>
            <w:tcBorders>
              <w:top w:val="single" w:sz="4" w:space="0" w:color="000000"/>
              <w:left w:val="single" w:sz="4" w:space="0" w:color="000000"/>
              <w:bottom w:val="single" w:sz="4" w:space="0" w:color="000000"/>
              <w:right w:val="single" w:sz="4" w:space="0" w:color="000000"/>
            </w:tcBorders>
            <w:shd w:val="clear" w:color="auto" w:fill="DEE6EF"/>
          </w:tcPr>
          <w:p w14:paraId="5B7A13E5" w14:textId="77777777" w:rsidR="00BA5DB0" w:rsidRDefault="00D37352">
            <w:pPr>
              <w:pStyle w:val="TableContents"/>
            </w:pPr>
            <w:r>
              <w:t>Threat</w:t>
            </w:r>
          </w:p>
        </w:tc>
      </w:tr>
      <w:tr w:rsidR="00BA5DB0" w14:paraId="0B1C60A0" w14:textId="77777777">
        <w:tc>
          <w:tcPr>
            <w:tcW w:w="4513" w:type="dxa"/>
            <w:tcBorders>
              <w:left w:val="single" w:sz="4" w:space="0" w:color="000000"/>
              <w:bottom w:val="single" w:sz="4" w:space="0" w:color="000000"/>
            </w:tcBorders>
          </w:tcPr>
          <w:p w14:paraId="1DFC315A" w14:textId="77777777" w:rsidR="00BA5DB0" w:rsidRDefault="00D37352">
            <w:pPr>
              <w:pStyle w:val="TableContents"/>
              <w:numPr>
                <w:ilvl w:val="0"/>
                <w:numId w:val="3"/>
              </w:numPr>
            </w:pPr>
            <w:r>
              <w:t>Growing environmental consciousness in consumers and Plan A's net-zero targets build reputational advantage and solidifies M&amp;S’s brand positioning</w:t>
            </w:r>
          </w:p>
        </w:tc>
        <w:tc>
          <w:tcPr>
            <w:tcW w:w="4513" w:type="dxa"/>
            <w:tcBorders>
              <w:left w:val="single" w:sz="4" w:space="0" w:color="000000"/>
              <w:bottom w:val="single" w:sz="4" w:space="0" w:color="000000"/>
              <w:right w:val="single" w:sz="4" w:space="0" w:color="000000"/>
            </w:tcBorders>
          </w:tcPr>
          <w:p w14:paraId="6EFE1871" w14:textId="77777777" w:rsidR="00BA5DB0" w:rsidRDefault="00D37352">
            <w:pPr>
              <w:pStyle w:val="TableContents"/>
              <w:numPr>
                <w:ilvl w:val="0"/>
                <w:numId w:val="3"/>
              </w:numPr>
            </w:pPr>
            <w:r>
              <w:t xml:space="preserve">EPR fees and the forthcoming Deposit Return Scheme raise compliance costs </w:t>
            </w:r>
          </w:p>
          <w:p w14:paraId="24FCA395" w14:textId="77777777" w:rsidR="00BA5DB0" w:rsidRDefault="00D37352">
            <w:pPr>
              <w:pStyle w:val="TableContents"/>
              <w:numPr>
                <w:ilvl w:val="0"/>
                <w:numId w:val="3"/>
              </w:numPr>
            </w:pPr>
            <w:r>
              <w:t>M&amp;S’s 94% of emissions sit in Scope 3, so decarbonisation dependent on supplier behaviour; which is outside M&amp;S's direct control</w:t>
            </w:r>
          </w:p>
        </w:tc>
      </w:tr>
    </w:tbl>
    <w:p w14:paraId="5AB39744" w14:textId="77777777" w:rsidR="00BA5DB0" w:rsidRDefault="00BA5DB0">
      <w:pPr>
        <w:spacing w:after="200" w:line="360" w:lineRule="auto"/>
        <w:jc w:val="both"/>
        <w:rPr>
          <w:sz w:val="24"/>
          <w:szCs w:val="24"/>
        </w:rPr>
      </w:pPr>
    </w:p>
    <w:p w14:paraId="36BEEDEF" w14:textId="77777777" w:rsidR="00BA5DB0" w:rsidRDefault="00BA5DB0">
      <w:pPr>
        <w:spacing w:after="200" w:line="360" w:lineRule="auto"/>
        <w:jc w:val="both"/>
        <w:rPr>
          <w:sz w:val="24"/>
          <w:szCs w:val="24"/>
        </w:rPr>
      </w:pPr>
    </w:p>
    <w:p w14:paraId="55BAC8AF" w14:textId="77777777" w:rsidR="00BA5DB0" w:rsidRDefault="00D37352">
      <w:pPr>
        <w:spacing w:after="200" w:line="360" w:lineRule="auto"/>
        <w:jc w:val="both"/>
        <w:rPr>
          <w:sz w:val="24"/>
          <w:szCs w:val="24"/>
        </w:rPr>
      </w:pPr>
      <w:r>
        <w:rPr>
          <w:b/>
          <w:bCs/>
          <w:sz w:val="24"/>
          <w:szCs w:val="24"/>
        </w:rPr>
        <w:t>Legal Factors:</w:t>
      </w:r>
      <w:r>
        <w:rPr>
          <w:sz w:val="24"/>
          <w:szCs w:val="24"/>
        </w:rPr>
        <w:t xml:space="preserve"> The Employment Rights Act 2025 and other such regulations are increasing compliance risk for large retails firms like M&amp;S. Which introduces new duties on employers: such as guaranteed work hours protections and a proactive duty to prevent harassment both sexual and third-party (The Retail Bulletin, 2026). Data protection law increases the risk of potential regulatory investigation and litigation under UK GDPR. Environmental compliance is no-longer a voluntary commitments </w:t>
      </w:r>
      <w:r>
        <w:rPr>
          <w:sz w:val="24"/>
          <w:szCs w:val="24"/>
        </w:rPr>
        <w:lastRenderedPageBreak/>
        <w:t>but core legal obligations under EPR legislation for packaging (Grocery Trade News, 2025).</w:t>
      </w:r>
    </w:p>
    <w:tbl>
      <w:tblPr>
        <w:tblW w:w="5000" w:type="pct"/>
        <w:tblInd w:w="-5" w:type="dxa"/>
        <w:tblLayout w:type="fixed"/>
        <w:tblCellMar>
          <w:top w:w="55" w:type="dxa"/>
          <w:left w:w="55" w:type="dxa"/>
          <w:bottom w:w="55" w:type="dxa"/>
          <w:right w:w="55" w:type="dxa"/>
        </w:tblCellMar>
        <w:tblLook w:val="04A0" w:firstRow="1" w:lastRow="0" w:firstColumn="1" w:lastColumn="0" w:noHBand="0" w:noVBand="1"/>
      </w:tblPr>
      <w:tblGrid>
        <w:gridCol w:w="4508"/>
        <w:gridCol w:w="4508"/>
      </w:tblGrid>
      <w:tr w:rsidR="00BA5DB0" w14:paraId="05C6DB82" w14:textId="77777777">
        <w:tc>
          <w:tcPr>
            <w:tcW w:w="4513" w:type="dxa"/>
            <w:tcBorders>
              <w:top w:val="single" w:sz="4" w:space="0" w:color="000000"/>
              <w:left w:val="single" w:sz="4" w:space="0" w:color="000000"/>
              <w:bottom w:val="single" w:sz="4" w:space="0" w:color="000000"/>
            </w:tcBorders>
            <w:shd w:val="clear" w:color="auto" w:fill="DEE6EF"/>
          </w:tcPr>
          <w:p w14:paraId="79B1B9C3" w14:textId="77777777" w:rsidR="00BA5DB0" w:rsidRDefault="00D37352">
            <w:pPr>
              <w:pStyle w:val="TableContents"/>
            </w:pPr>
            <w:r>
              <w:t>Opportunity</w:t>
            </w:r>
          </w:p>
        </w:tc>
        <w:tc>
          <w:tcPr>
            <w:tcW w:w="4513" w:type="dxa"/>
            <w:tcBorders>
              <w:top w:val="single" w:sz="4" w:space="0" w:color="000000"/>
              <w:left w:val="single" w:sz="4" w:space="0" w:color="000000"/>
              <w:bottom w:val="single" w:sz="4" w:space="0" w:color="000000"/>
              <w:right w:val="single" w:sz="4" w:space="0" w:color="000000"/>
            </w:tcBorders>
            <w:shd w:val="clear" w:color="auto" w:fill="DEE6EF"/>
          </w:tcPr>
          <w:p w14:paraId="32306607" w14:textId="77777777" w:rsidR="00BA5DB0" w:rsidRDefault="00D37352">
            <w:pPr>
              <w:pStyle w:val="TableContents"/>
            </w:pPr>
            <w:r>
              <w:t>Threat</w:t>
            </w:r>
          </w:p>
        </w:tc>
      </w:tr>
      <w:tr w:rsidR="00BA5DB0" w14:paraId="38BDF233" w14:textId="77777777">
        <w:tc>
          <w:tcPr>
            <w:tcW w:w="4513" w:type="dxa"/>
            <w:tcBorders>
              <w:left w:val="single" w:sz="4" w:space="0" w:color="000000"/>
              <w:bottom w:val="single" w:sz="4" w:space="0" w:color="000000"/>
            </w:tcBorders>
          </w:tcPr>
          <w:p w14:paraId="38DFD036" w14:textId="77777777" w:rsidR="00BA5DB0" w:rsidRDefault="00D37352">
            <w:pPr>
              <w:pStyle w:val="TableContents"/>
              <w:numPr>
                <w:ilvl w:val="0"/>
                <w:numId w:val="3"/>
              </w:numPr>
            </w:pPr>
            <w:r>
              <w:t>Early alignment with legislation could differentiate M&amp;S from slower-moving competitors and reduce future compliance exposure.</w:t>
            </w:r>
          </w:p>
        </w:tc>
        <w:tc>
          <w:tcPr>
            <w:tcW w:w="4513" w:type="dxa"/>
            <w:tcBorders>
              <w:left w:val="single" w:sz="4" w:space="0" w:color="000000"/>
              <w:bottom w:val="single" w:sz="4" w:space="0" w:color="000000"/>
              <w:right w:val="single" w:sz="4" w:space="0" w:color="000000"/>
            </w:tcBorders>
          </w:tcPr>
          <w:p w14:paraId="7D43741E" w14:textId="77777777" w:rsidR="00BA5DB0" w:rsidRDefault="00D37352">
            <w:pPr>
              <w:pStyle w:val="TableContents"/>
              <w:numPr>
                <w:ilvl w:val="0"/>
                <w:numId w:val="3"/>
              </w:numPr>
            </w:pPr>
            <w:r>
              <w:t>The 2025 and potential such data breach exposes M&amp;S to UK GDPR regulatory investigation and potential litigation</w:t>
            </w:r>
          </w:p>
          <w:p w14:paraId="1FCA8E33" w14:textId="77777777" w:rsidR="00BA5DB0" w:rsidRDefault="00D37352">
            <w:pPr>
              <w:pStyle w:val="TableContents"/>
              <w:numPr>
                <w:ilvl w:val="0"/>
                <w:numId w:val="3"/>
              </w:numPr>
            </w:pPr>
            <w:r>
              <w:t>New Employment Rights Act 2025 duties increase compliance risk</w:t>
            </w:r>
          </w:p>
        </w:tc>
      </w:tr>
    </w:tbl>
    <w:p w14:paraId="6A0166CA" w14:textId="77777777" w:rsidR="00BA5DB0" w:rsidRDefault="00BA5DB0">
      <w:pPr>
        <w:spacing w:after="200" w:line="360" w:lineRule="auto"/>
        <w:jc w:val="both"/>
        <w:rPr>
          <w:sz w:val="24"/>
          <w:szCs w:val="24"/>
        </w:rPr>
      </w:pPr>
    </w:p>
    <w:p w14:paraId="52D15289" w14:textId="77777777" w:rsidR="00BA5DB0" w:rsidRDefault="00D37352">
      <w:pPr>
        <w:spacing w:after="200" w:line="360" w:lineRule="auto"/>
        <w:jc w:val="both"/>
        <w:rPr>
          <w:b/>
          <w:bCs/>
          <w:sz w:val="24"/>
          <w:szCs w:val="24"/>
        </w:rPr>
      </w:pPr>
      <w:r>
        <w:rPr>
          <w:b/>
          <w:bCs/>
          <w:sz w:val="24"/>
          <w:szCs w:val="24"/>
        </w:rPr>
        <w:t>Internal Capabilities and VRIO Analysis</w:t>
      </w:r>
    </w:p>
    <w:p w14:paraId="435834FA" w14:textId="77777777" w:rsidR="00BA5DB0" w:rsidRDefault="00D37352">
      <w:pPr>
        <w:spacing w:after="200" w:line="360" w:lineRule="auto"/>
        <w:jc w:val="both"/>
        <w:rPr>
          <w:sz w:val="24"/>
          <w:szCs w:val="24"/>
        </w:rPr>
      </w:pPr>
      <w:r>
        <w:rPr>
          <w:sz w:val="24"/>
          <w:szCs w:val="24"/>
        </w:rPr>
        <w:t>Any company's internal capabilities and resources determine it’s market performance.VRIO framework is used to systemetically evaluate whether Marks and Spencer’s (M&amp;S) internal capabilities and resources are  valuable, rare, inimitable and organised to identify internal strengths and weakesses based on the evaluation.</w:t>
      </w:r>
    </w:p>
    <w:p w14:paraId="29F5212E" w14:textId="77777777" w:rsidR="00BA5DB0" w:rsidRDefault="00D37352">
      <w:pPr>
        <w:spacing w:after="200" w:line="360" w:lineRule="auto"/>
        <w:jc w:val="both"/>
        <w:rPr>
          <w:b/>
          <w:bCs/>
          <w:sz w:val="24"/>
          <w:szCs w:val="24"/>
        </w:rPr>
      </w:pPr>
      <w:r>
        <w:rPr>
          <w:b/>
          <w:bCs/>
          <w:sz w:val="24"/>
          <w:szCs w:val="24"/>
        </w:rPr>
        <w:t>1.1 Heritage Brand Equity and Trust</w:t>
      </w:r>
    </w:p>
    <w:tbl>
      <w:tblPr>
        <w:tblW w:w="5000" w:type="pct"/>
        <w:tblInd w:w="-5" w:type="dxa"/>
        <w:tblLayout w:type="fixed"/>
        <w:tblCellMar>
          <w:top w:w="55" w:type="dxa"/>
          <w:left w:w="55" w:type="dxa"/>
          <w:bottom w:w="55" w:type="dxa"/>
          <w:right w:w="55" w:type="dxa"/>
        </w:tblCellMar>
        <w:tblLook w:val="04A0" w:firstRow="1" w:lastRow="0" w:firstColumn="1" w:lastColumn="0" w:noHBand="0" w:noVBand="1"/>
      </w:tblPr>
      <w:tblGrid>
        <w:gridCol w:w="1637"/>
        <w:gridCol w:w="7379"/>
      </w:tblGrid>
      <w:tr w:rsidR="00BA5DB0" w14:paraId="32E4D62F" w14:textId="77777777">
        <w:tc>
          <w:tcPr>
            <w:tcW w:w="1639" w:type="dxa"/>
            <w:tcBorders>
              <w:top w:val="single" w:sz="4" w:space="0" w:color="000000"/>
              <w:left w:val="single" w:sz="4" w:space="0" w:color="000000"/>
              <w:bottom w:val="single" w:sz="4" w:space="0" w:color="000000"/>
            </w:tcBorders>
            <w:shd w:val="clear" w:color="auto" w:fill="DEE7E5"/>
          </w:tcPr>
          <w:p w14:paraId="3C06AAB1" w14:textId="77777777" w:rsidR="00BA5DB0" w:rsidRDefault="00D37352">
            <w:pPr>
              <w:pStyle w:val="TableContents"/>
              <w:rPr>
                <w:b/>
                <w:bCs/>
                <w:i/>
                <w:iCs/>
                <w:sz w:val="20"/>
                <w:szCs w:val="20"/>
              </w:rPr>
            </w:pPr>
            <w:r>
              <w:rPr>
                <w:b/>
                <w:bCs/>
                <w:i/>
                <w:iCs/>
                <w:sz w:val="20"/>
                <w:szCs w:val="20"/>
              </w:rPr>
              <w:t>Value</w:t>
            </w:r>
          </w:p>
        </w:tc>
        <w:tc>
          <w:tcPr>
            <w:tcW w:w="7387" w:type="dxa"/>
            <w:tcBorders>
              <w:top w:val="single" w:sz="4" w:space="0" w:color="000000"/>
              <w:left w:val="single" w:sz="4" w:space="0" w:color="000000"/>
              <w:bottom w:val="single" w:sz="4" w:space="0" w:color="000000"/>
              <w:right w:val="single" w:sz="4" w:space="0" w:color="000000"/>
            </w:tcBorders>
          </w:tcPr>
          <w:p w14:paraId="66CF1EFE" w14:textId="77777777" w:rsidR="00BA5DB0" w:rsidRDefault="00D37352">
            <w:pPr>
              <w:pStyle w:val="TableContents"/>
              <w:rPr>
                <w:sz w:val="20"/>
                <w:szCs w:val="20"/>
              </w:rPr>
            </w:pPr>
            <w:r>
              <w:rPr>
                <w:sz w:val="20"/>
                <w:szCs w:val="20"/>
              </w:rPr>
              <w:t>UK’s most trusted grocery brand and it’s Heritage status allows M&amp;S to maintain a premium pricing across its Food and Clothing segments.</w:t>
            </w:r>
          </w:p>
        </w:tc>
      </w:tr>
      <w:tr w:rsidR="00BA5DB0" w14:paraId="06485498" w14:textId="77777777">
        <w:tc>
          <w:tcPr>
            <w:tcW w:w="1639" w:type="dxa"/>
            <w:tcBorders>
              <w:left w:val="single" w:sz="4" w:space="0" w:color="000000"/>
              <w:bottom w:val="single" w:sz="4" w:space="0" w:color="000000"/>
            </w:tcBorders>
            <w:shd w:val="clear" w:color="auto" w:fill="DEE7E5"/>
          </w:tcPr>
          <w:p w14:paraId="0FF98FBC" w14:textId="77777777" w:rsidR="00BA5DB0" w:rsidRDefault="00D37352">
            <w:pPr>
              <w:pStyle w:val="TableContents"/>
              <w:rPr>
                <w:b/>
                <w:bCs/>
                <w:i/>
                <w:iCs/>
                <w:sz w:val="20"/>
                <w:szCs w:val="20"/>
              </w:rPr>
            </w:pPr>
            <w:r>
              <w:rPr>
                <w:b/>
                <w:bCs/>
                <w:i/>
                <w:iCs/>
                <w:sz w:val="20"/>
                <w:szCs w:val="20"/>
              </w:rPr>
              <w:t>Rarity</w:t>
            </w:r>
          </w:p>
        </w:tc>
        <w:tc>
          <w:tcPr>
            <w:tcW w:w="7387" w:type="dxa"/>
            <w:tcBorders>
              <w:left w:val="single" w:sz="4" w:space="0" w:color="000000"/>
              <w:bottom w:val="single" w:sz="4" w:space="0" w:color="000000"/>
              <w:right w:val="single" w:sz="4" w:space="0" w:color="000000"/>
            </w:tcBorders>
          </w:tcPr>
          <w:p w14:paraId="740BDDC9" w14:textId="77777777" w:rsidR="00BA5DB0" w:rsidRDefault="00D37352">
            <w:pPr>
              <w:pStyle w:val="TableContents"/>
              <w:rPr>
                <w:sz w:val="20"/>
                <w:szCs w:val="20"/>
              </w:rPr>
            </w:pPr>
            <w:r>
              <w:rPr>
                <w:sz w:val="20"/>
                <w:szCs w:val="20"/>
              </w:rPr>
              <w:t>M&amp;S Heritage brand status immense value as it is supported by centuries of operational history, excellent quality control and responsible sourcing policies.</w:t>
            </w:r>
          </w:p>
        </w:tc>
      </w:tr>
      <w:tr w:rsidR="00BA5DB0" w14:paraId="282B217B" w14:textId="77777777">
        <w:tc>
          <w:tcPr>
            <w:tcW w:w="1639" w:type="dxa"/>
            <w:tcBorders>
              <w:left w:val="single" w:sz="4" w:space="0" w:color="000000"/>
              <w:bottom w:val="single" w:sz="4" w:space="0" w:color="000000"/>
            </w:tcBorders>
            <w:shd w:val="clear" w:color="auto" w:fill="DEE7E5"/>
          </w:tcPr>
          <w:p w14:paraId="1FE20657" w14:textId="77777777" w:rsidR="00BA5DB0" w:rsidRDefault="00D37352">
            <w:pPr>
              <w:pStyle w:val="TableContents"/>
              <w:rPr>
                <w:b/>
                <w:bCs/>
                <w:i/>
                <w:iCs/>
                <w:sz w:val="20"/>
                <w:szCs w:val="20"/>
              </w:rPr>
            </w:pPr>
            <w:r>
              <w:rPr>
                <w:b/>
                <w:bCs/>
                <w:i/>
                <w:iCs/>
                <w:sz w:val="20"/>
                <w:szCs w:val="20"/>
              </w:rPr>
              <w:t>Inimitability</w:t>
            </w:r>
          </w:p>
        </w:tc>
        <w:tc>
          <w:tcPr>
            <w:tcW w:w="7387" w:type="dxa"/>
            <w:tcBorders>
              <w:left w:val="single" w:sz="4" w:space="0" w:color="000000"/>
              <w:bottom w:val="single" w:sz="4" w:space="0" w:color="000000"/>
              <w:right w:val="single" w:sz="4" w:space="0" w:color="000000"/>
            </w:tcBorders>
          </w:tcPr>
          <w:p w14:paraId="3D19F725" w14:textId="77777777" w:rsidR="00BA5DB0" w:rsidRDefault="00D37352">
            <w:pPr>
              <w:pStyle w:val="TableContents"/>
              <w:rPr>
                <w:sz w:val="20"/>
                <w:szCs w:val="20"/>
              </w:rPr>
            </w:pPr>
            <w:r>
              <w:rPr>
                <w:sz w:val="20"/>
                <w:szCs w:val="20"/>
              </w:rPr>
              <w:t>New competitors cannot rapidly replicate a century of brand heritage, generational consumer trust or deeply integrated supplier relationships.</w:t>
            </w:r>
          </w:p>
        </w:tc>
      </w:tr>
      <w:tr w:rsidR="00BA5DB0" w14:paraId="005A2041" w14:textId="77777777">
        <w:tc>
          <w:tcPr>
            <w:tcW w:w="1639" w:type="dxa"/>
            <w:tcBorders>
              <w:left w:val="single" w:sz="4" w:space="0" w:color="000000"/>
              <w:bottom w:val="single" w:sz="4" w:space="0" w:color="000000"/>
            </w:tcBorders>
            <w:shd w:val="clear" w:color="auto" w:fill="DEE7E5"/>
          </w:tcPr>
          <w:p w14:paraId="19B039C3" w14:textId="77777777" w:rsidR="00BA5DB0" w:rsidRDefault="00D37352">
            <w:pPr>
              <w:pStyle w:val="TableContents"/>
              <w:rPr>
                <w:b/>
                <w:bCs/>
                <w:i/>
                <w:iCs/>
                <w:sz w:val="20"/>
                <w:szCs w:val="20"/>
              </w:rPr>
            </w:pPr>
            <w:r>
              <w:rPr>
                <w:b/>
                <w:bCs/>
                <w:i/>
                <w:iCs/>
                <w:sz w:val="20"/>
                <w:szCs w:val="20"/>
              </w:rPr>
              <w:t>Organisation</w:t>
            </w:r>
          </w:p>
        </w:tc>
        <w:tc>
          <w:tcPr>
            <w:tcW w:w="7387" w:type="dxa"/>
            <w:tcBorders>
              <w:left w:val="single" w:sz="4" w:space="0" w:color="000000"/>
              <w:bottom w:val="single" w:sz="4" w:space="0" w:color="000000"/>
              <w:right w:val="single" w:sz="4" w:space="0" w:color="000000"/>
            </w:tcBorders>
          </w:tcPr>
          <w:p w14:paraId="18A4ABA9" w14:textId="77777777" w:rsidR="00BA5DB0" w:rsidRDefault="00D37352">
            <w:pPr>
              <w:pStyle w:val="TableContents"/>
              <w:rPr>
                <w:sz w:val="20"/>
                <w:szCs w:val="20"/>
              </w:rPr>
            </w:pPr>
            <w:r>
              <w:rPr>
                <w:sz w:val="20"/>
                <w:szCs w:val="20"/>
              </w:rPr>
              <w:t xml:space="preserve">M&amp;S continually reinforces this premium and ethical brand identity via its marketing expenditure and 'Plan A' sustainability framework. </w:t>
            </w:r>
          </w:p>
        </w:tc>
      </w:tr>
      <w:tr w:rsidR="00BA5DB0" w14:paraId="78F7C022" w14:textId="77777777">
        <w:tc>
          <w:tcPr>
            <w:tcW w:w="1639" w:type="dxa"/>
            <w:tcBorders>
              <w:left w:val="single" w:sz="4" w:space="0" w:color="000000"/>
              <w:bottom w:val="single" w:sz="4" w:space="0" w:color="000000"/>
            </w:tcBorders>
            <w:shd w:val="clear" w:color="auto" w:fill="DEE7E5"/>
          </w:tcPr>
          <w:p w14:paraId="1C941763" w14:textId="77777777" w:rsidR="00BA5DB0" w:rsidRDefault="00D37352">
            <w:pPr>
              <w:pStyle w:val="TableContents"/>
              <w:rPr>
                <w:b/>
                <w:bCs/>
                <w:i/>
                <w:iCs/>
                <w:sz w:val="20"/>
                <w:szCs w:val="20"/>
              </w:rPr>
            </w:pPr>
            <w:r>
              <w:rPr>
                <w:b/>
                <w:bCs/>
                <w:i/>
                <w:iCs/>
                <w:sz w:val="20"/>
                <w:szCs w:val="20"/>
              </w:rPr>
              <w:t>Strategic Implication</w:t>
            </w:r>
          </w:p>
        </w:tc>
        <w:tc>
          <w:tcPr>
            <w:tcW w:w="7387" w:type="dxa"/>
            <w:tcBorders>
              <w:left w:val="single" w:sz="4" w:space="0" w:color="000000"/>
              <w:bottom w:val="single" w:sz="4" w:space="0" w:color="000000"/>
              <w:right w:val="single" w:sz="4" w:space="0" w:color="000000"/>
            </w:tcBorders>
          </w:tcPr>
          <w:p w14:paraId="7851E62A" w14:textId="77777777" w:rsidR="00BA5DB0" w:rsidRDefault="00D37352">
            <w:pPr>
              <w:pStyle w:val="TableContents"/>
              <w:rPr>
                <w:sz w:val="20"/>
                <w:szCs w:val="20"/>
              </w:rPr>
            </w:pPr>
            <w:r>
              <w:rPr>
                <w:sz w:val="20"/>
                <w:szCs w:val="20"/>
              </w:rPr>
              <w:t>This is M&amp;S’s most vital internal strength and a sustained competitive advantage</w:t>
            </w:r>
          </w:p>
        </w:tc>
      </w:tr>
    </w:tbl>
    <w:p w14:paraId="5392C153" w14:textId="77777777" w:rsidR="00BA5DB0" w:rsidRDefault="00BA5DB0">
      <w:pPr>
        <w:spacing w:after="200" w:line="360" w:lineRule="auto"/>
        <w:jc w:val="both"/>
        <w:rPr>
          <w:sz w:val="24"/>
          <w:szCs w:val="24"/>
        </w:rPr>
      </w:pPr>
    </w:p>
    <w:p w14:paraId="400F796D" w14:textId="77777777" w:rsidR="00BA5DB0" w:rsidRDefault="00D37352">
      <w:pPr>
        <w:spacing w:after="200" w:line="360" w:lineRule="auto"/>
        <w:jc w:val="both"/>
        <w:rPr>
          <w:b/>
          <w:bCs/>
          <w:sz w:val="24"/>
          <w:szCs w:val="24"/>
        </w:rPr>
      </w:pPr>
      <w:r>
        <w:rPr>
          <w:b/>
          <w:bCs/>
          <w:sz w:val="24"/>
          <w:szCs w:val="24"/>
        </w:rPr>
        <w:t>1.2 The 'Sparks' Ecosystem &amp;  AI-Powered Digital Infrastructure</w:t>
      </w:r>
    </w:p>
    <w:tbl>
      <w:tblPr>
        <w:tblW w:w="5000" w:type="pct"/>
        <w:tblInd w:w="-5" w:type="dxa"/>
        <w:tblLayout w:type="fixed"/>
        <w:tblCellMar>
          <w:top w:w="55" w:type="dxa"/>
          <w:left w:w="55" w:type="dxa"/>
          <w:bottom w:w="55" w:type="dxa"/>
          <w:right w:w="55" w:type="dxa"/>
        </w:tblCellMar>
        <w:tblLook w:val="04A0" w:firstRow="1" w:lastRow="0" w:firstColumn="1" w:lastColumn="0" w:noHBand="0" w:noVBand="1"/>
      </w:tblPr>
      <w:tblGrid>
        <w:gridCol w:w="1637"/>
        <w:gridCol w:w="7379"/>
      </w:tblGrid>
      <w:tr w:rsidR="00BA5DB0" w14:paraId="159FC072" w14:textId="77777777">
        <w:tc>
          <w:tcPr>
            <w:tcW w:w="1639" w:type="dxa"/>
            <w:tcBorders>
              <w:top w:val="single" w:sz="4" w:space="0" w:color="000000"/>
              <w:left w:val="single" w:sz="4" w:space="0" w:color="000000"/>
              <w:bottom w:val="single" w:sz="4" w:space="0" w:color="000000"/>
            </w:tcBorders>
            <w:shd w:val="clear" w:color="auto" w:fill="DEE7E5"/>
          </w:tcPr>
          <w:p w14:paraId="2CB21022" w14:textId="77777777" w:rsidR="00BA5DB0" w:rsidRDefault="00D37352">
            <w:pPr>
              <w:pStyle w:val="TableContents"/>
              <w:rPr>
                <w:b/>
                <w:bCs/>
                <w:i/>
                <w:iCs/>
                <w:sz w:val="20"/>
                <w:szCs w:val="20"/>
              </w:rPr>
            </w:pPr>
            <w:r>
              <w:rPr>
                <w:b/>
                <w:bCs/>
                <w:i/>
                <w:iCs/>
                <w:sz w:val="20"/>
                <w:szCs w:val="20"/>
              </w:rPr>
              <w:t>Value</w:t>
            </w:r>
          </w:p>
        </w:tc>
        <w:tc>
          <w:tcPr>
            <w:tcW w:w="7387" w:type="dxa"/>
            <w:tcBorders>
              <w:top w:val="single" w:sz="4" w:space="0" w:color="000000"/>
              <w:left w:val="single" w:sz="4" w:space="0" w:color="000000"/>
              <w:bottom w:val="single" w:sz="4" w:space="0" w:color="000000"/>
              <w:right w:val="single" w:sz="4" w:space="0" w:color="000000"/>
            </w:tcBorders>
          </w:tcPr>
          <w:p w14:paraId="4621B168" w14:textId="77777777" w:rsidR="00BA5DB0" w:rsidRDefault="00D37352">
            <w:pPr>
              <w:pStyle w:val="TableContents"/>
              <w:rPr>
                <w:sz w:val="20"/>
                <w:szCs w:val="20"/>
              </w:rPr>
            </w:pPr>
            <w:r>
              <w:rPr>
                <w:sz w:val="20"/>
                <w:szCs w:val="20"/>
              </w:rPr>
              <w:t>M&amp;S heavily transformed its Sparks loyalty programme in April, 2026 by pivoting from traditional points to a digital wallet offering real monetary rewards to increase customer retention and collect actionable behavioural data.</w:t>
            </w:r>
          </w:p>
        </w:tc>
      </w:tr>
      <w:tr w:rsidR="00BA5DB0" w14:paraId="20E91D0D" w14:textId="77777777">
        <w:tc>
          <w:tcPr>
            <w:tcW w:w="1639" w:type="dxa"/>
            <w:tcBorders>
              <w:left w:val="single" w:sz="4" w:space="0" w:color="000000"/>
              <w:bottom w:val="single" w:sz="4" w:space="0" w:color="000000"/>
            </w:tcBorders>
            <w:shd w:val="clear" w:color="auto" w:fill="DEE7E5"/>
          </w:tcPr>
          <w:p w14:paraId="2CA68AD7" w14:textId="77777777" w:rsidR="00BA5DB0" w:rsidRDefault="00D37352">
            <w:pPr>
              <w:pStyle w:val="TableContents"/>
              <w:rPr>
                <w:b/>
                <w:bCs/>
                <w:i/>
                <w:iCs/>
                <w:sz w:val="20"/>
                <w:szCs w:val="20"/>
              </w:rPr>
            </w:pPr>
            <w:r>
              <w:rPr>
                <w:b/>
                <w:bCs/>
                <w:i/>
                <w:iCs/>
                <w:sz w:val="20"/>
                <w:szCs w:val="20"/>
              </w:rPr>
              <w:t>Rarity</w:t>
            </w:r>
          </w:p>
        </w:tc>
        <w:tc>
          <w:tcPr>
            <w:tcW w:w="7387" w:type="dxa"/>
            <w:tcBorders>
              <w:left w:val="single" w:sz="4" w:space="0" w:color="000000"/>
              <w:bottom w:val="single" w:sz="4" w:space="0" w:color="000000"/>
              <w:right w:val="single" w:sz="4" w:space="0" w:color="000000"/>
            </w:tcBorders>
          </w:tcPr>
          <w:p w14:paraId="0C292124" w14:textId="77777777" w:rsidR="00BA5DB0" w:rsidRDefault="00D37352">
            <w:pPr>
              <w:pStyle w:val="TableContents"/>
              <w:rPr>
                <w:sz w:val="20"/>
                <w:szCs w:val="20"/>
              </w:rPr>
            </w:pPr>
            <w:r>
              <w:rPr>
                <w:sz w:val="20"/>
                <w:szCs w:val="20"/>
              </w:rPr>
              <w:t xml:space="preserve">While retails apps are not rare, M&amp;S’s advance Machine Learning models integration for hyper-personalised pricing and product discovery is a rare </w:t>
            </w:r>
            <w:r>
              <w:rPr>
                <w:sz w:val="20"/>
                <w:szCs w:val="20"/>
              </w:rPr>
              <w:lastRenderedPageBreak/>
              <w:t>capability.</w:t>
            </w:r>
          </w:p>
        </w:tc>
      </w:tr>
      <w:tr w:rsidR="00BA5DB0" w14:paraId="496AEBA6" w14:textId="77777777">
        <w:tc>
          <w:tcPr>
            <w:tcW w:w="1639" w:type="dxa"/>
            <w:tcBorders>
              <w:left w:val="single" w:sz="4" w:space="0" w:color="000000"/>
              <w:bottom w:val="single" w:sz="4" w:space="0" w:color="000000"/>
            </w:tcBorders>
            <w:shd w:val="clear" w:color="auto" w:fill="DEE7E5"/>
          </w:tcPr>
          <w:p w14:paraId="2A0C2D54" w14:textId="77777777" w:rsidR="00BA5DB0" w:rsidRDefault="00D37352">
            <w:pPr>
              <w:pStyle w:val="TableContents"/>
              <w:rPr>
                <w:b/>
                <w:bCs/>
                <w:i/>
                <w:iCs/>
                <w:sz w:val="20"/>
                <w:szCs w:val="20"/>
              </w:rPr>
            </w:pPr>
            <w:r>
              <w:rPr>
                <w:b/>
                <w:bCs/>
                <w:i/>
                <w:iCs/>
                <w:sz w:val="20"/>
                <w:szCs w:val="20"/>
              </w:rPr>
              <w:lastRenderedPageBreak/>
              <w:t>Inimitability</w:t>
            </w:r>
          </w:p>
        </w:tc>
        <w:tc>
          <w:tcPr>
            <w:tcW w:w="7387" w:type="dxa"/>
            <w:tcBorders>
              <w:left w:val="single" w:sz="4" w:space="0" w:color="000000"/>
              <w:bottom w:val="single" w:sz="4" w:space="0" w:color="000000"/>
              <w:right w:val="single" w:sz="4" w:space="0" w:color="000000"/>
            </w:tcBorders>
          </w:tcPr>
          <w:p w14:paraId="3033AC6F" w14:textId="77777777" w:rsidR="00BA5DB0" w:rsidRDefault="00D37352">
            <w:pPr>
              <w:pStyle w:val="TableContents"/>
              <w:rPr>
                <w:sz w:val="20"/>
                <w:szCs w:val="20"/>
              </w:rPr>
            </w:pPr>
            <w:r>
              <w:rPr>
                <w:sz w:val="20"/>
                <w:szCs w:val="20"/>
              </w:rPr>
              <w:t>Competitors can build applications but  M&amp;S has decades old, highly specific, vertically integrated omnichannel data to train it’s proprietary algorithms; which is complex and capital-intensive venture for others.</w:t>
            </w:r>
          </w:p>
        </w:tc>
      </w:tr>
      <w:tr w:rsidR="00BA5DB0" w14:paraId="32FA928F" w14:textId="77777777">
        <w:tc>
          <w:tcPr>
            <w:tcW w:w="1639" w:type="dxa"/>
            <w:tcBorders>
              <w:left w:val="single" w:sz="4" w:space="0" w:color="000000"/>
              <w:bottom w:val="single" w:sz="4" w:space="0" w:color="000000"/>
            </w:tcBorders>
            <w:shd w:val="clear" w:color="auto" w:fill="DEE7E5"/>
          </w:tcPr>
          <w:p w14:paraId="25DF2A87" w14:textId="77777777" w:rsidR="00BA5DB0" w:rsidRDefault="00D37352">
            <w:pPr>
              <w:pStyle w:val="TableContents"/>
              <w:rPr>
                <w:b/>
                <w:bCs/>
                <w:i/>
                <w:iCs/>
                <w:sz w:val="20"/>
                <w:szCs w:val="20"/>
              </w:rPr>
            </w:pPr>
            <w:r>
              <w:rPr>
                <w:b/>
                <w:bCs/>
                <w:i/>
                <w:iCs/>
                <w:sz w:val="20"/>
                <w:szCs w:val="20"/>
              </w:rPr>
              <w:t>Organisation</w:t>
            </w:r>
          </w:p>
        </w:tc>
        <w:tc>
          <w:tcPr>
            <w:tcW w:w="7387" w:type="dxa"/>
            <w:tcBorders>
              <w:left w:val="single" w:sz="4" w:space="0" w:color="000000"/>
              <w:bottom w:val="single" w:sz="4" w:space="0" w:color="000000"/>
              <w:right w:val="single" w:sz="4" w:space="0" w:color="000000"/>
            </w:tcBorders>
          </w:tcPr>
          <w:p w14:paraId="7D6F541B" w14:textId="77777777" w:rsidR="00BA5DB0" w:rsidRDefault="00D37352">
            <w:pPr>
              <w:pStyle w:val="TableContents"/>
              <w:rPr>
                <w:sz w:val="20"/>
                <w:szCs w:val="20"/>
              </w:rPr>
            </w:pPr>
            <w:r>
              <w:rPr>
                <w:sz w:val="20"/>
                <w:szCs w:val="20"/>
              </w:rPr>
              <w:t>M&amp;S’s digital ecosystem is highly organised and CEO Stuart Machin considers AI-driven infrastructure - a central growth lever for "Reshape for Growth" strategy.</w:t>
            </w:r>
          </w:p>
        </w:tc>
      </w:tr>
      <w:tr w:rsidR="00BA5DB0" w14:paraId="4A767471" w14:textId="77777777">
        <w:tc>
          <w:tcPr>
            <w:tcW w:w="1639" w:type="dxa"/>
            <w:tcBorders>
              <w:left w:val="single" w:sz="4" w:space="0" w:color="000000"/>
              <w:bottom w:val="single" w:sz="4" w:space="0" w:color="000000"/>
            </w:tcBorders>
            <w:shd w:val="clear" w:color="auto" w:fill="DEE7E5"/>
          </w:tcPr>
          <w:p w14:paraId="51D55070" w14:textId="77777777" w:rsidR="00BA5DB0" w:rsidRDefault="00D37352">
            <w:pPr>
              <w:pStyle w:val="TableContents"/>
              <w:rPr>
                <w:b/>
                <w:bCs/>
                <w:i/>
                <w:iCs/>
                <w:sz w:val="20"/>
                <w:szCs w:val="20"/>
              </w:rPr>
            </w:pPr>
            <w:r>
              <w:rPr>
                <w:b/>
                <w:bCs/>
                <w:i/>
                <w:iCs/>
                <w:sz w:val="20"/>
                <w:szCs w:val="20"/>
              </w:rPr>
              <w:t>Strategic Implication</w:t>
            </w:r>
          </w:p>
        </w:tc>
        <w:tc>
          <w:tcPr>
            <w:tcW w:w="7387" w:type="dxa"/>
            <w:tcBorders>
              <w:left w:val="single" w:sz="4" w:space="0" w:color="000000"/>
              <w:bottom w:val="single" w:sz="4" w:space="0" w:color="000000"/>
              <w:right w:val="single" w:sz="4" w:space="0" w:color="000000"/>
            </w:tcBorders>
          </w:tcPr>
          <w:p w14:paraId="7F7BC661" w14:textId="77777777" w:rsidR="00BA5DB0" w:rsidRDefault="00D37352">
            <w:pPr>
              <w:pStyle w:val="TableContents"/>
              <w:rPr>
                <w:sz w:val="20"/>
                <w:szCs w:val="20"/>
              </w:rPr>
            </w:pPr>
            <w:r>
              <w:rPr>
                <w:sz w:val="20"/>
                <w:szCs w:val="20"/>
              </w:rPr>
              <w:t>This capability symbolizes a core modern strength for M&amp;S.</w:t>
            </w:r>
          </w:p>
        </w:tc>
      </w:tr>
    </w:tbl>
    <w:p w14:paraId="3D5E00F9" w14:textId="77777777" w:rsidR="00BA5DB0" w:rsidRDefault="00BA5DB0">
      <w:pPr>
        <w:spacing w:after="200" w:line="360" w:lineRule="auto"/>
        <w:jc w:val="both"/>
        <w:rPr>
          <w:sz w:val="24"/>
          <w:szCs w:val="24"/>
        </w:rPr>
      </w:pPr>
    </w:p>
    <w:p w14:paraId="5A5815D7" w14:textId="77777777" w:rsidR="00BA5DB0" w:rsidRDefault="00D37352">
      <w:pPr>
        <w:spacing w:after="200" w:line="360" w:lineRule="auto"/>
        <w:jc w:val="both"/>
        <w:rPr>
          <w:b/>
          <w:bCs/>
          <w:sz w:val="24"/>
          <w:szCs w:val="24"/>
        </w:rPr>
      </w:pPr>
      <w:r>
        <w:rPr>
          <w:b/>
          <w:bCs/>
          <w:sz w:val="24"/>
          <w:szCs w:val="24"/>
        </w:rPr>
        <w:t>1.3 Physical Store Estate and Supply Chain Scalability</w:t>
      </w:r>
    </w:p>
    <w:tbl>
      <w:tblPr>
        <w:tblW w:w="5000" w:type="pct"/>
        <w:tblInd w:w="-5" w:type="dxa"/>
        <w:tblLayout w:type="fixed"/>
        <w:tblCellMar>
          <w:top w:w="55" w:type="dxa"/>
          <w:left w:w="55" w:type="dxa"/>
          <w:bottom w:w="55" w:type="dxa"/>
          <w:right w:w="55" w:type="dxa"/>
        </w:tblCellMar>
        <w:tblLook w:val="04A0" w:firstRow="1" w:lastRow="0" w:firstColumn="1" w:lastColumn="0" w:noHBand="0" w:noVBand="1"/>
      </w:tblPr>
      <w:tblGrid>
        <w:gridCol w:w="1637"/>
        <w:gridCol w:w="7379"/>
      </w:tblGrid>
      <w:tr w:rsidR="00BA5DB0" w14:paraId="6333E7BB" w14:textId="77777777">
        <w:tc>
          <w:tcPr>
            <w:tcW w:w="1639" w:type="dxa"/>
            <w:tcBorders>
              <w:top w:val="single" w:sz="4" w:space="0" w:color="000000"/>
              <w:left w:val="single" w:sz="4" w:space="0" w:color="000000"/>
              <w:bottom w:val="single" w:sz="4" w:space="0" w:color="000000"/>
            </w:tcBorders>
            <w:shd w:val="clear" w:color="auto" w:fill="DEE7E5"/>
          </w:tcPr>
          <w:p w14:paraId="004ABA97" w14:textId="77777777" w:rsidR="00BA5DB0" w:rsidRDefault="00D37352">
            <w:pPr>
              <w:pStyle w:val="TableContents"/>
              <w:rPr>
                <w:b/>
                <w:bCs/>
                <w:i/>
                <w:iCs/>
                <w:sz w:val="20"/>
                <w:szCs w:val="20"/>
              </w:rPr>
            </w:pPr>
            <w:r>
              <w:rPr>
                <w:b/>
                <w:bCs/>
                <w:i/>
                <w:iCs/>
                <w:sz w:val="20"/>
                <w:szCs w:val="20"/>
              </w:rPr>
              <w:t>Value</w:t>
            </w:r>
          </w:p>
        </w:tc>
        <w:tc>
          <w:tcPr>
            <w:tcW w:w="7387" w:type="dxa"/>
            <w:tcBorders>
              <w:top w:val="single" w:sz="4" w:space="0" w:color="000000"/>
              <w:left w:val="single" w:sz="4" w:space="0" w:color="000000"/>
              <w:bottom w:val="single" w:sz="4" w:space="0" w:color="000000"/>
              <w:right w:val="single" w:sz="4" w:space="0" w:color="000000"/>
            </w:tcBorders>
          </w:tcPr>
          <w:p w14:paraId="4DE4F265" w14:textId="77777777" w:rsidR="00BA5DB0" w:rsidRDefault="00D37352">
            <w:pPr>
              <w:pStyle w:val="TableContents"/>
              <w:rPr>
                <w:sz w:val="20"/>
                <w:szCs w:val="20"/>
              </w:rPr>
            </w:pPr>
            <w:r>
              <w:rPr>
                <w:sz w:val="20"/>
                <w:szCs w:val="20"/>
              </w:rPr>
              <w:t>The physical footprint of M&amp;S provides brand visibility and serves as a valuable network for click-and-collect fulfilment.</w:t>
            </w:r>
          </w:p>
        </w:tc>
      </w:tr>
      <w:tr w:rsidR="00BA5DB0" w14:paraId="1DF76A83" w14:textId="77777777">
        <w:tc>
          <w:tcPr>
            <w:tcW w:w="1639" w:type="dxa"/>
            <w:tcBorders>
              <w:left w:val="single" w:sz="4" w:space="0" w:color="000000"/>
              <w:bottom w:val="single" w:sz="4" w:space="0" w:color="000000"/>
            </w:tcBorders>
            <w:shd w:val="clear" w:color="auto" w:fill="DEE7E5"/>
          </w:tcPr>
          <w:p w14:paraId="594DCD65" w14:textId="77777777" w:rsidR="00BA5DB0" w:rsidRDefault="00D37352">
            <w:pPr>
              <w:pStyle w:val="TableContents"/>
              <w:rPr>
                <w:b/>
                <w:bCs/>
                <w:i/>
                <w:iCs/>
                <w:sz w:val="20"/>
                <w:szCs w:val="20"/>
              </w:rPr>
            </w:pPr>
            <w:r>
              <w:rPr>
                <w:b/>
                <w:bCs/>
                <w:i/>
                <w:iCs/>
                <w:sz w:val="20"/>
                <w:szCs w:val="20"/>
              </w:rPr>
              <w:t>Rarity</w:t>
            </w:r>
          </w:p>
        </w:tc>
        <w:tc>
          <w:tcPr>
            <w:tcW w:w="7387" w:type="dxa"/>
            <w:tcBorders>
              <w:left w:val="single" w:sz="4" w:space="0" w:color="000000"/>
              <w:bottom w:val="single" w:sz="4" w:space="0" w:color="000000"/>
              <w:right w:val="single" w:sz="4" w:space="0" w:color="000000"/>
            </w:tcBorders>
          </w:tcPr>
          <w:p w14:paraId="18CD7B14" w14:textId="77777777" w:rsidR="00BA5DB0" w:rsidRDefault="00D37352">
            <w:pPr>
              <w:pStyle w:val="TableContents"/>
              <w:rPr>
                <w:sz w:val="20"/>
                <w:szCs w:val="20"/>
              </w:rPr>
            </w:pPr>
            <w:r>
              <w:rPr>
                <w:sz w:val="20"/>
                <w:szCs w:val="20"/>
              </w:rPr>
              <w:t>Physical store networks is not rarity among major UK retailers.</w:t>
            </w:r>
          </w:p>
        </w:tc>
      </w:tr>
      <w:tr w:rsidR="00BA5DB0" w14:paraId="29D93C09" w14:textId="77777777">
        <w:tc>
          <w:tcPr>
            <w:tcW w:w="1639" w:type="dxa"/>
            <w:tcBorders>
              <w:left w:val="single" w:sz="4" w:space="0" w:color="000000"/>
              <w:bottom w:val="single" w:sz="4" w:space="0" w:color="000000"/>
            </w:tcBorders>
            <w:shd w:val="clear" w:color="auto" w:fill="DEE7E5"/>
          </w:tcPr>
          <w:p w14:paraId="37BDD891" w14:textId="77777777" w:rsidR="00BA5DB0" w:rsidRDefault="00D37352">
            <w:pPr>
              <w:pStyle w:val="TableContents"/>
              <w:rPr>
                <w:b/>
                <w:bCs/>
                <w:i/>
                <w:iCs/>
                <w:sz w:val="20"/>
                <w:szCs w:val="20"/>
              </w:rPr>
            </w:pPr>
            <w:r>
              <w:rPr>
                <w:b/>
                <w:bCs/>
                <w:i/>
                <w:iCs/>
                <w:sz w:val="20"/>
                <w:szCs w:val="20"/>
              </w:rPr>
              <w:t>Inimitability</w:t>
            </w:r>
          </w:p>
        </w:tc>
        <w:tc>
          <w:tcPr>
            <w:tcW w:w="7387" w:type="dxa"/>
            <w:tcBorders>
              <w:left w:val="single" w:sz="4" w:space="0" w:color="000000"/>
              <w:bottom w:val="single" w:sz="4" w:space="0" w:color="000000"/>
              <w:right w:val="single" w:sz="4" w:space="0" w:color="000000"/>
            </w:tcBorders>
          </w:tcPr>
          <w:p w14:paraId="0929F644" w14:textId="77777777" w:rsidR="00BA5DB0" w:rsidRDefault="00D37352">
            <w:pPr>
              <w:pStyle w:val="TableContents"/>
              <w:rPr>
                <w:sz w:val="20"/>
                <w:szCs w:val="20"/>
              </w:rPr>
            </w:pPr>
            <w:r>
              <w:rPr>
                <w:sz w:val="20"/>
                <w:szCs w:val="20"/>
              </w:rPr>
              <w:t>Competitors such as Next or Waitrose can easily build this infrastructure.</w:t>
            </w:r>
          </w:p>
        </w:tc>
      </w:tr>
      <w:tr w:rsidR="00BA5DB0" w14:paraId="0897C5E0" w14:textId="77777777">
        <w:tc>
          <w:tcPr>
            <w:tcW w:w="1639" w:type="dxa"/>
            <w:tcBorders>
              <w:left w:val="single" w:sz="4" w:space="0" w:color="000000"/>
              <w:bottom w:val="single" w:sz="4" w:space="0" w:color="000000"/>
            </w:tcBorders>
            <w:shd w:val="clear" w:color="auto" w:fill="DEE7E5"/>
          </w:tcPr>
          <w:p w14:paraId="0DE0FAFE" w14:textId="77777777" w:rsidR="00BA5DB0" w:rsidRDefault="00D37352">
            <w:pPr>
              <w:pStyle w:val="TableContents"/>
              <w:rPr>
                <w:b/>
                <w:bCs/>
                <w:i/>
                <w:iCs/>
                <w:sz w:val="20"/>
                <w:szCs w:val="20"/>
              </w:rPr>
            </w:pPr>
            <w:r>
              <w:rPr>
                <w:b/>
                <w:bCs/>
                <w:i/>
                <w:iCs/>
                <w:sz w:val="20"/>
                <w:szCs w:val="20"/>
              </w:rPr>
              <w:t>Organisation</w:t>
            </w:r>
          </w:p>
        </w:tc>
        <w:tc>
          <w:tcPr>
            <w:tcW w:w="7387" w:type="dxa"/>
            <w:tcBorders>
              <w:left w:val="single" w:sz="4" w:space="0" w:color="000000"/>
              <w:bottom w:val="single" w:sz="4" w:space="0" w:color="000000"/>
              <w:right w:val="single" w:sz="4" w:space="0" w:color="000000"/>
            </w:tcBorders>
          </w:tcPr>
          <w:p w14:paraId="0B098DF6" w14:textId="77777777" w:rsidR="00BA5DB0" w:rsidRDefault="00D37352">
            <w:pPr>
              <w:pStyle w:val="TableContents"/>
              <w:rPr>
                <w:sz w:val="20"/>
                <w:szCs w:val="20"/>
              </w:rPr>
            </w:pPr>
            <w:r>
              <w:rPr>
                <w:sz w:val="20"/>
                <w:szCs w:val="20"/>
              </w:rPr>
              <w:t>Historically, M&amp;S’s poor supply chain scalability and legacy stores resulting in unsold stock and costly end-of-season sales. Hence, company is actively modernizing it’s supply chain using advanced automated food distribution infrastructure and aggressive capital expenditure.</w:t>
            </w:r>
          </w:p>
        </w:tc>
      </w:tr>
      <w:tr w:rsidR="00BA5DB0" w14:paraId="65105212" w14:textId="77777777">
        <w:tc>
          <w:tcPr>
            <w:tcW w:w="1639" w:type="dxa"/>
            <w:tcBorders>
              <w:left w:val="single" w:sz="4" w:space="0" w:color="000000"/>
              <w:bottom w:val="single" w:sz="4" w:space="0" w:color="000000"/>
            </w:tcBorders>
            <w:shd w:val="clear" w:color="auto" w:fill="DEE7E5"/>
          </w:tcPr>
          <w:p w14:paraId="418EDBFF" w14:textId="77777777" w:rsidR="00BA5DB0" w:rsidRDefault="00D37352">
            <w:pPr>
              <w:pStyle w:val="TableContents"/>
              <w:rPr>
                <w:b/>
                <w:bCs/>
                <w:i/>
                <w:iCs/>
                <w:sz w:val="20"/>
                <w:szCs w:val="20"/>
              </w:rPr>
            </w:pPr>
            <w:r>
              <w:rPr>
                <w:b/>
                <w:bCs/>
                <w:i/>
                <w:iCs/>
                <w:sz w:val="20"/>
                <w:szCs w:val="20"/>
              </w:rPr>
              <w:t>Strategic Implication</w:t>
            </w:r>
          </w:p>
        </w:tc>
        <w:tc>
          <w:tcPr>
            <w:tcW w:w="7387" w:type="dxa"/>
            <w:tcBorders>
              <w:left w:val="single" w:sz="4" w:space="0" w:color="000000"/>
              <w:bottom w:val="single" w:sz="4" w:space="0" w:color="000000"/>
              <w:right w:val="single" w:sz="4" w:space="0" w:color="000000"/>
            </w:tcBorders>
          </w:tcPr>
          <w:p w14:paraId="209A9344" w14:textId="77777777" w:rsidR="00BA5DB0" w:rsidRDefault="00D37352">
            <w:pPr>
              <w:pStyle w:val="TableContents"/>
            </w:pPr>
            <w:r>
              <w:rPr>
                <w:sz w:val="20"/>
                <w:szCs w:val="20"/>
              </w:rPr>
              <w:t xml:space="preserve">Legacy physical infrastructure acts as a weakness and M&amp;S is attempting to mitigate this through </w:t>
            </w:r>
            <w:r>
              <w:t>capital restructuring.</w:t>
            </w:r>
          </w:p>
        </w:tc>
      </w:tr>
    </w:tbl>
    <w:p w14:paraId="3E29697C" w14:textId="77777777" w:rsidR="00BA5DB0" w:rsidRDefault="00BA5DB0">
      <w:pPr>
        <w:spacing w:after="200" w:line="360" w:lineRule="auto"/>
        <w:jc w:val="both"/>
        <w:rPr>
          <w:sz w:val="24"/>
          <w:szCs w:val="24"/>
        </w:rPr>
      </w:pPr>
    </w:p>
    <w:p w14:paraId="55C097EE" w14:textId="77777777" w:rsidR="00BA5DB0" w:rsidRDefault="00D37352">
      <w:pPr>
        <w:spacing w:after="200" w:line="360" w:lineRule="auto"/>
        <w:jc w:val="both"/>
        <w:rPr>
          <w:b/>
          <w:bCs/>
          <w:sz w:val="24"/>
          <w:szCs w:val="24"/>
        </w:rPr>
      </w:pPr>
      <w:r>
        <w:rPr>
          <w:b/>
          <w:bCs/>
          <w:sz w:val="24"/>
          <w:szCs w:val="24"/>
        </w:rPr>
        <w:t>1.4 VRIO Final Evaluation</w:t>
      </w:r>
    </w:p>
    <w:tbl>
      <w:tblPr>
        <w:tblW w:w="5000" w:type="pct"/>
        <w:tblInd w:w="-5" w:type="dxa"/>
        <w:tblLayout w:type="fixed"/>
        <w:tblCellMar>
          <w:top w:w="55" w:type="dxa"/>
          <w:left w:w="55" w:type="dxa"/>
          <w:bottom w:w="55" w:type="dxa"/>
          <w:right w:w="55" w:type="dxa"/>
        </w:tblCellMar>
        <w:tblLook w:val="04A0" w:firstRow="1" w:lastRow="0" w:firstColumn="1" w:lastColumn="0" w:noHBand="0" w:noVBand="1"/>
      </w:tblPr>
      <w:tblGrid>
        <w:gridCol w:w="1503"/>
        <w:gridCol w:w="1503"/>
        <w:gridCol w:w="1503"/>
        <w:gridCol w:w="1502"/>
        <w:gridCol w:w="1502"/>
        <w:gridCol w:w="1503"/>
      </w:tblGrid>
      <w:tr w:rsidR="00BA5DB0" w14:paraId="722DD5DF" w14:textId="77777777">
        <w:tc>
          <w:tcPr>
            <w:tcW w:w="1504" w:type="dxa"/>
            <w:tcBorders>
              <w:top w:val="single" w:sz="4" w:space="0" w:color="000000"/>
              <w:left w:val="single" w:sz="4" w:space="0" w:color="000000"/>
              <w:bottom w:val="single" w:sz="4" w:space="0" w:color="000000"/>
            </w:tcBorders>
            <w:shd w:val="clear" w:color="auto" w:fill="DEE6EF"/>
          </w:tcPr>
          <w:p w14:paraId="58917627" w14:textId="77777777" w:rsidR="00BA5DB0" w:rsidRDefault="00D37352">
            <w:pPr>
              <w:pStyle w:val="TableContents"/>
              <w:rPr>
                <w:b/>
                <w:bCs/>
              </w:rPr>
            </w:pPr>
            <w:r>
              <w:rPr>
                <w:b/>
                <w:bCs/>
              </w:rPr>
              <w:t>Resource / Capability</w:t>
            </w:r>
          </w:p>
        </w:tc>
        <w:tc>
          <w:tcPr>
            <w:tcW w:w="1504" w:type="dxa"/>
            <w:tcBorders>
              <w:top w:val="single" w:sz="4" w:space="0" w:color="000000"/>
              <w:left w:val="single" w:sz="4" w:space="0" w:color="000000"/>
              <w:bottom w:val="single" w:sz="4" w:space="0" w:color="000000"/>
            </w:tcBorders>
            <w:shd w:val="clear" w:color="auto" w:fill="DEE6EF"/>
          </w:tcPr>
          <w:p w14:paraId="5F6E9733" w14:textId="77777777" w:rsidR="00BA5DB0" w:rsidRDefault="00D37352">
            <w:pPr>
              <w:pStyle w:val="TableContents"/>
              <w:rPr>
                <w:b/>
                <w:bCs/>
              </w:rPr>
            </w:pPr>
            <w:r>
              <w:rPr>
                <w:b/>
                <w:bCs/>
              </w:rPr>
              <w:t>Valuable?</w:t>
            </w:r>
          </w:p>
        </w:tc>
        <w:tc>
          <w:tcPr>
            <w:tcW w:w="1505" w:type="dxa"/>
            <w:tcBorders>
              <w:top w:val="single" w:sz="4" w:space="0" w:color="000000"/>
              <w:left w:val="single" w:sz="4" w:space="0" w:color="000000"/>
              <w:bottom w:val="single" w:sz="4" w:space="0" w:color="000000"/>
            </w:tcBorders>
            <w:shd w:val="clear" w:color="auto" w:fill="DEE6EF"/>
          </w:tcPr>
          <w:p w14:paraId="30AB61FC" w14:textId="77777777" w:rsidR="00BA5DB0" w:rsidRDefault="00D37352">
            <w:pPr>
              <w:pStyle w:val="TableContents"/>
              <w:rPr>
                <w:b/>
                <w:bCs/>
              </w:rPr>
            </w:pPr>
            <w:r>
              <w:rPr>
                <w:b/>
                <w:bCs/>
              </w:rPr>
              <w:t>Rare?</w:t>
            </w:r>
          </w:p>
        </w:tc>
        <w:tc>
          <w:tcPr>
            <w:tcW w:w="1504" w:type="dxa"/>
            <w:tcBorders>
              <w:top w:val="single" w:sz="4" w:space="0" w:color="000000"/>
              <w:left w:val="single" w:sz="4" w:space="0" w:color="000000"/>
              <w:bottom w:val="single" w:sz="4" w:space="0" w:color="000000"/>
            </w:tcBorders>
            <w:shd w:val="clear" w:color="auto" w:fill="DEE6EF"/>
          </w:tcPr>
          <w:p w14:paraId="39DACDF3" w14:textId="77777777" w:rsidR="00BA5DB0" w:rsidRDefault="00D37352">
            <w:pPr>
              <w:pStyle w:val="TableContents"/>
              <w:rPr>
                <w:b/>
                <w:bCs/>
              </w:rPr>
            </w:pPr>
            <w:r>
              <w:rPr>
                <w:b/>
                <w:bCs/>
              </w:rPr>
              <w:t>Costly to Imitate?</w:t>
            </w:r>
          </w:p>
        </w:tc>
        <w:tc>
          <w:tcPr>
            <w:tcW w:w="1504" w:type="dxa"/>
            <w:tcBorders>
              <w:top w:val="single" w:sz="4" w:space="0" w:color="000000"/>
              <w:left w:val="single" w:sz="4" w:space="0" w:color="000000"/>
              <w:bottom w:val="single" w:sz="4" w:space="0" w:color="000000"/>
            </w:tcBorders>
            <w:shd w:val="clear" w:color="auto" w:fill="DEE6EF"/>
          </w:tcPr>
          <w:p w14:paraId="1A1BAF1B" w14:textId="77777777" w:rsidR="00BA5DB0" w:rsidRDefault="00D37352">
            <w:pPr>
              <w:pStyle w:val="TableContents"/>
              <w:rPr>
                <w:b/>
                <w:bCs/>
              </w:rPr>
            </w:pPr>
            <w:r>
              <w:rPr>
                <w:b/>
                <w:bCs/>
              </w:rPr>
              <w:t>Organised to Exploit?</w:t>
            </w:r>
          </w:p>
        </w:tc>
        <w:tc>
          <w:tcPr>
            <w:tcW w:w="1505" w:type="dxa"/>
            <w:tcBorders>
              <w:top w:val="single" w:sz="4" w:space="0" w:color="000000"/>
              <w:left w:val="single" w:sz="4" w:space="0" w:color="000000"/>
              <w:bottom w:val="single" w:sz="4" w:space="0" w:color="000000"/>
              <w:right w:val="single" w:sz="4" w:space="0" w:color="000000"/>
            </w:tcBorders>
            <w:shd w:val="clear" w:color="auto" w:fill="DEE6EF"/>
          </w:tcPr>
          <w:p w14:paraId="331971C1" w14:textId="77777777" w:rsidR="00BA5DB0" w:rsidRDefault="00D37352">
            <w:pPr>
              <w:pStyle w:val="TableContents"/>
              <w:rPr>
                <w:b/>
                <w:bCs/>
              </w:rPr>
            </w:pPr>
            <w:r>
              <w:rPr>
                <w:b/>
                <w:bCs/>
              </w:rPr>
              <w:t>Competitive Implication</w:t>
            </w:r>
          </w:p>
        </w:tc>
      </w:tr>
      <w:tr w:rsidR="00BA5DB0" w14:paraId="21956255" w14:textId="77777777">
        <w:tc>
          <w:tcPr>
            <w:tcW w:w="1504" w:type="dxa"/>
            <w:tcBorders>
              <w:left w:val="single" w:sz="4" w:space="0" w:color="000000"/>
              <w:bottom w:val="single" w:sz="4" w:space="0" w:color="000000"/>
            </w:tcBorders>
          </w:tcPr>
          <w:p w14:paraId="6372C744" w14:textId="77777777" w:rsidR="00BA5DB0" w:rsidRDefault="00D37352">
            <w:pPr>
              <w:pStyle w:val="TableContents"/>
            </w:pPr>
            <w:r>
              <w:t>Heritage brand and customer trust</w:t>
            </w:r>
          </w:p>
        </w:tc>
        <w:tc>
          <w:tcPr>
            <w:tcW w:w="1504" w:type="dxa"/>
            <w:tcBorders>
              <w:left w:val="single" w:sz="4" w:space="0" w:color="000000"/>
              <w:bottom w:val="single" w:sz="4" w:space="0" w:color="000000"/>
            </w:tcBorders>
          </w:tcPr>
          <w:p w14:paraId="45537443" w14:textId="77777777" w:rsidR="00BA5DB0" w:rsidRDefault="00D37352">
            <w:pPr>
              <w:pStyle w:val="TableContents"/>
            </w:pPr>
            <w:r>
              <w:t>Yes</w:t>
            </w:r>
          </w:p>
        </w:tc>
        <w:tc>
          <w:tcPr>
            <w:tcW w:w="1505" w:type="dxa"/>
            <w:tcBorders>
              <w:left w:val="single" w:sz="4" w:space="0" w:color="000000"/>
              <w:bottom w:val="single" w:sz="4" w:space="0" w:color="000000"/>
            </w:tcBorders>
          </w:tcPr>
          <w:p w14:paraId="2DA01225" w14:textId="77777777" w:rsidR="00BA5DB0" w:rsidRDefault="00D37352">
            <w:pPr>
              <w:pStyle w:val="TableContents"/>
            </w:pPr>
            <w:r>
              <w:t>Yes</w:t>
            </w:r>
          </w:p>
        </w:tc>
        <w:tc>
          <w:tcPr>
            <w:tcW w:w="1504" w:type="dxa"/>
            <w:tcBorders>
              <w:left w:val="single" w:sz="4" w:space="0" w:color="000000"/>
              <w:bottom w:val="single" w:sz="4" w:space="0" w:color="000000"/>
            </w:tcBorders>
          </w:tcPr>
          <w:p w14:paraId="70E4ED2E" w14:textId="77777777" w:rsidR="00BA5DB0" w:rsidRDefault="00D37352">
            <w:pPr>
              <w:pStyle w:val="TableContents"/>
            </w:pPr>
            <w:r>
              <w:t>Yes</w:t>
            </w:r>
          </w:p>
        </w:tc>
        <w:tc>
          <w:tcPr>
            <w:tcW w:w="1504" w:type="dxa"/>
            <w:tcBorders>
              <w:left w:val="single" w:sz="4" w:space="0" w:color="000000"/>
              <w:bottom w:val="single" w:sz="4" w:space="0" w:color="000000"/>
            </w:tcBorders>
          </w:tcPr>
          <w:p w14:paraId="196BF274" w14:textId="77777777" w:rsidR="00BA5DB0" w:rsidRDefault="00D37352">
            <w:pPr>
              <w:pStyle w:val="TableContents"/>
            </w:pPr>
            <w:r>
              <w:t>Yes</w:t>
            </w:r>
          </w:p>
        </w:tc>
        <w:tc>
          <w:tcPr>
            <w:tcW w:w="1505" w:type="dxa"/>
            <w:tcBorders>
              <w:left w:val="single" w:sz="4" w:space="0" w:color="000000"/>
              <w:bottom w:val="single" w:sz="4" w:space="0" w:color="000000"/>
              <w:right w:val="single" w:sz="4" w:space="0" w:color="000000"/>
            </w:tcBorders>
          </w:tcPr>
          <w:p w14:paraId="5D40FF77" w14:textId="77777777" w:rsidR="00BA5DB0" w:rsidRDefault="00D37352">
            <w:pPr>
              <w:pStyle w:val="TableContents"/>
            </w:pPr>
            <w:r>
              <w:t>Sustained competitive advantage</w:t>
            </w:r>
          </w:p>
        </w:tc>
      </w:tr>
      <w:tr w:rsidR="00BA5DB0" w14:paraId="1128BE5C" w14:textId="77777777">
        <w:tc>
          <w:tcPr>
            <w:tcW w:w="1504" w:type="dxa"/>
            <w:tcBorders>
              <w:left w:val="single" w:sz="4" w:space="0" w:color="000000"/>
              <w:bottom w:val="single" w:sz="4" w:space="0" w:color="000000"/>
            </w:tcBorders>
          </w:tcPr>
          <w:p w14:paraId="7AEA1225" w14:textId="77777777" w:rsidR="00BA5DB0" w:rsidRDefault="00D37352">
            <w:pPr>
              <w:pStyle w:val="TableContents"/>
            </w:pPr>
            <w:r>
              <w:t>Sparks and AI ecosystem</w:t>
            </w:r>
          </w:p>
        </w:tc>
        <w:tc>
          <w:tcPr>
            <w:tcW w:w="1504" w:type="dxa"/>
            <w:tcBorders>
              <w:left w:val="single" w:sz="4" w:space="0" w:color="000000"/>
              <w:bottom w:val="single" w:sz="4" w:space="0" w:color="000000"/>
            </w:tcBorders>
          </w:tcPr>
          <w:p w14:paraId="00C70949" w14:textId="77777777" w:rsidR="00BA5DB0" w:rsidRDefault="00D37352">
            <w:pPr>
              <w:pStyle w:val="TableContents"/>
            </w:pPr>
            <w:r>
              <w:t>Yes</w:t>
            </w:r>
          </w:p>
        </w:tc>
        <w:tc>
          <w:tcPr>
            <w:tcW w:w="1505" w:type="dxa"/>
            <w:tcBorders>
              <w:left w:val="single" w:sz="4" w:space="0" w:color="000000"/>
              <w:bottom w:val="single" w:sz="4" w:space="0" w:color="000000"/>
            </w:tcBorders>
          </w:tcPr>
          <w:p w14:paraId="6EBBE1F3" w14:textId="77777777" w:rsidR="00BA5DB0" w:rsidRDefault="00D37352">
            <w:pPr>
              <w:pStyle w:val="TableContents"/>
            </w:pPr>
            <w:r>
              <w:t>Moderately</w:t>
            </w:r>
          </w:p>
        </w:tc>
        <w:tc>
          <w:tcPr>
            <w:tcW w:w="1504" w:type="dxa"/>
            <w:tcBorders>
              <w:left w:val="single" w:sz="4" w:space="0" w:color="000000"/>
              <w:bottom w:val="single" w:sz="4" w:space="0" w:color="000000"/>
            </w:tcBorders>
          </w:tcPr>
          <w:p w14:paraId="38D81C78" w14:textId="77777777" w:rsidR="00BA5DB0" w:rsidRDefault="00D37352">
            <w:pPr>
              <w:pStyle w:val="TableContents"/>
            </w:pPr>
            <w:r>
              <w:t>Moderately</w:t>
            </w:r>
          </w:p>
        </w:tc>
        <w:tc>
          <w:tcPr>
            <w:tcW w:w="1504" w:type="dxa"/>
            <w:tcBorders>
              <w:left w:val="single" w:sz="4" w:space="0" w:color="000000"/>
              <w:bottom w:val="single" w:sz="4" w:space="0" w:color="000000"/>
            </w:tcBorders>
          </w:tcPr>
          <w:p w14:paraId="55C8E9E7" w14:textId="77777777" w:rsidR="00BA5DB0" w:rsidRDefault="00D37352">
            <w:pPr>
              <w:pStyle w:val="TableContents"/>
            </w:pPr>
            <w:r>
              <w:t>Yes</w:t>
            </w:r>
          </w:p>
        </w:tc>
        <w:tc>
          <w:tcPr>
            <w:tcW w:w="1505" w:type="dxa"/>
            <w:tcBorders>
              <w:left w:val="single" w:sz="4" w:space="0" w:color="000000"/>
              <w:bottom w:val="single" w:sz="4" w:space="0" w:color="000000"/>
              <w:right w:val="single" w:sz="4" w:space="0" w:color="000000"/>
            </w:tcBorders>
          </w:tcPr>
          <w:p w14:paraId="17C2399B" w14:textId="77777777" w:rsidR="00BA5DB0" w:rsidRDefault="00D37352">
            <w:pPr>
              <w:pStyle w:val="TableContents"/>
            </w:pPr>
            <w:r>
              <w:tab/>
              <w:t>Temporary competitive advantage</w:t>
            </w:r>
          </w:p>
        </w:tc>
      </w:tr>
      <w:tr w:rsidR="00BA5DB0" w14:paraId="488A2299" w14:textId="77777777">
        <w:tc>
          <w:tcPr>
            <w:tcW w:w="1504" w:type="dxa"/>
            <w:tcBorders>
              <w:left w:val="single" w:sz="4" w:space="0" w:color="000000"/>
              <w:bottom w:val="single" w:sz="4" w:space="0" w:color="000000"/>
            </w:tcBorders>
          </w:tcPr>
          <w:p w14:paraId="631B9B19" w14:textId="77777777" w:rsidR="00BA5DB0" w:rsidRDefault="00D37352">
            <w:pPr>
              <w:pStyle w:val="TableContents"/>
            </w:pPr>
            <w:r>
              <w:t>Food sourcing and supplier network</w:t>
            </w:r>
          </w:p>
        </w:tc>
        <w:tc>
          <w:tcPr>
            <w:tcW w:w="1504" w:type="dxa"/>
            <w:tcBorders>
              <w:left w:val="single" w:sz="4" w:space="0" w:color="000000"/>
              <w:bottom w:val="single" w:sz="4" w:space="0" w:color="000000"/>
            </w:tcBorders>
          </w:tcPr>
          <w:p w14:paraId="3519F975" w14:textId="77777777" w:rsidR="00BA5DB0" w:rsidRDefault="00D37352">
            <w:pPr>
              <w:pStyle w:val="TableContents"/>
            </w:pPr>
            <w:r>
              <w:t>Yes</w:t>
            </w:r>
          </w:p>
        </w:tc>
        <w:tc>
          <w:tcPr>
            <w:tcW w:w="1505" w:type="dxa"/>
            <w:tcBorders>
              <w:left w:val="single" w:sz="4" w:space="0" w:color="000000"/>
              <w:bottom w:val="single" w:sz="4" w:space="0" w:color="000000"/>
            </w:tcBorders>
          </w:tcPr>
          <w:p w14:paraId="4083BC25" w14:textId="77777777" w:rsidR="00BA5DB0" w:rsidRDefault="00D37352">
            <w:pPr>
              <w:pStyle w:val="TableContents"/>
            </w:pPr>
            <w:r>
              <w:t>Moderately</w:t>
            </w:r>
          </w:p>
        </w:tc>
        <w:tc>
          <w:tcPr>
            <w:tcW w:w="1504" w:type="dxa"/>
            <w:tcBorders>
              <w:left w:val="single" w:sz="4" w:space="0" w:color="000000"/>
              <w:bottom w:val="single" w:sz="4" w:space="0" w:color="000000"/>
            </w:tcBorders>
          </w:tcPr>
          <w:p w14:paraId="18D5AB97" w14:textId="77777777" w:rsidR="00BA5DB0" w:rsidRDefault="00D37352">
            <w:pPr>
              <w:pStyle w:val="TableContents"/>
            </w:pPr>
            <w:r>
              <w:t>Yes</w:t>
            </w:r>
          </w:p>
        </w:tc>
        <w:tc>
          <w:tcPr>
            <w:tcW w:w="1504" w:type="dxa"/>
            <w:tcBorders>
              <w:left w:val="single" w:sz="4" w:space="0" w:color="000000"/>
              <w:bottom w:val="single" w:sz="4" w:space="0" w:color="000000"/>
            </w:tcBorders>
          </w:tcPr>
          <w:p w14:paraId="582472A8" w14:textId="77777777" w:rsidR="00BA5DB0" w:rsidRDefault="00D37352">
            <w:pPr>
              <w:pStyle w:val="TableContents"/>
            </w:pPr>
            <w:r>
              <w:t>Yes</w:t>
            </w:r>
          </w:p>
        </w:tc>
        <w:tc>
          <w:tcPr>
            <w:tcW w:w="1505" w:type="dxa"/>
            <w:tcBorders>
              <w:left w:val="single" w:sz="4" w:space="0" w:color="000000"/>
              <w:bottom w:val="single" w:sz="4" w:space="0" w:color="000000"/>
              <w:right w:val="single" w:sz="4" w:space="0" w:color="000000"/>
            </w:tcBorders>
          </w:tcPr>
          <w:p w14:paraId="094F76B8" w14:textId="77777777" w:rsidR="00BA5DB0" w:rsidRDefault="00D37352">
            <w:pPr>
              <w:pStyle w:val="TableContents"/>
            </w:pPr>
            <w:r>
              <w:t>Sustained competitive advantage</w:t>
            </w:r>
          </w:p>
        </w:tc>
      </w:tr>
      <w:tr w:rsidR="00BA5DB0" w14:paraId="7B11ECE6" w14:textId="77777777">
        <w:tc>
          <w:tcPr>
            <w:tcW w:w="1504" w:type="dxa"/>
            <w:tcBorders>
              <w:left w:val="single" w:sz="4" w:space="0" w:color="000000"/>
              <w:bottom w:val="single" w:sz="4" w:space="0" w:color="000000"/>
            </w:tcBorders>
          </w:tcPr>
          <w:p w14:paraId="765E126F" w14:textId="77777777" w:rsidR="00BA5DB0" w:rsidRDefault="00D37352">
            <w:pPr>
              <w:pStyle w:val="TableContents"/>
            </w:pPr>
            <w:r>
              <w:lastRenderedPageBreak/>
              <w:t>Digital/ omnichannel fulfilment</w:t>
            </w:r>
          </w:p>
        </w:tc>
        <w:tc>
          <w:tcPr>
            <w:tcW w:w="1504" w:type="dxa"/>
            <w:tcBorders>
              <w:left w:val="single" w:sz="4" w:space="0" w:color="000000"/>
              <w:bottom w:val="single" w:sz="4" w:space="0" w:color="000000"/>
            </w:tcBorders>
          </w:tcPr>
          <w:p w14:paraId="11F617C6" w14:textId="77777777" w:rsidR="00BA5DB0" w:rsidRDefault="00D37352">
            <w:pPr>
              <w:pStyle w:val="TableContents"/>
            </w:pPr>
            <w:r>
              <w:t>Yes</w:t>
            </w:r>
          </w:p>
        </w:tc>
        <w:tc>
          <w:tcPr>
            <w:tcW w:w="1505" w:type="dxa"/>
            <w:tcBorders>
              <w:left w:val="single" w:sz="4" w:space="0" w:color="000000"/>
              <w:bottom w:val="single" w:sz="4" w:space="0" w:color="000000"/>
            </w:tcBorders>
          </w:tcPr>
          <w:p w14:paraId="28FACC8A" w14:textId="77777777" w:rsidR="00BA5DB0" w:rsidRDefault="00D37352">
            <w:pPr>
              <w:pStyle w:val="TableContents"/>
            </w:pPr>
            <w:r>
              <w:t>No</w:t>
            </w:r>
          </w:p>
        </w:tc>
        <w:tc>
          <w:tcPr>
            <w:tcW w:w="1504" w:type="dxa"/>
            <w:tcBorders>
              <w:left w:val="single" w:sz="4" w:space="0" w:color="000000"/>
              <w:bottom w:val="single" w:sz="4" w:space="0" w:color="000000"/>
            </w:tcBorders>
          </w:tcPr>
          <w:p w14:paraId="38859A28" w14:textId="77777777" w:rsidR="00BA5DB0" w:rsidRDefault="00D37352">
            <w:pPr>
              <w:pStyle w:val="TableContents"/>
            </w:pPr>
            <w:r>
              <w:t>Moderately</w:t>
            </w:r>
          </w:p>
        </w:tc>
        <w:tc>
          <w:tcPr>
            <w:tcW w:w="1504" w:type="dxa"/>
            <w:tcBorders>
              <w:left w:val="single" w:sz="4" w:space="0" w:color="000000"/>
              <w:bottom w:val="single" w:sz="4" w:space="0" w:color="000000"/>
            </w:tcBorders>
          </w:tcPr>
          <w:p w14:paraId="7877CA11" w14:textId="77777777" w:rsidR="00BA5DB0" w:rsidRDefault="00D37352">
            <w:pPr>
              <w:pStyle w:val="TableContents"/>
            </w:pPr>
            <w:r>
              <w:t>Partially</w:t>
            </w:r>
          </w:p>
        </w:tc>
        <w:tc>
          <w:tcPr>
            <w:tcW w:w="1505" w:type="dxa"/>
            <w:tcBorders>
              <w:left w:val="single" w:sz="4" w:space="0" w:color="000000"/>
              <w:bottom w:val="single" w:sz="4" w:space="0" w:color="000000"/>
              <w:right w:val="single" w:sz="4" w:space="0" w:color="000000"/>
            </w:tcBorders>
          </w:tcPr>
          <w:p w14:paraId="268FF0B4" w14:textId="77777777" w:rsidR="00BA5DB0" w:rsidRDefault="00D37352">
            <w:pPr>
              <w:pStyle w:val="TableContents"/>
            </w:pPr>
            <w:r>
              <w:t>Competitive parity</w:t>
            </w:r>
          </w:p>
        </w:tc>
      </w:tr>
      <w:tr w:rsidR="00BA5DB0" w14:paraId="3B9782BC" w14:textId="77777777">
        <w:tc>
          <w:tcPr>
            <w:tcW w:w="1504" w:type="dxa"/>
            <w:tcBorders>
              <w:left w:val="single" w:sz="4" w:space="0" w:color="000000"/>
              <w:bottom w:val="single" w:sz="4" w:space="0" w:color="000000"/>
            </w:tcBorders>
          </w:tcPr>
          <w:p w14:paraId="79BA26A4" w14:textId="77777777" w:rsidR="00BA5DB0" w:rsidRDefault="00D37352">
            <w:pPr>
              <w:pStyle w:val="TableContents"/>
            </w:pPr>
            <w:r>
              <w:t>IT and cybersecurity infrastructure</w:t>
            </w:r>
          </w:p>
        </w:tc>
        <w:tc>
          <w:tcPr>
            <w:tcW w:w="1504" w:type="dxa"/>
            <w:tcBorders>
              <w:left w:val="single" w:sz="4" w:space="0" w:color="000000"/>
              <w:bottom w:val="single" w:sz="4" w:space="0" w:color="000000"/>
            </w:tcBorders>
          </w:tcPr>
          <w:p w14:paraId="756961C7" w14:textId="77777777" w:rsidR="00BA5DB0" w:rsidRDefault="00D37352">
            <w:pPr>
              <w:pStyle w:val="TableContents"/>
            </w:pPr>
            <w:r>
              <w:t>Yes</w:t>
            </w:r>
          </w:p>
        </w:tc>
        <w:tc>
          <w:tcPr>
            <w:tcW w:w="1505" w:type="dxa"/>
            <w:tcBorders>
              <w:left w:val="single" w:sz="4" w:space="0" w:color="000000"/>
              <w:bottom w:val="single" w:sz="4" w:space="0" w:color="000000"/>
            </w:tcBorders>
          </w:tcPr>
          <w:p w14:paraId="66D90767" w14:textId="77777777" w:rsidR="00BA5DB0" w:rsidRDefault="00D37352">
            <w:pPr>
              <w:pStyle w:val="TableContents"/>
            </w:pPr>
            <w:r>
              <w:t>No</w:t>
            </w:r>
          </w:p>
        </w:tc>
        <w:tc>
          <w:tcPr>
            <w:tcW w:w="1504" w:type="dxa"/>
            <w:tcBorders>
              <w:left w:val="single" w:sz="4" w:space="0" w:color="000000"/>
              <w:bottom w:val="single" w:sz="4" w:space="0" w:color="000000"/>
            </w:tcBorders>
          </w:tcPr>
          <w:p w14:paraId="2EFDDADA" w14:textId="77777777" w:rsidR="00BA5DB0" w:rsidRDefault="00D37352">
            <w:pPr>
              <w:pStyle w:val="TableContents"/>
            </w:pPr>
            <w:r>
              <w:t>No (exploitable)</w:t>
            </w:r>
          </w:p>
        </w:tc>
        <w:tc>
          <w:tcPr>
            <w:tcW w:w="1504" w:type="dxa"/>
            <w:tcBorders>
              <w:left w:val="single" w:sz="4" w:space="0" w:color="000000"/>
              <w:bottom w:val="single" w:sz="4" w:space="0" w:color="000000"/>
            </w:tcBorders>
          </w:tcPr>
          <w:p w14:paraId="5BC1AE44" w14:textId="77777777" w:rsidR="00BA5DB0" w:rsidRDefault="00D37352">
            <w:pPr>
              <w:pStyle w:val="TableContents"/>
            </w:pPr>
            <w:r>
              <w:t>Not yet</w:t>
            </w:r>
          </w:p>
        </w:tc>
        <w:tc>
          <w:tcPr>
            <w:tcW w:w="1505" w:type="dxa"/>
            <w:tcBorders>
              <w:left w:val="single" w:sz="4" w:space="0" w:color="000000"/>
              <w:bottom w:val="single" w:sz="4" w:space="0" w:color="000000"/>
              <w:right w:val="single" w:sz="4" w:space="0" w:color="000000"/>
            </w:tcBorders>
          </w:tcPr>
          <w:p w14:paraId="30475513" w14:textId="77777777" w:rsidR="00BA5DB0" w:rsidRDefault="00D37352">
            <w:pPr>
              <w:pStyle w:val="TableContents"/>
            </w:pPr>
            <w:r>
              <w:t>Competitive disadvantage</w:t>
            </w:r>
          </w:p>
        </w:tc>
      </w:tr>
    </w:tbl>
    <w:p w14:paraId="3E7F2F0D" w14:textId="77777777" w:rsidR="00BA5DB0" w:rsidRDefault="00BA5DB0">
      <w:pPr>
        <w:spacing w:after="200" w:line="360" w:lineRule="auto"/>
        <w:jc w:val="both"/>
        <w:rPr>
          <w:sz w:val="24"/>
          <w:szCs w:val="24"/>
        </w:rPr>
      </w:pPr>
    </w:p>
    <w:p w14:paraId="303CEDE0" w14:textId="77777777" w:rsidR="00BA5DB0" w:rsidRDefault="00D37352">
      <w:pPr>
        <w:spacing w:after="200" w:line="360" w:lineRule="auto"/>
        <w:jc w:val="both"/>
        <w:rPr>
          <w:b/>
          <w:bCs/>
          <w:sz w:val="24"/>
          <w:szCs w:val="24"/>
        </w:rPr>
      </w:pPr>
      <w:r>
        <w:rPr>
          <w:b/>
          <w:bCs/>
          <w:sz w:val="24"/>
          <w:szCs w:val="24"/>
        </w:rPr>
        <w:t>SWOT Analysis</w:t>
      </w:r>
    </w:p>
    <w:p w14:paraId="2C7E7049" w14:textId="77777777" w:rsidR="00BA5DB0" w:rsidRDefault="00D37352">
      <w:pPr>
        <w:spacing w:after="200" w:line="360" w:lineRule="auto"/>
        <w:jc w:val="both"/>
        <w:rPr>
          <w:sz w:val="24"/>
          <w:szCs w:val="24"/>
        </w:rPr>
      </w:pPr>
      <w:r>
        <w:rPr>
          <w:sz w:val="24"/>
          <w:szCs w:val="24"/>
        </w:rPr>
        <w:t>Short desc about SWOT and its importance</w:t>
      </w:r>
    </w:p>
    <w:tbl>
      <w:tblPr>
        <w:tblW w:w="5000" w:type="pct"/>
        <w:tblInd w:w="-5" w:type="dxa"/>
        <w:tblLayout w:type="fixed"/>
        <w:tblCellMar>
          <w:top w:w="55" w:type="dxa"/>
          <w:left w:w="55" w:type="dxa"/>
          <w:bottom w:w="55" w:type="dxa"/>
          <w:right w:w="55" w:type="dxa"/>
        </w:tblCellMar>
        <w:tblLook w:val="04A0" w:firstRow="1" w:lastRow="0" w:firstColumn="1" w:lastColumn="0" w:noHBand="0" w:noVBand="1"/>
      </w:tblPr>
      <w:tblGrid>
        <w:gridCol w:w="4507"/>
        <w:gridCol w:w="4509"/>
      </w:tblGrid>
      <w:tr w:rsidR="00BA5DB0" w14:paraId="2BFA72BD" w14:textId="77777777">
        <w:tc>
          <w:tcPr>
            <w:tcW w:w="4512" w:type="dxa"/>
            <w:tcBorders>
              <w:top w:val="single" w:sz="4" w:space="0" w:color="000000"/>
              <w:left w:val="single" w:sz="4" w:space="0" w:color="000000"/>
              <w:bottom w:val="single" w:sz="4" w:space="0" w:color="000000"/>
            </w:tcBorders>
            <w:shd w:val="clear" w:color="auto" w:fill="DDE8CB"/>
          </w:tcPr>
          <w:p w14:paraId="09A6660E" w14:textId="77777777" w:rsidR="00BA5DB0" w:rsidRDefault="00D37352">
            <w:pPr>
              <w:pStyle w:val="TableContents"/>
            </w:pPr>
            <w:r>
              <w:t>Strength</w:t>
            </w:r>
          </w:p>
        </w:tc>
        <w:tc>
          <w:tcPr>
            <w:tcW w:w="4514" w:type="dxa"/>
            <w:tcBorders>
              <w:top w:val="single" w:sz="4" w:space="0" w:color="000000"/>
              <w:left w:val="single" w:sz="4" w:space="0" w:color="000000"/>
              <w:bottom w:val="single" w:sz="4" w:space="0" w:color="000000"/>
              <w:right w:val="single" w:sz="4" w:space="0" w:color="000000"/>
            </w:tcBorders>
            <w:shd w:val="clear" w:color="auto" w:fill="DDE8CB"/>
          </w:tcPr>
          <w:p w14:paraId="4FA5F024" w14:textId="77777777" w:rsidR="00BA5DB0" w:rsidRDefault="00D37352">
            <w:pPr>
              <w:pStyle w:val="TableContents"/>
            </w:pPr>
            <w:r>
              <w:t>Opportunity</w:t>
            </w:r>
          </w:p>
        </w:tc>
      </w:tr>
      <w:tr w:rsidR="00BA5DB0" w14:paraId="319EDFAB" w14:textId="77777777">
        <w:trPr>
          <w:trHeight w:val="1455"/>
        </w:trPr>
        <w:tc>
          <w:tcPr>
            <w:tcW w:w="4512" w:type="dxa"/>
            <w:tcBorders>
              <w:left w:val="single" w:sz="4" w:space="0" w:color="000000"/>
              <w:bottom w:val="single" w:sz="4" w:space="0" w:color="000000"/>
            </w:tcBorders>
          </w:tcPr>
          <w:p w14:paraId="42109873" w14:textId="77777777" w:rsidR="00BA5DB0" w:rsidRDefault="00D37352">
            <w:pPr>
              <w:pStyle w:val="TableContents"/>
              <w:numPr>
                <w:ilvl w:val="0"/>
                <w:numId w:val="1"/>
              </w:numPr>
            </w:pPr>
            <w:r>
              <w:t>Trust as UK's strongest brand for a fourth consecutive year, allows customer loyalty and premium pricing against discounters</w:t>
            </w:r>
          </w:p>
          <w:p w14:paraId="11B53AD0" w14:textId="77777777" w:rsidR="00BA5DB0" w:rsidRDefault="00D37352">
            <w:pPr>
              <w:pStyle w:val="TableContents"/>
              <w:numPr>
                <w:ilvl w:val="0"/>
                <w:numId w:val="1"/>
              </w:numPr>
            </w:pPr>
            <w:r>
              <w:t>Well-organised, highly resilient food sourcing and supplier network with market-leading sales growth; Hard to replicate for competitors</w:t>
            </w:r>
          </w:p>
          <w:p w14:paraId="709DF887" w14:textId="77777777" w:rsidR="00BA5DB0" w:rsidRDefault="00D37352">
            <w:pPr>
              <w:pStyle w:val="TableContents"/>
              <w:numPr>
                <w:ilvl w:val="0"/>
                <w:numId w:val="1"/>
              </w:numPr>
            </w:pPr>
            <w:r>
              <w:t>The AI-driven digital ecosystem providing granular first-party data for hyper-personalised marketing and algorithmic inventory management.</w:t>
            </w:r>
          </w:p>
        </w:tc>
        <w:tc>
          <w:tcPr>
            <w:tcW w:w="4514" w:type="dxa"/>
            <w:tcBorders>
              <w:left w:val="single" w:sz="4" w:space="0" w:color="000000"/>
              <w:bottom w:val="single" w:sz="4" w:space="0" w:color="000000"/>
              <w:right w:val="single" w:sz="4" w:space="0" w:color="000000"/>
            </w:tcBorders>
          </w:tcPr>
          <w:p w14:paraId="7754515E" w14:textId="77777777" w:rsidR="00BA5DB0" w:rsidRDefault="00D37352">
            <w:pPr>
              <w:pStyle w:val="TableContents"/>
              <w:numPr>
                <w:ilvl w:val="0"/>
                <w:numId w:val="1"/>
              </w:numPr>
            </w:pPr>
            <w:r>
              <w:t>Shifting consumer demand toward premiumisation and functional nutrition closely aligns with M&amp;S Food's existing positioning and prospective UK–EU sanitary and phytosanitary agreement would reduce border friction and cost for fresh food imports</w:t>
            </w:r>
          </w:p>
          <w:p w14:paraId="78C28CCA" w14:textId="77777777" w:rsidR="00BA5DB0" w:rsidRDefault="00D37352">
            <w:pPr>
              <w:pStyle w:val="TableContents"/>
              <w:numPr>
                <w:ilvl w:val="0"/>
                <w:numId w:val="1"/>
              </w:numPr>
            </w:pPr>
            <w:r>
              <w:t>Growth in AI-driven personalisation and online retail, with M&amp;S targeting 50% online share of clothing, home and beauty sales by 2028</w:t>
            </w:r>
          </w:p>
          <w:p w14:paraId="5AA01525" w14:textId="77777777" w:rsidR="00BA5DB0" w:rsidRDefault="00D37352">
            <w:pPr>
              <w:pStyle w:val="TableContents"/>
              <w:numPr>
                <w:ilvl w:val="0"/>
                <w:numId w:val="1"/>
              </w:numPr>
            </w:pPr>
            <w:r>
              <w:t>Using AI to reduce operating costs and increase fulfilment speeds</w:t>
            </w:r>
          </w:p>
          <w:p w14:paraId="4A581EB5" w14:textId="77777777" w:rsidR="00BA5DB0" w:rsidRDefault="00D37352">
            <w:pPr>
              <w:pStyle w:val="TableContents"/>
              <w:numPr>
                <w:ilvl w:val="0"/>
                <w:numId w:val="1"/>
              </w:numPr>
            </w:pPr>
            <w:r>
              <w:t>Increasing consumer demand for sustainable, ethically sourced and durable products; M&amp;S can leverage brand trust to capture it</w:t>
            </w:r>
          </w:p>
        </w:tc>
      </w:tr>
      <w:tr w:rsidR="00BA5DB0" w14:paraId="5A8AA9C5" w14:textId="77777777">
        <w:tc>
          <w:tcPr>
            <w:tcW w:w="4512" w:type="dxa"/>
            <w:tcBorders>
              <w:left w:val="single" w:sz="4" w:space="0" w:color="000000"/>
              <w:bottom w:val="single" w:sz="4" w:space="0" w:color="000000"/>
            </w:tcBorders>
            <w:shd w:val="clear" w:color="auto" w:fill="FFD8CE"/>
          </w:tcPr>
          <w:p w14:paraId="36F77BC3" w14:textId="77777777" w:rsidR="00BA5DB0" w:rsidRDefault="00D37352">
            <w:pPr>
              <w:pStyle w:val="TableContents"/>
            </w:pPr>
            <w:r>
              <w:t>Weakness</w:t>
            </w:r>
          </w:p>
        </w:tc>
        <w:tc>
          <w:tcPr>
            <w:tcW w:w="4514" w:type="dxa"/>
            <w:tcBorders>
              <w:left w:val="single" w:sz="4" w:space="0" w:color="000000"/>
              <w:bottom w:val="single" w:sz="4" w:space="0" w:color="000000"/>
              <w:right w:val="single" w:sz="4" w:space="0" w:color="000000"/>
            </w:tcBorders>
            <w:shd w:val="clear" w:color="auto" w:fill="FFD8CE"/>
          </w:tcPr>
          <w:p w14:paraId="4F53BD1C" w14:textId="77777777" w:rsidR="00BA5DB0" w:rsidRDefault="00D37352">
            <w:pPr>
              <w:pStyle w:val="TableContents"/>
            </w:pPr>
            <w:r>
              <w:t>Threat</w:t>
            </w:r>
          </w:p>
        </w:tc>
      </w:tr>
      <w:tr w:rsidR="00BA5DB0" w14:paraId="167DA144" w14:textId="77777777">
        <w:trPr>
          <w:trHeight w:val="2208"/>
        </w:trPr>
        <w:tc>
          <w:tcPr>
            <w:tcW w:w="4512" w:type="dxa"/>
            <w:tcBorders>
              <w:left w:val="single" w:sz="4" w:space="0" w:color="000000"/>
              <w:bottom w:val="single" w:sz="4" w:space="0" w:color="000000"/>
            </w:tcBorders>
          </w:tcPr>
          <w:p w14:paraId="149FD92A" w14:textId="77777777" w:rsidR="00BA5DB0" w:rsidRDefault="00D37352">
            <w:pPr>
              <w:pStyle w:val="TableContents"/>
              <w:numPr>
                <w:ilvl w:val="0"/>
                <w:numId w:val="2"/>
              </w:numPr>
            </w:pPr>
            <w:r>
              <w:t>A legacy store estate with high operational overhead and yet converted to the larger, renewed full-line and food-led formats</w:t>
            </w:r>
          </w:p>
          <w:p w14:paraId="535AD7A1" w14:textId="77777777" w:rsidR="00BA5DB0" w:rsidRDefault="00D37352">
            <w:pPr>
              <w:pStyle w:val="TableContents"/>
              <w:numPr>
                <w:ilvl w:val="0"/>
                <w:numId w:val="2"/>
              </w:numPr>
            </w:pPr>
            <w:r>
              <w:t>Reliance on outsourced third-party IT providers and risk of attacks through legacy IT vulnerabilities</w:t>
            </w:r>
          </w:p>
          <w:p w14:paraId="5F0F1E3E" w14:textId="77777777" w:rsidR="00BA5DB0" w:rsidRDefault="00D37352">
            <w:pPr>
              <w:pStyle w:val="TableContents"/>
              <w:numPr>
                <w:ilvl w:val="0"/>
                <w:numId w:val="2"/>
              </w:numPr>
            </w:pPr>
            <w:r>
              <w:t xml:space="preserve">Reliance on complex, global apparel freight and higher price points in the clothing and home divisions </w:t>
            </w:r>
            <w:r>
              <w:lastRenderedPageBreak/>
              <w:t>compared to ultra-fast fashion competitors</w:t>
            </w:r>
          </w:p>
        </w:tc>
        <w:tc>
          <w:tcPr>
            <w:tcW w:w="4514" w:type="dxa"/>
            <w:tcBorders>
              <w:left w:val="single" w:sz="4" w:space="0" w:color="000000"/>
              <w:bottom w:val="single" w:sz="4" w:space="0" w:color="000000"/>
              <w:right w:val="single" w:sz="4" w:space="0" w:color="000000"/>
            </w:tcBorders>
          </w:tcPr>
          <w:p w14:paraId="620819CC" w14:textId="77777777" w:rsidR="00BA5DB0" w:rsidRDefault="00D37352">
            <w:pPr>
              <w:pStyle w:val="TableContents"/>
              <w:numPr>
                <w:ilvl w:val="0"/>
                <w:numId w:val="2"/>
              </w:numPr>
            </w:pPr>
            <w:r>
              <w:lastRenderedPageBreak/>
              <w:t>High UK inflation and fragile consumer confidence, limiting discretionary spend in non-food categories</w:t>
            </w:r>
          </w:p>
          <w:p w14:paraId="6BD288D0" w14:textId="77777777" w:rsidR="00BA5DB0" w:rsidRDefault="00D37352">
            <w:pPr>
              <w:pStyle w:val="TableContents"/>
              <w:numPr>
                <w:ilvl w:val="0"/>
                <w:numId w:val="2"/>
              </w:numPr>
            </w:pPr>
            <w:r>
              <w:t>Cost inflation due to higher business rates multipliers, minimum wage mandates and higher employer National Insurance contributions directly threatening operating margins</w:t>
            </w:r>
          </w:p>
          <w:p w14:paraId="06D78E60" w14:textId="77777777" w:rsidR="00BA5DB0" w:rsidRDefault="00D37352">
            <w:pPr>
              <w:pStyle w:val="TableContents"/>
              <w:numPr>
                <w:ilvl w:val="0"/>
                <w:numId w:val="2"/>
              </w:numPr>
            </w:pPr>
            <w:r>
              <w:lastRenderedPageBreak/>
              <w:t>Intense competition from Tesco and Sainsbury's in food; and from Next, Primark and ASOS in clothing, home and beauty</w:t>
            </w:r>
          </w:p>
        </w:tc>
      </w:tr>
    </w:tbl>
    <w:p w14:paraId="6CA05D81" w14:textId="77777777" w:rsidR="00BA5DB0" w:rsidRDefault="00BA5DB0">
      <w:pPr>
        <w:spacing w:after="200" w:line="360" w:lineRule="auto"/>
        <w:jc w:val="both"/>
        <w:rPr>
          <w:sz w:val="24"/>
          <w:szCs w:val="24"/>
        </w:rPr>
      </w:pPr>
    </w:p>
    <w:p w14:paraId="5F3019B8" w14:textId="77777777" w:rsidR="00BA5DB0" w:rsidRDefault="00D37352">
      <w:pPr>
        <w:spacing w:after="200" w:line="360" w:lineRule="auto"/>
        <w:jc w:val="both"/>
        <w:rPr>
          <w:b/>
          <w:bCs/>
          <w:sz w:val="24"/>
          <w:szCs w:val="24"/>
        </w:rPr>
      </w:pPr>
      <w:r>
        <w:rPr>
          <w:b/>
          <w:bCs/>
          <w:sz w:val="24"/>
          <w:szCs w:val="24"/>
        </w:rPr>
        <w:t>Strategic Synthesis and implications for M&amp;S</w:t>
      </w:r>
    </w:p>
    <w:p w14:paraId="53578B6C" w14:textId="77777777" w:rsidR="00BA5DB0" w:rsidRDefault="00D37352">
      <w:pPr>
        <w:spacing w:after="200" w:line="360" w:lineRule="auto"/>
        <w:jc w:val="both"/>
        <w:rPr>
          <w:sz w:val="24"/>
          <w:szCs w:val="24"/>
        </w:rPr>
      </w:pPr>
      <w:r>
        <w:rPr>
          <w:sz w:val="24"/>
          <w:szCs w:val="24"/>
        </w:rPr>
        <w:t>M&amp;S’s primary challenge is to covert its hard to replicate brand trust into further growth while facing external risks from UK market environment (Inflation, cost increases, regulatory burden). M&amp;S possesses robust strengths with three consecutive years of sales, profit and market-share growth, with a strong balance sheet to defend against threats and capture emerging opportunities. The brand has to urgently close the technology and third-party risk gap. The store rotation programme and a prospective easing of UK–EU border friction offer a route to convert external opportunities into lower-cost, higher-quality trading, but M&amp;S has to manage external pressure without eroding the value proposition and  brand's premium positioning to sustain these opportunities.</w:t>
      </w:r>
    </w:p>
    <w:p w14:paraId="608C976F" w14:textId="77777777" w:rsidR="00BA5DB0" w:rsidRDefault="00BA5DB0">
      <w:pPr>
        <w:spacing w:after="200" w:line="360" w:lineRule="auto"/>
        <w:jc w:val="both"/>
        <w:rPr>
          <w:b/>
          <w:bCs/>
          <w:sz w:val="24"/>
          <w:szCs w:val="24"/>
        </w:rPr>
      </w:pPr>
    </w:p>
    <w:p w14:paraId="0C9A5811" w14:textId="77777777" w:rsidR="00BA5DB0" w:rsidRDefault="00D37352">
      <w:pPr>
        <w:spacing w:after="200" w:line="360" w:lineRule="auto"/>
        <w:jc w:val="both"/>
        <w:rPr>
          <w:b/>
          <w:bCs/>
          <w:sz w:val="24"/>
          <w:szCs w:val="24"/>
        </w:rPr>
      </w:pPr>
      <w:r>
        <w:rPr>
          <w:b/>
          <w:bCs/>
          <w:sz w:val="24"/>
          <w:szCs w:val="24"/>
        </w:rPr>
        <w:t>3. CSR and Sustainability Objectives</w:t>
      </w:r>
    </w:p>
    <w:p w14:paraId="18313661" w14:textId="77777777" w:rsidR="00BA5DB0" w:rsidRDefault="00D37352">
      <w:pPr>
        <w:spacing w:after="200" w:line="360" w:lineRule="auto"/>
        <w:jc w:val="both"/>
        <w:rPr>
          <w:b/>
          <w:bCs/>
          <w:sz w:val="24"/>
          <w:szCs w:val="24"/>
        </w:rPr>
      </w:pPr>
      <w:r>
        <w:rPr>
          <w:b/>
          <w:bCs/>
          <w:sz w:val="24"/>
          <w:szCs w:val="24"/>
        </w:rPr>
        <w:t>Critical Evaluation and Business Alignment</w:t>
      </w:r>
    </w:p>
    <w:p w14:paraId="32FFF58A" w14:textId="77777777" w:rsidR="00BA5DB0" w:rsidRDefault="00D37352">
      <w:pPr>
        <w:spacing w:after="200" w:line="360" w:lineRule="auto"/>
        <w:jc w:val="both"/>
        <w:rPr>
          <w:sz w:val="24"/>
          <w:szCs w:val="24"/>
        </w:rPr>
      </w:pPr>
      <w:r>
        <w:rPr>
          <w:sz w:val="24"/>
          <w:szCs w:val="24"/>
        </w:rPr>
        <w:t>CSR has become a core pillar of competitive advantage rather than a mere  philanthropy. M&amp;S approaches corporate social responsibility under "Plan A 2030" and integrated into it’s overarching "Reshape for Growth" business strategy. M&amp;S ensures that its ethical pursuits simultaneously drive operational efficiency and risk mitigation by linking environmental and social targets with commercial profitability.</w:t>
      </w:r>
    </w:p>
    <w:p w14:paraId="207B81DB" w14:textId="77777777" w:rsidR="00BA5DB0" w:rsidRDefault="00D37352">
      <w:pPr>
        <w:spacing w:after="200" w:line="360" w:lineRule="auto"/>
        <w:jc w:val="center"/>
        <w:rPr>
          <w:sz w:val="24"/>
          <w:szCs w:val="24"/>
        </w:rPr>
      </w:pPr>
      <w:r>
        <w:rPr>
          <w:noProof/>
        </w:rPr>
        <w:lastRenderedPageBreak/>
        <w:drawing>
          <wp:anchor distT="0" distB="0" distL="0" distR="0" simplePos="0" relativeHeight="37" behindDoc="0" locked="0" layoutInCell="0" allowOverlap="1" wp14:anchorId="180E4AE8" wp14:editId="775C6BF6">
            <wp:simplePos x="0" y="0"/>
            <wp:positionH relativeFrom="column">
              <wp:align>center</wp:align>
            </wp:positionH>
            <wp:positionV relativeFrom="paragraph">
              <wp:posOffset>635</wp:posOffset>
            </wp:positionV>
            <wp:extent cx="5731510" cy="2578100"/>
            <wp:effectExtent l="0" t="0" r="0" b="0"/>
            <wp:wrapTopAndBottom/>
            <wp:docPr id="7"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8"/>
                    <pic:cNvPicPr>
                      <a:picLocks noChangeAspect="1" noChangeArrowheads="1"/>
                    </pic:cNvPicPr>
                  </pic:nvPicPr>
                  <pic:blipFill>
                    <a:blip r:embed="rId18"/>
                    <a:stretch>
                      <a:fillRect/>
                    </a:stretch>
                  </pic:blipFill>
                  <pic:spPr bwMode="auto">
                    <a:xfrm>
                      <a:off x="0" y="0"/>
                      <a:ext cx="5731510" cy="2578100"/>
                    </a:xfrm>
                    <a:prstGeom prst="rect">
                      <a:avLst/>
                    </a:prstGeom>
                    <a:noFill/>
                  </pic:spPr>
                </pic:pic>
              </a:graphicData>
            </a:graphic>
          </wp:anchor>
        </w:drawing>
      </w:r>
      <w:r>
        <w:rPr>
          <w:sz w:val="20"/>
          <w:szCs w:val="20"/>
        </w:rPr>
        <w:t xml:space="preserve">(Source: </w:t>
      </w:r>
      <w:hyperlink r:id="rId19">
        <w:r>
          <w:rPr>
            <w:rStyle w:val="Hyperlink"/>
            <w:sz w:val="20"/>
            <w:szCs w:val="20"/>
          </w:rPr>
          <w:t>https://corporate.marksandspencer.com/sites/marksandspencer/files/marksandspencer/annual-report/marks-and-spencer-group-plc-esg-report-2026.pdf</w:t>
        </w:r>
      </w:hyperlink>
      <w:r>
        <w:rPr>
          <w:sz w:val="20"/>
          <w:szCs w:val="20"/>
        </w:rPr>
        <w:t xml:space="preserve"> )</w:t>
      </w:r>
    </w:p>
    <w:p w14:paraId="3D31766A" w14:textId="77777777" w:rsidR="00BA5DB0" w:rsidRDefault="00BA5DB0">
      <w:pPr>
        <w:spacing w:after="200" w:line="360" w:lineRule="auto"/>
        <w:jc w:val="both"/>
        <w:rPr>
          <w:sz w:val="24"/>
          <w:szCs w:val="24"/>
        </w:rPr>
      </w:pPr>
    </w:p>
    <w:p w14:paraId="2D98A1C4" w14:textId="77777777" w:rsidR="00BA5DB0" w:rsidRDefault="00D37352">
      <w:pPr>
        <w:spacing w:after="200" w:line="360" w:lineRule="auto"/>
        <w:jc w:val="both"/>
        <w:rPr>
          <w:sz w:val="24"/>
          <w:szCs w:val="24"/>
        </w:rPr>
      </w:pPr>
      <w:r>
        <w:rPr>
          <w:sz w:val="24"/>
          <w:szCs w:val="24"/>
        </w:rPr>
        <w:t>On the environmental dimension, this includes the Plan A Accelerator Fund, which approved twelve new circularity and decarbonisation projects in 2025/26, including the SOJO in-store repair service that has grown from a pilot into a permanent part of the group's "Another Life" circular-fashion programme (Marks and Spencer Group plc, 2026b). M&amp;S aims for a carbon neutral business  by 2040, including its entire value chain. This commitment is supported by its Science Based Targets initiative (SBTi) validations. M&amp;S recently deployed 85 lower-emission vehicles within its logistics network, including electric HGVs and trucks powered by biomethane. This deployment serves a dual purpose, as it not only reduces transport carbon emissions by up to 85% (compared to diesel) but also safeguards the company's supply chain against future fossil-fuel price volatility and UK carbon taxes.</w:t>
      </w:r>
    </w:p>
    <w:p w14:paraId="5382AD33" w14:textId="77777777" w:rsidR="00BA5DB0" w:rsidRDefault="00D37352">
      <w:pPr>
        <w:spacing w:after="200" w:line="360" w:lineRule="auto"/>
        <w:jc w:val="center"/>
        <w:rPr>
          <w:sz w:val="24"/>
          <w:szCs w:val="24"/>
        </w:rPr>
      </w:pPr>
      <w:r>
        <w:rPr>
          <w:noProof/>
        </w:rPr>
        <w:lastRenderedPageBreak/>
        <w:drawing>
          <wp:anchor distT="0" distB="0" distL="0" distR="0" simplePos="0" relativeHeight="38" behindDoc="0" locked="0" layoutInCell="0" allowOverlap="1" wp14:anchorId="2FA6B9B9" wp14:editId="2A2FC3B4">
            <wp:simplePos x="0" y="0"/>
            <wp:positionH relativeFrom="column">
              <wp:align>center</wp:align>
            </wp:positionH>
            <wp:positionV relativeFrom="paragraph">
              <wp:posOffset>635</wp:posOffset>
            </wp:positionV>
            <wp:extent cx="5731510" cy="2837815"/>
            <wp:effectExtent l="0" t="0" r="0" b="0"/>
            <wp:wrapTopAndBottom/>
            <wp:docPr id="8" name="Imag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0"/>
                    <pic:cNvPicPr>
                      <a:picLocks noChangeAspect="1" noChangeArrowheads="1"/>
                    </pic:cNvPicPr>
                  </pic:nvPicPr>
                  <pic:blipFill>
                    <a:blip r:embed="rId20"/>
                    <a:stretch>
                      <a:fillRect/>
                    </a:stretch>
                  </pic:blipFill>
                  <pic:spPr bwMode="auto">
                    <a:xfrm>
                      <a:off x="0" y="0"/>
                      <a:ext cx="5731510" cy="2837815"/>
                    </a:xfrm>
                    <a:prstGeom prst="rect">
                      <a:avLst/>
                    </a:prstGeom>
                    <a:noFill/>
                  </pic:spPr>
                </pic:pic>
              </a:graphicData>
            </a:graphic>
          </wp:anchor>
        </w:drawing>
      </w:r>
      <w:r>
        <w:rPr>
          <w:sz w:val="24"/>
          <w:szCs w:val="24"/>
        </w:rPr>
        <w:t>(</w:t>
      </w:r>
      <w:r>
        <w:rPr>
          <w:sz w:val="20"/>
          <w:szCs w:val="20"/>
        </w:rPr>
        <w:t xml:space="preserve">Source: </w:t>
      </w:r>
      <w:hyperlink r:id="rId21">
        <w:r>
          <w:rPr>
            <w:rStyle w:val="Hyperlink"/>
            <w:sz w:val="20"/>
            <w:szCs w:val="20"/>
          </w:rPr>
          <w:t>https://corporate.marksandspencer.com/sites/marksandspencer/files/marksandspencer/annual-report/marks-and-spencer-group-plc-esg-report-2026.pdf</w:t>
        </w:r>
      </w:hyperlink>
      <w:r>
        <w:rPr>
          <w:sz w:val="24"/>
          <w:szCs w:val="24"/>
        </w:rPr>
        <w:t>)</w:t>
      </w:r>
    </w:p>
    <w:p w14:paraId="573B64ED" w14:textId="77777777" w:rsidR="00BA5DB0" w:rsidRDefault="00D37352">
      <w:pPr>
        <w:spacing w:after="200" w:line="360" w:lineRule="auto"/>
        <w:jc w:val="both"/>
        <w:rPr>
          <w:sz w:val="24"/>
          <w:szCs w:val="24"/>
        </w:rPr>
      </w:pPr>
      <w:r>
        <w:rPr>
          <w:sz w:val="24"/>
          <w:szCs w:val="24"/>
        </w:rPr>
        <w:t>M&amp;S entire apparel supplychain stopped sourcing cotton from high-risk regions. It’s food products contain 99% RSPO-certified segregated palm oil. Company also operates a "Fortress factories" programme to mitigate the legal and reputational risks and build long-term, closely audited relationships with strategic manufacturing partners (Marks &amp; Spencer, 2026e; Marks and Spencer Group plc, 2026a)</w:t>
      </w:r>
    </w:p>
    <w:p w14:paraId="1C9BCB6A" w14:textId="77777777" w:rsidR="00BA5DB0" w:rsidRDefault="00D37352">
      <w:pPr>
        <w:spacing w:after="200" w:line="360" w:lineRule="auto"/>
        <w:jc w:val="center"/>
        <w:rPr>
          <w:sz w:val="24"/>
          <w:szCs w:val="24"/>
        </w:rPr>
      </w:pPr>
      <w:r>
        <w:rPr>
          <w:noProof/>
        </w:rPr>
        <w:drawing>
          <wp:anchor distT="0" distB="0" distL="0" distR="0" simplePos="0" relativeHeight="40" behindDoc="0" locked="0" layoutInCell="0" allowOverlap="1" wp14:anchorId="05738D89" wp14:editId="3D097CA3">
            <wp:simplePos x="0" y="0"/>
            <wp:positionH relativeFrom="column">
              <wp:align>center</wp:align>
            </wp:positionH>
            <wp:positionV relativeFrom="paragraph">
              <wp:posOffset>635</wp:posOffset>
            </wp:positionV>
            <wp:extent cx="3515360" cy="1746885"/>
            <wp:effectExtent l="0" t="0" r="0" b="0"/>
            <wp:wrapTopAndBottom/>
            <wp:docPr id="9" name="Imag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12"/>
                    <pic:cNvPicPr>
                      <a:picLocks noChangeAspect="1" noChangeArrowheads="1"/>
                    </pic:cNvPicPr>
                  </pic:nvPicPr>
                  <pic:blipFill>
                    <a:blip r:embed="rId22"/>
                    <a:stretch>
                      <a:fillRect/>
                    </a:stretch>
                  </pic:blipFill>
                  <pic:spPr bwMode="auto">
                    <a:xfrm>
                      <a:off x="0" y="0"/>
                      <a:ext cx="3515360" cy="1746885"/>
                    </a:xfrm>
                    <a:prstGeom prst="rect">
                      <a:avLst/>
                    </a:prstGeom>
                    <a:noFill/>
                  </pic:spPr>
                </pic:pic>
              </a:graphicData>
            </a:graphic>
          </wp:anchor>
        </w:drawing>
      </w:r>
      <w:r>
        <w:rPr>
          <w:sz w:val="24"/>
          <w:szCs w:val="24"/>
        </w:rPr>
        <w:t>(</w:t>
      </w:r>
      <w:r>
        <w:rPr>
          <w:sz w:val="20"/>
          <w:szCs w:val="20"/>
        </w:rPr>
        <w:t xml:space="preserve">Source: </w:t>
      </w:r>
      <w:hyperlink r:id="rId23">
        <w:r>
          <w:rPr>
            <w:rStyle w:val="Hyperlink"/>
            <w:sz w:val="20"/>
            <w:szCs w:val="20"/>
          </w:rPr>
          <w:t>https://corporate.marksandspencer.com/sites/marksandspencer/files/marksandspencer/annual-report/marks-and-spencer-group-plc-esg-report-2026.pdf</w:t>
        </w:r>
      </w:hyperlink>
      <w:r>
        <w:rPr>
          <w:sz w:val="24"/>
          <w:szCs w:val="24"/>
        </w:rPr>
        <w:t>)</w:t>
      </w:r>
    </w:p>
    <w:p w14:paraId="1FD769E4" w14:textId="77777777" w:rsidR="00BA5DB0" w:rsidRDefault="00D37352">
      <w:pPr>
        <w:spacing w:after="200" w:line="360" w:lineRule="auto"/>
        <w:jc w:val="both"/>
        <w:rPr>
          <w:sz w:val="24"/>
          <w:szCs w:val="24"/>
        </w:rPr>
      </w:pPr>
      <w:r>
        <w:rPr>
          <w:sz w:val="24"/>
          <w:szCs w:val="24"/>
        </w:rPr>
        <w:t xml:space="preserve">M&amp;S aligns its community and workforce investments with its objective to remain UK's most trusted brand. For instance, It’s partnership with YoungMinds raises substantial </w:t>
      </w:r>
      <w:r>
        <w:rPr>
          <w:sz w:val="24"/>
          <w:szCs w:val="24"/>
        </w:rPr>
        <w:lastRenderedPageBreak/>
        <w:t>funds to addresses youth mental health, Neighbourly partnership redistributes surplus food and "Eat Well" programme supports healthier eating across the M&amp;S Food range (Marks &amp; Spencer, 2026d). Internally, aligning wages with the Real Living Wage is a calculated business objective to reduce staff turnover costs and improve in-store customer service productivity rather than a mere social stance.</w:t>
      </w:r>
    </w:p>
    <w:p w14:paraId="26061524" w14:textId="77777777" w:rsidR="00BA5DB0" w:rsidRDefault="00D37352">
      <w:pPr>
        <w:spacing w:after="200" w:line="360" w:lineRule="auto"/>
        <w:jc w:val="center"/>
        <w:rPr>
          <w:sz w:val="24"/>
          <w:szCs w:val="24"/>
        </w:rPr>
      </w:pPr>
      <w:r>
        <w:rPr>
          <w:noProof/>
        </w:rPr>
        <w:drawing>
          <wp:anchor distT="0" distB="0" distL="0" distR="0" simplePos="0" relativeHeight="39" behindDoc="0" locked="0" layoutInCell="0" allowOverlap="1" wp14:anchorId="2FFF5813" wp14:editId="71E2A917">
            <wp:simplePos x="0" y="0"/>
            <wp:positionH relativeFrom="column">
              <wp:align>center</wp:align>
            </wp:positionH>
            <wp:positionV relativeFrom="paragraph">
              <wp:posOffset>635</wp:posOffset>
            </wp:positionV>
            <wp:extent cx="3519805" cy="3079115"/>
            <wp:effectExtent l="0" t="0" r="0" b="0"/>
            <wp:wrapTopAndBottom/>
            <wp:docPr id="10" name="Imag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1"/>
                    <pic:cNvPicPr>
                      <a:picLocks noChangeAspect="1" noChangeArrowheads="1"/>
                    </pic:cNvPicPr>
                  </pic:nvPicPr>
                  <pic:blipFill>
                    <a:blip r:embed="rId24"/>
                    <a:stretch>
                      <a:fillRect/>
                    </a:stretch>
                  </pic:blipFill>
                  <pic:spPr bwMode="auto">
                    <a:xfrm>
                      <a:off x="0" y="0"/>
                      <a:ext cx="3519805" cy="3079115"/>
                    </a:xfrm>
                    <a:prstGeom prst="rect">
                      <a:avLst/>
                    </a:prstGeom>
                    <a:noFill/>
                  </pic:spPr>
                </pic:pic>
              </a:graphicData>
            </a:graphic>
          </wp:anchor>
        </w:drawing>
      </w:r>
      <w:r>
        <w:rPr>
          <w:sz w:val="24"/>
          <w:szCs w:val="24"/>
        </w:rPr>
        <w:t>(</w:t>
      </w:r>
      <w:r>
        <w:rPr>
          <w:sz w:val="20"/>
          <w:szCs w:val="20"/>
        </w:rPr>
        <w:t xml:space="preserve">Source: </w:t>
      </w:r>
      <w:hyperlink r:id="rId25">
        <w:r>
          <w:rPr>
            <w:rStyle w:val="Hyperlink"/>
            <w:sz w:val="20"/>
            <w:szCs w:val="20"/>
          </w:rPr>
          <w:t>https://corporate.marksandspencer.com/sites/marksandspencer/files/marksandspencer/annual-report/marks-and-spencer-group-plc-esg-report-2026.pdf</w:t>
        </w:r>
      </w:hyperlink>
      <w:r>
        <w:rPr>
          <w:sz w:val="24"/>
          <w:szCs w:val="24"/>
        </w:rPr>
        <w:t>)</w:t>
      </w:r>
    </w:p>
    <w:p w14:paraId="5265BA3A" w14:textId="77777777" w:rsidR="00BA5DB0" w:rsidRDefault="00BA5DB0">
      <w:pPr>
        <w:spacing w:after="200" w:line="360" w:lineRule="auto"/>
        <w:jc w:val="both"/>
        <w:rPr>
          <w:sz w:val="24"/>
          <w:szCs w:val="24"/>
        </w:rPr>
      </w:pPr>
    </w:p>
    <w:p w14:paraId="23A62D19" w14:textId="77777777" w:rsidR="00BA5DB0" w:rsidRDefault="00D37352">
      <w:pPr>
        <w:spacing w:after="200" w:line="360" w:lineRule="auto"/>
        <w:jc w:val="both"/>
        <w:rPr>
          <w:b/>
          <w:bCs/>
          <w:sz w:val="24"/>
          <w:szCs w:val="24"/>
        </w:rPr>
      </w:pPr>
      <w:r>
        <w:rPr>
          <w:b/>
          <w:bCs/>
          <w:sz w:val="24"/>
          <w:szCs w:val="24"/>
        </w:rPr>
        <w:t>4. Comprehensive View via Balanced Scorecard</w:t>
      </w:r>
    </w:p>
    <w:p w14:paraId="391CCC62" w14:textId="77777777" w:rsidR="00BA5DB0" w:rsidRDefault="00D37352">
      <w:pPr>
        <w:spacing w:after="200" w:line="360" w:lineRule="auto"/>
        <w:jc w:val="both"/>
        <w:rPr>
          <w:b/>
          <w:bCs/>
          <w:sz w:val="24"/>
          <w:szCs w:val="24"/>
        </w:rPr>
      </w:pPr>
      <w:r>
        <w:rPr>
          <w:b/>
          <w:bCs/>
          <w:sz w:val="24"/>
          <w:szCs w:val="24"/>
        </w:rPr>
        <w:t>Strategic Alignment through the Balanced Scorecard</w:t>
      </w:r>
    </w:p>
    <w:p w14:paraId="20D99D33" w14:textId="77777777" w:rsidR="00BA5DB0" w:rsidRDefault="00D37352">
      <w:pPr>
        <w:spacing w:after="200" w:line="360" w:lineRule="auto"/>
        <w:jc w:val="both"/>
        <w:rPr>
          <w:sz w:val="24"/>
          <w:szCs w:val="24"/>
        </w:rPr>
      </w:pPr>
      <w:r>
        <w:rPr>
          <w:sz w:val="24"/>
          <w:szCs w:val="24"/>
        </w:rPr>
        <w:t>Kaplan and Norton’s (1992) Balanced Scorecard translates M&amp;S's mission into actionable and measurable operational goals to provide a holistic view of the organisation’s performance across four core perspectives.</w:t>
      </w:r>
    </w:p>
    <w:p w14:paraId="57707FF3" w14:textId="77777777" w:rsidR="00BA5DB0" w:rsidRDefault="00BA5DB0">
      <w:pPr>
        <w:spacing w:after="200" w:line="360" w:lineRule="auto"/>
        <w:jc w:val="both"/>
        <w:rPr>
          <w:sz w:val="24"/>
          <w:szCs w:val="24"/>
        </w:rPr>
      </w:pPr>
    </w:p>
    <w:tbl>
      <w:tblPr>
        <w:tblW w:w="5000" w:type="pct"/>
        <w:tblInd w:w="-5" w:type="dxa"/>
        <w:tblLayout w:type="fixed"/>
        <w:tblCellMar>
          <w:top w:w="55" w:type="dxa"/>
          <w:left w:w="55" w:type="dxa"/>
          <w:bottom w:w="55" w:type="dxa"/>
          <w:right w:w="55" w:type="dxa"/>
        </w:tblCellMar>
        <w:tblLook w:val="04A0" w:firstRow="1" w:lastRow="0" w:firstColumn="1" w:lastColumn="0" w:noHBand="0" w:noVBand="1"/>
      </w:tblPr>
      <w:tblGrid>
        <w:gridCol w:w="1803"/>
        <w:gridCol w:w="1803"/>
        <w:gridCol w:w="1799"/>
        <w:gridCol w:w="1805"/>
        <w:gridCol w:w="1806"/>
      </w:tblGrid>
      <w:tr w:rsidR="00BA5DB0" w14:paraId="469C5122" w14:textId="77777777">
        <w:tc>
          <w:tcPr>
            <w:tcW w:w="1805" w:type="dxa"/>
            <w:tcBorders>
              <w:top w:val="single" w:sz="4" w:space="0" w:color="000000"/>
              <w:left w:val="single" w:sz="4" w:space="0" w:color="000000"/>
              <w:bottom w:val="single" w:sz="4" w:space="0" w:color="000000"/>
            </w:tcBorders>
            <w:shd w:val="clear" w:color="auto" w:fill="DEE7E5"/>
          </w:tcPr>
          <w:p w14:paraId="11E95FA0" w14:textId="77777777" w:rsidR="00BA5DB0" w:rsidRDefault="00D37352">
            <w:pPr>
              <w:pStyle w:val="TableContents"/>
              <w:rPr>
                <w:b/>
                <w:bCs/>
              </w:rPr>
            </w:pPr>
            <w:r>
              <w:rPr>
                <w:b/>
                <w:bCs/>
              </w:rPr>
              <w:t>Perspective</w:t>
            </w:r>
          </w:p>
        </w:tc>
        <w:tc>
          <w:tcPr>
            <w:tcW w:w="1805" w:type="dxa"/>
            <w:tcBorders>
              <w:top w:val="single" w:sz="4" w:space="0" w:color="000000"/>
              <w:left w:val="single" w:sz="4" w:space="0" w:color="000000"/>
              <w:bottom w:val="single" w:sz="4" w:space="0" w:color="000000"/>
            </w:tcBorders>
            <w:shd w:val="clear" w:color="auto" w:fill="DEE7E5"/>
          </w:tcPr>
          <w:p w14:paraId="41064881" w14:textId="77777777" w:rsidR="00BA5DB0" w:rsidRDefault="00D37352">
            <w:pPr>
              <w:pStyle w:val="TableContents"/>
              <w:rPr>
                <w:b/>
                <w:bCs/>
              </w:rPr>
            </w:pPr>
            <w:r>
              <w:rPr>
                <w:b/>
                <w:bCs/>
              </w:rPr>
              <w:t>Objective</w:t>
            </w:r>
          </w:p>
        </w:tc>
        <w:tc>
          <w:tcPr>
            <w:tcW w:w="1801" w:type="dxa"/>
            <w:tcBorders>
              <w:top w:val="single" w:sz="4" w:space="0" w:color="000000"/>
              <w:left w:val="single" w:sz="4" w:space="0" w:color="000000"/>
              <w:bottom w:val="single" w:sz="4" w:space="0" w:color="000000"/>
            </w:tcBorders>
            <w:shd w:val="clear" w:color="auto" w:fill="DEE7E5"/>
          </w:tcPr>
          <w:p w14:paraId="29184C5D" w14:textId="77777777" w:rsidR="00BA5DB0" w:rsidRDefault="00D37352">
            <w:pPr>
              <w:pStyle w:val="TableContents"/>
              <w:rPr>
                <w:b/>
                <w:bCs/>
              </w:rPr>
            </w:pPr>
            <w:r>
              <w:rPr>
                <w:b/>
                <w:bCs/>
              </w:rPr>
              <w:tab/>
              <w:t xml:space="preserve">Key Performance </w:t>
            </w:r>
            <w:r>
              <w:rPr>
                <w:b/>
                <w:bCs/>
              </w:rPr>
              <w:lastRenderedPageBreak/>
              <w:t>Indicators</w:t>
            </w:r>
          </w:p>
        </w:tc>
        <w:tc>
          <w:tcPr>
            <w:tcW w:w="1807" w:type="dxa"/>
            <w:tcBorders>
              <w:top w:val="single" w:sz="4" w:space="0" w:color="000000"/>
              <w:left w:val="single" w:sz="4" w:space="0" w:color="000000"/>
              <w:bottom w:val="single" w:sz="4" w:space="0" w:color="000000"/>
            </w:tcBorders>
            <w:shd w:val="clear" w:color="auto" w:fill="DEE7E5"/>
          </w:tcPr>
          <w:p w14:paraId="24365AE9" w14:textId="77777777" w:rsidR="00BA5DB0" w:rsidRDefault="00D37352">
            <w:pPr>
              <w:pStyle w:val="TableContents"/>
              <w:rPr>
                <w:b/>
                <w:bCs/>
              </w:rPr>
            </w:pPr>
            <w:r>
              <w:rPr>
                <w:b/>
                <w:bCs/>
              </w:rPr>
              <w:lastRenderedPageBreak/>
              <w:t>Targets</w:t>
            </w:r>
          </w:p>
        </w:tc>
        <w:tc>
          <w:tcPr>
            <w:tcW w:w="1808" w:type="dxa"/>
            <w:tcBorders>
              <w:top w:val="single" w:sz="4" w:space="0" w:color="000000"/>
              <w:left w:val="single" w:sz="4" w:space="0" w:color="000000"/>
              <w:bottom w:val="single" w:sz="4" w:space="0" w:color="000000"/>
              <w:right w:val="single" w:sz="4" w:space="0" w:color="000000"/>
            </w:tcBorders>
            <w:shd w:val="clear" w:color="auto" w:fill="DEE7E5"/>
          </w:tcPr>
          <w:p w14:paraId="544A6F4A" w14:textId="77777777" w:rsidR="00BA5DB0" w:rsidRDefault="00D37352">
            <w:pPr>
              <w:pStyle w:val="TableContents"/>
              <w:rPr>
                <w:b/>
                <w:bCs/>
              </w:rPr>
            </w:pPr>
            <w:r>
              <w:rPr>
                <w:b/>
                <w:bCs/>
              </w:rPr>
              <w:t>Initiatives</w:t>
            </w:r>
          </w:p>
        </w:tc>
      </w:tr>
      <w:tr w:rsidR="00BA5DB0" w14:paraId="0B63C030" w14:textId="77777777">
        <w:tc>
          <w:tcPr>
            <w:tcW w:w="1805" w:type="dxa"/>
            <w:tcBorders>
              <w:left w:val="single" w:sz="4" w:space="0" w:color="000000"/>
              <w:bottom w:val="single" w:sz="4" w:space="0" w:color="000000"/>
            </w:tcBorders>
          </w:tcPr>
          <w:p w14:paraId="75E16ABA" w14:textId="77777777" w:rsidR="00BA5DB0" w:rsidRDefault="00D37352">
            <w:pPr>
              <w:pStyle w:val="TableContents"/>
            </w:pPr>
            <w:r>
              <w:t>Financial</w:t>
            </w:r>
          </w:p>
        </w:tc>
        <w:tc>
          <w:tcPr>
            <w:tcW w:w="1805" w:type="dxa"/>
            <w:tcBorders>
              <w:left w:val="single" w:sz="4" w:space="0" w:color="000000"/>
              <w:bottom w:val="single" w:sz="4" w:space="0" w:color="000000"/>
            </w:tcBorders>
          </w:tcPr>
          <w:p w14:paraId="63C8588E" w14:textId="77777777" w:rsidR="00BA5DB0" w:rsidRDefault="00D37352">
            <w:pPr>
              <w:pStyle w:val="TableContents"/>
            </w:pPr>
            <w:r>
              <w:t>Sustain self-funded, profitable growth</w:t>
            </w:r>
          </w:p>
        </w:tc>
        <w:tc>
          <w:tcPr>
            <w:tcW w:w="1801" w:type="dxa"/>
            <w:tcBorders>
              <w:left w:val="single" w:sz="4" w:space="0" w:color="000000"/>
              <w:bottom w:val="single" w:sz="4" w:space="0" w:color="000000"/>
            </w:tcBorders>
          </w:tcPr>
          <w:p w14:paraId="17FA2A83" w14:textId="77777777" w:rsidR="00BA5DB0" w:rsidRDefault="00D37352">
            <w:pPr>
              <w:pStyle w:val="TableContents"/>
            </w:pPr>
            <w:r>
              <w:t>Group operating and pre-tax profit</w:t>
            </w:r>
          </w:p>
          <w:p w14:paraId="733D9EC8" w14:textId="77777777" w:rsidR="00BA5DB0" w:rsidRDefault="00BA5DB0">
            <w:pPr>
              <w:pStyle w:val="TableContents"/>
            </w:pPr>
          </w:p>
          <w:p w14:paraId="1E014B88" w14:textId="77777777" w:rsidR="00BA5DB0" w:rsidRDefault="00D37352">
            <w:pPr>
              <w:pStyle w:val="TableContents"/>
            </w:pPr>
            <w:r>
              <w:t>free cash flow</w:t>
            </w:r>
          </w:p>
          <w:p w14:paraId="32BB5109" w14:textId="77777777" w:rsidR="00BA5DB0" w:rsidRDefault="00BA5DB0">
            <w:pPr>
              <w:pStyle w:val="TableContents"/>
            </w:pPr>
          </w:p>
          <w:p w14:paraId="57209BB0" w14:textId="77777777" w:rsidR="00BA5DB0" w:rsidRDefault="00D37352">
            <w:pPr>
              <w:pStyle w:val="TableContents"/>
            </w:pPr>
            <w:r>
              <w:t>dividend cover</w:t>
            </w:r>
          </w:p>
        </w:tc>
        <w:tc>
          <w:tcPr>
            <w:tcW w:w="1807" w:type="dxa"/>
            <w:tcBorders>
              <w:left w:val="single" w:sz="4" w:space="0" w:color="000000"/>
              <w:bottom w:val="single" w:sz="4" w:space="0" w:color="000000"/>
            </w:tcBorders>
          </w:tcPr>
          <w:p w14:paraId="19018B7A" w14:textId="77777777" w:rsidR="00BA5DB0" w:rsidRDefault="00D37352">
            <w:pPr>
              <w:pStyle w:val="TableContents"/>
            </w:pPr>
            <w:r>
              <w:t>Extend the run of consecutive annual profit growth achieved in FY2024/25 (£875.5m PBT); maintain a progressive, covered dividend</w:t>
            </w:r>
          </w:p>
        </w:tc>
        <w:tc>
          <w:tcPr>
            <w:tcW w:w="1808" w:type="dxa"/>
            <w:tcBorders>
              <w:left w:val="single" w:sz="4" w:space="0" w:color="000000"/>
              <w:bottom w:val="single" w:sz="4" w:space="0" w:color="000000"/>
              <w:right w:val="single" w:sz="4" w:space="0" w:color="000000"/>
            </w:tcBorders>
          </w:tcPr>
          <w:p w14:paraId="6B50874F" w14:textId="77777777" w:rsidR="00BA5DB0" w:rsidRDefault="00D37352">
            <w:pPr>
              <w:pStyle w:val="TableContents"/>
            </w:pPr>
            <w:r>
              <w:t>Disciplined capital allocation across store rotation, supply chain and technology under "Reshaping for Growth"</w:t>
            </w:r>
          </w:p>
        </w:tc>
      </w:tr>
      <w:tr w:rsidR="00BA5DB0" w14:paraId="2D314255" w14:textId="77777777">
        <w:tc>
          <w:tcPr>
            <w:tcW w:w="1805" w:type="dxa"/>
            <w:tcBorders>
              <w:left w:val="single" w:sz="4" w:space="0" w:color="000000"/>
              <w:bottom w:val="single" w:sz="4" w:space="0" w:color="000000"/>
            </w:tcBorders>
          </w:tcPr>
          <w:p w14:paraId="0CD0A6DD" w14:textId="77777777" w:rsidR="00BA5DB0" w:rsidRDefault="00D37352">
            <w:pPr>
              <w:pStyle w:val="TableContents"/>
            </w:pPr>
            <w:r>
              <w:t>Customer</w:t>
            </w:r>
          </w:p>
        </w:tc>
        <w:tc>
          <w:tcPr>
            <w:tcW w:w="1805" w:type="dxa"/>
            <w:tcBorders>
              <w:left w:val="single" w:sz="4" w:space="0" w:color="000000"/>
              <w:bottom w:val="single" w:sz="4" w:space="0" w:color="000000"/>
            </w:tcBorders>
          </w:tcPr>
          <w:p w14:paraId="3B9E3351" w14:textId="77777777" w:rsidR="00BA5DB0" w:rsidRDefault="00D37352">
            <w:pPr>
              <w:pStyle w:val="TableContents"/>
            </w:pPr>
            <w:r>
              <w:tab/>
              <w:t>Deepen customer trust, loyalty and relevance across a broader demographic</w:t>
            </w:r>
          </w:p>
        </w:tc>
        <w:tc>
          <w:tcPr>
            <w:tcW w:w="1801" w:type="dxa"/>
            <w:tcBorders>
              <w:left w:val="single" w:sz="4" w:space="0" w:color="000000"/>
              <w:bottom w:val="single" w:sz="4" w:space="0" w:color="000000"/>
            </w:tcBorders>
          </w:tcPr>
          <w:p w14:paraId="3F238BC2" w14:textId="77777777" w:rsidR="00BA5DB0" w:rsidRDefault="00D37352">
            <w:pPr>
              <w:pStyle w:val="TableContents"/>
            </w:pPr>
            <w:r>
              <w:t>Sparks active membership and engagement</w:t>
            </w:r>
          </w:p>
          <w:p w14:paraId="51B56971" w14:textId="77777777" w:rsidR="00BA5DB0" w:rsidRDefault="00BA5DB0">
            <w:pPr>
              <w:pStyle w:val="TableContents"/>
            </w:pPr>
          </w:p>
          <w:p w14:paraId="379AF755" w14:textId="77777777" w:rsidR="00BA5DB0" w:rsidRDefault="00D37352">
            <w:pPr>
              <w:pStyle w:val="TableContents"/>
            </w:pPr>
            <w:r>
              <w:t>brand ranking</w:t>
            </w:r>
          </w:p>
        </w:tc>
        <w:tc>
          <w:tcPr>
            <w:tcW w:w="1807" w:type="dxa"/>
            <w:tcBorders>
              <w:left w:val="single" w:sz="4" w:space="0" w:color="000000"/>
              <w:bottom w:val="single" w:sz="4" w:space="0" w:color="000000"/>
            </w:tcBorders>
          </w:tcPr>
          <w:p w14:paraId="4F0F4534" w14:textId="77777777" w:rsidR="00BA5DB0" w:rsidRDefault="00D37352">
            <w:pPr>
              <w:pStyle w:val="TableContents"/>
            </w:pPr>
            <w:r>
              <w:t>Grow engaged Sparks membership and personalisation reach; defend the UK's strongest-brand ranking for a fifth consecutive year</w:t>
            </w:r>
          </w:p>
        </w:tc>
        <w:tc>
          <w:tcPr>
            <w:tcW w:w="1808" w:type="dxa"/>
            <w:tcBorders>
              <w:left w:val="single" w:sz="4" w:space="0" w:color="000000"/>
              <w:bottom w:val="single" w:sz="4" w:space="0" w:color="000000"/>
              <w:right w:val="single" w:sz="4" w:space="0" w:color="000000"/>
            </w:tcBorders>
          </w:tcPr>
          <w:p w14:paraId="17DEC71E" w14:textId="77777777" w:rsidR="00BA5DB0" w:rsidRDefault="00D37352">
            <w:pPr>
              <w:pStyle w:val="TableContents"/>
            </w:pPr>
            <w:r>
              <w:t>AI-powered Sparks relaunch and Virgin Red partnership;</w:t>
            </w:r>
          </w:p>
          <w:p w14:paraId="58897A9A" w14:textId="77777777" w:rsidR="00BA5DB0" w:rsidRDefault="00D37352">
            <w:pPr>
              <w:pStyle w:val="TableContents"/>
            </w:pPr>
            <w:r>
              <w:t>Continued investment in the "Love That" brand campaign</w:t>
            </w:r>
          </w:p>
        </w:tc>
      </w:tr>
      <w:tr w:rsidR="00BA5DB0" w14:paraId="688C117C" w14:textId="77777777">
        <w:tc>
          <w:tcPr>
            <w:tcW w:w="1805" w:type="dxa"/>
            <w:tcBorders>
              <w:left w:val="single" w:sz="4" w:space="0" w:color="000000"/>
              <w:bottom w:val="single" w:sz="4" w:space="0" w:color="000000"/>
            </w:tcBorders>
          </w:tcPr>
          <w:p w14:paraId="55CA8F4B" w14:textId="77777777" w:rsidR="00BA5DB0" w:rsidRDefault="00D37352">
            <w:pPr>
              <w:pStyle w:val="TableContents"/>
            </w:pPr>
            <w:r>
              <w:t>Internal Business Process</w:t>
            </w:r>
          </w:p>
        </w:tc>
        <w:tc>
          <w:tcPr>
            <w:tcW w:w="1805" w:type="dxa"/>
            <w:tcBorders>
              <w:left w:val="single" w:sz="4" w:space="0" w:color="000000"/>
              <w:bottom w:val="single" w:sz="4" w:space="0" w:color="000000"/>
            </w:tcBorders>
          </w:tcPr>
          <w:p w14:paraId="56E816F9" w14:textId="77777777" w:rsidR="00BA5DB0" w:rsidRDefault="00D37352">
            <w:pPr>
              <w:pStyle w:val="TableContents"/>
            </w:pPr>
            <w:r>
              <w:t>Build a resilient, quality-assured supply chain and secure digital operations</w:t>
            </w:r>
          </w:p>
        </w:tc>
        <w:tc>
          <w:tcPr>
            <w:tcW w:w="1801" w:type="dxa"/>
            <w:tcBorders>
              <w:left w:val="single" w:sz="4" w:space="0" w:color="000000"/>
              <w:bottom w:val="single" w:sz="4" w:space="0" w:color="000000"/>
            </w:tcBorders>
          </w:tcPr>
          <w:p w14:paraId="20C6296C" w14:textId="77777777" w:rsidR="00BA5DB0" w:rsidRDefault="00D37352">
            <w:pPr>
              <w:pStyle w:val="TableContents"/>
            </w:pPr>
            <w:r>
              <w:t>Fortress factories audit coverage</w:t>
            </w:r>
          </w:p>
          <w:p w14:paraId="6D2FDB57" w14:textId="77777777" w:rsidR="00BA5DB0" w:rsidRDefault="00BA5DB0">
            <w:pPr>
              <w:pStyle w:val="TableContents"/>
            </w:pPr>
          </w:p>
          <w:p w14:paraId="5FFE80E7" w14:textId="77777777" w:rsidR="00BA5DB0" w:rsidRDefault="00D37352">
            <w:pPr>
              <w:pStyle w:val="TableContents"/>
            </w:pPr>
            <w:r>
              <w:t>Cybersecurity incident recovery time</w:t>
            </w:r>
          </w:p>
          <w:p w14:paraId="41A41820" w14:textId="77777777" w:rsidR="00BA5DB0" w:rsidRDefault="00BA5DB0">
            <w:pPr>
              <w:pStyle w:val="TableContents"/>
            </w:pPr>
          </w:p>
          <w:p w14:paraId="4F3E6747" w14:textId="77777777" w:rsidR="00BA5DB0" w:rsidRDefault="00D37352">
            <w:pPr>
              <w:pStyle w:val="TableContents"/>
            </w:pPr>
            <w:r>
              <w:t>Online order availability</w:t>
            </w:r>
          </w:p>
        </w:tc>
        <w:tc>
          <w:tcPr>
            <w:tcW w:w="1807" w:type="dxa"/>
            <w:tcBorders>
              <w:left w:val="single" w:sz="4" w:space="0" w:color="000000"/>
              <w:bottom w:val="single" w:sz="4" w:space="0" w:color="000000"/>
            </w:tcBorders>
          </w:tcPr>
          <w:p w14:paraId="280CFEF6" w14:textId="77777777" w:rsidR="00BA5DB0" w:rsidRDefault="00D37352">
            <w:pPr>
              <w:pStyle w:val="TableContents"/>
            </w:pPr>
            <w:r>
              <w:t>Zero repeat critical security incidents; expanded Fortress factories coverage across strategic suppliers</w:t>
            </w:r>
          </w:p>
        </w:tc>
        <w:tc>
          <w:tcPr>
            <w:tcW w:w="1808" w:type="dxa"/>
            <w:tcBorders>
              <w:left w:val="single" w:sz="4" w:space="0" w:color="000000"/>
              <w:bottom w:val="single" w:sz="4" w:space="0" w:color="000000"/>
              <w:right w:val="single" w:sz="4" w:space="0" w:color="000000"/>
            </w:tcBorders>
          </w:tcPr>
          <w:p w14:paraId="159DF9FD" w14:textId="77777777" w:rsidR="00BA5DB0" w:rsidRDefault="00D37352">
            <w:pPr>
              <w:pStyle w:val="TableContents"/>
            </w:pPr>
            <w:r>
              <w:t>Post-breach technology and identity-management investment; Global Sourcing Principles and Fortress factories programme</w:t>
            </w:r>
          </w:p>
        </w:tc>
      </w:tr>
      <w:tr w:rsidR="00BA5DB0" w14:paraId="5CEA21EE" w14:textId="77777777">
        <w:tc>
          <w:tcPr>
            <w:tcW w:w="1805" w:type="dxa"/>
            <w:tcBorders>
              <w:left w:val="single" w:sz="4" w:space="0" w:color="000000"/>
              <w:bottom w:val="single" w:sz="4" w:space="0" w:color="000000"/>
            </w:tcBorders>
          </w:tcPr>
          <w:p w14:paraId="6087B330" w14:textId="77777777" w:rsidR="00BA5DB0" w:rsidRDefault="00D37352">
            <w:pPr>
              <w:pStyle w:val="TableContents"/>
            </w:pPr>
            <w:r>
              <w:t>Learning &amp; Growth</w:t>
            </w:r>
          </w:p>
        </w:tc>
        <w:tc>
          <w:tcPr>
            <w:tcW w:w="1805" w:type="dxa"/>
            <w:tcBorders>
              <w:left w:val="single" w:sz="4" w:space="0" w:color="000000"/>
              <w:bottom w:val="single" w:sz="4" w:space="0" w:color="000000"/>
            </w:tcBorders>
          </w:tcPr>
          <w:p w14:paraId="50F21CEA" w14:textId="77777777" w:rsidR="00BA5DB0" w:rsidRDefault="00D37352">
            <w:pPr>
              <w:pStyle w:val="TableContents"/>
            </w:pPr>
            <w:r>
              <w:t>Develop colleague capability and an inclusive culture to support transformation</w:t>
            </w:r>
          </w:p>
        </w:tc>
        <w:tc>
          <w:tcPr>
            <w:tcW w:w="1801" w:type="dxa"/>
            <w:tcBorders>
              <w:left w:val="single" w:sz="4" w:space="0" w:color="000000"/>
              <w:bottom w:val="single" w:sz="4" w:space="0" w:color="000000"/>
            </w:tcBorders>
          </w:tcPr>
          <w:p w14:paraId="734C2D19" w14:textId="77777777" w:rsidR="00BA5DB0" w:rsidRDefault="00D37352">
            <w:pPr>
              <w:pStyle w:val="TableContents"/>
            </w:pPr>
            <w:r>
              <w:t>Colleague engagement survey scores; training hours per colleague; internal promotion rate</w:t>
            </w:r>
          </w:p>
        </w:tc>
        <w:tc>
          <w:tcPr>
            <w:tcW w:w="1807" w:type="dxa"/>
            <w:tcBorders>
              <w:left w:val="single" w:sz="4" w:space="0" w:color="000000"/>
              <w:bottom w:val="single" w:sz="4" w:space="0" w:color="000000"/>
            </w:tcBorders>
          </w:tcPr>
          <w:p w14:paraId="4C6B0E18" w14:textId="77777777" w:rsidR="00BA5DB0" w:rsidRDefault="00D37352">
            <w:pPr>
              <w:pStyle w:val="TableContents"/>
            </w:pPr>
            <w:r>
              <w:t>Improve year-on-year engagement scores across the ~65,000-strong workforce during the technology transition</w:t>
            </w:r>
          </w:p>
        </w:tc>
        <w:tc>
          <w:tcPr>
            <w:tcW w:w="1808" w:type="dxa"/>
            <w:tcBorders>
              <w:left w:val="single" w:sz="4" w:space="0" w:color="000000"/>
              <w:bottom w:val="single" w:sz="4" w:space="0" w:color="000000"/>
              <w:right w:val="single" w:sz="4" w:space="0" w:color="000000"/>
            </w:tcBorders>
          </w:tcPr>
          <w:p w14:paraId="42088BDB" w14:textId="77777777" w:rsidR="00BA5DB0" w:rsidRDefault="00D37352">
            <w:pPr>
              <w:pStyle w:val="TableContents"/>
            </w:pPr>
            <w:r>
              <w:t>Colleague wellbeing, development and inclusion programmes under the Plan A "people" pillar</w:t>
            </w:r>
          </w:p>
        </w:tc>
      </w:tr>
    </w:tbl>
    <w:p w14:paraId="1D248B58" w14:textId="77777777" w:rsidR="00BA5DB0" w:rsidRDefault="00BA5DB0">
      <w:pPr>
        <w:spacing w:after="200" w:line="360" w:lineRule="auto"/>
        <w:jc w:val="both"/>
        <w:rPr>
          <w:sz w:val="24"/>
          <w:szCs w:val="24"/>
        </w:rPr>
      </w:pPr>
    </w:p>
    <w:p w14:paraId="1E026751" w14:textId="77777777" w:rsidR="00BA5DB0" w:rsidRDefault="00BA5DB0">
      <w:pPr>
        <w:spacing w:after="200" w:line="360" w:lineRule="auto"/>
        <w:jc w:val="both"/>
        <w:rPr>
          <w:sz w:val="24"/>
          <w:szCs w:val="24"/>
        </w:rPr>
      </w:pPr>
    </w:p>
    <w:p w14:paraId="5D4258AE" w14:textId="77777777" w:rsidR="00BA5DB0" w:rsidRDefault="00D37352">
      <w:pPr>
        <w:spacing w:after="200" w:line="360" w:lineRule="auto"/>
        <w:jc w:val="both"/>
        <w:rPr>
          <w:b/>
          <w:bCs/>
          <w:sz w:val="24"/>
          <w:szCs w:val="24"/>
        </w:rPr>
      </w:pPr>
      <w:r>
        <w:rPr>
          <w:b/>
          <w:bCs/>
          <w:sz w:val="24"/>
          <w:szCs w:val="24"/>
        </w:rPr>
        <w:t>5. Strategic Choices and Implementation</w:t>
      </w:r>
    </w:p>
    <w:p w14:paraId="5550E546" w14:textId="77777777" w:rsidR="00BA5DB0" w:rsidRDefault="00D37352">
      <w:pPr>
        <w:spacing w:after="200" w:line="360" w:lineRule="auto"/>
        <w:jc w:val="both"/>
        <w:rPr>
          <w:b/>
          <w:bCs/>
          <w:sz w:val="24"/>
          <w:szCs w:val="24"/>
        </w:rPr>
      </w:pPr>
      <w:r>
        <w:rPr>
          <w:b/>
          <w:bCs/>
          <w:sz w:val="24"/>
          <w:szCs w:val="24"/>
        </w:rPr>
        <w:lastRenderedPageBreak/>
        <w:t>5.1 Evaluating Business and Corporate-Level Strategic Choices</w:t>
      </w:r>
    </w:p>
    <w:p w14:paraId="1B789502" w14:textId="77777777" w:rsidR="00BA5DB0" w:rsidRDefault="00D37352">
      <w:pPr>
        <w:spacing w:after="200" w:line="360" w:lineRule="auto"/>
        <w:jc w:val="both"/>
        <w:rPr>
          <w:sz w:val="24"/>
          <w:szCs w:val="24"/>
        </w:rPr>
      </w:pPr>
      <w:r>
        <w:rPr>
          <w:sz w:val="24"/>
          <w:szCs w:val="24"/>
        </w:rPr>
        <w:t>Fundamentally, Business-level strategy determines how M&amp;S competes within retail market to achieve a competitive advantage by strategically choosing between cost leadership (competing on price), differentiation(unique value) and focus (Porter, 1980).</w:t>
      </w:r>
    </w:p>
    <w:p w14:paraId="7BF93AC0" w14:textId="77777777" w:rsidR="00BA5DB0" w:rsidRDefault="00D37352">
      <w:pPr>
        <w:spacing w:after="200" w:line="360" w:lineRule="auto"/>
        <w:jc w:val="center"/>
        <w:rPr>
          <w:sz w:val="24"/>
          <w:szCs w:val="24"/>
        </w:rPr>
      </w:pPr>
      <w:r>
        <w:rPr>
          <w:noProof/>
        </w:rPr>
        <w:drawing>
          <wp:anchor distT="0" distB="0" distL="0" distR="0" simplePos="0" relativeHeight="41" behindDoc="0" locked="0" layoutInCell="0" allowOverlap="1" wp14:anchorId="1F7DCF8B" wp14:editId="388FC876">
            <wp:simplePos x="0" y="0"/>
            <wp:positionH relativeFrom="column">
              <wp:align>center</wp:align>
            </wp:positionH>
            <wp:positionV relativeFrom="paragraph">
              <wp:posOffset>635</wp:posOffset>
            </wp:positionV>
            <wp:extent cx="3321050" cy="2590800"/>
            <wp:effectExtent l="0" t="0" r="0" b="0"/>
            <wp:wrapTopAndBottom/>
            <wp:docPr id="11"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9"/>
                    <pic:cNvPicPr>
                      <a:picLocks noChangeAspect="1" noChangeArrowheads="1"/>
                    </pic:cNvPicPr>
                  </pic:nvPicPr>
                  <pic:blipFill>
                    <a:blip r:embed="rId26"/>
                    <a:stretch>
                      <a:fillRect/>
                    </a:stretch>
                  </pic:blipFill>
                  <pic:spPr bwMode="auto">
                    <a:xfrm>
                      <a:off x="0" y="0"/>
                      <a:ext cx="3321050" cy="2590800"/>
                    </a:xfrm>
                    <a:prstGeom prst="rect">
                      <a:avLst/>
                    </a:prstGeom>
                    <a:noFill/>
                  </pic:spPr>
                </pic:pic>
              </a:graphicData>
            </a:graphic>
          </wp:anchor>
        </w:drawing>
      </w:r>
      <w:r>
        <w:rPr>
          <w:sz w:val="20"/>
          <w:szCs w:val="20"/>
        </w:rPr>
        <w:t xml:space="preserve">(Source: </w:t>
      </w:r>
      <w:hyperlink r:id="rId27">
        <w:r>
          <w:rPr>
            <w:rStyle w:val="Hyperlink"/>
            <w:sz w:val="20"/>
            <w:szCs w:val="20"/>
          </w:rPr>
          <w:t>https://www.mbaknol.com/marketing-management/porters-generic-competitive-strategies/</w:t>
        </w:r>
      </w:hyperlink>
      <w:r>
        <w:rPr>
          <w:sz w:val="20"/>
          <w:szCs w:val="20"/>
        </w:rPr>
        <w:t xml:space="preserve"> )</w:t>
      </w:r>
    </w:p>
    <w:p w14:paraId="234FCD77" w14:textId="77777777" w:rsidR="00BA5DB0" w:rsidRDefault="00D37352">
      <w:pPr>
        <w:spacing w:after="200" w:line="360" w:lineRule="auto"/>
        <w:jc w:val="both"/>
        <w:rPr>
          <w:sz w:val="24"/>
          <w:szCs w:val="24"/>
        </w:rPr>
      </w:pPr>
      <w:r>
        <w:rPr>
          <w:sz w:val="24"/>
          <w:szCs w:val="24"/>
        </w:rPr>
        <w:t>Pursuing cost leadership is structurally unattractive for M&amp;S as that position is already occupied by discounters and ultra-low-cost fashion importers. UK grocery sector is dominated by discounters like Aldi and Lidl, with lean operating models and limited stock keeping units (SKUs) granting them insurmountable cost advantages. Similarly in Clothing and Home divisions, competing on price against ultra-low-cost fashion importers(Shein and Temu)  or high-volume retailers (like Primark) would completely erode M&amp;S's margins and destroy its heritage brand equity. particularly while e-commerce giants like  Shein and Temu have further price advantage as apparel imports valued under £135 remain exempt from UK customs duty (CityAM, 2026). Furthermore, A narrow focus strategy is undesirable at M&amp;S's national scale as it would also under-exploit brand’s broad food, clothing, home &amp; beauty portfolio.</w:t>
      </w:r>
    </w:p>
    <w:p w14:paraId="478A0F7E" w14:textId="77777777" w:rsidR="00BA5DB0" w:rsidRDefault="00D37352">
      <w:pPr>
        <w:spacing w:after="200" w:line="360" w:lineRule="auto"/>
        <w:jc w:val="both"/>
        <w:rPr>
          <w:sz w:val="24"/>
          <w:szCs w:val="24"/>
        </w:rPr>
      </w:pPr>
      <w:r>
        <w:rPr>
          <w:sz w:val="24"/>
          <w:szCs w:val="24"/>
        </w:rPr>
        <w:t xml:space="preserve">A broad differentiation strategy that positions M&amp;S on quality, provenance and trusted service is most defensible business-level choice rather than price. This choice allows M&amp;S to directly leverage it’s rare and difficult to imitate resources identified in the VRIO analysis: sustained brand trust, quality-led food sourcing, and a loyalty-driven </w:t>
      </w:r>
      <w:r>
        <w:rPr>
          <w:sz w:val="24"/>
          <w:szCs w:val="24"/>
        </w:rPr>
        <w:lastRenderedPageBreak/>
        <w:t>customer relationship. M&amp;S must offer superior value to ensure that customers perceive M&amp;S products as "affordable luxuries", which cannot be easily replicated by cheaper competitors.</w:t>
      </w:r>
    </w:p>
    <w:p w14:paraId="168136A2" w14:textId="77777777" w:rsidR="00BA5DB0" w:rsidRDefault="00BA5DB0">
      <w:pPr>
        <w:spacing w:after="200" w:line="360" w:lineRule="auto"/>
        <w:jc w:val="both"/>
        <w:rPr>
          <w:sz w:val="24"/>
          <w:szCs w:val="24"/>
        </w:rPr>
      </w:pPr>
    </w:p>
    <w:p w14:paraId="7619A0DE" w14:textId="77777777" w:rsidR="00BA5DB0" w:rsidRDefault="00D37352">
      <w:pPr>
        <w:spacing w:after="200" w:line="360" w:lineRule="auto"/>
        <w:jc w:val="both"/>
        <w:rPr>
          <w:b/>
          <w:bCs/>
          <w:sz w:val="24"/>
          <w:szCs w:val="24"/>
        </w:rPr>
      </w:pPr>
      <w:r>
        <w:rPr>
          <w:b/>
          <w:bCs/>
          <w:sz w:val="24"/>
          <w:szCs w:val="24"/>
        </w:rPr>
        <w:t>5.2 Strategic Recommendation and Choice Validation</w:t>
      </w:r>
    </w:p>
    <w:p w14:paraId="503D5172" w14:textId="77777777" w:rsidR="00BA5DB0" w:rsidRDefault="00D37352">
      <w:pPr>
        <w:spacing w:after="200" w:line="360" w:lineRule="auto"/>
        <w:jc w:val="both"/>
        <w:rPr>
          <w:sz w:val="24"/>
          <w:szCs w:val="24"/>
        </w:rPr>
      </w:pPr>
      <w:r>
        <w:rPr>
          <w:sz w:val="24"/>
          <w:szCs w:val="24"/>
        </w:rPr>
        <w:t>This Broad Differentiation strategy is further evaluated and validated through the lenses of Porter’s Five Forces and Ansoff’s Matrix.</w:t>
      </w:r>
    </w:p>
    <w:p w14:paraId="5B6A525C" w14:textId="77777777" w:rsidR="00BA5DB0" w:rsidRDefault="00D37352">
      <w:pPr>
        <w:spacing w:after="200" w:line="360" w:lineRule="auto"/>
        <w:jc w:val="both"/>
        <w:rPr>
          <w:sz w:val="24"/>
          <w:szCs w:val="24"/>
        </w:rPr>
      </w:pPr>
      <w:r>
        <w:rPr>
          <w:b/>
          <w:bCs/>
          <w:sz w:val="24"/>
          <w:szCs w:val="24"/>
        </w:rPr>
        <w:t>Evaluation via Porter’s Five Forces:</w:t>
      </w:r>
      <w:r>
        <w:rPr>
          <w:sz w:val="24"/>
          <w:szCs w:val="24"/>
        </w:rPr>
        <w:t xml:space="preserve"> Porter's Five Forces framework supports this conclusion. Competitive rivalry in the UK retail landscape is intense and a threat of substitutes is very real and sever as hoppers have negligible switching costs. While the threat of new entrants is low for full-range grocery, because of the capital and logistics requirements but established omnichannel grocers such as Tesco and Sainsbury's make it effortless to abandon one supermarket for another. while meal-delivery services substitute for traditional grocery shopping altogether. In value-fashion, retailers such as Next and Primark, and fast-growing online entrants and Shein and Temu have expanded aggressively through app-led, low-price models (Yahoo Finance, 2026). Hence, the threat of substitutes is significant on both sides of the business. Buyer power is high and still rising, as cost-of-living crisis make even loyal M&amp;S shoppers more price-sensitive and loyalty schemes across the sector make switching easier (Retail Insight Network, 2026; Tokio Marine HCC, 2026). Because precisely the price-competitive segment of the market has high rivalry, substitute threat and buyer power; competing on differentiation avoids this disadvantaged competition and favours M&amp;S’s relative strengths. </w:t>
      </w:r>
    </w:p>
    <w:p w14:paraId="18E68C5C" w14:textId="77777777" w:rsidR="00BA5DB0" w:rsidRDefault="00D37352">
      <w:pPr>
        <w:spacing w:after="200" w:line="360" w:lineRule="auto"/>
        <w:jc w:val="both"/>
        <w:rPr>
          <w:sz w:val="24"/>
          <w:szCs w:val="24"/>
        </w:rPr>
      </w:pPr>
      <w:r>
        <w:rPr>
          <w:b/>
          <w:bCs/>
          <w:sz w:val="24"/>
          <w:szCs w:val="24"/>
        </w:rPr>
        <w:t>Validation via Ansoff’s Matrix  and Recommendations:</w:t>
      </w:r>
      <w:r>
        <w:rPr>
          <w:sz w:val="24"/>
          <w:szCs w:val="24"/>
        </w:rPr>
        <w:t xml:space="preserve"> M&amp;S's "Reshape for Growth" strategy aligns with the lower-risk quadrants of Ansoff’s Matrix: Market Penetration and Product Development. Market penetration through AI-personalised Sparks scheme(relaunched) to penetrate deeper among it’s existing UK customers by increasing the frequency of purchases. M&amp;S is pursuing Product Development by continually introducing premium food lines and carefully curated third-party clothing </w:t>
      </w:r>
      <w:r>
        <w:rPr>
          <w:sz w:val="24"/>
          <w:szCs w:val="24"/>
        </w:rPr>
        <w:lastRenderedPageBreak/>
        <w:t>brands on its digital platform; which further enhances the differentiated value of its ecosystem. M&amp;S builds immense brand loyalty by heavily investing in unique private-label goods and quality certifications, which reduces the bargaining power of buyers and make them less price-sensitive.</w:t>
      </w:r>
    </w:p>
    <w:p w14:paraId="5FA35F57" w14:textId="77777777" w:rsidR="00BA5DB0" w:rsidRDefault="00D37352">
      <w:pPr>
        <w:spacing w:after="200" w:line="360" w:lineRule="auto"/>
        <w:jc w:val="both"/>
        <w:rPr>
          <w:sz w:val="24"/>
          <w:szCs w:val="24"/>
        </w:rPr>
      </w:pPr>
      <w:r>
        <w:rPr>
          <w:sz w:val="24"/>
          <w:szCs w:val="24"/>
        </w:rPr>
        <w:t>This allows M&amp;S to deliver optimum operational performance as well as grants M&amp;S a sustained competitive advantage. While consumers are cutting costs on basic commodities due to inflation, they continue to spend on high-quality, experiential purchases. M&amp;S is accelerating its physical store renewal programme to capitalize on this. By opening highly experiential and visually appealing retail park destinations, M&amp;S creates a physical differentiation that digital-only rivals cannot match. M&amp;S can use AI &amp; predictive data to offer hyper personalized promotions to increase conversion rates. M&amp;S captures a higher share of consumer spending, ensure higher operating margins and long-term market dominance through this combination of premium physical experiences and digital convenience.</w:t>
      </w:r>
    </w:p>
    <w:p w14:paraId="198D761B" w14:textId="77777777" w:rsidR="00BA5DB0" w:rsidRDefault="00D37352">
      <w:pPr>
        <w:spacing w:after="200" w:line="360" w:lineRule="auto"/>
        <w:jc w:val="both"/>
        <w:rPr>
          <w:b/>
          <w:bCs/>
          <w:sz w:val="24"/>
          <w:szCs w:val="24"/>
        </w:rPr>
      </w:pPr>
      <w:r>
        <w:rPr>
          <w:b/>
          <w:bCs/>
          <w:sz w:val="24"/>
          <w:szCs w:val="24"/>
        </w:rPr>
        <w:t>Implementation Challenges and Proposed Mitigation Solutions</w:t>
      </w:r>
    </w:p>
    <w:p w14:paraId="62F8BA0E" w14:textId="77777777" w:rsidR="00BA5DB0" w:rsidRDefault="00D37352">
      <w:pPr>
        <w:spacing w:after="200" w:line="360" w:lineRule="auto"/>
        <w:jc w:val="both"/>
        <w:rPr>
          <w:sz w:val="24"/>
          <w:szCs w:val="24"/>
        </w:rPr>
      </w:pPr>
      <w:r>
        <w:rPr>
          <w:sz w:val="24"/>
          <w:szCs w:val="24"/>
        </w:rPr>
        <w:t>M&amp;S must navigate three anticipated challenges and operational risks to ensure succcessful execusion of the strategy and long-term viability.</w:t>
      </w:r>
    </w:p>
    <w:p w14:paraId="7B069987" w14:textId="77777777" w:rsidR="00BA5DB0" w:rsidRDefault="00D37352">
      <w:pPr>
        <w:spacing w:after="200" w:line="360" w:lineRule="auto"/>
        <w:jc w:val="both"/>
        <w:rPr>
          <w:b/>
          <w:bCs/>
          <w:sz w:val="24"/>
          <w:szCs w:val="24"/>
        </w:rPr>
      </w:pPr>
      <w:r>
        <w:rPr>
          <w:b/>
          <w:bCs/>
          <w:sz w:val="24"/>
          <w:szCs w:val="24"/>
        </w:rPr>
        <w:t>Challenge 1 : Capital Expenditure and Margin Pressure</w:t>
      </w:r>
    </w:p>
    <w:p w14:paraId="473CC634" w14:textId="77777777" w:rsidR="00BA5DB0" w:rsidRDefault="00D37352">
      <w:pPr>
        <w:spacing w:after="200" w:line="360" w:lineRule="auto"/>
        <w:jc w:val="both"/>
        <w:rPr>
          <w:sz w:val="24"/>
          <w:szCs w:val="24"/>
        </w:rPr>
      </w:pPr>
      <w:r>
        <w:rPr>
          <w:sz w:val="24"/>
          <w:szCs w:val="24"/>
        </w:rPr>
        <w:t>Transitioning the legacy store estate to modern formats, alongside building automated supply chain infrastructure (like the Lichfield facility), requires massive upfront capital expenditure. Store rotation program reduces full-line estate from 229 to 180 stores by 2028, and carries significant restructuring costs(including an £84.4 million charge) which has short term consequences on free cash flow and shareholder dividends.</w:t>
      </w:r>
    </w:p>
    <w:p w14:paraId="018CA3F8" w14:textId="77777777" w:rsidR="00BA5DB0" w:rsidRDefault="00D37352">
      <w:pPr>
        <w:spacing w:after="200" w:line="360" w:lineRule="auto"/>
        <w:jc w:val="both"/>
        <w:rPr>
          <w:sz w:val="24"/>
          <w:szCs w:val="24"/>
        </w:rPr>
      </w:pPr>
      <w:r>
        <w:rPr>
          <w:sz w:val="24"/>
          <w:szCs w:val="24"/>
        </w:rPr>
        <w:t>Mitigating requires rigorous capital discipline and the board must prioritise investments that offer immediate cost reductions and highest-return initiatives. Store renewals must be executed through a strictly phased rollout, ensuring that the revenue generated from early successful renewals directly funds subsequent project phases.</w:t>
      </w:r>
    </w:p>
    <w:p w14:paraId="0B7B03DD" w14:textId="77777777" w:rsidR="00BA5DB0" w:rsidRDefault="00D37352">
      <w:pPr>
        <w:spacing w:after="200" w:line="360" w:lineRule="auto"/>
        <w:jc w:val="both"/>
        <w:rPr>
          <w:b/>
          <w:bCs/>
          <w:sz w:val="24"/>
          <w:szCs w:val="24"/>
        </w:rPr>
      </w:pPr>
      <w:r>
        <w:rPr>
          <w:b/>
          <w:bCs/>
          <w:sz w:val="24"/>
          <w:szCs w:val="24"/>
        </w:rPr>
        <w:t>Challenge 2 : IT and Cyber Security Vulnerability</w:t>
      </w:r>
    </w:p>
    <w:p w14:paraId="094FF38E" w14:textId="77777777" w:rsidR="00BA5DB0" w:rsidRDefault="00D37352">
      <w:pPr>
        <w:spacing w:after="200" w:line="360" w:lineRule="auto"/>
        <w:jc w:val="both"/>
        <w:rPr>
          <w:sz w:val="24"/>
          <w:szCs w:val="24"/>
        </w:rPr>
      </w:pPr>
      <w:r>
        <w:rPr>
          <w:sz w:val="24"/>
          <w:szCs w:val="24"/>
        </w:rPr>
        <w:lastRenderedPageBreak/>
        <w:t>Shift from legacy systems to modern, AI-driven IT infrastructure and data value of Sparks ecosystem  intorduces the risk of targeted cyber-attacks.</w:t>
      </w:r>
    </w:p>
    <w:p w14:paraId="5B3F4B64" w14:textId="77777777" w:rsidR="00BA5DB0" w:rsidRDefault="00D37352">
      <w:pPr>
        <w:spacing w:after="200" w:line="360" w:lineRule="auto"/>
        <w:jc w:val="both"/>
        <w:rPr>
          <w:sz w:val="24"/>
          <w:szCs w:val="24"/>
        </w:rPr>
      </w:pPr>
      <w:r>
        <w:rPr>
          <w:sz w:val="24"/>
          <w:szCs w:val="24"/>
        </w:rPr>
        <w:t>M&amp;S should roll out new digital infrastructure in isolated regional clusters first, to identify bugs and fix them before full deployment; a "Test and React" agile methodology. Additional capital must be diverted toward AI deployment and cyber-security capabilities.</w:t>
      </w:r>
    </w:p>
    <w:p w14:paraId="263C1163" w14:textId="77777777" w:rsidR="00BA5DB0" w:rsidRDefault="00D37352">
      <w:pPr>
        <w:spacing w:after="200" w:line="360" w:lineRule="auto"/>
        <w:jc w:val="both"/>
        <w:rPr>
          <w:b/>
          <w:bCs/>
          <w:sz w:val="24"/>
          <w:szCs w:val="24"/>
        </w:rPr>
      </w:pPr>
      <w:r>
        <w:rPr>
          <w:b/>
          <w:bCs/>
          <w:sz w:val="24"/>
          <w:szCs w:val="24"/>
        </w:rPr>
        <w:t>Challenge 3: Third Party Risks to Brand value</w:t>
      </w:r>
    </w:p>
    <w:p w14:paraId="6973BADC" w14:textId="77777777" w:rsidR="00BA5DB0" w:rsidRDefault="00D37352">
      <w:pPr>
        <w:spacing w:after="200" w:line="360" w:lineRule="auto"/>
        <w:jc w:val="both"/>
        <w:rPr>
          <w:sz w:val="24"/>
          <w:szCs w:val="24"/>
        </w:rPr>
      </w:pPr>
      <w:r>
        <w:rPr>
          <w:sz w:val="24"/>
          <w:szCs w:val="24"/>
        </w:rPr>
        <w:t>M&amp;S has built its reputation for quality and ethical sourcing. As the platform expands to include third-party clothing and beauty brands (Product Development), If a partner brand violates labour or environmental standards, the reputational damage will fall directly on M&amp;S.</w:t>
      </w:r>
    </w:p>
    <w:p w14:paraId="17D47718" w14:textId="77777777" w:rsidR="00BA5DB0" w:rsidRDefault="00D37352">
      <w:pPr>
        <w:spacing w:after="200" w:line="360" w:lineRule="auto"/>
        <w:jc w:val="both"/>
        <w:rPr>
          <w:sz w:val="24"/>
          <w:szCs w:val="24"/>
        </w:rPr>
      </w:pPr>
      <w:r>
        <w:rPr>
          <w:sz w:val="24"/>
          <w:szCs w:val="24"/>
        </w:rPr>
        <w:t>This can be mitigated by M&amp;S's selective choice of partners and zero-tolerance Service Level Agreements (SLAs). Any third-party brand hosted on the M&amp;S platform must be contractually forced to undergo independent audits verifying compliance with M&amp;S’s internal "Plan A" ESG standards.</w:t>
      </w:r>
    </w:p>
    <w:p w14:paraId="4CE9A025" w14:textId="77777777" w:rsidR="00BA5DB0" w:rsidRDefault="00D37352">
      <w:pPr>
        <w:spacing w:after="200" w:line="360" w:lineRule="auto"/>
        <w:jc w:val="both"/>
        <w:rPr>
          <w:sz w:val="24"/>
          <w:szCs w:val="24"/>
        </w:rPr>
      </w:pPr>
      <w:r>
        <w:br w:type="page"/>
      </w:r>
    </w:p>
    <w:p w14:paraId="39B18FC5" w14:textId="77777777" w:rsidR="00BA5DB0" w:rsidRDefault="00D37352">
      <w:pPr>
        <w:spacing w:after="200" w:line="360" w:lineRule="auto"/>
        <w:jc w:val="both"/>
        <w:rPr>
          <w:b/>
          <w:bCs/>
          <w:sz w:val="24"/>
          <w:szCs w:val="24"/>
        </w:rPr>
      </w:pPr>
      <w:r>
        <w:rPr>
          <w:b/>
          <w:bCs/>
          <w:sz w:val="24"/>
          <w:szCs w:val="24"/>
        </w:rPr>
        <w:lastRenderedPageBreak/>
        <w:t>Section 2 : Reflective Account</w:t>
      </w:r>
    </w:p>
    <w:p w14:paraId="6BE55AB8" w14:textId="77777777" w:rsidR="00BA5DB0" w:rsidRDefault="00D37352">
      <w:pPr>
        <w:spacing w:after="200" w:line="360" w:lineRule="auto"/>
        <w:jc w:val="both"/>
        <w:rPr>
          <w:sz w:val="24"/>
          <w:szCs w:val="24"/>
        </w:rPr>
      </w:pPr>
      <w:r>
        <w:rPr>
          <w:sz w:val="24"/>
          <w:szCs w:val="24"/>
        </w:rPr>
        <w:t>I have applied Gibbs’ Reflective Cycle (1988) to critically evaluate my personal and academic development throughtout preparing the strategic analysis of Marks &amp; Spencer (M&amp;S). This systematic, six-stage approach(Description, Feelings, Evaluation, Analysis, Conclusion, and Action Plan) helped me examine my research phase, evaluate my analytical decisions and reconsile my learning outcomes.</w:t>
      </w:r>
    </w:p>
    <w:p w14:paraId="58D64319" w14:textId="77777777" w:rsidR="00BA5DB0" w:rsidRDefault="00BA5DB0">
      <w:pPr>
        <w:spacing w:after="200" w:line="360" w:lineRule="auto"/>
        <w:jc w:val="both"/>
        <w:rPr>
          <w:sz w:val="24"/>
          <w:szCs w:val="24"/>
        </w:rPr>
      </w:pPr>
    </w:p>
    <w:p w14:paraId="2ED8F278" w14:textId="77777777" w:rsidR="00BA5DB0" w:rsidRDefault="00D37352">
      <w:pPr>
        <w:spacing w:after="200" w:line="360" w:lineRule="auto"/>
        <w:jc w:val="center"/>
        <w:rPr>
          <w:sz w:val="24"/>
          <w:szCs w:val="24"/>
        </w:rPr>
      </w:pPr>
      <w:r>
        <w:rPr>
          <w:noProof/>
        </w:rPr>
        <w:drawing>
          <wp:anchor distT="0" distB="0" distL="0" distR="0" simplePos="0" relativeHeight="30" behindDoc="0" locked="0" layoutInCell="0" allowOverlap="1" wp14:anchorId="7F0A1CD9" wp14:editId="4201A3B3">
            <wp:simplePos x="0" y="0"/>
            <wp:positionH relativeFrom="column">
              <wp:align>center</wp:align>
            </wp:positionH>
            <wp:positionV relativeFrom="paragraph">
              <wp:posOffset>635</wp:posOffset>
            </wp:positionV>
            <wp:extent cx="3678555" cy="2759075"/>
            <wp:effectExtent l="0" t="0" r="0" b="0"/>
            <wp:wrapTopAndBottom/>
            <wp:docPr id="12"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2"/>
                    <pic:cNvPicPr>
                      <a:picLocks noChangeAspect="1" noChangeArrowheads="1"/>
                    </pic:cNvPicPr>
                  </pic:nvPicPr>
                  <pic:blipFill>
                    <a:blip r:embed="rId28"/>
                    <a:stretch>
                      <a:fillRect/>
                    </a:stretch>
                  </pic:blipFill>
                  <pic:spPr bwMode="auto">
                    <a:xfrm>
                      <a:off x="0" y="0"/>
                      <a:ext cx="3678555" cy="2759075"/>
                    </a:xfrm>
                    <a:prstGeom prst="rect">
                      <a:avLst/>
                    </a:prstGeom>
                    <a:noFill/>
                  </pic:spPr>
                </pic:pic>
              </a:graphicData>
            </a:graphic>
          </wp:anchor>
        </w:drawing>
      </w:r>
      <w:r>
        <w:rPr>
          <w:sz w:val="20"/>
          <w:szCs w:val="20"/>
        </w:rPr>
        <w:t xml:space="preserve">(Source: </w:t>
      </w:r>
      <w:hyperlink r:id="rId29">
        <w:r>
          <w:rPr>
            <w:rStyle w:val="Hyperlink"/>
            <w:sz w:val="20"/>
            <w:szCs w:val="20"/>
          </w:rPr>
          <w:t>https://www.open.edu/openlearncreate/mod/page/view.php?id=165770</w:t>
        </w:r>
      </w:hyperlink>
      <w:r>
        <w:rPr>
          <w:sz w:val="20"/>
          <w:szCs w:val="20"/>
        </w:rPr>
        <w:t xml:space="preserve"> )</w:t>
      </w:r>
    </w:p>
    <w:p w14:paraId="53DABE02" w14:textId="77777777" w:rsidR="00BA5DB0" w:rsidRDefault="00BA5DB0">
      <w:pPr>
        <w:spacing w:after="200" w:line="360" w:lineRule="auto"/>
        <w:jc w:val="both"/>
        <w:rPr>
          <w:b/>
          <w:bCs/>
          <w:sz w:val="24"/>
          <w:szCs w:val="24"/>
        </w:rPr>
      </w:pPr>
    </w:p>
    <w:p w14:paraId="09B83975" w14:textId="77777777" w:rsidR="00BA5DB0" w:rsidRDefault="00D37352">
      <w:pPr>
        <w:spacing w:after="200" w:line="360" w:lineRule="auto"/>
        <w:jc w:val="both"/>
        <w:rPr>
          <w:b/>
          <w:bCs/>
          <w:sz w:val="24"/>
          <w:szCs w:val="24"/>
        </w:rPr>
      </w:pPr>
      <w:r>
        <w:rPr>
          <w:b/>
          <w:bCs/>
          <w:sz w:val="24"/>
          <w:szCs w:val="24"/>
        </w:rPr>
        <w:t>1. Description</w:t>
      </w:r>
    </w:p>
    <w:p w14:paraId="7B80F21A" w14:textId="77777777" w:rsidR="00BA5DB0" w:rsidRDefault="00D37352">
      <w:pPr>
        <w:spacing w:after="200" w:line="360" w:lineRule="auto"/>
        <w:jc w:val="both"/>
        <w:rPr>
          <w:sz w:val="24"/>
          <w:szCs w:val="24"/>
        </w:rPr>
      </w:pPr>
      <w:r>
        <w:rPr>
          <w:sz w:val="24"/>
          <w:szCs w:val="24"/>
        </w:rPr>
        <w:t xml:space="preserve">The task required me to assume the role of a strategic management consultant, select an organisation in a specific market focus and producing a consultant-style evaluation of its strategic position for the Board of Directors. I chose M&amp;S in the UK market, applied a sequence of frameworks, such as PESTEL to assess the external and VRIO to assess the internal environment and used SWOT to synthesise both. Then i worked through CSR and balanced scorecard review for a holistic view of performance, and finally apllied Porter's Five Forces and Ansoff's Matrix to recommend and validate a business-level strategy. I applied each framework using primary and credible sources </w:t>
      </w:r>
      <w:r>
        <w:rPr>
          <w:sz w:val="24"/>
          <w:szCs w:val="24"/>
        </w:rPr>
        <w:lastRenderedPageBreak/>
        <w:t>in the UK retail sector, including M&amp;S's own annual reports and results announcements, trade press and specialist industry commentary.</w:t>
      </w:r>
    </w:p>
    <w:p w14:paraId="1CD4BCEB" w14:textId="77777777" w:rsidR="00BA5DB0" w:rsidRDefault="00D37352">
      <w:pPr>
        <w:spacing w:after="200" w:line="360" w:lineRule="auto"/>
        <w:jc w:val="both"/>
        <w:rPr>
          <w:b/>
          <w:bCs/>
          <w:sz w:val="24"/>
          <w:szCs w:val="24"/>
        </w:rPr>
      </w:pPr>
      <w:r>
        <w:rPr>
          <w:b/>
          <w:bCs/>
          <w:sz w:val="24"/>
          <w:szCs w:val="24"/>
        </w:rPr>
        <w:t>2. Feelings</w:t>
      </w:r>
    </w:p>
    <w:p w14:paraId="28604562" w14:textId="77777777" w:rsidR="00BA5DB0" w:rsidRDefault="00D37352">
      <w:pPr>
        <w:spacing w:after="200" w:line="360" w:lineRule="auto"/>
        <w:jc w:val="both"/>
        <w:rPr>
          <w:sz w:val="24"/>
          <w:szCs w:val="24"/>
        </w:rPr>
      </w:pPr>
      <w:r>
        <w:rPr>
          <w:sz w:val="24"/>
          <w:szCs w:val="24"/>
        </w:rPr>
        <w:t xml:space="preserve">The assignment required multiple frameworks and the amount of corporate data got me worried as I was unsure about best approach to demonstrate my key findings. I wanted to produce a master's level critical evaluation rather than a descriptive assignment. During the PESTEL and VRIO analyses, I could see the same issues such as M&amp;S's April 2025 cyberattack, legacy IT infrastructure, intense rivalry, inflation. So, I mapped M&amp;S's "Reshape for Growth" initiatives against provided academic frameworks and that gave me confidence because i was successfully able to use these frameworks to audit M&amp;S’s internal and external environment. </w:t>
      </w:r>
    </w:p>
    <w:p w14:paraId="10529B6B" w14:textId="77777777" w:rsidR="00BA5DB0" w:rsidRDefault="00D37352">
      <w:pPr>
        <w:spacing w:after="200" w:line="360" w:lineRule="auto"/>
        <w:jc w:val="both"/>
        <w:rPr>
          <w:b/>
          <w:bCs/>
          <w:sz w:val="24"/>
          <w:szCs w:val="24"/>
        </w:rPr>
      </w:pPr>
      <w:r>
        <w:rPr>
          <w:b/>
          <w:bCs/>
          <w:sz w:val="24"/>
          <w:szCs w:val="24"/>
        </w:rPr>
        <w:t>3. Evaluation</w:t>
      </w:r>
    </w:p>
    <w:p w14:paraId="4C21110A" w14:textId="77777777" w:rsidR="00BA5DB0" w:rsidRDefault="00D37352">
      <w:pPr>
        <w:spacing w:after="200" w:line="360" w:lineRule="auto"/>
        <w:jc w:val="both"/>
        <w:rPr>
          <w:sz w:val="24"/>
          <w:szCs w:val="24"/>
        </w:rPr>
      </w:pPr>
      <w:r>
        <w:rPr>
          <w:sz w:val="24"/>
          <w:szCs w:val="24"/>
        </w:rPr>
        <w:t>I could see that mentioned frameworks were connected and depended on eachother, applying them in this manner turned out highly effective. I was able to measure and turn abstract concepts (such as M&amp;S's "Plan A" ESG targets and supplychain automations) into concrete, strategic arguments. At the same time, I was mixing macro-environmental threats with internal organizational weaknesses during the early drafts. Balancing the theoretical depth with concise and impactful evaluation was a challenge as certain sections requied details.</w:t>
      </w:r>
    </w:p>
    <w:p w14:paraId="2B979D2D" w14:textId="77777777" w:rsidR="00BA5DB0" w:rsidRDefault="00D37352">
      <w:pPr>
        <w:spacing w:after="200" w:line="360" w:lineRule="auto"/>
        <w:jc w:val="both"/>
        <w:rPr>
          <w:b/>
          <w:bCs/>
          <w:sz w:val="24"/>
          <w:szCs w:val="24"/>
        </w:rPr>
      </w:pPr>
      <w:r>
        <w:rPr>
          <w:b/>
          <w:bCs/>
          <w:sz w:val="24"/>
          <w:szCs w:val="24"/>
        </w:rPr>
        <w:t>4. Analysis</w:t>
      </w:r>
    </w:p>
    <w:p w14:paraId="72759A71" w14:textId="77777777" w:rsidR="00BA5DB0" w:rsidRDefault="00D37352">
      <w:pPr>
        <w:spacing w:after="200" w:line="360" w:lineRule="auto"/>
        <w:jc w:val="both"/>
        <w:rPr>
          <w:sz w:val="24"/>
          <w:szCs w:val="24"/>
        </w:rPr>
      </w:pPr>
      <w:r>
        <w:rPr>
          <w:sz w:val="24"/>
          <w:szCs w:val="24"/>
        </w:rPr>
        <w:t>This reflection made me realize that strategic management is fundamentally an iterative, non-linear discipline. Initially, I was struggling because I did not realize that PESTEL strictly audits the external macro-climate to identify market opportunities and threats, whereas VRIO judges firm’s internal capabilities. I was able to synthesize SWOT matrix effortlessly after this understanding. Furthermore, evaluating M&amp;S's strategic choices introduced real-world implementation barriers such as capital expenditure constraints, cyber security risks and  inflations; which helped me move beyond theoretical idealism and develop cohesive understanding.</w:t>
      </w:r>
    </w:p>
    <w:p w14:paraId="24B2CBC0" w14:textId="77777777" w:rsidR="00BA5DB0" w:rsidRDefault="00D37352">
      <w:pPr>
        <w:spacing w:after="200" w:line="360" w:lineRule="auto"/>
        <w:jc w:val="both"/>
        <w:rPr>
          <w:b/>
          <w:bCs/>
          <w:sz w:val="24"/>
          <w:szCs w:val="24"/>
        </w:rPr>
      </w:pPr>
      <w:r>
        <w:rPr>
          <w:b/>
          <w:bCs/>
          <w:sz w:val="24"/>
          <w:szCs w:val="24"/>
        </w:rPr>
        <w:lastRenderedPageBreak/>
        <w:t>5. Conclusion</w:t>
      </w:r>
    </w:p>
    <w:p w14:paraId="7A3F5166" w14:textId="77777777" w:rsidR="00BA5DB0" w:rsidRDefault="00D37352">
      <w:pPr>
        <w:spacing w:after="200" w:line="360" w:lineRule="auto"/>
        <w:jc w:val="both"/>
        <w:rPr>
          <w:sz w:val="24"/>
          <w:szCs w:val="24"/>
        </w:rPr>
      </w:pPr>
      <w:r>
        <w:rPr>
          <w:sz w:val="24"/>
          <w:szCs w:val="24"/>
        </w:rPr>
        <w:t>While executing high-level strategic audit as a supposed consultant, I had to act as optimist as well as skeptic and validate M&amp;S's strategic choices while anticipating potential failure points. This research process enhanced my critical thinking, data synthesis and strategic reasoning skills. I learned that having a rigid analytical outline and word count checkpoints are essential for maintaining structure and avoiding descriptive narration in long-form academic reports.</w:t>
      </w:r>
    </w:p>
    <w:p w14:paraId="6A22AF49" w14:textId="77777777" w:rsidR="00BA5DB0" w:rsidRDefault="00D37352">
      <w:pPr>
        <w:spacing w:after="200" w:line="360" w:lineRule="auto"/>
        <w:jc w:val="both"/>
        <w:rPr>
          <w:b/>
          <w:bCs/>
          <w:sz w:val="24"/>
          <w:szCs w:val="24"/>
        </w:rPr>
      </w:pPr>
      <w:r>
        <w:rPr>
          <w:b/>
          <w:bCs/>
          <w:sz w:val="24"/>
          <w:szCs w:val="24"/>
        </w:rPr>
        <w:t>6. Action Plan</w:t>
      </w:r>
    </w:p>
    <w:p w14:paraId="4FAB7FAD" w14:textId="77777777" w:rsidR="00BA5DB0" w:rsidRDefault="00D37352">
      <w:pPr>
        <w:spacing w:after="200" w:line="360" w:lineRule="auto"/>
        <w:jc w:val="both"/>
        <w:rPr>
          <w:sz w:val="24"/>
          <w:szCs w:val="24"/>
        </w:rPr>
      </w:pPr>
      <w:r>
        <w:rPr>
          <w:sz w:val="24"/>
          <w:szCs w:val="24"/>
        </w:rPr>
        <w:t>I will implement the following improvements, if I am presented with a similar strategic management project in my future career :</w:t>
      </w:r>
    </w:p>
    <w:p w14:paraId="014DE8DE" w14:textId="77777777" w:rsidR="00BA5DB0" w:rsidRDefault="00D37352">
      <w:pPr>
        <w:spacing w:after="200" w:line="360" w:lineRule="auto"/>
        <w:jc w:val="both"/>
        <w:rPr>
          <w:sz w:val="24"/>
          <w:szCs w:val="24"/>
        </w:rPr>
      </w:pPr>
      <w:r>
        <w:rPr>
          <w:sz w:val="24"/>
          <w:szCs w:val="24"/>
        </w:rPr>
        <w:t>1) Filter high credibility and primary sources in the beginning rather than later.</w:t>
      </w:r>
    </w:p>
    <w:p w14:paraId="24EB3809" w14:textId="77777777" w:rsidR="00BA5DB0" w:rsidRDefault="00D37352">
      <w:pPr>
        <w:spacing w:after="200" w:line="360" w:lineRule="auto"/>
        <w:jc w:val="both"/>
        <w:rPr>
          <w:sz w:val="24"/>
          <w:szCs w:val="24"/>
        </w:rPr>
      </w:pPr>
      <w:r>
        <w:rPr>
          <w:sz w:val="24"/>
          <w:szCs w:val="24"/>
        </w:rPr>
        <w:t>2) Not treating the application of strategic frameworks as sequential, disconnected tasks and apply them iteratively to check each new analysis against earlier findings.</w:t>
      </w:r>
    </w:p>
    <w:p w14:paraId="6ED16B43" w14:textId="77777777" w:rsidR="00BA5DB0" w:rsidRDefault="00D37352">
      <w:pPr>
        <w:spacing w:after="200" w:line="360" w:lineRule="auto"/>
        <w:jc w:val="both"/>
        <w:rPr>
          <w:sz w:val="24"/>
          <w:szCs w:val="24"/>
        </w:rPr>
      </w:pPr>
      <w:r>
        <w:rPr>
          <w:sz w:val="24"/>
          <w:szCs w:val="24"/>
        </w:rPr>
        <w:t>3) Even use incomplete or still-developing information to synthesize my findings and make recommendations grounded in real-world data and examples.</w:t>
      </w:r>
    </w:p>
    <w:p w14:paraId="730CE54E" w14:textId="77777777" w:rsidR="00BA5DB0" w:rsidRDefault="00BA5DB0">
      <w:pPr>
        <w:spacing w:after="200" w:line="360" w:lineRule="auto"/>
        <w:jc w:val="both"/>
        <w:rPr>
          <w:sz w:val="24"/>
          <w:szCs w:val="24"/>
        </w:rPr>
      </w:pPr>
    </w:p>
    <w:p w14:paraId="50C5E270" w14:textId="77777777" w:rsidR="00BA5DB0" w:rsidRDefault="00BA5DB0">
      <w:pPr>
        <w:spacing w:after="200" w:line="360" w:lineRule="auto"/>
        <w:jc w:val="both"/>
        <w:rPr>
          <w:sz w:val="24"/>
          <w:szCs w:val="24"/>
        </w:rPr>
      </w:pPr>
    </w:p>
    <w:p w14:paraId="528CBB54" w14:textId="77777777" w:rsidR="00BA5DB0" w:rsidRDefault="00D37352">
      <w:pPr>
        <w:spacing w:after="200" w:line="360" w:lineRule="auto"/>
        <w:jc w:val="both"/>
        <w:rPr>
          <w:sz w:val="24"/>
          <w:szCs w:val="24"/>
        </w:rPr>
      </w:pPr>
      <w:r>
        <w:br w:type="page"/>
      </w:r>
    </w:p>
    <w:p w14:paraId="7BFB5AC8" w14:textId="77777777" w:rsidR="00BA5DB0" w:rsidRDefault="00D37352">
      <w:pPr>
        <w:pStyle w:val="Heading1"/>
        <w:rPr>
          <w:rFonts w:ascii="Arial" w:hAnsi="Arial"/>
        </w:rPr>
      </w:pPr>
      <w:bookmarkStart w:id="0" w:name="_pemnsk9klfvc"/>
      <w:bookmarkEnd w:id="0"/>
      <w:r>
        <w:rPr>
          <w:rFonts w:ascii="Arial" w:hAnsi="Arial"/>
        </w:rPr>
        <w:lastRenderedPageBreak/>
        <w:t>References</w:t>
      </w:r>
    </w:p>
    <w:p w14:paraId="74D69F9E" w14:textId="77777777" w:rsidR="00BA5DB0" w:rsidRDefault="00D37352">
      <w:pPr>
        <w:pStyle w:val="BodyText"/>
        <w:rPr>
          <w:rFonts w:eastAsia="Times New Roman" w:cs="Times New Roman"/>
          <w:sz w:val="24"/>
          <w:szCs w:val="24"/>
        </w:rPr>
      </w:pPr>
      <w:r>
        <w:rPr>
          <w:rFonts w:eastAsia="Times New Roman" w:cs="Times New Roman"/>
          <w:sz w:val="24"/>
          <w:szCs w:val="24"/>
        </w:rPr>
        <w:t xml:space="preserve">1. Machin, S. (2026) Full Year Results for the 52 Weeks Ended 28 March 2026. </w:t>
      </w:r>
      <w:hyperlink r:id="rId30">
        <w:r>
          <w:rPr>
            <w:rStyle w:val="Hyperlink"/>
            <w:rFonts w:eastAsia="Times New Roman" w:cs="Times New Roman"/>
            <w:sz w:val="24"/>
            <w:szCs w:val="24"/>
          </w:rPr>
          <w:t>https://corporate.marksandspencer.com/newsroom/press-releases/full-year-results-52-weeks-ended-28-march-2026</w:t>
        </w:r>
      </w:hyperlink>
      <w:r>
        <w:rPr>
          <w:rFonts w:eastAsia="Times New Roman" w:cs="Times New Roman"/>
          <w:sz w:val="24"/>
          <w:szCs w:val="24"/>
        </w:rPr>
        <w:t xml:space="preserve">  (Accessed: 29 June 2026)</w:t>
      </w:r>
    </w:p>
    <w:p w14:paraId="68B65F11" w14:textId="77777777" w:rsidR="00BA5DB0" w:rsidRDefault="00D37352">
      <w:pPr>
        <w:pStyle w:val="BodyText"/>
        <w:rPr>
          <w:rFonts w:eastAsia="Times New Roman" w:cs="Times New Roman"/>
          <w:sz w:val="24"/>
          <w:szCs w:val="24"/>
        </w:rPr>
      </w:pPr>
      <w:r>
        <w:rPr>
          <w:rFonts w:eastAsia="Times New Roman" w:cs="Times New Roman"/>
          <w:sz w:val="24"/>
          <w:szCs w:val="24"/>
        </w:rPr>
        <w:t xml:space="preserve">2. Marks and Spencer (2026a) M&amp;S Vision, Purpose and Behaviours. </w:t>
      </w:r>
      <w:hyperlink r:id="rId31">
        <w:r>
          <w:rPr>
            <w:rStyle w:val="Hyperlink"/>
            <w:rFonts w:eastAsia="Times New Roman" w:cs="Times New Roman"/>
            <w:sz w:val="24"/>
            <w:szCs w:val="24"/>
          </w:rPr>
          <w:t>https://corporate.marksandspencer.com/sites/marksandspencer/files/2026-04/m-and-s-vision-purpose-and-behaviours.pdf</w:t>
        </w:r>
      </w:hyperlink>
      <w:r>
        <w:rPr>
          <w:rFonts w:eastAsia="Times New Roman" w:cs="Times New Roman"/>
          <w:sz w:val="24"/>
          <w:szCs w:val="24"/>
        </w:rPr>
        <w:t xml:space="preserve">  (Accessed: 29 June 2026)</w:t>
      </w:r>
    </w:p>
    <w:p w14:paraId="3769F3F5" w14:textId="77777777" w:rsidR="00BA5DB0" w:rsidRDefault="00D37352">
      <w:pPr>
        <w:pStyle w:val="BodyText"/>
        <w:rPr>
          <w:rFonts w:eastAsia="Times New Roman" w:cs="Times New Roman"/>
          <w:sz w:val="24"/>
          <w:szCs w:val="24"/>
        </w:rPr>
      </w:pPr>
      <w:r>
        <w:rPr>
          <w:rFonts w:eastAsia="Times New Roman" w:cs="Times New Roman"/>
          <w:sz w:val="24"/>
          <w:szCs w:val="24"/>
        </w:rPr>
        <w:t xml:space="preserve">3. Marks and Spencer (2026b) Marks and Spencer Group plc Annual Report and Financial Statements 2026. </w:t>
      </w:r>
      <w:hyperlink r:id="rId32">
        <w:r>
          <w:rPr>
            <w:rStyle w:val="Hyperlink"/>
            <w:rFonts w:eastAsia="Times New Roman" w:cs="Times New Roman"/>
            <w:sz w:val="24"/>
            <w:szCs w:val="24"/>
          </w:rPr>
          <w:t>https://corporate.marksandspencer.com/sites/marksandspencer/files/marksandspencer/annual-report/m-and-s-annual-report-and-financial-statements-2026.pdf</w:t>
        </w:r>
      </w:hyperlink>
      <w:r>
        <w:rPr>
          <w:rFonts w:eastAsia="Times New Roman" w:cs="Times New Roman"/>
          <w:sz w:val="24"/>
          <w:szCs w:val="24"/>
        </w:rPr>
        <w:t xml:space="preserve"> (Accessed: 2 July 2026)</w:t>
      </w:r>
    </w:p>
    <w:p w14:paraId="76C0BD3E" w14:textId="77777777" w:rsidR="00BA5DB0" w:rsidRDefault="00D37352">
      <w:pPr>
        <w:pStyle w:val="BodyText"/>
        <w:rPr>
          <w:rFonts w:eastAsia="Times New Roman" w:cs="Times New Roman"/>
          <w:sz w:val="24"/>
          <w:szCs w:val="24"/>
        </w:rPr>
      </w:pPr>
      <w:r>
        <w:rPr>
          <w:rFonts w:eastAsia="Times New Roman" w:cs="Times New Roman"/>
          <w:sz w:val="24"/>
          <w:szCs w:val="24"/>
        </w:rPr>
        <w:t xml:space="preserve">4. DCF Analysis (2026) Marks and Spencer Group plc (MKS.L): PESTLE Analysis [Apr-2026 Updated]. </w:t>
      </w:r>
      <w:hyperlink r:id="rId33">
        <w:r>
          <w:rPr>
            <w:rStyle w:val="Hyperlink"/>
            <w:rFonts w:eastAsia="Times New Roman" w:cs="Times New Roman"/>
            <w:sz w:val="24"/>
            <w:szCs w:val="24"/>
          </w:rPr>
          <w:t>https://dcf-analysis.com/products/mksl-pestel-analysis</w:t>
        </w:r>
      </w:hyperlink>
      <w:r>
        <w:rPr>
          <w:rFonts w:eastAsia="Times New Roman" w:cs="Times New Roman"/>
          <w:sz w:val="24"/>
          <w:szCs w:val="24"/>
        </w:rPr>
        <w:t xml:space="preserve">  (Accessed: 2 July 2026).</w:t>
      </w:r>
    </w:p>
    <w:p w14:paraId="5B28D90D" w14:textId="77777777" w:rsidR="00BA5DB0" w:rsidRDefault="00D37352">
      <w:pPr>
        <w:pStyle w:val="BodyText"/>
        <w:rPr>
          <w:rFonts w:eastAsia="Times New Roman" w:cs="Times New Roman"/>
          <w:sz w:val="24"/>
          <w:szCs w:val="24"/>
        </w:rPr>
      </w:pPr>
      <w:r>
        <w:rPr>
          <w:rFonts w:eastAsia="Times New Roman" w:cs="Times New Roman"/>
          <w:sz w:val="24"/>
          <w:szCs w:val="24"/>
        </w:rPr>
        <w:t xml:space="preserve">5. Tokio Marine HCC (2026) UK Retail Sector Report February 2026. </w:t>
      </w:r>
      <w:hyperlink r:id="rId34">
        <w:r>
          <w:rPr>
            <w:rStyle w:val="Hyperlink"/>
            <w:rFonts w:eastAsia="Times New Roman" w:cs="Times New Roman"/>
            <w:sz w:val="24"/>
            <w:szCs w:val="24"/>
          </w:rPr>
          <w:t>https://www.tmhcc.com/en/news-and-articles/thought-leadership/uk-retail-sector-report-february-2026</w:t>
        </w:r>
      </w:hyperlink>
      <w:r>
        <w:rPr>
          <w:rFonts w:eastAsia="Times New Roman" w:cs="Times New Roman"/>
          <w:sz w:val="24"/>
          <w:szCs w:val="24"/>
        </w:rPr>
        <w:t xml:space="preserve">  (Accessed: 10 July 2026).</w:t>
      </w:r>
    </w:p>
    <w:p w14:paraId="491BA65B" w14:textId="77777777" w:rsidR="00BA5DB0" w:rsidRDefault="00D37352">
      <w:pPr>
        <w:pStyle w:val="BodyText"/>
        <w:rPr>
          <w:rFonts w:eastAsia="Times New Roman" w:cs="Times New Roman"/>
          <w:sz w:val="24"/>
          <w:szCs w:val="24"/>
        </w:rPr>
      </w:pPr>
      <w:r>
        <w:rPr>
          <w:rFonts w:eastAsia="Times New Roman" w:cs="Times New Roman"/>
          <w:sz w:val="24"/>
          <w:szCs w:val="24"/>
        </w:rPr>
        <w:t xml:space="preserve">6. UK Parliament (2026) Retail sector in the UK: Economic Contribution and Trends. </w:t>
      </w:r>
      <w:hyperlink r:id="rId35">
        <w:r>
          <w:rPr>
            <w:rStyle w:val="Hyperlink"/>
            <w:rFonts w:eastAsia="Times New Roman" w:cs="Times New Roman"/>
            <w:sz w:val="24"/>
            <w:szCs w:val="24"/>
          </w:rPr>
          <w:t>https://researchbriefings.files.parliament.uk/documents/SN06186/SN06186.pdf</w:t>
        </w:r>
      </w:hyperlink>
      <w:r>
        <w:rPr>
          <w:rFonts w:eastAsia="Times New Roman" w:cs="Times New Roman"/>
          <w:sz w:val="24"/>
          <w:szCs w:val="24"/>
        </w:rPr>
        <w:t xml:space="preserve">  (Accessed: 10 July 2026)</w:t>
      </w:r>
    </w:p>
    <w:p w14:paraId="44C9DAB5" w14:textId="77777777" w:rsidR="00BA5DB0" w:rsidRDefault="00D37352">
      <w:pPr>
        <w:pStyle w:val="BodyText"/>
        <w:rPr>
          <w:rFonts w:eastAsia="Times New Roman" w:cs="Times New Roman"/>
          <w:sz w:val="24"/>
          <w:szCs w:val="24"/>
        </w:rPr>
      </w:pPr>
      <w:r>
        <w:rPr>
          <w:rFonts w:eastAsia="Times New Roman" w:cs="Times New Roman"/>
          <w:sz w:val="24"/>
          <w:szCs w:val="24"/>
        </w:rPr>
        <w:t xml:space="preserve">7. CBRE (2026) UK Real Estate Market Outlook 2026: Retail. </w:t>
      </w:r>
      <w:hyperlink r:id="rId36">
        <w:r>
          <w:rPr>
            <w:rStyle w:val="Hyperlink"/>
            <w:rFonts w:eastAsia="Times New Roman" w:cs="Times New Roman"/>
            <w:sz w:val="24"/>
            <w:szCs w:val="24"/>
          </w:rPr>
          <w:t>https://www.cbre.co.uk/insights/books/uk-real-estate-market-outlook-2026/retail</w:t>
        </w:r>
      </w:hyperlink>
      <w:r>
        <w:rPr>
          <w:rFonts w:eastAsia="Times New Roman" w:cs="Times New Roman"/>
          <w:sz w:val="24"/>
          <w:szCs w:val="24"/>
        </w:rPr>
        <w:t xml:space="preserve">  (Accessed: 13 July 2026)</w:t>
      </w:r>
    </w:p>
    <w:p w14:paraId="0ED82FF1" w14:textId="77777777" w:rsidR="00BA5DB0" w:rsidRDefault="00D37352">
      <w:pPr>
        <w:pStyle w:val="BodyText"/>
        <w:rPr>
          <w:rFonts w:eastAsia="Times New Roman" w:cs="Times New Roman"/>
          <w:sz w:val="24"/>
          <w:szCs w:val="24"/>
        </w:rPr>
      </w:pPr>
      <w:r>
        <w:rPr>
          <w:rFonts w:eastAsia="Times New Roman" w:cs="Times New Roman"/>
          <w:sz w:val="24"/>
          <w:szCs w:val="24"/>
        </w:rPr>
        <w:t xml:space="preserve">8. CBRE (2026) UK Real Estate Market Outlook 2026: Retail. </w:t>
      </w:r>
      <w:hyperlink r:id="rId37">
        <w:r>
          <w:rPr>
            <w:rStyle w:val="Hyperlink"/>
            <w:rFonts w:eastAsia="Times New Roman" w:cs="Times New Roman"/>
            <w:sz w:val="24"/>
            <w:szCs w:val="24"/>
          </w:rPr>
          <w:t>https://www.cbre.co.uk/insights/books/uk-real-estate-market-outlook-2026/retail</w:t>
        </w:r>
      </w:hyperlink>
      <w:r>
        <w:rPr>
          <w:rFonts w:eastAsia="Times New Roman" w:cs="Times New Roman"/>
          <w:sz w:val="24"/>
          <w:szCs w:val="24"/>
        </w:rPr>
        <w:t xml:space="preserve">  (Accessed: 14 July 2026)</w:t>
      </w:r>
    </w:p>
    <w:p w14:paraId="16B3F064" w14:textId="77777777" w:rsidR="00BA5DB0" w:rsidRDefault="00D37352">
      <w:pPr>
        <w:pStyle w:val="BodyText"/>
        <w:rPr>
          <w:rFonts w:eastAsia="Times New Roman" w:cs="Times New Roman"/>
          <w:sz w:val="24"/>
          <w:szCs w:val="24"/>
        </w:rPr>
      </w:pPr>
      <w:r>
        <w:rPr>
          <w:rFonts w:eastAsia="Times New Roman" w:cs="Times New Roman"/>
          <w:sz w:val="24"/>
          <w:szCs w:val="24"/>
        </w:rPr>
        <w:t xml:space="preserve">9. Shoosmiths (2026) Trends reshaping consumer &amp; retail in 2026. </w:t>
      </w:r>
      <w:hyperlink r:id="rId38">
        <w:r>
          <w:rPr>
            <w:rStyle w:val="Hyperlink"/>
            <w:rFonts w:eastAsia="Times New Roman" w:cs="Times New Roman"/>
            <w:sz w:val="24"/>
            <w:szCs w:val="24"/>
          </w:rPr>
          <w:t>https://www.shoosmiths.com/perspectives/stories/articles/trends-reshaping-consumer-retail-in-2026</w:t>
        </w:r>
      </w:hyperlink>
      <w:r>
        <w:rPr>
          <w:rFonts w:eastAsia="Times New Roman" w:cs="Times New Roman"/>
          <w:sz w:val="24"/>
          <w:szCs w:val="24"/>
        </w:rPr>
        <w:t xml:space="preserve"> (Accessed: 14 July 2026)</w:t>
      </w:r>
    </w:p>
    <w:p w14:paraId="1019FCE1" w14:textId="77777777" w:rsidR="00BA5DB0" w:rsidRDefault="00D37352">
      <w:pPr>
        <w:pStyle w:val="BodyText"/>
        <w:rPr>
          <w:rFonts w:eastAsia="Times New Roman" w:cs="Times New Roman"/>
          <w:sz w:val="24"/>
          <w:szCs w:val="24"/>
        </w:rPr>
      </w:pPr>
      <w:r>
        <w:rPr>
          <w:rFonts w:eastAsia="Times New Roman" w:cs="Times New Roman"/>
          <w:sz w:val="24"/>
          <w:szCs w:val="24"/>
        </w:rPr>
        <w:t xml:space="preserve">10. Grocery Trade News (2025) Supermarket Sustainability Strategy: Reducing Carbon and Waste. </w:t>
      </w:r>
      <w:hyperlink r:id="rId39">
        <w:r>
          <w:rPr>
            <w:rStyle w:val="Hyperlink"/>
            <w:rFonts w:eastAsia="Times New Roman" w:cs="Times New Roman"/>
            <w:sz w:val="24"/>
            <w:szCs w:val="24"/>
          </w:rPr>
          <w:t>https://www.grocerytradenews.com/supermarket-sustainability-strategy/</w:t>
        </w:r>
      </w:hyperlink>
      <w:r>
        <w:rPr>
          <w:rFonts w:eastAsia="Times New Roman" w:cs="Times New Roman"/>
          <w:sz w:val="24"/>
          <w:szCs w:val="24"/>
        </w:rPr>
        <w:t xml:space="preserve">  (Accessed: 16 July 2026)</w:t>
      </w:r>
    </w:p>
    <w:p w14:paraId="50070154" w14:textId="77777777" w:rsidR="00BA5DB0" w:rsidRDefault="00D37352">
      <w:pPr>
        <w:pStyle w:val="BodyText"/>
        <w:rPr>
          <w:rFonts w:eastAsia="Times New Roman" w:cs="Times New Roman"/>
          <w:sz w:val="24"/>
          <w:szCs w:val="24"/>
        </w:rPr>
      </w:pPr>
      <w:r>
        <w:rPr>
          <w:rFonts w:eastAsia="Times New Roman" w:cs="Times New Roman"/>
          <w:sz w:val="24"/>
          <w:szCs w:val="24"/>
        </w:rPr>
        <w:t xml:space="preserve">11. The Retail Bulletin (2026) Rising costs, new rights: The challenge facing retail employers. Available at: </w:t>
      </w:r>
      <w:hyperlink r:id="rId40">
        <w:r>
          <w:rPr>
            <w:rStyle w:val="Hyperlink"/>
            <w:rFonts w:eastAsia="Times New Roman" w:cs="Times New Roman"/>
            <w:sz w:val="24"/>
            <w:szCs w:val="24"/>
          </w:rPr>
          <w:t>https://www.theretailbulletin.com/newsletter/rising-costs-</w:t>
        </w:r>
        <w:r>
          <w:rPr>
            <w:rStyle w:val="Hyperlink"/>
            <w:rFonts w:eastAsia="Times New Roman" w:cs="Times New Roman"/>
            <w:sz w:val="24"/>
            <w:szCs w:val="24"/>
          </w:rPr>
          <w:lastRenderedPageBreak/>
          <w:t>new-rights-the-challenge-facing-retail-employers-27-07-2026/</w:t>
        </w:r>
      </w:hyperlink>
      <w:r>
        <w:rPr>
          <w:rFonts w:eastAsia="Times New Roman" w:cs="Times New Roman"/>
          <w:sz w:val="24"/>
          <w:szCs w:val="24"/>
        </w:rPr>
        <w:t xml:space="preserve">  (Accessed: 16 July 2026)</w:t>
      </w:r>
    </w:p>
    <w:p w14:paraId="37CAD932" w14:textId="77777777" w:rsidR="00BA5DB0" w:rsidRDefault="00D37352">
      <w:pPr>
        <w:pStyle w:val="BodyText"/>
        <w:rPr>
          <w:rFonts w:eastAsia="Times New Roman" w:cs="Times New Roman"/>
          <w:sz w:val="24"/>
          <w:szCs w:val="24"/>
        </w:rPr>
      </w:pPr>
      <w:r>
        <w:rPr>
          <w:rFonts w:eastAsia="Times New Roman" w:cs="Times New Roman"/>
          <w:sz w:val="24"/>
          <w:szCs w:val="24"/>
        </w:rPr>
        <w:t xml:space="preserve">12. CityAM (2026) UK risks becoming 'dumping ground' for Temu and Shein, retailers warn. </w:t>
      </w:r>
      <w:hyperlink r:id="rId41">
        <w:r>
          <w:rPr>
            <w:rStyle w:val="Hyperlink"/>
            <w:rFonts w:eastAsia="Times New Roman" w:cs="Times New Roman"/>
            <w:sz w:val="24"/>
            <w:szCs w:val="24"/>
          </w:rPr>
          <w:t>https://www.cityam.com/retailers-fear-fresh-competition-from-temu-and-shein-following-eu-crackdown/</w:t>
        </w:r>
      </w:hyperlink>
      <w:r>
        <w:rPr>
          <w:rFonts w:eastAsia="Times New Roman" w:cs="Times New Roman"/>
          <w:sz w:val="24"/>
          <w:szCs w:val="24"/>
        </w:rPr>
        <w:t xml:space="preserve"> (Accessed: 20 July 2026).</w:t>
      </w:r>
    </w:p>
    <w:p w14:paraId="7BFB194B" w14:textId="77777777" w:rsidR="00BA5DB0" w:rsidRDefault="00D37352">
      <w:pPr>
        <w:pStyle w:val="BodyText"/>
        <w:rPr>
          <w:rFonts w:eastAsia="Times New Roman" w:cs="Times New Roman"/>
          <w:sz w:val="24"/>
          <w:szCs w:val="24"/>
        </w:rPr>
      </w:pPr>
      <w:r>
        <w:rPr>
          <w:rFonts w:eastAsia="Times New Roman" w:cs="Times New Roman"/>
          <w:sz w:val="24"/>
          <w:szCs w:val="24"/>
        </w:rPr>
        <w:t>13. Porter, M.E. (1979) 'How competitive forces shape strategy', Harvard Business Review, 57(2), pp. 137–145.</w:t>
      </w:r>
    </w:p>
    <w:p w14:paraId="6B06530C" w14:textId="77777777" w:rsidR="00BA5DB0" w:rsidRDefault="00D37352">
      <w:pPr>
        <w:pStyle w:val="BodyText"/>
        <w:rPr>
          <w:rFonts w:eastAsia="Times New Roman" w:cs="Times New Roman"/>
          <w:sz w:val="24"/>
          <w:szCs w:val="24"/>
        </w:rPr>
      </w:pPr>
      <w:r>
        <w:rPr>
          <w:rFonts w:eastAsia="Times New Roman" w:cs="Times New Roman"/>
          <w:sz w:val="24"/>
          <w:szCs w:val="24"/>
        </w:rPr>
        <w:t xml:space="preserve">14. TradingView (2026) Marks &amp; Spencer Group Plc (MAKSY): Company Profile. </w:t>
      </w:r>
      <w:hyperlink r:id="rId42">
        <w:r>
          <w:rPr>
            <w:rStyle w:val="Hyperlink"/>
            <w:rFonts w:eastAsia="Times New Roman" w:cs="Times New Roman"/>
            <w:sz w:val="24"/>
            <w:szCs w:val="24"/>
          </w:rPr>
          <w:t>https://www.tradingview.com/symbols/MAKSY</w:t>
        </w:r>
      </w:hyperlink>
      <w:r>
        <w:rPr>
          <w:rFonts w:eastAsia="Times New Roman" w:cs="Times New Roman"/>
          <w:sz w:val="24"/>
          <w:szCs w:val="24"/>
        </w:rPr>
        <w:t xml:space="preserve">  (Accessed: 29 June 2026).</w:t>
      </w:r>
    </w:p>
    <w:p w14:paraId="6CACD67D" w14:textId="77777777" w:rsidR="00BA5DB0" w:rsidRDefault="00D37352">
      <w:pPr>
        <w:pStyle w:val="BodyText"/>
        <w:rPr>
          <w:rFonts w:eastAsia="Times New Roman" w:cs="Times New Roman"/>
          <w:sz w:val="24"/>
          <w:szCs w:val="24"/>
        </w:rPr>
      </w:pPr>
      <w:r>
        <w:rPr>
          <w:rFonts w:eastAsia="Times New Roman" w:cs="Times New Roman"/>
          <w:sz w:val="24"/>
          <w:szCs w:val="24"/>
        </w:rPr>
        <w:t xml:space="preserve">15. Deloitte UK (2026) Retail &amp; Consumer Trends 2026. </w:t>
      </w:r>
      <w:hyperlink r:id="rId43">
        <w:r>
          <w:rPr>
            <w:rStyle w:val="Hyperlink"/>
            <w:rFonts w:eastAsia="Times New Roman" w:cs="Times New Roman"/>
            <w:sz w:val="24"/>
            <w:szCs w:val="24"/>
          </w:rPr>
          <w:t>https://www.deloitte.com/uk/en/Industries/consumer/perspectives/retail-trends.html</w:t>
        </w:r>
      </w:hyperlink>
      <w:r>
        <w:rPr>
          <w:rFonts w:eastAsia="Times New Roman" w:cs="Times New Roman"/>
          <w:sz w:val="24"/>
          <w:szCs w:val="24"/>
        </w:rPr>
        <w:t xml:space="preserve">  (Accessed: 2 july 2026).</w:t>
      </w:r>
    </w:p>
    <w:p w14:paraId="3DAD5F3D" w14:textId="77777777" w:rsidR="00BA5DB0" w:rsidRDefault="00D37352">
      <w:pPr>
        <w:pStyle w:val="BodyText"/>
        <w:rPr>
          <w:rFonts w:eastAsia="Times New Roman" w:cs="Times New Roman"/>
          <w:sz w:val="24"/>
          <w:szCs w:val="24"/>
        </w:rPr>
      </w:pPr>
      <w:r>
        <w:rPr>
          <w:rFonts w:eastAsia="Times New Roman" w:cs="Times New Roman"/>
          <w:sz w:val="24"/>
          <w:szCs w:val="24"/>
        </w:rPr>
        <w:t xml:space="preserve">16. Marketing Week (2026) Marks and Spencer loyalty revamp. </w:t>
      </w:r>
      <w:hyperlink r:id="rId44">
        <w:r>
          <w:rPr>
            <w:rStyle w:val="Hyperlink"/>
            <w:rFonts w:eastAsia="Times New Roman" w:cs="Times New Roman"/>
            <w:sz w:val="24"/>
            <w:szCs w:val="24"/>
          </w:rPr>
          <w:t>https://www.marketingweek.com/marks-and-spencer-loyalty-revamp/</w:t>
        </w:r>
      </w:hyperlink>
      <w:r>
        <w:rPr>
          <w:rFonts w:eastAsia="Times New Roman" w:cs="Times New Roman"/>
          <w:sz w:val="24"/>
          <w:szCs w:val="24"/>
        </w:rPr>
        <w:t xml:space="preserve">  (Accessed: 2 july 2026).</w:t>
      </w:r>
    </w:p>
    <w:p w14:paraId="3F2B7B4E" w14:textId="77777777" w:rsidR="00BA5DB0" w:rsidRDefault="00D37352">
      <w:pPr>
        <w:pStyle w:val="BodyText"/>
        <w:rPr>
          <w:rFonts w:eastAsia="Times New Roman" w:cs="Times New Roman"/>
          <w:sz w:val="24"/>
          <w:szCs w:val="24"/>
        </w:rPr>
      </w:pPr>
      <w:r>
        <w:rPr>
          <w:rFonts w:eastAsia="Times New Roman" w:cs="Times New Roman"/>
          <w:sz w:val="24"/>
          <w:szCs w:val="24"/>
        </w:rPr>
        <w:t xml:space="preserve">17. Drapers (2026) M&amp;S announces updates to Sparks loyalty programme. </w:t>
      </w:r>
      <w:hyperlink r:id="rId45">
        <w:r>
          <w:rPr>
            <w:rStyle w:val="Hyperlink"/>
            <w:rFonts w:eastAsia="Times New Roman" w:cs="Times New Roman"/>
            <w:sz w:val="24"/>
            <w:szCs w:val="24"/>
          </w:rPr>
          <w:t>https://www.drapersonline.com/news/ms-announces-updates-to-sparks-loyalty-programme</w:t>
        </w:r>
      </w:hyperlink>
      <w:r>
        <w:rPr>
          <w:rFonts w:eastAsia="Times New Roman" w:cs="Times New Roman"/>
          <w:sz w:val="24"/>
          <w:szCs w:val="24"/>
        </w:rPr>
        <w:t xml:space="preserve"> (Accessed: 3 july 2026).</w:t>
      </w:r>
    </w:p>
    <w:p w14:paraId="02263881" w14:textId="77777777" w:rsidR="00BA5DB0" w:rsidRDefault="00D37352">
      <w:pPr>
        <w:pStyle w:val="BodyText"/>
        <w:rPr>
          <w:rFonts w:eastAsia="Times New Roman" w:cs="Times New Roman"/>
          <w:sz w:val="24"/>
          <w:szCs w:val="24"/>
        </w:rPr>
      </w:pPr>
      <w:r>
        <w:rPr>
          <w:rFonts w:eastAsia="Times New Roman" w:cs="Times New Roman"/>
          <w:sz w:val="24"/>
          <w:szCs w:val="24"/>
        </w:rPr>
        <w:t xml:space="preserve">18. Multimodal (2026) UK–EU fresh food deal is a "common sense" solution set to deliver £5 billion trade boost every year. </w:t>
      </w:r>
      <w:hyperlink r:id="rId46">
        <w:r>
          <w:rPr>
            <w:rStyle w:val="Hyperlink"/>
            <w:rFonts w:eastAsia="Times New Roman" w:cs="Times New Roman"/>
            <w:sz w:val="24"/>
            <w:szCs w:val="24"/>
          </w:rPr>
          <w:t>https://www.multimodal.org.uk/article/uk-eu-fresh-food-deal-is-a-common-sense-solution-set-to-deliver-gbp5-billion-trade-boost-every-year</w:t>
        </w:r>
      </w:hyperlink>
      <w:r>
        <w:rPr>
          <w:rFonts w:eastAsia="Times New Roman" w:cs="Times New Roman"/>
          <w:sz w:val="24"/>
          <w:szCs w:val="24"/>
        </w:rPr>
        <w:t xml:space="preserve"> (Accessed: 3 july 2026).</w:t>
      </w:r>
    </w:p>
    <w:p w14:paraId="0F526630" w14:textId="77777777" w:rsidR="00BA5DB0" w:rsidRDefault="00BA5DB0">
      <w:pPr>
        <w:pStyle w:val="BodyText"/>
        <w:rPr>
          <w:rFonts w:eastAsia="Times New Roman" w:cs="Times New Roman"/>
          <w:sz w:val="24"/>
          <w:szCs w:val="24"/>
        </w:rPr>
      </w:pPr>
    </w:p>
    <w:p w14:paraId="6726F131" w14:textId="77777777" w:rsidR="00BA5DB0" w:rsidRDefault="00BA5DB0">
      <w:pPr>
        <w:pStyle w:val="BodyText"/>
        <w:rPr>
          <w:rFonts w:eastAsia="Times New Roman" w:cs="Times New Roman"/>
          <w:sz w:val="24"/>
          <w:szCs w:val="24"/>
        </w:rPr>
      </w:pPr>
    </w:p>
    <w:sectPr w:rsidR="00BA5DB0">
      <w:headerReference w:type="even" r:id="rId47"/>
      <w:headerReference w:type="default" r:id="rId48"/>
      <w:footerReference w:type="even" r:id="rId49"/>
      <w:footerReference w:type="default" r:id="rId50"/>
      <w:headerReference w:type="first" r:id="rId51"/>
      <w:footerReference w:type="first" r:id="rId52"/>
      <w:pgSz w:w="11906" w:h="16838"/>
      <w:pgMar w:top="1440" w:right="1440" w:bottom="1440" w:left="1440" w:header="720" w:footer="720" w:gutter="0"/>
      <w:pgNumType w:start="1"/>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2B98893" w14:textId="77777777" w:rsidR="003F2943" w:rsidRDefault="003F2943">
      <w:pPr>
        <w:spacing w:line="240" w:lineRule="auto"/>
      </w:pPr>
      <w:r>
        <w:separator/>
      </w:r>
    </w:p>
  </w:endnote>
  <w:endnote w:type="continuationSeparator" w:id="0">
    <w:p w14:paraId="0BB9C47D" w14:textId="77777777" w:rsidR="003F2943" w:rsidRDefault="003F29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01"/>
    <w:family w:val="auto"/>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Liberation Sans">
    <w:altName w:val="Arial"/>
    <w:panose1 w:val="020B0604020202020204"/>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SimHei">
    <w:altName w:val="黑体"/>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37621B2" w14:textId="77777777" w:rsidR="00BA5DB0" w:rsidRDefault="00BA5D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F552D62" w14:textId="77777777" w:rsidR="00BA5DB0" w:rsidRDefault="00D37352">
    <w:pPr>
      <w:jc w:val="right"/>
      <w:rPr>
        <w:rFonts w:ascii="Times New Roman" w:eastAsia="Times New Roman" w:hAnsi="Times New Roman" w:cs="Times New Roman"/>
        <w:sz w:val="24"/>
        <w:szCs w:val="24"/>
      </w:rPr>
    </w:pPr>
    <w:r>
      <w:fldChar w:fldCharType="begin"/>
    </w:r>
    <w:r>
      <w:instrText xml:space="preserve"> PAGE </w:instrText>
    </w:r>
    <w:r>
      <w:fldChar w:fldCharType="separate"/>
    </w:r>
    <w:r>
      <w:t>2</w:t>
    </w:r>
    <w:r>
      <w:t>8</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6F4BC0D" w14:textId="77777777" w:rsidR="00BA5DB0" w:rsidRDefault="00D37352">
    <w:pPr>
      <w:jc w:val="right"/>
      <w:rPr>
        <w:rFonts w:ascii="Times New Roman" w:eastAsia="Times New Roman" w:hAnsi="Times New Roman" w:cs="Times New Roman"/>
        <w:sz w:val="24"/>
        <w:szCs w:val="24"/>
      </w:rPr>
    </w:pPr>
    <w:r>
      <w:fldChar w:fldCharType="begin"/>
    </w:r>
    <w:r>
      <w:instrText xml:space="preserve"> PAGE </w:instrText>
    </w:r>
    <w:r>
      <w:fldChar w:fldCharType="separate"/>
    </w:r>
    <w:r>
      <w:t>28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A9E16EA" w14:textId="77777777" w:rsidR="003F2943" w:rsidRDefault="003F2943">
      <w:pPr>
        <w:spacing w:line="240" w:lineRule="auto"/>
      </w:pPr>
      <w:r>
        <w:separator/>
      </w:r>
    </w:p>
  </w:footnote>
  <w:footnote w:type="continuationSeparator" w:id="0">
    <w:p w14:paraId="400D4EBA" w14:textId="77777777" w:rsidR="003F2943" w:rsidRDefault="003F294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C5B5EF9" w14:textId="77777777" w:rsidR="00BA5DB0" w:rsidRDefault="00BA5D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64920F4" w14:textId="77777777" w:rsidR="00BA5DB0" w:rsidRDefault="00D37352">
    <w:pPr>
      <w:jc w:val="right"/>
    </w:pPr>
    <w:r>
      <w:rPr>
        <w:noProof/>
      </w:rPr>
      <w:drawing>
        <wp:inline distT="0" distB="0" distL="0" distR="0" wp14:anchorId="063E2F5C" wp14:editId="1AAB9AC4">
          <wp:extent cx="1783715" cy="951865"/>
          <wp:effectExtent l="0" t="0" r="0" b="0"/>
          <wp:docPr id="13"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DC6AA18" w14:textId="77777777" w:rsidR="00BA5DB0" w:rsidRDefault="00D37352">
    <w:pPr>
      <w:jc w:val="right"/>
    </w:pPr>
    <w:r>
      <w:rPr>
        <w:noProof/>
      </w:rPr>
      <w:drawing>
        <wp:inline distT="0" distB="0" distL="0" distR="0" wp14:anchorId="445D0979" wp14:editId="4041509B">
          <wp:extent cx="1783715" cy="951865"/>
          <wp:effectExtent l="0" t="0" r="0" b="0"/>
          <wp:docPr id="14"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00A3F0D"/>
    <w:multiLevelType w:val="multilevel"/>
    <w:tmpl w:val="FFFFFFFF"/>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 w15:restartNumberingAfterBreak="0">
    <w:nsid w:val="4F844918"/>
    <w:multiLevelType w:val="multilevel"/>
    <w:tmpl w:val="FFFFFFFF"/>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2" w15:restartNumberingAfterBreak="0">
    <w:nsid w:val="68DC0A30"/>
    <w:multiLevelType w:val="multilevel"/>
    <w:tmpl w:val="FFFFFFFF"/>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3" w15:restartNumberingAfterBreak="0">
    <w:nsid w:val="759A759A"/>
    <w:multiLevelType w:val="multilevel"/>
    <w:tmpl w:val="FFFFFFFF"/>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num w:numId="1" w16cid:durableId="1406025792">
    <w:abstractNumId w:val="3"/>
  </w:num>
  <w:num w:numId="2" w16cid:durableId="1330716955">
    <w:abstractNumId w:val="0"/>
  </w:num>
  <w:num w:numId="3" w16cid:durableId="288584612">
    <w:abstractNumId w:val="1"/>
  </w:num>
  <w:num w:numId="4" w16cid:durableId="1402144215">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9"/>
  <w:proofState w:spelling="clean"/>
  <w:defaultTabStop w:val="720"/>
  <w:autoHyphenation/>
  <w:hyphenationZone w:val="0"/>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5DB0"/>
    <w:rsid w:val="003F2943"/>
    <w:rsid w:val="004520CD"/>
    <w:rsid w:val="00BA5DB0"/>
    <w:rsid w:val="00CA10E9"/>
    <w:rsid w:val="00D37352"/>
  </w:rsids>
  <m:mathPr>
    <m:mathFont m:val="Cambria Math"/>
    <m:brkBin m:val="before"/>
    <m:brkBinSub m:val="--"/>
    <m:smallFrac m:val="0"/>
    <m:dispDef/>
    <m:lMargin m:val="0"/>
    <m:rMargin m:val="0"/>
    <m:defJc m:val="centerGroup"/>
    <m:wrapIndent m:val="1440"/>
    <m:intLim m:val="subSup"/>
    <m:naryLim m:val="undOvr"/>
  </m:mathPr>
  <w:themeFontLang w:val="en-US" w:eastAsia="zh-CN" w:bidi=""/>
  <w:clrSchemeMapping w:bg1="light1" w:t1="dark1" w:bg2="light2" w:t2="dark2" w:accent1="accent1" w:accent2="accent2" w:accent3="accent3" w:accent4="accent4" w:accent5="accent5" w:accent6="accent6" w:hyperlink="hyperlink" w:followedHyperlink="followedHyperlink"/>
  <w:decimalSymbol w:val="."/>
  <w:listSeparator w:val=","/>
  <w14:docId w14:val="6CBDCC1A"/>
  <w15:docId w15:val="{5AD4CEF6-6879-9D4E-8116-92539560E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SimSun" w:hAnsi="Times New Roman" w:cs="Times New Roman"/>
        <w:lang w:val="en-US" w:eastAsia="zh-CN" w:bidi="hi-IN"/>
      </w:rPr>
    </w:rPrDefault>
    <w:pPrDefault>
      <w:pPr>
        <w:suppressAutoHyphens/>
      </w:pPr>
    </w:pPrDefault>
  </w:docDefaults>
  <w:latentStyles w:defLockedState="0" w:defUIPriority="0" w:defSemiHidden="0" w:defUnhideWhenUsed="0" w:defQFormat="0" w:count="376">
    <w:lsdException w:name="heading 1" w:qFormat="1"/>
    <w:lsdException w:name="heading 2"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276" w:lineRule="auto"/>
    </w:pPr>
    <w:rPr>
      <w:rFonts w:ascii="Arial" w:eastAsia="Arial" w:hAnsi="Arial" w:cs="Arial"/>
      <w:sz w:val="22"/>
      <w:szCs w:val="22"/>
      <w:lang w:val="zh-CN"/>
    </w:rPr>
  </w:style>
  <w:style w:type="paragraph" w:styleId="Heading1">
    <w:name w:val="heading 1"/>
    <w:basedOn w:val="Normal"/>
    <w:next w:val="Normal"/>
    <w:qFormat/>
    <w:pPr>
      <w:keepNext/>
      <w:keepLines/>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qFormat/>
    <w:pPr>
      <w:keepNext/>
      <w:keepLines/>
      <w:spacing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color w:val="000080"/>
      <w:u w:val="single"/>
    </w:rPr>
  </w:style>
  <w:style w:type="character" w:customStyle="1" w:styleId="IndexLink">
    <w:name w:val="Index Link"/>
    <w:qFormat/>
  </w:style>
  <w:style w:type="character" w:customStyle="1" w:styleId="FootnoteCharactersuser">
    <w:name w:val="Footnote Characters (user)"/>
    <w:qFormat/>
  </w:style>
  <w:style w:type="character" w:customStyle="1" w:styleId="EndnoteCharactersuser">
    <w:name w:val="Endnote Characters (user)"/>
    <w:qFormat/>
  </w:style>
  <w:style w:type="character" w:styleId="FollowedHyperlink">
    <w:name w:val="FollowedHyperlink"/>
    <w:rPr>
      <w:color w:val="800000"/>
      <w:u w:val="single"/>
    </w:rPr>
  </w:style>
  <w:style w:type="character" w:styleId="Emphasis">
    <w:name w:val="Emphasis"/>
    <w:qFormat/>
    <w:rPr>
      <w:i/>
      <w:iCs/>
    </w:rPr>
  </w:style>
  <w:style w:type="character" w:customStyle="1" w:styleId="Bullets">
    <w:name w:val="Bullets"/>
    <w:qFormat/>
    <w:rPr>
      <w:rFonts w:ascii="OpenSymbol" w:eastAsia="OpenSymbol" w:hAnsi="OpenSymbol" w:cs="OpenSymbol"/>
    </w:rPr>
  </w:style>
  <w:style w:type="character" w:customStyle="1" w:styleId="Bulletsuser">
    <w:name w:val="Bullets (user)"/>
    <w:qFormat/>
    <w:rPr>
      <w:rFonts w:ascii="OpenSymbol" w:eastAsia="OpenSymbol" w:hAnsi="OpenSymbol" w:cs="OpenSymbol"/>
    </w:rPr>
  </w:style>
  <w:style w:type="character" w:styleId="Strong">
    <w:name w:val="Strong"/>
    <w:qFormat/>
    <w:rPr>
      <w:b/>
      <w:bCs/>
    </w:rPr>
  </w:style>
  <w:style w:type="character" w:customStyle="1" w:styleId="NumberingSymbols">
    <w:name w:val="Numbering Symbols"/>
    <w:qFormat/>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pPr>
      <w:spacing w:after="140"/>
    </w:pPr>
  </w:style>
  <w:style w:type="paragraph" w:styleId="List">
    <w:name w:val="List"/>
    <w:basedOn w:val="BodyText"/>
  </w:style>
  <w:style w:type="paragraph" w:styleId="Caption">
    <w:name w:val="caption"/>
    <w:basedOn w:val="Normal"/>
    <w:qFormat/>
    <w:pPr>
      <w:suppressLineNumbers/>
      <w:spacing w:before="120" w:after="120"/>
    </w:pPr>
    <w:rPr>
      <w:i/>
      <w:iCs/>
      <w:sz w:val="24"/>
      <w:szCs w:val="24"/>
    </w:rPr>
  </w:style>
  <w:style w:type="paragraph" w:customStyle="1" w:styleId="Index">
    <w:name w:val="Index"/>
    <w:basedOn w:val="Normal"/>
    <w:qFormat/>
    <w:pPr>
      <w:suppressLineNumbers/>
    </w:p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paragraph" w:customStyle="1" w:styleId="HeaderandFooter">
    <w:name w:val="Header and Footer"/>
    <w:basedOn w:val="Normal"/>
    <w:qFormat/>
  </w:style>
  <w:style w:type="paragraph" w:styleId="Header">
    <w:name w:val="header"/>
    <w:basedOn w:val="HeaderandFooter"/>
  </w:style>
  <w:style w:type="paragraph" w:styleId="Footer">
    <w:name w:val="footer"/>
    <w:basedOn w:val="HeaderandFooter"/>
  </w:style>
  <w:style w:type="paragraph" w:customStyle="1" w:styleId="ListContents">
    <w:name w:val="List Contents"/>
    <w:basedOn w:val="Normal"/>
    <w:qFormat/>
    <w:pPr>
      <w:ind w:left="567"/>
    </w:pPr>
  </w:style>
  <w:style w:type="paragraph" w:customStyle="1" w:styleId="normal1">
    <w:name w:val="normal1"/>
    <w:qFormat/>
    <w:pPr>
      <w:spacing w:after="160" w:line="259" w:lineRule="auto"/>
    </w:pPr>
  </w:style>
  <w:style w:type="paragraph" w:customStyle="1" w:styleId="normal2">
    <w:name w:val="normal2"/>
    <w:qFormat/>
    <w:pPr>
      <w:spacing w:line="276" w:lineRule="auto"/>
    </w:pPr>
  </w:style>
  <w:style w:type="paragraph" w:customStyle="1" w:styleId="TableContents">
    <w:name w:val="Table Contents"/>
    <w:basedOn w:val="Normal"/>
    <w:qFormat/>
    <w:pPr>
      <w:widowControl w:val="0"/>
      <w:suppressLineNumbers/>
    </w:pPr>
  </w:style>
  <w:style w:type="paragraph" w:customStyle="1" w:styleId="TableHeading">
    <w:name w:val="Table Heading"/>
    <w:basedOn w:val="TableContents"/>
    <w:qFormat/>
    <w:pPr>
      <w:jc w:val="center"/>
    </w:pPr>
    <w:rPr>
      <w:b/>
      <w:bCs/>
    </w:rPr>
  </w:style>
  <w:style w:type="paragraph" w:customStyle="1" w:styleId="Normal11">
    <w:name w:val="Normal11"/>
    <w:qFormat/>
    <w:pPr>
      <w:spacing w:line="276" w:lineRule="auto"/>
    </w:pPr>
  </w:style>
  <w:style w:type="table" w:customStyle="1" w:styleId="TableNormal0">
    <w:name w:val="TableNormal"/>
    <w:qFormat/>
    <w:tblPr>
      <w:tblCellMar>
        <w:top w:w="0" w:type="dxa"/>
        <w:left w:w="0" w:type="dxa"/>
        <w:bottom w:w="0" w:type="dxa"/>
        <w:right w:w="0" w:type="dxa"/>
      </w:tblCellMar>
    </w:tblPr>
  </w:style>
  <w:style w:type="table" w:customStyle="1" w:styleId="Style10">
    <w:name w:val="_Style 10"/>
    <w:basedOn w:val="TableNormal0"/>
    <w:qFormat/>
    <w:tblPr>
      <w:tblCellMar>
        <w:left w:w="108" w:type="dxa"/>
        <w:right w:w="108" w:type="dxa"/>
      </w:tblCellMar>
    </w:tblPr>
  </w:style>
  <w:style w:type="table" w:customStyle="1" w:styleId="Style11">
    <w:name w:val="_Style 11"/>
    <w:basedOn w:val="TableNormal0"/>
    <w:qFormat/>
    <w:tblPr>
      <w:tblCellMar>
        <w:top w:w="100" w:type="dxa"/>
        <w:left w:w="100" w:type="dxa"/>
        <w:bottom w:w="100" w:type="dxa"/>
        <w:right w:w="100" w:type="dxa"/>
      </w:tblCellMar>
    </w:tblPr>
  </w:style>
  <w:style w:type="table" w:customStyle="1" w:styleId="Style12">
    <w:name w:val="_Style 12"/>
    <w:basedOn w:val="TableNormal0"/>
    <w:qFormat/>
    <w:tblPr>
      <w:tblCellMar>
        <w:top w:w="100" w:type="dxa"/>
        <w:left w:w="100" w:type="dxa"/>
        <w:bottom w:w="100" w:type="dxa"/>
        <w:right w:w="100" w:type="dxa"/>
      </w:tblCellMar>
    </w:tblPr>
  </w:style>
  <w:style w:type="table" w:customStyle="1" w:styleId="Style13">
    <w:name w:val="_Style 13"/>
    <w:basedOn w:val="TableNormal0"/>
    <w:qFormat/>
    <w:tblPr>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researchgate.net/figure/PESTEL-analysis-Source-the-authors_fig2_373122171" TargetMode="External"/><Relationship Id="rId18" Type="http://schemas.openxmlformats.org/officeDocument/2006/relationships/image" Target="media/image7.png"/><Relationship Id="rId26" Type="http://schemas.openxmlformats.org/officeDocument/2006/relationships/image" Target="media/image11.png"/><Relationship Id="rId39" Type="http://schemas.openxmlformats.org/officeDocument/2006/relationships/hyperlink" Target="https://www.grocerytradenews.com/supermarket-sustainability-strategy/" TargetMode="External"/><Relationship Id="rId21" Type="http://schemas.openxmlformats.org/officeDocument/2006/relationships/hyperlink" Target="https://corporate.marksandspencer.com/sites/marksandspencer/files/marksandspencer/annual-report/marks-and-spencer-group-plc-esg-report-2026.pdf" TargetMode="External"/><Relationship Id="rId34" Type="http://schemas.openxmlformats.org/officeDocument/2006/relationships/hyperlink" Target="https://www.tmhcc.com/en/news-and-articles/thought-leadership/uk-retail-sector-report-february-2026" TargetMode="External"/><Relationship Id="rId42" Type="http://schemas.openxmlformats.org/officeDocument/2006/relationships/hyperlink" Target="https://www.tradingview.com/symbols/MAKSY" TargetMode="External"/><Relationship Id="rId47" Type="http://schemas.openxmlformats.org/officeDocument/2006/relationships/header" Target="header1.xml"/><Relationship Id="rId50"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hyperlink" Target="https://www.open.edu/openlearncreate/mod/page/view.php?id=165770" TargetMode="External"/><Relationship Id="rId11" Type="http://schemas.openxmlformats.org/officeDocument/2006/relationships/hyperlink" Target="https://www.tmhcc.com/en/news-and-articles/thought-leadership/uk-retail-sector-report-february-2026" TargetMode="External"/><Relationship Id="rId24" Type="http://schemas.openxmlformats.org/officeDocument/2006/relationships/image" Target="media/image10.png"/><Relationship Id="rId32" Type="http://schemas.openxmlformats.org/officeDocument/2006/relationships/hyperlink" Target="https://corporate.marksandspencer.com/sites/marksandspencer/files/marksandspencer/annual-report/m-and-s-annual-report-and-financial-statements-2026.pdf" TargetMode="External"/><Relationship Id="rId37" Type="http://schemas.openxmlformats.org/officeDocument/2006/relationships/hyperlink" Target="https://www.cbre.co.uk/insights/books/uk-real-estate-market-outlook-2026/retail" TargetMode="External"/><Relationship Id="rId40" Type="http://schemas.openxmlformats.org/officeDocument/2006/relationships/hyperlink" Target="https://www.theretailbulletin.com/newsletter/rising-costs-new-rights-the-challenge-facing-retail-employers-27-07-2026/" TargetMode="External"/><Relationship Id="rId45" Type="http://schemas.openxmlformats.org/officeDocument/2006/relationships/hyperlink" Target="https://www.drapersonline.com/news/ms-announces-updates-to-sparks-loyalty-programme"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19" Type="http://schemas.openxmlformats.org/officeDocument/2006/relationships/hyperlink" Target="https://corporate.marksandspencer.com/sites/marksandspencer/files/marksandspencer/annual-report/marks-and-spencer-group-plc-esg-report-2026.pdf" TargetMode="External"/><Relationship Id="rId31" Type="http://schemas.openxmlformats.org/officeDocument/2006/relationships/hyperlink" Target="https://corporate.marksandspencer.com/sites/marksandspencer/files/2026-04/m-and-s-vision-purpose-and-behaviours.pdf" TargetMode="External"/><Relationship Id="rId44" Type="http://schemas.openxmlformats.org/officeDocument/2006/relationships/hyperlink" Target="https://www.marketingweek.com/marks-and-spencer-loyalty-revamp/" TargetMode="External"/><Relationship Id="rId52"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hyperlink" Target="https://www.mbaknol.com/marketing-management/porters-generic-competitive-strategies/" TargetMode="External"/><Relationship Id="rId30" Type="http://schemas.openxmlformats.org/officeDocument/2006/relationships/hyperlink" Target="https://corporate.marksandspencer.com/newsroom/press-releases/full-year-results-52-weeks-ended-28-march-2026" TargetMode="External"/><Relationship Id="rId35" Type="http://schemas.openxmlformats.org/officeDocument/2006/relationships/hyperlink" Target="https://researchbriefings.files.parliament.uk/documents/SN06186/SN06186.pdf" TargetMode="External"/><Relationship Id="rId43" Type="http://schemas.openxmlformats.org/officeDocument/2006/relationships/hyperlink" Target="https://www.deloitte.com/uk/en/Industries/consumer/perspectives/retail-trends.html" TargetMode="External"/><Relationship Id="rId48" Type="http://schemas.openxmlformats.org/officeDocument/2006/relationships/header" Target="header2.xml"/><Relationship Id="rId8" Type="http://schemas.openxmlformats.org/officeDocument/2006/relationships/hyperlink" Target="https://corporate.marksandspencer.com/sites/marksandspencer/files/marksandspencer/annual-report/m-and-s-annual-report-and-financial-statements-2026.pdf" TargetMode="External"/><Relationship Id="rId51" Type="http://schemas.openxmlformats.org/officeDocument/2006/relationships/header" Target="header3.xm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grocerytradenews.com/supermarket-sustainability-strategy/" TargetMode="External"/><Relationship Id="rId25" Type="http://schemas.openxmlformats.org/officeDocument/2006/relationships/hyperlink" Target="https://corporate.marksandspencer.com/sites/marksandspencer/files/marksandspencer/annual-report/marks-and-spencer-group-plc-esg-report-2026.pdf" TargetMode="External"/><Relationship Id="rId33" Type="http://schemas.openxmlformats.org/officeDocument/2006/relationships/hyperlink" Target="https://dcf-analysis.com/products/mksl-pestel-analysis" TargetMode="External"/><Relationship Id="rId38" Type="http://schemas.openxmlformats.org/officeDocument/2006/relationships/hyperlink" Target="https://www.shoosmiths.com/perspectives/stories/articles/trends-reshaping-consumer-retail-in-2026" TargetMode="External"/><Relationship Id="rId46" Type="http://schemas.openxmlformats.org/officeDocument/2006/relationships/hyperlink" Target="https://www.multimodal.org.uk/article/uk-eu-fresh-food-deal-is-a-common-sense-solution-set-to-deliver-gbp5-billion-trade-boost-every-year" TargetMode="External"/><Relationship Id="rId20" Type="http://schemas.openxmlformats.org/officeDocument/2006/relationships/image" Target="media/image8.png"/><Relationship Id="rId41" Type="http://schemas.openxmlformats.org/officeDocument/2006/relationships/hyperlink" Target="https://www.cityam.com/retailers-fear-fresh-competition-from-temu-and-shein-following-eu-crackdown/"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tmhcc.com/en/news-and-articles/thought-leadership/uk-retail-sector-report-february-2026" TargetMode="External"/><Relationship Id="rId23" Type="http://schemas.openxmlformats.org/officeDocument/2006/relationships/hyperlink" Target="https://corporate.marksandspencer.com/sites/marksandspencer/files/marksandspencer/annual-report/marks-and-spencer-group-plc-esg-report-2026.pdf" TargetMode="External"/><Relationship Id="rId28" Type="http://schemas.openxmlformats.org/officeDocument/2006/relationships/image" Target="media/image12.png"/><Relationship Id="rId36" Type="http://schemas.openxmlformats.org/officeDocument/2006/relationships/hyperlink" Target="https://www.cbre.co.uk/insights/books/uk-real-estate-market-outlook-2026/retail" TargetMode="External"/><Relationship Id="rId49"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3.jpeg"/></Relationships>
</file>

<file path=word/_rels/header3.xml.rels><?xml version="1.0" encoding="UTF-8" standalone="yes"?>
<Relationships xmlns="http://schemas.openxmlformats.org/package/2006/relationships"><Relationship Id="rId1"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majorFont>
      <a:minorFont>
        <a:latin typeface="Cambria"/>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tint val="100000"/>
                <a:shade val="100000"/>
              </a:schemeClr>
            </a:gs>
            <a:gs pos="100000">
              <a:schemeClr val="phClr">
                <a:tint val="50000"/>
                <a:shade val="100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7493</TotalTime>
  <Pages>29</Pages>
  <Words>6199</Words>
  <Characters>35335</Characters>
  <Application>Microsoft Office Word</Application>
  <DocSecurity>0</DocSecurity>
  <Lines>294</Lines>
  <Paragraphs>82</Paragraphs>
  <ScaleCrop>false</ScaleCrop>
  <Company/>
  <LinksUpToDate>false</LinksUpToDate>
  <CharactersWithSpaces>41452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dasdi</dc:creator>
  <dc:description/>
  <cp:lastModifiedBy>Krishna Lakhu Khunti (2515605)</cp:lastModifiedBy>
  <cp:revision>1475</cp:revision>
  <dcterms:created xsi:type="dcterms:W3CDTF">2025-11-04T08:13:00Z</dcterms:created>
  <dcterms:modified xsi:type="dcterms:W3CDTF">2026-08-12T11:29:00Z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C9116E688BD948F5861709C88BB315E9_13</vt:lpwstr>
  </property>
  <property fmtid="{D5CDD505-2E9C-101B-9397-08002B2CF9AE}" pid="3" name="KSOProductBuildVer">
    <vt:lpwstr>1033-12.2.0.23155</vt:lpwstr>
  </property>
</Properties>
</file>