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26A5A" w14:textId="288E10B7" w:rsidR="003B4C1A" w:rsidRPr="00F21A69" w:rsidRDefault="005C2FE0" w:rsidP="00F21A69">
      <w:pPr>
        <w:spacing w:line="480" w:lineRule="auto"/>
        <w:rPr>
          <w:rFonts w:ascii="Times New Roman" w:hAnsi="Times New Roman" w:cs="Times New Roman"/>
        </w:rPr>
      </w:pPr>
      <w:r w:rsidRPr="00F21A69">
        <w:rPr>
          <w:rFonts w:ascii="Times New Roman" w:hAnsi="Times New Roman" w:cs="Times New Roman"/>
        </w:rPr>
        <w:t>Eyewitness testimony continues to occupy a powerful position within criminal investigations and judicial decision making. Jurors frequently regard confident eyewitness accounts as compelling indicators of guilt. However, psychological science consistently demonstrates that memory is not a literal recording of past experiences but a reconstructive, inferential system that is highly sensitive to contextual influences (Schacter, 2022; Wixted &amp; Wells, 2017). Errors in eyewitness memory are therefore not rare anomalies but predictable outcomes of adaptive cognitive processes operating under social cognitive and motivational constraints. The applied implications are substantial eyewitness misidentification remains one of the leading contributors to wrongful convictions in DNA exoneration cases (Garett, 2020; Innocence project, 2023).</w:t>
      </w:r>
    </w:p>
    <w:p w14:paraId="176E7388" w14:textId="78B7A8D5" w:rsidR="005C2FE0" w:rsidRPr="00F21A69" w:rsidRDefault="005C2FE0" w:rsidP="00F21A69">
      <w:pPr>
        <w:spacing w:line="480" w:lineRule="auto"/>
        <w:rPr>
          <w:rFonts w:ascii="Times New Roman" w:hAnsi="Times New Roman" w:cs="Times New Roman"/>
        </w:rPr>
      </w:pPr>
      <w:r w:rsidRPr="00F21A69">
        <w:rPr>
          <w:rFonts w:ascii="Times New Roman" w:hAnsi="Times New Roman" w:cs="Times New Roman"/>
        </w:rPr>
        <w:t xml:space="preserve">This essay critically evaluates three cognitive mechanisms that influences eyewitness memory accuracy, The misinformation effect, source monitoring and attributional inference in social recall and stress related modulation of encoding and retrieval. In addition, it situates these mechanisms within broader contemporary frameworks </w:t>
      </w:r>
      <w:r w:rsidR="0025134C" w:rsidRPr="00F21A69">
        <w:rPr>
          <w:rFonts w:ascii="Times New Roman" w:hAnsi="Times New Roman" w:cs="Times New Roman"/>
        </w:rPr>
        <w:t xml:space="preserve">of predictive processing and dual process memory theory. Rather than treating these processes as isolated laboratory artefacts, the discussion embeds them within a real time social context as in in class mock investigative scenario in which one group of students viewed an image depicting a suspected crime, while the other group acted as investigators. The investigators were instructed to only ask witnesses what they had seen and were not trained in structured interviewing procedures. This created a dynamic conversational environment in which memory was retrieved interactively and publicly. Drawing upon empirical research. </w:t>
      </w:r>
    </w:p>
    <w:p w14:paraId="594A12A3" w14:textId="71B64907" w:rsidR="0025134C" w:rsidRPr="00F21A69" w:rsidRDefault="0025134C" w:rsidP="00F21A69">
      <w:pPr>
        <w:spacing w:line="480" w:lineRule="auto"/>
        <w:rPr>
          <w:rFonts w:ascii="Times New Roman" w:hAnsi="Times New Roman" w:cs="Times New Roman"/>
        </w:rPr>
      </w:pPr>
      <w:r w:rsidRPr="00F21A69">
        <w:rPr>
          <w:rFonts w:ascii="Times New Roman" w:hAnsi="Times New Roman" w:cs="Times New Roman"/>
        </w:rPr>
        <w:t xml:space="preserve">The misinformation effect refers to memory distortion following exposure to misleading post event information. Contemporary meta-analytic evidence confirms that post event misinformation reliability alters memory reports across a range of experimental paradigms (Otgaar et al.,2019). However, modern theoretical accounts increasingly </w:t>
      </w:r>
      <w:r w:rsidRPr="00F21A69">
        <w:rPr>
          <w:rFonts w:ascii="Times New Roman" w:hAnsi="Times New Roman" w:cs="Times New Roman"/>
        </w:rPr>
        <w:lastRenderedPageBreak/>
        <w:t xml:space="preserve">conceptualise this effect within frameworks of adaptive memory updating rather than simple contamination. </w:t>
      </w:r>
    </w:p>
    <w:p w14:paraId="561914B1" w14:textId="32FACE4E" w:rsidR="0025134C" w:rsidRPr="00F21A69" w:rsidRDefault="0025134C" w:rsidP="00F21A69">
      <w:pPr>
        <w:spacing w:line="480" w:lineRule="auto"/>
        <w:rPr>
          <w:rFonts w:ascii="Times New Roman" w:hAnsi="Times New Roman" w:cs="Times New Roman"/>
        </w:rPr>
      </w:pPr>
      <w:r w:rsidRPr="00F21A69">
        <w:rPr>
          <w:rFonts w:ascii="Times New Roman" w:hAnsi="Times New Roman" w:cs="Times New Roman"/>
        </w:rPr>
        <w:t xml:space="preserve">Retrieval reactivated memory traces, rendering them temporarily malleable through reconsolidation processes (Lee et al., 2017). During this window, new information can be integrated into the memory representation before it stabilises again. This flexibility allows individuals to update beliefs </w:t>
      </w:r>
      <w:r w:rsidR="00502559" w:rsidRPr="00F21A69">
        <w:rPr>
          <w:rFonts w:ascii="Times New Roman" w:hAnsi="Times New Roman" w:cs="Times New Roman"/>
        </w:rPr>
        <w:t>considering</w:t>
      </w:r>
      <w:r w:rsidRPr="00F21A69">
        <w:rPr>
          <w:rFonts w:ascii="Times New Roman" w:hAnsi="Times New Roman" w:cs="Times New Roman"/>
        </w:rPr>
        <w:t xml:space="preserve"> new evidence, supporting adaptive learning. Yet it also increases vulnerability when post event information is inaccurate. From this perspective, misinformation effects reflect a system designed for integration and revision, not faithful replication (Schac</w:t>
      </w:r>
      <w:r w:rsidR="00502559" w:rsidRPr="00F21A69">
        <w:rPr>
          <w:rFonts w:ascii="Times New Roman" w:hAnsi="Times New Roman" w:cs="Times New Roman"/>
        </w:rPr>
        <w:t>ter, 2022).</w:t>
      </w:r>
    </w:p>
    <w:p w14:paraId="779B9120" w14:textId="24F5E592" w:rsidR="00502559" w:rsidRPr="00F21A69" w:rsidRDefault="00502559" w:rsidP="00F21A69">
      <w:pPr>
        <w:spacing w:line="480" w:lineRule="auto"/>
        <w:rPr>
          <w:rFonts w:ascii="Times New Roman" w:hAnsi="Times New Roman" w:cs="Times New Roman"/>
        </w:rPr>
      </w:pPr>
      <w:r w:rsidRPr="00F21A69">
        <w:rPr>
          <w:rFonts w:ascii="Times New Roman" w:hAnsi="Times New Roman" w:cs="Times New Roman"/>
        </w:rPr>
        <w:t>Importantly, misinformation does not require overt deception. Subtle linguistic framing influences reconstruction. Research demonstrates that semantic implications embedded within questions can shape later recall (Ecker et al., 2017). Furthermore, repeated retrieval strengthens details through reconsolidation, regardless of their original accuracy (Bridge &amp; Paller, 2018). Thus, conversational emphasis alone may alter memory.</w:t>
      </w:r>
    </w:p>
    <w:p w14:paraId="036283C6" w14:textId="61F1D28F" w:rsidR="00502559" w:rsidRPr="00F21A69" w:rsidRDefault="00502559" w:rsidP="00F21A69">
      <w:pPr>
        <w:spacing w:line="480" w:lineRule="auto"/>
        <w:rPr>
          <w:rFonts w:ascii="Times New Roman" w:hAnsi="Times New Roman" w:cs="Times New Roman"/>
        </w:rPr>
      </w:pPr>
      <w:r w:rsidRPr="00F21A69">
        <w:rPr>
          <w:rFonts w:ascii="Times New Roman" w:hAnsi="Times New Roman" w:cs="Times New Roman"/>
        </w:rPr>
        <w:t xml:space="preserve">The mock investigative scenario illustrates how reconstructive updating can occur without explicit false Information. Investigators were not trained in neural questioning techniques. If questioning repeatedly focuses on certain aspects, such as the suspects appearance or actions, those elements may have become more elaborated through retrieval practice. Conversational norms also promote coherence. Witnesses may have inferred details to maintain narrative flow, later incorporating those inferences to memory. Research further demonstrates that susceptibility to misinformation is shaped by prior beliefs and schemas. Murphy et al. (2019) showed that individuals develop false memories more readily when fabricated information aligns with existing worldviews. Frenda et al. (2017) similarly found that ideological congruence increases false memory formation. These findings suggest that </w:t>
      </w:r>
      <w:r w:rsidRPr="00F21A69">
        <w:rPr>
          <w:rFonts w:ascii="Times New Roman" w:hAnsi="Times New Roman" w:cs="Times New Roman"/>
        </w:rPr>
        <w:lastRenderedPageBreak/>
        <w:t xml:space="preserve">reconstructive updating operates within broader inferential systems rather than at a purely perceptual level. </w:t>
      </w:r>
    </w:p>
    <w:p w14:paraId="2A0264B4" w14:textId="50F52DA7" w:rsidR="00502559" w:rsidRPr="00F21A69" w:rsidRDefault="00502559" w:rsidP="00F21A69">
      <w:pPr>
        <w:spacing w:line="480" w:lineRule="auto"/>
        <w:rPr>
          <w:rFonts w:ascii="Times New Roman" w:hAnsi="Times New Roman" w:cs="Times New Roman"/>
        </w:rPr>
      </w:pPr>
      <w:r w:rsidRPr="00F21A69">
        <w:rPr>
          <w:rFonts w:ascii="Times New Roman" w:hAnsi="Times New Roman" w:cs="Times New Roman"/>
        </w:rPr>
        <w:t xml:space="preserve">Nevertheless, debate remains regarding the </w:t>
      </w:r>
      <w:r w:rsidR="00271BA4" w:rsidRPr="00F21A69">
        <w:rPr>
          <w:rFonts w:ascii="Times New Roman" w:hAnsi="Times New Roman" w:cs="Times New Roman"/>
        </w:rPr>
        <w:t>magnitude</w:t>
      </w:r>
      <w:r w:rsidRPr="00F21A69">
        <w:rPr>
          <w:rFonts w:ascii="Times New Roman" w:hAnsi="Times New Roman" w:cs="Times New Roman"/>
        </w:rPr>
        <w:t xml:space="preserve"> of misinformation effects in ecologically valid contexts. Some scholars argue that certain laboratory findings may reflect response bias or social </w:t>
      </w:r>
      <w:r w:rsidR="00271BA4" w:rsidRPr="00F21A69">
        <w:rPr>
          <w:rFonts w:ascii="Times New Roman" w:hAnsi="Times New Roman" w:cs="Times New Roman"/>
        </w:rPr>
        <w:t>compliance rather than genuine memory alteration (Otgaar et al., 2019). The mock scenario in class, increases ecological validity through live interaction but lacks objective accuracy measurement, preventing direct quantification of distortion. This mythological trade off highlights ongoing tensions between experimental control and real-world complexity. (Wells et al.,2020).</w:t>
      </w:r>
    </w:p>
    <w:p w14:paraId="597F3D1A" w14:textId="06CEB401" w:rsidR="00271BA4" w:rsidRPr="00F21A69" w:rsidRDefault="00271BA4" w:rsidP="00F21A69">
      <w:pPr>
        <w:spacing w:line="480" w:lineRule="auto"/>
        <w:rPr>
          <w:rFonts w:ascii="Times New Roman" w:hAnsi="Times New Roman" w:cs="Times New Roman"/>
        </w:rPr>
      </w:pPr>
      <w:r w:rsidRPr="00F21A69">
        <w:rPr>
          <w:rFonts w:ascii="Times New Roman" w:hAnsi="Times New Roman" w:cs="Times New Roman"/>
        </w:rPr>
        <w:t xml:space="preserve">Despite these limitations, converging contemporary evidence supports the robustness of reconstructive updating processes. The mock investigation demonstrates how ordinary questioning can activate adaptive mechanisms that reshape memory in subtle yet meaningful ways. </w:t>
      </w:r>
    </w:p>
    <w:p w14:paraId="152EFEF0" w14:textId="726FD450" w:rsidR="00271BA4" w:rsidRPr="00F21A69" w:rsidRDefault="00271BA4" w:rsidP="00F21A69">
      <w:pPr>
        <w:spacing w:line="480" w:lineRule="auto"/>
        <w:rPr>
          <w:rFonts w:ascii="Times New Roman" w:hAnsi="Times New Roman" w:cs="Times New Roman"/>
        </w:rPr>
      </w:pPr>
      <w:r w:rsidRPr="00F21A69">
        <w:rPr>
          <w:rFonts w:ascii="Times New Roman" w:hAnsi="Times New Roman" w:cs="Times New Roman"/>
        </w:rPr>
        <w:t xml:space="preserve">While the misinformation effect describes distortion outcomes, source monitoring theory explains the underlying mechanism. Source monitoring refers to processes by which individuals attribute memories to origins such as perception, imagination, inference or social suggestions. (Mitchell &amp; Johnstone, 2018). Source attributions rely on heuristic cues including perceptual vividness, contextual details, emotional salience and familiarity. When these cues overlap or degrade, misattribution becomes more likely. Repetition increases familiarity independently of accuracy, heightening the risk that inferred details are later experienced as perceptual memory (Fisher &amp; Schacter, 2018). </w:t>
      </w:r>
    </w:p>
    <w:p w14:paraId="3EAB5835" w14:textId="4701EC66" w:rsidR="00271BA4" w:rsidRPr="00F21A69" w:rsidRDefault="00271BA4" w:rsidP="00F21A69">
      <w:pPr>
        <w:spacing w:line="480" w:lineRule="auto"/>
        <w:rPr>
          <w:rFonts w:ascii="Times New Roman" w:hAnsi="Times New Roman" w:cs="Times New Roman"/>
        </w:rPr>
      </w:pPr>
      <w:r w:rsidRPr="00F21A69">
        <w:rPr>
          <w:rFonts w:ascii="Times New Roman" w:hAnsi="Times New Roman" w:cs="Times New Roman"/>
        </w:rPr>
        <w:t xml:space="preserve">Memory conformity research demonstrates that post event discussion can alter recall even without conscious </w:t>
      </w:r>
      <w:r w:rsidR="007A10F2" w:rsidRPr="00F21A69">
        <w:rPr>
          <w:rFonts w:ascii="Times New Roman" w:hAnsi="Times New Roman" w:cs="Times New Roman"/>
        </w:rPr>
        <w:t>awareness</w:t>
      </w:r>
      <w:r w:rsidRPr="00F21A69">
        <w:rPr>
          <w:rFonts w:ascii="Times New Roman" w:hAnsi="Times New Roman" w:cs="Times New Roman"/>
        </w:rPr>
        <w:t xml:space="preserve"> of influence (Jalbert &amp; Spellman, 2021). Social dynamics</w:t>
      </w:r>
      <w:r w:rsidR="007A10F2" w:rsidRPr="00F21A69">
        <w:rPr>
          <w:rFonts w:ascii="Times New Roman" w:hAnsi="Times New Roman" w:cs="Times New Roman"/>
        </w:rPr>
        <w:t xml:space="preserve">, authority perception, conversational alignment and desire for coherence shape reconstruction. </w:t>
      </w:r>
      <w:r w:rsidR="007A10F2" w:rsidRPr="00F21A69">
        <w:rPr>
          <w:rFonts w:ascii="Times New Roman" w:hAnsi="Times New Roman" w:cs="Times New Roman"/>
        </w:rPr>
        <w:lastRenderedPageBreak/>
        <w:t xml:space="preserve">In interactive settings, individuals may internalise other statements as their own memories. </w:t>
      </w:r>
      <w:r w:rsidR="00C92ADA" w:rsidRPr="00F21A69">
        <w:rPr>
          <w:rFonts w:ascii="Times New Roman" w:hAnsi="Times New Roman" w:cs="Times New Roman"/>
        </w:rPr>
        <w:t xml:space="preserve"> Within the mock</w:t>
      </w:r>
      <w:r w:rsidR="00DC5891" w:rsidRPr="00F21A69">
        <w:rPr>
          <w:rFonts w:ascii="Times New Roman" w:hAnsi="Times New Roman" w:cs="Times New Roman"/>
        </w:rPr>
        <w:t xml:space="preserve"> investigative scenario, these processes were highly plausible. Investigators may have paraphrased or reformulated the statements such as “</w:t>
      </w:r>
      <w:r w:rsidR="006112E6" w:rsidRPr="00F21A69">
        <w:rPr>
          <w:rFonts w:ascii="Times New Roman" w:hAnsi="Times New Roman" w:cs="Times New Roman"/>
        </w:rPr>
        <w:t>so was he standing there?” or</w:t>
      </w:r>
      <w:r w:rsidR="002A5DDF" w:rsidRPr="00F21A69">
        <w:rPr>
          <w:rFonts w:ascii="Times New Roman" w:hAnsi="Times New Roman" w:cs="Times New Roman"/>
        </w:rPr>
        <w:t xml:space="preserve"> “blue top and blue jeans?”</w:t>
      </w:r>
      <w:r w:rsidR="003B1AE0" w:rsidRPr="00F21A69">
        <w:rPr>
          <w:rFonts w:ascii="Times New Roman" w:hAnsi="Times New Roman" w:cs="Times New Roman"/>
        </w:rPr>
        <w:t xml:space="preserve"> subtly introducing interpretive framing. Over repeated </w:t>
      </w:r>
      <w:r w:rsidR="009D22E5" w:rsidRPr="00F21A69">
        <w:rPr>
          <w:rFonts w:ascii="Times New Roman" w:hAnsi="Times New Roman" w:cs="Times New Roman"/>
        </w:rPr>
        <w:t>exchanges</w:t>
      </w:r>
      <w:r w:rsidR="003B1AE0" w:rsidRPr="00F21A69">
        <w:rPr>
          <w:rFonts w:ascii="Times New Roman" w:hAnsi="Times New Roman" w:cs="Times New Roman"/>
        </w:rPr>
        <w:t xml:space="preserve">, witnesses may have experience increased familiarity with these </w:t>
      </w:r>
      <w:r w:rsidR="009D22E5" w:rsidRPr="00F21A69">
        <w:rPr>
          <w:rFonts w:ascii="Times New Roman" w:hAnsi="Times New Roman" w:cs="Times New Roman"/>
        </w:rPr>
        <w:t xml:space="preserve">phrases and misattributed them to the original perception. </w:t>
      </w:r>
    </w:p>
    <w:p w14:paraId="6921AACD" w14:textId="497D5C20" w:rsidR="00FB12C4" w:rsidRPr="00F21A69" w:rsidRDefault="00FB12C4" w:rsidP="00F21A69">
      <w:pPr>
        <w:spacing w:line="480" w:lineRule="auto"/>
        <w:rPr>
          <w:rFonts w:ascii="Times New Roman" w:hAnsi="Times New Roman" w:cs="Times New Roman"/>
        </w:rPr>
      </w:pPr>
      <w:r w:rsidRPr="00F21A69">
        <w:rPr>
          <w:rFonts w:ascii="Times New Roman" w:hAnsi="Times New Roman" w:cs="Times New Roman"/>
        </w:rPr>
        <w:t>Recent research</w:t>
      </w:r>
      <w:r w:rsidR="00B402E3" w:rsidRPr="00F21A69">
        <w:rPr>
          <w:rFonts w:ascii="Times New Roman" w:hAnsi="Times New Roman" w:cs="Times New Roman"/>
        </w:rPr>
        <w:t xml:space="preserve"> further complicates legal </w:t>
      </w:r>
      <w:r w:rsidR="006B070A" w:rsidRPr="00F21A69">
        <w:rPr>
          <w:rFonts w:ascii="Times New Roman" w:hAnsi="Times New Roman" w:cs="Times New Roman"/>
        </w:rPr>
        <w:t>reliance on witness confidence. Confidence and accuracy</w:t>
      </w:r>
      <w:r w:rsidR="00895F8F" w:rsidRPr="00F21A69">
        <w:rPr>
          <w:rFonts w:ascii="Times New Roman" w:hAnsi="Times New Roman" w:cs="Times New Roman"/>
        </w:rPr>
        <w:t xml:space="preserve"> are dissociable, particularly whe</w:t>
      </w:r>
      <w:r w:rsidR="00D94557" w:rsidRPr="00F21A69">
        <w:rPr>
          <w:rFonts w:ascii="Times New Roman" w:hAnsi="Times New Roman" w:cs="Times New Roman"/>
        </w:rPr>
        <w:t>n post event feedback or repeated retrieval inflates fluency (Sau</w:t>
      </w:r>
      <w:r w:rsidR="00845D91" w:rsidRPr="00F21A69">
        <w:rPr>
          <w:rFonts w:ascii="Times New Roman" w:hAnsi="Times New Roman" w:cs="Times New Roman"/>
        </w:rPr>
        <w:t>erland et al., 2020; Wixted &amp; Wells, 2017)</w:t>
      </w:r>
      <w:r w:rsidR="00DA080D" w:rsidRPr="00F21A69">
        <w:rPr>
          <w:rFonts w:ascii="Times New Roman" w:hAnsi="Times New Roman" w:cs="Times New Roman"/>
        </w:rPr>
        <w:t xml:space="preserve">. Repeated questioning </w:t>
      </w:r>
      <w:r w:rsidR="00893A1A" w:rsidRPr="00F21A69">
        <w:rPr>
          <w:rFonts w:ascii="Times New Roman" w:hAnsi="Times New Roman" w:cs="Times New Roman"/>
        </w:rPr>
        <w:t xml:space="preserve">from the investigator </w:t>
      </w:r>
      <w:r w:rsidR="00DA080D" w:rsidRPr="00F21A69">
        <w:rPr>
          <w:rFonts w:ascii="Times New Roman" w:hAnsi="Times New Roman" w:cs="Times New Roman"/>
        </w:rPr>
        <w:t>in the mock scenario o</w:t>
      </w:r>
      <w:r w:rsidR="00893A1A" w:rsidRPr="00F21A69">
        <w:rPr>
          <w:rFonts w:ascii="Times New Roman" w:hAnsi="Times New Roman" w:cs="Times New Roman"/>
        </w:rPr>
        <w:t xml:space="preserve">r the constant repeating of the scene from the </w:t>
      </w:r>
      <w:r w:rsidR="002220D3" w:rsidRPr="00F21A69">
        <w:rPr>
          <w:rFonts w:ascii="Times New Roman" w:hAnsi="Times New Roman" w:cs="Times New Roman"/>
        </w:rPr>
        <w:t>witness may</w:t>
      </w:r>
      <w:r w:rsidR="00496A1F" w:rsidRPr="00F21A69">
        <w:rPr>
          <w:rFonts w:ascii="Times New Roman" w:hAnsi="Times New Roman" w:cs="Times New Roman"/>
        </w:rPr>
        <w:t xml:space="preserve"> have increased retrieval fluency, leading witnesses to interpret ease of recall as evidence accuracy</w:t>
      </w:r>
      <w:r w:rsidR="00A33668" w:rsidRPr="00F21A69">
        <w:rPr>
          <w:rFonts w:ascii="Times New Roman" w:hAnsi="Times New Roman" w:cs="Times New Roman"/>
        </w:rPr>
        <w:t xml:space="preserve">, such as repeating that the suspect has a blue top on, </w:t>
      </w:r>
      <w:r w:rsidR="00A87CF2" w:rsidRPr="00F21A69">
        <w:rPr>
          <w:rFonts w:ascii="Times New Roman" w:hAnsi="Times New Roman" w:cs="Times New Roman"/>
        </w:rPr>
        <w:t xml:space="preserve"> but it was a “light blue top” </w:t>
      </w:r>
      <w:r w:rsidR="002220D3" w:rsidRPr="00F21A69">
        <w:rPr>
          <w:rFonts w:ascii="Times New Roman" w:hAnsi="Times New Roman" w:cs="Times New Roman"/>
        </w:rPr>
        <w:t>However,</w:t>
      </w:r>
      <w:r w:rsidR="00496A1F" w:rsidRPr="00F21A69">
        <w:rPr>
          <w:rFonts w:ascii="Times New Roman" w:hAnsi="Times New Roman" w:cs="Times New Roman"/>
        </w:rPr>
        <w:t xml:space="preserve"> social interaction is not inherently</w:t>
      </w:r>
      <w:r w:rsidR="002220D3" w:rsidRPr="00F21A69">
        <w:rPr>
          <w:rFonts w:ascii="Times New Roman" w:hAnsi="Times New Roman" w:cs="Times New Roman"/>
        </w:rPr>
        <w:t xml:space="preserve"> detrimental. Collaborative recall can enhance overall accuracy by pooling</w:t>
      </w:r>
      <w:r w:rsidR="00577B2A" w:rsidRPr="00F21A69">
        <w:rPr>
          <w:rFonts w:ascii="Times New Roman" w:hAnsi="Times New Roman" w:cs="Times New Roman"/>
        </w:rPr>
        <w:t xml:space="preserve"> retrieval cues and correcting errors (Jalbert &amp; Spellman, 2021). The critical factor is structure</w:t>
      </w:r>
      <w:r w:rsidR="00901066" w:rsidRPr="00F21A69">
        <w:rPr>
          <w:rFonts w:ascii="Times New Roman" w:hAnsi="Times New Roman" w:cs="Times New Roman"/>
        </w:rPr>
        <w:t xml:space="preserve">. Evidence based interviewing protocols, such as the </w:t>
      </w:r>
      <w:r w:rsidR="00F57668" w:rsidRPr="00F21A69">
        <w:rPr>
          <w:rFonts w:ascii="Times New Roman" w:hAnsi="Times New Roman" w:cs="Times New Roman"/>
        </w:rPr>
        <w:t>Cognitive</w:t>
      </w:r>
      <w:r w:rsidR="00901066" w:rsidRPr="00F21A69">
        <w:rPr>
          <w:rFonts w:ascii="Times New Roman" w:hAnsi="Times New Roman" w:cs="Times New Roman"/>
        </w:rPr>
        <w:t xml:space="preserve"> Interview</w:t>
      </w:r>
      <w:r w:rsidR="007D4891" w:rsidRPr="00F21A69">
        <w:rPr>
          <w:rFonts w:ascii="Times New Roman" w:hAnsi="Times New Roman" w:cs="Times New Roman"/>
        </w:rPr>
        <w:t xml:space="preserve"> </w:t>
      </w:r>
      <w:r w:rsidR="00F57668" w:rsidRPr="00F21A69">
        <w:rPr>
          <w:rFonts w:ascii="Times New Roman" w:hAnsi="Times New Roman" w:cs="Times New Roman"/>
        </w:rPr>
        <w:t>emphasise</w:t>
      </w:r>
      <w:r w:rsidR="007D4891" w:rsidRPr="00F21A69">
        <w:rPr>
          <w:rFonts w:ascii="Times New Roman" w:hAnsi="Times New Roman" w:cs="Times New Roman"/>
        </w:rPr>
        <w:t xml:space="preserve"> open ended recall and minimal interruption to preserve source integrity (Memon et al., 20</w:t>
      </w:r>
      <w:r w:rsidR="00F57668" w:rsidRPr="00F21A69">
        <w:rPr>
          <w:rFonts w:ascii="Times New Roman" w:hAnsi="Times New Roman" w:cs="Times New Roman"/>
        </w:rPr>
        <w:t>18). The absence of such structure in the mock scenario likely increased vulnerability to attributional blending</w:t>
      </w:r>
      <w:r w:rsidR="005B6506" w:rsidRPr="00F21A69">
        <w:rPr>
          <w:rFonts w:ascii="Times New Roman" w:hAnsi="Times New Roman" w:cs="Times New Roman"/>
        </w:rPr>
        <w:t xml:space="preserve"> as the interviewer was a class peer and has no formal training in questioning and no concept of the Cognitive Interview. </w:t>
      </w:r>
      <w:r w:rsidR="00283045" w:rsidRPr="00F21A69">
        <w:rPr>
          <w:rFonts w:ascii="Times New Roman" w:hAnsi="Times New Roman" w:cs="Times New Roman"/>
        </w:rPr>
        <w:t>The findings reinforce</w:t>
      </w:r>
      <w:r w:rsidR="00177D88" w:rsidRPr="00F21A69">
        <w:rPr>
          <w:rFonts w:ascii="Times New Roman" w:hAnsi="Times New Roman" w:cs="Times New Roman"/>
        </w:rPr>
        <w:t xml:space="preserve"> the perspective that source monitoring errors arise from adaptive inferential </w:t>
      </w:r>
      <w:r w:rsidR="00A942E0" w:rsidRPr="00F21A69">
        <w:rPr>
          <w:rFonts w:ascii="Times New Roman" w:hAnsi="Times New Roman" w:cs="Times New Roman"/>
        </w:rPr>
        <w:t xml:space="preserve">integration rather than cognitive malfunction. </w:t>
      </w:r>
    </w:p>
    <w:p w14:paraId="2F316317" w14:textId="77777777" w:rsidR="00BE290E" w:rsidRPr="00F21A69" w:rsidRDefault="00C87DF3" w:rsidP="00F21A69">
      <w:pPr>
        <w:spacing w:line="480" w:lineRule="auto"/>
        <w:rPr>
          <w:rFonts w:ascii="Times New Roman" w:hAnsi="Times New Roman" w:cs="Times New Roman"/>
        </w:rPr>
      </w:pPr>
      <w:r w:rsidRPr="00F21A69">
        <w:rPr>
          <w:rFonts w:ascii="Times New Roman" w:hAnsi="Times New Roman" w:cs="Times New Roman"/>
        </w:rPr>
        <w:t xml:space="preserve">Contemporary cognitive science increasingly conceptualises </w:t>
      </w:r>
      <w:r w:rsidR="0071342C" w:rsidRPr="00F21A69">
        <w:rPr>
          <w:rFonts w:ascii="Times New Roman" w:hAnsi="Times New Roman" w:cs="Times New Roman"/>
        </w:rPr>
        <w:t>memory</w:t>
      </w:r>
      <w:r w:rsidRPr="00F21A69">
        <w:rPr>
          <w:rFonts w:ascii="Times New Roman" w:hAnsi="Times New Roman" w:cs="Times New Roman"/>
        </w:rPr>
        <w:t xml:space="preserve"> within predictive processing frameworks. According to</w:t>
      </w:r>
      <w:r w:rsidR="00E47B1C" w:rsidRPr="00F21A69">
        <w:rPr>
          <w:rFonts w:ascii="Times New Roman" w:hAnsi="Times New Roman" w:cs="Times New Roman"/>
        </w:rPr>
        <w:t xml:space="preserve"> this view, the brain continuously generates top- down expectations</w:t>
      </w:r>
      <w:r w:rsidR="00976E52" w:rsidRPr="00F21A69">
        <w:rPr>
          <w:rFonts w:ascii="Times New Roman" w:hAnsi="Times New Roman" w:cs="Times New Roman"/>
        </w:rPr>
        <w:t xml:space="preserve"> to interpret incoming information (Clark,2016). Memory reconstruction reflects the interaction between stored traces and predictive models. </w:t>
      </w:r>
      <w:r w:rsidR="001057FC" w:rsidRPr="00F21A69">
        <w:rPr>
          <w:rFonts w:ascii="Times New Roman" w:hAnsi="Times New Roman" w:cs="Times New Roman"/>
        </w:rPr>
        <w:t xml:space="preserve"> In </w:t>
      </w:r>
      <w:r w:rsidR="00F26AB3" w:rsidRPr="00F21A69">
        <w:rPr>
          <w:rFonts w:ascii="Times New Roman" w:hAnsi="Times New Roman" w:cs="Times New Roman"/>
        </w:rPr>
        <w:lastRenderedPageBreak/>
        <w:t>eyewitness</w:t>
      </w:r>
      <w:r w:rsidR="001057FC" w:rsidRPr="00F21A69">
        <w:rPr>
          <w:rFonts w:ascii="Times New Roman" w:hAnsi="Times New Roman" w:cs="Times New Roman"/>
        </w:rPr>
        <w:t xml:space="preserve"> contexts, recall is shaped not only by perceptual </w:t>
      </w:r>
      <w:r w:rsidR="002D43AF" w:rsidRPr="00F21A69">
        <w:rPr>
          <w:rFonts w:ascii="Times New Roman" w:hAnsi="Times New Roman" w:cs="Times New Roman"/>
        </w:rPr>
        <w:t>memory,</w:t>
      </w:r>
      <w:r w:rsidR="001057FC" w:rsidRPr="00F21A69">
        <w:rPr>
          <w:rFonts w:ascii="Times New Roman" w:hAnsi="Times New Roman" w:cs="Times New Roman"/>
        </w:rPr>
        <w:t xml:space="preserve"> but schemas</w:t>
      </w:r>
      <w:r w:rsidR="00F26AB3" w:rsidRPr="00F21A69">
        <w:rPr>
          <w:rFonts w:ascii="Times New Roman" w:hAnsi="Times New Roman" w:cs="Times New Roman"/>
        </w:rPr>
        <w:t xml:space="preserve"> activated during questioning. Research demonstrated that expectations</w:t>
      </w:r>
      <w:r w:rsidR="002D43AF" w:rsidRPr="00F21A69">
        <w:rPr>
          <w:rFonts w:ascii="Times New Roman" w:hAnsi="Times New Roman" w:cs="Times New Roman"/>
        </w:rPr>
        <w:t xml:space="preserve"> influence both interpretation and later recall of events (Chambers &amp; Zaragoza, 2019). When witnesses reconstruct an event, predictive mechanisms may fill gaps with schema consistent information, particularly under uncertainty.</w:t>
      </w:r>
    </w:p>
    <w:p w14:paraId="3E47CA39" w14:textId="0BE796C9" w:rsidR="00C87DF3" w:rsidRPr="00F21A69" w:rsidRDefault="00BE290E" w:rsidP="00F21A69">
      <w:pPr>
        <w:spacing w:line="480" w:lineRule="auto"/>
        <w:rPr>
          <w:rFonts w:ascii="Times New Roman" w:hAnsi="Times New Roman" w:cs="Times New Roman"/>
        </w:rPr>
      </w:pPr>
      <w:r w:rsidRPr="00F21A69">
        <w:rPr>
          <w:rFonts w:ascii="Times New Roman" w:hAnsi="Times New Roman" w:cs="Times New Roman"/>
        </w:rPr>
        <w:t>Dual process memory models further</w:t>
      </w:r>
      <w:r w:rsidR="0093544A" w:rsidRPr="00F21A69">
        <w:rPr>
          <w:rFonts w:ascii="Times New Roman" w:hAnsi="Times New Roman" w:cs="Times New Roman"/>
        </w:rPr>
        <w:t xml:space="preserve"> clarify this dynamic. These models distinguish between recollection</w:t>
      </w:r>
      <w:r w:rsidR="00A97C0B" w:rsidRPr="00F21A69">
        <w:rPr>
          <w:rFonts w:ascii="Times New Roman" w:hAnsi="Times New Roman" w:cs="Times New Roman"/>
        </w:rPr>
        <w:t>, detailed episodic retrieval and familiarity- a sense of knowing without contextual detail. (Yone</w:t>
      </w:r>
      <w:r w:rsidR="0029435B" w:rsidRPr="00F21A69">
        <w:rPr>
          <w:rFonts w:ascii="Times New Roman" w:hAnsi="Times New Roman" w:cs="Times New Roman"/>
        </w:rPr>
        <w:t>linas et al.,2019).</w:t>
      </w:r>
      <w:r w:rsidR="002D43AF" w:rsidRPr="00F21A69">
        <w:rPr>
          <w:rFonts w:ascii="Times New Roman" w:hAnsi="Times New Roman" w:cs="Times New Roman"/>
        </w:rPr>
        <w:t xml:space="preserve"> </w:t>
      </w:r>
      <w:r w:rsidR="0029435B" w:rsidRPr="00F21A69">
        <w:rPr>
          <w:rFonts w:ascii="Times New Roman" w:hAnsi="Times New Roman" w:cs="Times New Roman"/>
        </w:rPr>
        <w:t xml:space="preserve">Under cognitive load or stress, individuals may rely more on familiarity-based processing. Familiarity is particularly susceptible to inflation through repetition and social reinforcement. </w:t>
      </w:r>
    </w:p>
    <w:p w14:paraId="5F09403B" w14:textId="7F633807" w:rsidR="000D3C76" w:rsidRPr="00F21A69" w:rsidRDefault="000D3C76" w:rsidP="00F21A69">
      <w:pPr>
        <w:spacing w:line="480" w:lineRule="auto"/>
        <w:rPr>
          <w:rFonts w:ascii="Times New Roman" w:hAnsi="Times New Roman" w:cs="Times New Roman"/>
        </w:rPr>
      </w:pPr>
      <w:r w:rsidRPr="00F21A69">
        <w:rPr>
          <w:rFonts w:ascii="Times New Roman" w:hAnsi="Times New Roman" w:cs="Times New Roman"/>
        </w:rPr>
        <w:t>In the mock scenario</w:t>
      </w:r>
      <w:r w:rsidR="00586ABF" w:rsidRPr="00F21A69">
        <w:rPr>
          <w:rFonts w:ascii="Times New Roman" w:hAnsi="Times New Roman" w:cs="Times New Roman"/>
        </w:rPr>
        <w:t xml:space="preserve"> held in class, questioning may have activated crime related schemas</w:t>
      </w:r>
      <w:r w:rsidR="005674B0" w:rsidRPr="00F21A69">
        <w:rPr>
          <w:rFonts w:ascii="Times New Roman" w:hAnsi="Times New Roman" w:cs="Times New Roman"/>
        </w:rPr>
        <w:t>, subtly shaping</w:t>
      </w:r>
      <w:r w:rsidR="00027037" w:rsidRPr="00F21A69">
        <w:rPr>
          <w:rFonts w:ascii="Times New Roman" w:hAnsi="Times New Roman" w:cs="Times New Roman"/>
        </w:rPr>
        <w:t xml:space="preserve"> reconstruction. </w:t>
      </w:r>
      <w:r w:rsidR="00281FB5" w:rsidRPr="00F21A69">
        <w:rPr>
          <w:rFonts w:ascii="Times New Roman" w:hAnsi="Times New Roman" w:cs="Times New Roman"/>
        </w:rPr>
        <w:t>However,</w:t>
      </w:r>
      <w:r w:rsidR="00027037" w:rsidRPr="00F21A69">
        <w:rPr>
          <w:rFonts w:ascii="Times New Roman" w:hAnsi="Times New Roman" w:cs="Times New Roman"/>
        </w:rPr>
        <w:t xml:space="preserve"> some of the students who were being interview</w:t>
      </w:r>
      <w:r w:rsidR="004818AE" w:rsidRPr="00F21A69">
        <w:rPr>
          <w:rFonts w:ascii="Times New Roman" w:hAnsi="Times New Roman" w:cs="Times New Roman"/>
        </w:rPr>
        <w:t>ed</w:t>
      </w:r>
      <w:r w:rsidR="00027037" w:rsidRPr="00F21A69">
        <w:rPr>
          <w:rFonts w:ascii="Times New Roman" w:hAnsi="Times New Roman" w:cs="Times New Roman"/>
        </w:rPr>
        <w:t xml:space="preserve"> as the witness may not have</w:t>
      </w:r>
      <w:r w:rsidR="00B260DC" w:rsidRPr="00F21A69">
        <w:rPr>
          <w:rFonts w:ascii="Times New Roman" w:hAnsi="Times New Roman" w:cs="Times New Roman"/>
        </w:rPr>
        <w:t xml:space="preserve"> such schemas as some students are relatively younger in age and may not have witnessed such a crime in real life at all. </w:t>
      </w:r>
      <w:r w:rsidR="001821C2" w:rsidRPr="00F21A69">
        <w:rPr>
          <w:rFonts w:ascii="Times New Roman" w:hAnsi="Times New Roman" w:cs="Times New Roman"/>
        </w:rPr>
        <w:t xml:space="preserve">On the other </w:t>
      </w:r>
      <w:r w:rsidR="00281FB5" w:rsidRPr="00F21A69">
        <w:rPr>
          <w:rFonts w:ascii="Times New Roman" w:hAnsi="Times New Roman" w:cs="Times New Roman"/>
        </w:rPr>
        <w:t>hand,</w:t>
      </w:r>
      <w:r w:rsidR="001821C2" w:rsidRPr="00F21A69">
        <w:rPr>
          <w:rFonts w:ascii="Times New Roman" w:hAnsi="Times New Roman" w:cs="Times New Roman"/>
        </w:rPr>
        <w:t xml:space="preserve"> some students</w:t>
      </w:r>
      <w:r w:rsidR="00281FB5" w:rsidRPr="00F21A69">
        <w:rPr>
          <w:rFonts w:ascii="Times New Roman" w:hAnsi="Times New Roman" w:cs="Times New Roman"/>
        </w:rPr>
        <w:t xml:space="preserve"> may have more </w:t>
      </w:r>
      <w:r w:rsidR="009E1A8C" w:rsidRPr="00F21A69">
        <w:rPr>
          <w:rFonts w:ascii="Times New Roman" w:hAnsi="Times New Roman" w:cs="Times New Roman"/>
        </w:rPr>
        <w:t>real-world</w:t>
      </w:r>
      <w:r w:rsidR="00281FB5" w:rsidRPr="00F21A69">
        <w:rPr>
          <w:rFonts w:ascii="Times New Roman" w:hAnsi="Times New Roman" w:cs="Times New Roman"/>
        </w:rPr>
        <w:t xml:space="preserve"> experience and the answers that they give to the interviewer will contain </w:t>
      </w:r>
      <w:r w:rsidR="00AA2DDD" w:rsidRPr="00F21A69">
        <w:rPr>
          <w:rFonts w:ascii="Times New Roman" w:hAnsi="Times New Roman" w:cs="Times New Roman"/>
        </w:rPr>
        <w:t xml:space="preserve">subsequently more descriptive information of the scene as they </w:t>
      </w:r>
      <w:r w:rsidR="00E83F85" w:rsidRPr="00F21A69">
        <w:rPr>
          <w:rFonts w:ascii="Times New Roman" w:hAnsi="Times New Roman" w:cs="Times New Roman"/>
        </w:rPr>
        <w:t>have had this experience previously.</w:t>
      </w:r>
      <w:r w:rsidR="00EA76E0" w:rsidRPr="00F21A69">
        <w:rPr>
          <w:rFonts w:ascii="Times New Roman" w:hAnsi="Times New Roman" w:cs="Times New Roman"/>
        </w:rPr>
        <w:t xml:space="preserve"> Hence repeated discussion of specific details would increase </w:t>
      </w:r>
      <w:r w:rsidR="009E1A8C" w:rsidRPr="00F21A69">
        <w:rPr>
          <w:rFonts w:ascii="Times New Roman" w:hAnsi="Times New Roman" w:cs="Times New Roman"/>
        </w:rPr>
        <w:t>familiarity</w:t>
      </w:r>
      <w:r w:rsidR="00EA76E0" w:rsidRPr="00F21A69">
        <w:rPr>
          <w:rFonts w:ascii="Times New Roman" w:hAnsi="Times New Roman" w:cs="Times New Roman"/>
        </w:rPr>
        <w:t>, potentially leading</w:t>
      </w:r>
      <w:r w:rsidR="000570A8" w:rsidRPr="00F21A69">
        <w:rPr>
          <w:rFonts w:ascii="Times New Roman" w:hAnsi="Times New Roman" w:cs="Times New Roman"/>
        </w:rPr>
        <w:t xml:space="preserve"> witnesses to experience those details as vivid and certain. </w:t>
      </w:r>
      <w:r w:rsidR="009E1A8C" w:rsidRPr="00F21A69">
        <w:rPr>
          <w:rFonts w:ascii="Times New Roman" w:hAnsi="Times New Roman" w:cs="Times New Roman"/>
        </w:rPr>
        <w:t>Neurocognitive</w:t>
      </w:r>
      <w:r w:rsidR="000570A8" w:rsidRPr="00F21A69">
        <w:rPr>
          <w:rFonts w:ascii="Times New Roman" w:hAnsi="Times New Roman" w:cs="Times New Roman"/>
        </w:rPr>
        <w:t xml:space="preserve"> </w:t>
      </w:r>
      <w:r w:rsidR="00414761" w:rsidRPr="00F21A69">
        <w:rPr>
          <w:rFonts w:ascii="Times New Roman" w:hAnsi="Times New Roman" w:cs="Times New Roman"/>
        </w:rPr>
        <w:t xml:space="preserve">research shows that episodic retrieval engages networks also involved in imagination and future simulation, reinforcing the </w:t>
      </w:r>
      <w:r w:rsidR="009E1A8C" w:rsidRPr="00F21A69">
        <w:rPr>
          <w:rFonts w:ascii="Times New Roman" w:hAnsi="Times New Roman" w:cs="Times New Roman"/>
        </w:rPr>
        <w:t>constructive</w:t>
      </w:r>
      <w:r w:rsidR="00414761" w:rsidRPr="00F21A69">
        <w:rPr>
          <w:rFonts w:ascii="Times New Roman" w:hAnsi="Times New Roman" w:cs="Times New Roman"/>
        </w:rPr>
        <w:t xml:space="preserve"> nature of memory (Sc</w:t>
      </w:r>
      <w:r w:rsidR="009E1A8C" w:rsidRPr="00F21A69">
        <w:rPr>
          <w:rFonts w:ascii="Times New Roman" w:hAnsi="Times New Roman" w:cs="Times New Roman"/>
        </w:rPr>
        <w:t>hacter et al., 2017).</w:t>
      </w:r>
    </w:p>
    <w:p w14:paraId="13F711CB" w14:textId="6056ABC2" w:rsidR="009E1A8C" w:rsidRPr="00F21A69" w:rsidRDefault="009E1A8C" w:rsidP="00F21A69">
      <w:pPr>
        <w:spacing w:line="480" w:lineRule="auto"/>
        <w:rPr>
          <w:rFonts w:ascii="Times New Roman" w:hAnsi="Times New Roman" w:cs="Times New Roman"/>
        </w:rPr>
      </w:pPr>
      <w:r w:rsidRPr="00F21A69">
        <w:rPr>
          <w:rFonts w:ascii="Times New Roman" w:hAnsi="Times New Roman" w:cs="Times New Roman"/>
        </w:rPr>
        <w:t xml:space="preserve">Thus, predictive processing provided a unifying theoretical framework for linking </w:t>
      </w:r>
      <w:r w:rsidR="001367D6" w:rsidRPr="00F21A69">
        <w:rPr>
          <w:rFonts w:ascii="Times New Roman" w:hAnsi="Times New Roman" w:cs="Times New Roman"/>
        </w:rPr>
        <w:t>misinformation</w:t>
      </w:r>
      <w:r w:rsidRPr="00F21A69">
        <w:rPr>
          <w:rFonts w:ascii="Times New Roman" w:hAnsi="Times New Roman" w:cs="Times New Roman"/>
        </w:rPr>
        <w:t xml:space="preserve"> effects, source monitoring errors and stress modulation</w:t>
      </w:r>
      <w:r w:rsidR="001367D6" w:rsidRPr="00F21A69">
        <w:rPr>
          <w:rFonts w:ascii="Times New Roman" w:hAnsi="Times New Roman" w:cs="Times New Roman"/>
        </w:rPr>
        <w:t xml:space="preserve"> under a common inferential architecture. </w:t>
      </w:r>
    </w:p>
    <w:p w14:paraId="6A9AF215" w14:textId="3B0AEA9B" w:rsidR="001367D6" w:rsidRPr="00F21A69" w:rsidRDefault="001367D6" w:rsidP="00F21A69">
      <w:pPr>
        <w:spacing w:line="480" w:lineRule="auto"/>
        <w:rPr>
          <w:rFonts w:ascii="Times New Roman" w:hAnsi="Times New Roman" w:cs="Times New Roman"/>
        </w:rPr>
      </w:pPr>
      <w:r w:rsidRPr="00F21A69">
        <w:rPr>
          <w:rFonts w:ascii="Times New Roman" w:hAnsi="Times New Roman" w:cs="Times New Roman"/>
        </w:rPr>
        <w:lastRenderedPageBreak/>
        <w:t>Stress exerts nuanced effects on memory depending on timing</w:t>
      </w:r>
      <w:r w:rsidR="00B61BC6" w:rsidRPr="00F21A69">
        <w:rPr>
          <w:rFonts w:ascii="Times New Roman" w:hAnsi="Times New Roman" w:cs="Times New Roman"/>
        </w:rPr>
        <w:t xml:space="preserve"> and intensity. Sheilds et al. (2017) demonstrated that acute stress during encoding enhances memory for central emotional details but impairs peripheral recall. Stress during retrieval impairs episodic accuracy.  Cortisol release </w:t>
      </w:r>
      <w:r w:rsidR="005A1895" w:rsidRPr="00F21A69">
        <w:rPr>
          <w:rFonts w:ascii="Times New Roman" w:hAnsi="Times New Roman" w:cs="Times New Roman"/>
        </w:rPr>
        <w:t>modulates</w:t>
      </w:r>
      <w:r w:rsidR="00B61BC6" w:rsidRPr="00F21A69">
        <w:rPr>
          <w:rFonts w:ascii="Times New Roman" w:hAnsi="Times New Roman" w:cs="Times New Roman"/>
        </w:rPr>
        <w:t xml:space="preserve"> hippocampal prefrontal interaction</w:t>
      </w:r>
      <w:r w:rsidR="005A1895" w:rsidRPr="00F21A69">
        <w:rPr>
          <w:rFonts w:ascii="Times New Roman" w:hAnsi="Times New Roman" w:cs="Times New Roman"/>
        </w:rPr>
        <w:t xml:space="preserve">, shifting processing toward </w:t>
      </w:r>
      <w:r w:rsidR="00603698" w:rsidRPr="00F21A69">
        <w:rPr>
          <w:rFonts w:ascii="Times New Roman" w:hAnsi="Times New Roman" w:cs="Times New Roman"/>
        </w:rPr>
        <w:t>gist-based</w:t>
      </w:r>
      <w:r w:rsidR="005A1895" w:rsidRPr="00F21A69">
        <w:rPr>
          <w:rFonts w:ascii="Times New Roman" w:hAnsi="Times New Roman" w:cs="Times New Roman"/>
        </w:rPr>
        <w:t xml:space="preserve"> strategies (Schwabe, 2017). Under stress or cognitive load, individuals</w:t>
      </w:r>
      <w:r w:rsidR="00603698" w:rsidRPr="00F21A69">
        <w:rPr>
          <w:rFonts w:ascii="Times New Roman" w:hAnsi="Times New Roman" w:cs="Times New Roman"/>
        </w:rPr>
        <w:t xml:space="preserve"> prioritise coherent narrative constructions over </w:t>
      </w:r>
      <w:r w:rsidR="00502906" w:rsidRPr="00F21A69">
        <w:rPr>
          <w:rFonts w:ascii="Times New Roman" w:hAnsi="Times New Roman" w:cs="Times New Roman"/>
        </w:rPr>
        <w:t>fine-grained</w:t>
      </w:r>
      <w:r w:rsidR="00603698" w:rsidRPr="00F21A69">
        <w:rPr>
          <w:rFonts w:ascii="Times New Roman" w:hAnsi="Times New Roman" w:cs="Times New Roman"/>
        </w:rPr>
        <w:t xml:space="preserve"> perceptual detail. </w:t>
      </w:r>
    </w:p>
    <w:p w14:paraId="21E590D4" w14:textId="588A8E5A" w:rsidR="00502906" w:rsidRPr="00F21A69" w:rsidRDefault="00502906" w:rsidP="00F21A69">
      <w:pPr>
        <w:spacing w:line="480" w:lineRule="auto"/>
        <w:rPr>
          <w:rFonts w:ascii="Times New Roman" w:hAnsi="Times New Roman" w:cs="Times New Roman"/>
        </w:rPr>
      </w:pPr>
      <w:r w:rsidRPr="00F21A69">
        <w:rPr>
          <w:rFonts w:ascii="Times New Roman" w:hAnsi="Times New Roman" w:cs="Times New Roman"/>
        </w:rPr>
        <w:t>Although the mock scenario did not involve</w:t>
      </w:r>
      <w:r w:rsidR="002B7704" w:rsidRPr="00F21A69">
        <w:rPr>
          <w:rFonts w:ascii="Times New Roman" w:hAnsi="Times New Roman" w:cs="Times New Roman"/>
        </w:rPr>
        <w:t xml:space="preserve"> traumatic stress as it was held in class and the scene that the first group wi</w:t>
      </w:r>
      <w:r w:rsidR="006F7801" w:rsidRPr="00F21A69">
        <w:rPr>
          <w:rFonts w:ascii="Times New Roman" w:hAnsi="Times New Roman" w:cs="Times New Roman"/>
        </w:rPr>
        <w:t>tnessed was a generated image, it likely induced moderate social evaluative arousal. Being questioned publicly, or in this instance, being interviewed by a peer</w:t>
      </w:r>
      <w:r w:rsidR="00382F30" w:rsidRPr="00F21A69">
        <w:rPr>
          <w:rFonts w:ascii="Times New Roman" w:hAnsi="Times New Roman" w:cs="Times New Roman"/>
        </w:rPr>
        <w:t xml:space="preserve"> from a different </w:t>
      </w:r>
      <w:r w:rsidR="0033237B" w:rsidRPr="00F21A69">
        <w:rPr>
          <w:rFonts w:ascii="Times New Roman" w:hAnsi="Times New Roman" w:cs="Times New Roman"/>
        </w:rPr>
        <w:t>group, increased</w:t>
      </w:r>
      <w:r w:rsidR="00224A6D" w:rsidRPr="00F21A69">
        <w:rPr>
          <w:rFonts w:ascii="Times New Roman" w:hAnsi="Times New Roman" w:cs="Times New Roman"/>
        </w:rPr>
        <w:t xml:space="preserve"> performance monitoring and cognitive load</w:t>
      </w:r>
      <w:r w:rsidR="0033237B" w:rsidRPr="00F21A69">
        <w:rPr>
          <w:rFonts w:ascii="Times New Roman" w:hAnsi="Times New Roman" w:cs="Times New Roman"/>
        </w:rPr>
        <w:t>. According to cognitive load theory, limited working memory capacity constrains detailed episodic search (Sweller, 2019). Witnesses may therefore rely more hea</w:t>
      </w:r>
      <w:r w:rsidR="00B92607" w:rsidRPr="00F21A69">
        <w:rPr>
          <w:rFonts w:ascii="Times New Roman" w:hAnsi="Times New Roman" w:cs="Times New Roman"/>
        </w:rPr>
        <w:t xml:space="preserve">vily on schema driven reconstruction. </w:t>
      </w:r>
    </w:p>
    <w:p w14:paraId="20F03498" w14:textId="1771A74D" w:rsidR="00B92607" w:rsidRPr="00F21A69" w:rsidRDefault="00B92607" w:rsidP="00F21A69">
      <w:pPr>
        <w:spacing w:line="480" w:lineRule="auto"/>
        <w:rPr>
          <w:rFonts w:ascii="Times New Roman" w:hAnsi="Times New Roman" w:cs="Times New Roman"/>
        </w:rPr>
      </w:pPr>
      <w:r w:rsidRPr="00F21A69">
        <w:rPr>
          <w:rFonts w:ascii="Times New Roman" w:hAnsi="Times New Roman" w:cs="Times New Roman"/>
        </w:rPr>
        <w:t>Research indicates that social evaluation reliability activates stress response even in academic contexts (Sheilds</w:t>
      </w:r>
      <w:r w:rsidR="00473659" w:rsidRPr="00F21A69">
        <w:rPr>
          <w:rFonts w:ascii="Times New Roman" w:hAnsi="Times New Roman" w:cs="Times New Roman"/>
        </w:rPr>
        <w:t xml:space="preserve"> et al.,2017). Witnesses may have felt pressure to provide definitive answers</w:t>
      </w:r>
      <w:r w:rsidR="00513BA8" w:rsidRPr="00F21A69">
        <w:rPr>
          <w:rFonts w:ascii="Times New Roman" w:hAnsi="Times New Roman" w:cs="Times New Roman"/>
        </w:rPr>
        <w:t xml:space="preserve"> rather than acknowledge that they </w:t>
      </w:r>
      <w:r w:rsidR="0004208D" w:rsidRPr="00F21A69">
        <w:rPr>
          <w:rFonts w:ascii="Times New Roman" w:hAnsi="Times New Roman" w:cs="Times New Roman"/>
        </w:rPr>
        <w:t>were not paying as much attention to the scene as advised and</w:t>
      </w:r>
      <w:r w:rsidR="00CB009B" w:rsidRPr="00F21A69">
        <w:rPr>
          <w:rFonts w:ascii="Times New Roman" w:hAnsi="Times New Roman" w:cs="Times New Roman"/>
        </w:rPr>
        <w:t xml:space="preserve"> potentially</w:t>
      </w:r>
      <w:r w:rsidR="0022310C" w:rsidRPr="00F21A69">
        <w:rPr>
          <w:rFonts w:ascii="Times New Roman" w:hAnsi="Times New Roman" w:cs="Times New Roman"/>
        </w:rPr>
        <w:t xml:space="preserve"> trying to ‘fill in the gaps’</w:t>
      </w:r>
      <w:r w:rsidR="00D74E20" w:rsidRPr="00F21A69">
        <w:rPr>
          <w:rFonts w:ascii="Times New Roman" w:hAnsi="Times New Roman" w:cs="Times New Roman"/>
        </w:rPr>
        <w:t xml:space="preserve"> </w:t>
      </w:r>
      <w:r w:rsidR="0022310C" w:rsidRPr="00F21A69">
        <w:rPr>
          <w:rFonts w:ascii="Times New Roman" w:hAnsi="Times New Roman" w:cs="Times New Roman"/>
        </w:rPr>
        <w:t xml:space="preserve">leading to increased inferential elaboration. </w:t>
      </w:r>
      <w:r w:rsidR="00617960" w:rsidRPr="00F21A69">
        <w:rPr>
          <w:rFonts w:ascii="Times New Roman" w:hAnsi="Times New Roman" w:cs="Times New Roman"/>
        </w:rPr>
        <w:t>However, interpretations must remain</w:t>
      </w:r>
      <w:r w:rsidR="006B1F7D" w:rsidRPr="00F21A69">
        <w:rPr>
          <w:rFonts w:ascii="Times New Roman" w:hAnsi="Times New Roman" w:cs="Times New Roman"/>
        </w:rPr>
        <w:t xml:space="preserve"> cautious. No physiological measures were </w:t>
      </w:r>
      <w:r w:rsidR="00CE69D8" w:rsidRPr="00F21A69">
        <w:rPr>
          <w:rFonts w:ascii="Times New Roman" w:hAnsi="Times New Roman" w:cs="Times New Roman"/>
        </w:rPr>
        <w:t>collected,</w:t>
      </w:r>
      <w:r w:rsidR="006B1F7D" w:rsidRPr="00F21A69">
        <w:rPr>
          <w:rFonts w:ascii="Times New Roman" w:hAnsi="Times New Roman" w:cs="Times New Roman"/>
        </w:rPr>
        <w:t xml:space="preserve"> and peer familiarity may have </w:t>
      </w:r>
      <w:r w:rsidR="00CE69D8" w:rsidRPr="00F21A69">
        <w:rPr>
          <w:rFonts w:ascii="Times New Roman" w:hAnsi="Times New Roman" w:cs="Times New Roman"/>
        </w:rPr>
        <w:t>attenuated stress effects. Moderate arousal can sometimes enhance attentional focus (Yonelinas &amp; Ritchey, 2015). Nonetheless, the scenario illustrates how retrieval unfolds</w:t>
      </w:r>
      <w:r w:rsidR="00F6310F" w:rsidRPr="00F21A69">
        <w:rPr>
          <w:rFonts w:ascii="Times New Roman" w:hAnsi="Times New Roman" w:cs="Times New Roman"/>
        </w:rPr>
        <w:t xml:space="preserve"> within socially evaluative contexts that modulate cognitive processing. </w:t>
      </w:r>
    </w:p>
    <w:p w14:paraId="5421A8A5" w14:textId="2CBC1972" w:rsidR="00370D1B" w:rsidRPr="00F21A69" w:rsidRDefault="00370D1B" w:rsidP="00F21A69">
      <w:pPr>
        <w:spacing w:line="480" w:lineRule="auto"/>
        <w:rPr>
          <w:rFonts w:ascii="Times New Roman" w:hAnsi="Times New Roman" w:cs="Times New Roman"/>
        </w:rPr>
      </w:pPr>
      <w:r w:rsidRPr="00F21A69">
        <w:rPr>
          <w:rFonts w:ascii="Times New Roman" w:hAnsi="Times New Roman" w:cs="Times New Roman"/>
        </w:rPr>
        <w:t>Debates</w:t>
      </w:r>
      <w:r w:rsidR="004432B0" w:rsidRPr="00F21A69">
        <w:rPr>
          <w:rFonts w:ascii="Times New Roman" w:hAnsi="Times New Roman" w:cs="Times New Roman"/>
        </w:rPr>
        <w:t xml:space="preserve"> persist regarding ecological validity in eyewitness research. Laboratory studies provide</w:t>
      </w:r>
      <w:r w:rsidR="00D66FD7" w:rsidRPr="00F21A69">
        <w:rPr>
          <w:rFonts w:ascii="Times New Roman" w:hAnsi="Times New Roman" w:cs="Times New Roman"/>
        </w:rPr>
        <w:t xml:space="preserve"> experimental control but often lack emotional realism (Wells et al., 2020). </w:t>
      </w:r>
      <w:r w:rsidR="00D66FD7" w:rsidRPr="00F21A69">
        <w:rPr>
          <w:rFonts w:ascii="Times New Roman" w:hAnsi="Times New Roman" w:cs="Times New Roman"/>
        </w:rPr>
        <w:lastRenderedPageBreak/>
        <w:t>Field studies</w:t>
      </w:r>
      <w:r w:rsidR="00C27998" w:rsidRPr="00F21A69">
        <w:rPr>
          <w:rFonts w:ascii="Times New Roman" w:hAnsi="Times New Roman" w:cs="Times New Roman"/>
        </w:rPr>
        <w:t xml:space="preserve"> demonstrate that identification accuracy can be high under optimal procedural safeguards. (Wixted et al.,2018)</w:t>
      </w:r>
      <w:r w:rsidR="00EE2168" w:rsidRPr="00F21A69">
        <w:rPr>
          <w:rFonts w:ascii="Times New Roman" w:hAnsi="Times New Roman" w:cs="Times New Roman"/>
        </w:rPr>
        <w:t xml:space="preserve">, complicating overly pessimistic </w:t>
      </w:r>
      <w:r w:rsidR="00611037" w:rsidRPr="00F21A69">
        <w:rPr>
          <w:rFonts w:ascii="Times New Roman" w:hAnsi="Times New Roman" w:cs="Times New Roman"/>
        </w:rPr>
        <w:t>narratives</w:t>
      </w:r>
      <w:r w:rsidR="00EE2168" w:rsidRPr="00F21A69">
        <w:rPr>
          <w:rFonts w:ascii="Times New Roman" w:hAnsi="Times New Roman" w:cs="Times New Roman"/>
        </w:rPr>
        <w:t>. The mock investigative scenario</w:t>
      </w:r>
      <w:r w:rsidR="004B34E9" w:rsidRPr="00F21A69">
        <w:rPr>
          <w:rFonts w:ascii="Times New Roman" w:hAnsi="Times New Roman" w:cs="Times New Roman"/>
        </w:rPr>
        <w:t xml:space="preserve"> carried out in class</w:t>
      </w:r>
      <w:r w:rsidR="00EE2168" w:rsidRPr="00F21A69">
        <w:rPr>
          <w:rFonts w:ascii="Times New Roman" w:hAnsi="Times New Roman" w:cs="Times New Roman"/>
        </w:rPr>
        <w:t xml:space="preserve"> occupies a middle </w:t>
      </w:r>
      <w:r w:rsidR="00611037" w:rsidRPr="00F21A69">
        <w:rPr>
          <w:rFonts w:ascii="Times New Roman" w:hAnsi="Times New Roman" w:cs="Times New Roman"/>
        </w:rPr>
        <w:t>ground</w:t>
      </w:r>
      <w:r w:rsidR="004B34E9" w:rsidRPr="00F21A69">
        <w:rPr>
          <w:rFonts w:ascii="Times New Roman" w:hAnsi="Times New Roman" w:cs="Times New Roman"/>
        </w:rPr>
        <w:t>. It lacked the high stakes danger and emotional intensity</w:t>
      </w:r>
      <w:r w:rsidR="005F291B" w:rsidRPr="00F21A69">
        <w:rPr>
          <w:rFonts w:ascii="Times New Roman" w:hAnsi="Times New Roman" w:cs="Times New Roman"/>
        </w:rPr>
        <w:t xml:space="preserve"> as there was no immediate danger from witnessing a generated scene on a piece of paper</w:t>
      </w:r>
      <w:r w:rsidR="001F2E35" w:rsidRPr="00F21A69">
        <w:rPr>
          <w:rFonts w:ascii="Times New Roman" w:hAnsi="Times New Roman" w:cs="Times New Roman"/>
        </w:rPr>
        <w:t xml:space="preserve"> but incorporated live social interaction absent from many laboratory </w:t>
      </w:r>
      <w:r w:rsidR="005B1BA7" w:rsidRPr="00F21A69">
        <w:rPr>
          <w:rFonts w:ascii="Times New Roman" w:hAnsi="Times New Roman" w:cs="Times New Roman"/>
        </w:rPr>
        <w:t>paradigms. The interactional realism highlights how conversational dynamics structure</w:t>
      </w:r>
      <w:r w:rsidR="00090D7D" w:rsidRPr="00F21A69">
        <w:rPr>
          <w:rFonts w:ascii="Times New Roman" w:hAnsi="Times New Roman" w:cs="Times New Roman"/>
        </w:rPr>
        <w:t xml:space="preserve"> reconstruction.</w:t>
      </w:r>
    </w:p>
    <w:p w14:paraId="2E9EE80D" w14:textId="77777777" w:rsidR="00273E1C" w:rsidRPr="00F21A69" w:rsidRDefault="00711409" w:rsidP="00F21A69">
      <w:pPr>
        <w:spacing w:line="480" w:lineRule="auto"/>
        <w:rPr>
          <w:rFonts w:ascii="Times New Roman" w:hAnsi="Times New Roman" w:cs="Times New Roman"/>
        </w:rPr>
      </w:pPr>
      <w:r w:rsidRPr="00F21A69">
        <w:rPr>
          <w:rFonts w:ascii="Times New Roman" w:hAnsi="Times New Roman" w:cs="Times New Roman"/>
        </w:rPr>
        <w:t>Crucially</w:t>
      </w:r>
      <w:r w:rsidR="00090D7D" w:rsidRPr="00F21A69">
        <w:rPr>
          <w:rFonts w:ascii="Times New Roman" w:hAnsi="Times New Roman" w:cs="Times New Roman"/>
        </w:rPr>
        <w:t xml:space="preserve">, contemporary reform efforts </w:t>
      </w:r>
      <w:r w:rsidRPr="00F21A69">
        <w:rPr>
          <w:rFonts w:ascii="Times New Roman" w:hAnsi="Times New Roman" w:cs="Times New Roman"/>
        </w:rPr>
        <w:t>emphasise</w:t>
      </w:r>
      <w:r w:rsidR="00090D7D" w:rsidRPr="00F21A69">
        <w:rPr>
          <w:rFonts w:ascii="Times New Roman" w:hAnsi="Times New Roman" w:cs="Times New Roman"/>
        </w:rPr>
        <w:t xml:space="preserve"> </w:t>
      </w:r>
      <w:r w:rsidRPr="00F21A69">
        <w:rPr>
          <w:rFonts w:ascii="Times New Roman" w:hAnsi="Times New Roman" w:cs="Times New Roman"/>
        </w:rPr>
        <w:t>system level safeguards rather than attempting to ‘correct’ memory itself. Structured interviewing techniques, including the Cognitive Interview, increase</w:t>
      </w:r>
      <w:r w:rsidR="00940245" w:rsidRPr="00F21A69">
        <w:rPr>
          <w:rFonts w:ascii="Times New Roman" w:hAnsi="Times New Roman" w:cs="Times New Roman"/>
        </w:rPr>
        <w:t xml:space="preserve"> accurate recall without proportionally increasing false information (Memon et al.,</w:t>
      </w:r>
      <w:r w:rsidR="00823F68" w:rsidRPr="00F21A69">
        <w:rPr>
          <w:rFonts w:ascii="Times New Roman" w:hAnsi="Times New Roman" w:cs="Times New Roman"/>
        </w:rPr>
        <w:t xml:space="preserve"> 2018). </w:t>
      </w:r>
    </w:p>
    <w:p w14:paraId="09FCD5A7" w14:textId="09207236" w:rsidR="00090D7D" w:rsidRPr="00F21A69" w:rsidRDefault="00B34225" w:rsidP="00F21A69">
      <w:pPr>
        <w:spacing w:line="480" w:lineRule="auto"/>
        <w:rPr>
          <w:rFonts w:ascii="Times New Roman" w:hAnsi="Times New Roman" w:cs="Times New Roman"/>
        </w:rPr>
      </w:pPr>
      <w:r w:rsidRPr="00F21A69">
        <w:rPr>
          <w:rFonts w:ascii="Times New Roman" w:hAnsi="Times New Roman" w:cs="Times New Roman"/>
        </w:rPr>
        <w:t>The absence of such safeguards in the mock scenario illustrates why structured</w:t>
      </w:r>
      <w:r w:rsidR="0083147A" w:rsidRPr="00F21A69">
        <w:rPr>
          <w:rFonts w:ascii="Times New Roman" w:hAnsi="Times New Roman" w:cs="Times New Roman"/>
        </w:rPr>
        <w:t xml:space="preserve"> procedures are necessary. </w:t>
      </w:r>
      <w:r w:rsidR="000B245B" w:rsidRPr="00F21A69">
        <w:rPr>
          <w:rFonts w:ascii="Times New Roman" w:hAnsi="Times New Roman" w:cs="Times New Roman"/>
        </w:rPr>
        <w:t xml:space="preserve"> Investigators who are</w:t>
      </w:r>
      <w:r w:rsidR="00B01BFB" w:rsidRPr="00F21A69">
        <w:rPr>
          <w:rFonts w:ascii="Times New Roman" w:hAnsi="Times New Roman" w:cs="Times New Roman"/>
        </w:rPr>
        <w:t xml:space="preserve"> insufficiently trained may end up leading the </w:t>
      </w:r>
      <w:r w:rsidR="005A4784" w:rsidRPr="00F21A69">
        <w:rPr>
          <w:rFonts w:ascii="Times New Roman" w:hAnsi="Times New Roman" w:cs="Times New Roman"/>
        </w:rPr>
        <w:t xml:space="preserve">eyewitness unconsciously. </w:t>
      </w:r>
      <w:r w:rsidR="00B82DBA" w:rsidRPr="00F21A69">
        <w:rPr>
          <w:rFonts w:ascii="Times New Roman" w:hAnsi="Times New Roman" w:cs="Times New Roman"/>
        </w:rPr>
        <w:t>Eyewitness</w:t>
      </w:r>
      <w:r w:rsidR="005A4784" w:rsidRPr="00F21A69">
        <w:rPr>
          <w:rFonts w:ascii="Times New Roman" w:hAnsi="Times New Roman" w:cs="Times New Roman"/>
        </w:rPr>
        <w:t xml:space="preserve"> reliability depends not only</w:t>
      </w:r>
      <w:r w:rsidR="00B82DBA" w:rsidRPr="00F21A69">
        <w:rPr>
          <w:rFonts w:ascii="Times New Roman" w:hAnsi="Times New Roman" w:cs="Times New Roman"/>
        </w:rPr>
        <w:t xml:space="preserve"> on individual cognition but on investigative context. </w:t>
      </w:r>
      <w:r w:rsidR="00D74E20" w:rsidRPr="00F21A69">
        <w:rPr>
          <w:rFonts w:ascii="Times New Roman" w:hAnsi="Times New Roman" w:cs="Times New Roman"/>
        </w:rPr>
        <w:t>However, while contemporary theoretical frameworks offer powerful explanatory accounts of distortion, a more critical synthesis reveals areas of ongoing debate. Predictive processing and reconsolidation models provide an elegant integration of misinformation effects, source monitoring errors and stress modulation under a unified inferential architecture.</w:t>
      </w:r>
      <w:r w:rsidR="00273E1C" w:rsidRPr="00F21A69">
        <w:rPr>
          <w:rFonts w:ascii="Times New Roman" w:hAnsi="Times New Roman" w:cs="Times New Roman"/>
        </w:rPr>
        <w:t xml:space="preserve"> Yet these accounts may risk explanatory overreach. Although framing distortion as an adaptive by product of prediction driven cognition is conceptually coherent, it may obscure important distinctions between genuine structural memory change and retrieval-based reporting biases. Some recent work suggests that not all misinformation effects reflect permanent trace alteration in certain contexts, original memory representations remain accessible but are temporarily inhibited by competing post event information (Otgaar </w:t>
      </w:r>
      <w:r w:rsidR="00273E1C" w:rsidRPr="00F21A69">
        <w:rPr>
          <w:rFonts w:ascii="Times New Roman" w:hAnsi="Times New Roman" w:cs="Times New Roman"/>
        </w:rPr>
        <w:lastRenderedPageBreak/>
        <w:t xml:space="preserve">et al., 2019). This complicates the assumption that behavioural recall errors necessarily indicate reconsolidation-based updating. </w:t>
      </w:r>
    </w:p>
    <w:p w14:paraId="4744E6D9" w14:textId="77777777" w:rsidR="00056A15" w:rsidRPr="00F21A69" w:rsidRDefault="00273E1C" w:rsidP="00F21A69">
      <w:pPr>
        <w:spacing w:line="480" w:lineRule="auto"/>
        <w:rPr>
          <w:rFonts w:ascii="Times New Roman" w:hAnsi="Times New Roman" w:cs="Times New Roman"/>
        </w:rPr>
      </w:pPr>
      <w:r w:rsidRPr="00F21A69">
        <w:rPr>
          <w:rFonts w:ascii="Times New Roman" w:hAnsi="Times New Roman" w:cs="Times New Roman"/>
        </w:rPr>
        <w:t>Furthermore, predictive processing models, while influential remain broad computational frameworks rather than tightly specified, falsifiable process level theories. Their explanatory scope may therefore exceed their current empirical precision within applied forensic contexts. Similarly dual process accounts increasingly conceptualise recollection and familiarity as existing along a continuum rather than as discrete systems (Yonelinas et al.,2019), challenging simplified interpretations that stress merely shifts reliance from one to the other. The mock investigative scenario, although illustrative can not disentangle these competing mechanisms</w:t>
      </w:r>
    </w:p>
    <w:p w14:paraId="480BC071" w14:textId="6A151EA1" w:rsidR="000D3C76" w:rsidRPr="00F21A69" w:rsidRDefault="00BA100C" w:rsidP="00F21A69">
      <w:pPr>
        <w:spacing w:line="480" w:lineRule="auto"/>
        <w:rPr>
          <w:rFonts w:ascii="Times New Roman" w:hAnsi="Times New Roman" w:cs="Times New Roman"/>
        </w:rPr>
      </w:pPr>
      <w:r w:rsidRPr="00F21A69">
        <w:rPr>
          <w:rFonts w:ascii="Times New Roman" w:hAnsi="Times New Roman" w:cs="Times New Roman"/>
        </w:rPr>
        <w:t>In conclusion, e</w:t>
      </w:r>
      <w:r w:rsidR="009A0483" w:rsidRPr="00F21A69">
        <w:rPr>
          <w:rFonts w:ascii="Times New Roman" w:hAnsi="Times New Roman" w:cs="Times New Roman"/>
        </w:rPr>
        <w:t>yewitness memory is not a passive recording device but a dynamic, adaptive system that reconstructs the past considering present demands. This essay</w:t>
      </w:r>
      <w:r w:rsidR="001C65CB" w:rsidRPr="00F21A69">
        <w:rPr>
          <w:rFonts w:ascii="Times New Roman" w:hAnsi="Times New Roman" w:cs="Times New Roman"/>
        </w:rPr>
        <w:t xml:space="preserve"> has critically examined three interrelated cognitive mechanisms; </w:t>
      </w:r>
      <w:r w:rsidR="000C7AD3" w:rsidRPr="00F21A69">
        <w:rPr>
          <w:rFonts w:ascii="Times New Roman" w:hAnsi="Times New Roman" w:cs="Times New Roman"/>
        </w:rPr>
        <w:t>misinformation-based</w:t>
      </w:r>
      <w:r w:rsidR="001C65CB" w:rsidRPr="00F21A69">
        <w:rPr>
          <w:rFonts w:ascii="Times New Roman" w:hAnsi="Times New Roman" w:cs="Times New Roman"/>
        </w:rPr>
        <w:t xml:space="preserve"> updating, source monitoring processed and stress related modulation of retrieval</w:t>
      </w:r>
      <w:r w:rsidR="000C7AD3" w:rsidRPr="00F21A69">
        <w:rPr>
          <w:rFonts w:ascii="Times New Roman" w:hAnsi="Times New Roman" w:cs="Times New Roman"/>
        </w:rPr>
        <w:t xml:space="preserve">, demonstrating that each reflects the constructive architecture of humas memory rather </w:t>
      </w:r>
      <w:r w:rsidR="007750E2" w:rsidRPr="00F21A69">
        <w:rPr>
          <w:rFonts w:ascii="Times New Roman" w:hAnsi="Times New Roman" w:cs="Times New Roman"/>
        </w:rPr>
        <w:t>that isolated error. Contemporary research consistently shows that memory</w:t>
      </w:r>
      <w:r w:rsidR="00A14D6F" w:rsidRPr="00F21A69">
        <w:rPr>
          <w:rFonts w:ascii="Times New Roman" w:hAnsi="Times New Roman" w:cs="Times New Roman"/>
        </w:rPr>
        <w:t xml:space="preserve"> is shaped by reconsolidation dynamics, heuristic source attributions, predictive schema</w:t>
      </w:r>
      <w:r w:rsidR="00EC47E1" w:rsidRPr="00F21A69">
        <w:rPr>
          <w:rFonts w:ascii="Times New Roman" w:hAnsi="Times New Roman" w:cs="Times New Roman"/>
        </w:rPr>
        <w:t xml:space="preserve"> activation and cognitive load constraints. Distortion therefore emerges not from cognitive malfunction but from the same adaptive processes that allow humas to learn, revise beliefs and generate coherent </w:t>
      </w:r>
      <w:r w:rsidR="00C9209C" w:rsidRPr="00F21A69">
        <w:rPr>
          <w:rFonts w:ascii="Times New Roman" w:hAnsi="Times New Roman" w:cs="Times New Roman"/>
        </w:rPr>
        <w:t>narratives</w:t>
      </w:r>
      <w:r w:rsidR="00EC47E1" w:rsidRPr="00F21A69">
        <w:rPr>
          <w:rFonts w:ascii="Times New Roman" w:hAnsi="Times New Roman" w:cs="Times New Roman"/>
        </w:rPr>
        <w:t>.</w:t>
      </w:r>
    </w:p>
    <w:p w14:paraId="3524F828" w14:textId="7ADAEDA8" w:rsidR="00EC47E1" w:rsidRPr="00F21A69" w:rsidRDefault="00EC47E1" w:rsidP="00F21A69">
      <w:pPr>
        <w:spacing w:line="480" w:lineRule="auto"/>
        <w:rPr>
          <w:rFonts w:ascii="Times New Roman" w:hAnsi="Times New Roman" w:cs="Times New Roman"/>
        </w:rPr>
      </w:pPr>
      <w:r w:rsidRPr="00F21A69">
        <w:rPr>
          <w:rFonts w:ascii="Times New Roman" w:hAnsi="Times New Roman" w:cs="Times New Roman"/>
        </w:rPr>
        <w:t>The in class mock investigative scenario provided a practical illustration of these mechanisms operating ‘in action’</w:t>
      </w:r>
      <w:r w:rsidR="001A4829" w:rsidRPr="00F21A69">
        <w:rPr>
          <w:rFonts w:ascii="Times New Roman" w:hAnsi="Times New Roman" w:cs="Times New Roman"/>
        </w:rPr>
        <w:t xml:space="preserve">. Even in the </w:t>
      </w:r>
      <w:r w:rsidR="00C9209C" w:rsidRPr="00F21A69">
        <w:rPr>
          <w:rFonts w:ascii="Times New Roman" w:hAnsi="Times New Roman" w:cs="Times New Roman"/>
        </w:rPr>
        <w:t>absence of deliberate suggestion or high emotional trauma, conversational</w:t>
      </w:r>
      <w:r w:rsidR="003A56FE" w:rsidRPr="00F21A69">
        <w:rPr>
          <w:rFonts w:ascii="Times New Roman" w:hAnsi="Times New Roman" w:cs="Times New Roman"/>
        </w:rPr>
        <w:t xml:space="preserve"> questioning structured reconstruction, repeated retrieval increased familiarity and potential source blending</w:t>
      </w:r>
      <w:r w:rsidR="00322399" w:rsidRPr="00F21A69">
        <w:rPr>
          <w:rFonts w:ascii="Times New Roman" w:hAnsi="Times New Roman" w:cs="Times New Roman"/>
        </w:rPr>
        <w:t xml:space="preserve"> and mild social evaluative</w:t>
      </w:r>
      <w:r w:rsidR="00C81D6F" w:rsidRPr="00F21A69">
        <w:rPr>
          <w:rFonts w:ascii="Times New Roman" w:hAnsi="Times New Roman" w:cs="Times New Roman"/>
        </w:rPr>
        <w:t xml:space="preserve"> pressure</w:t>
      </w:r>
      <w:r w:rsidR="004E4A37" w:rsidRPr="00F21A69">
        <w:rPr>
          <w:rFonts w:ascii="Times New Roman" w:hAnsi="Times New Roman" w:cs="Times New Roman"/>
        </w:rPr>
        <w:t xml:space="preserve"> likely shaped retrieval strategies. Importantly, these processes occurred within ordinary social </w:t>
      </w:r>
      <w:r w:rsidR="004E4A37" w:rsidRPr="00F21A69">
        <w:rPr>
          <w:rFonts w:ascii="Times New Roman" w:hAnsi="Times New Roman" w:cs="Times New Roman"/>
        </w:rPr>
        <w:lastRenderedPageBreak/>
        <w:t>interaction</w:t>
      </w:r>
      <w:r w:rsidR="00900ED7" w:rsidRPr="00F21A69">
        <w:rPr>
          <w:rFonts w:ascii="Times New Roman" w:hAnsi="Times New Roman" w:cs="Times New Roman"/>
        </w:rPr>
        <w:t>. This reinforces a central</w:t>
      </w:r>
      <w:r w:rsidR="00A22934" w:rsidRPr="00F21A69">
        <w:rPr>
          <w:rFonts w:ascii="Times New Roman" w:hAnsi="Times New Roman" w:cs="Times New Roman"/>
        </w:rPr>
        <w:t xml:space="preserve"> insight of contemporary eyewitness research; memory distortion does not require extreme manipulation. It can emerge naturally from the interaction between cognitive architecture and social context.</w:t>
      </w:r>
    </w:p>
    <w:p w14:paraId="5AE6F1F8" w14:textId="6CA82A8F" w:rsidR="008541EF" w:rsidRPr="00F21A69" w:rsidRDefault="0008384B" w:rsidP="00F21A69">
      <w:pPr>
        <w:spacing w:line="480" w:lineRule="auto"/>
        <w:rPr>
          <w:rFonts w:ascii="Times New Roman" w:hAnsi="Times New Roman" w:cs="Times New Roman"/>
        </w:rPr>
      </w:pPr>
      <w:r w:rsidRPr="00F21A69">
        <w:rPr>
          <w:rFonts w:ascii="Times New Roman" w:hAnsi="Times New Roman" w:cs="Times New Roman"/>
        </w:rPr>
        <w:t xml:space="preserve">Importantly, integrating predictive processing and dual process frameworks clarifies why such distortions are </w:t>
      </w:r>
      <w:r w:rsidR="000C64EA" w:rsidRPr="00F21A69">
        <w:rPr>
          <w:rFonts w:ascii="Times New Roman" w:hAnsi="Times New Roman" w:cs="Times New Roman"/>
        </w:rPr>
        <w:t xml:space="preserve">theoretically expected. Memory reconstruction relies on </w:t>
      </w:r>
      <w:r w:rsidR="00D01990" w:rsidRPr="00F21A69">
        <w:rPr>
          <w:rFonts w:ascii="Times New Roman" w:hAnsi="Times New Roman" w:cs="Times New Roman"/>
        </w:rPr>
        <w:t>top-down</w:t>
      </w:r>
      <w:r w:rsidR="000C64EA" w:rsidRPr="00F21A69">
        <w:rPr>
          <w:rFonts w:ascii="Times New Roman" w:hAnsi="Times New Roman" w:cs="Times New Roman"/>
        </w:rPr>
        <w:t xml:space="preserve"> expectations</w:t>
      </w:r>
      <w:r w:rsidR="001E6A42" w:rsidRPr="00F21A69">
        <w:rPr>
          <w:rFonts w:ascii="Times New Roman" w:hAnsi="Times New Roman" w:cs="Times New Roman"/>
        </w:rPr>
        <w:t xml:space="preserve"> to interpret incomplete traces, while shifts from</w:t>
      </w:r>
      <w:r w:rsidR="00D01990" w:rsidRPr="00F21A69">
        <w:rPr>
          <w:rFonts w:ascii="Times New Roman" w:hAnsi="Times New Roman" w:cs="Times New Roman"/>
        </w:rPr>
        <w:t xml:space="preserve"> recollection to familiarity under cognitive load increase susceptibility to error. These processes enhance efficiency and coherence in everyday cognition but introduce systematic vulnerability when precise detail is required. </w:t>
      </w:r>
    </w:p>
    <w:p w14:paraId="5F050493" w14:textId="06FB6474" w:rsidR="00D01990" w:rsidRPr="00F21A69" w:rsidRDefault="00D01990" w:rsidP="00F21A69">
      <w:pPr>
        <w:spacing w:line="480" w:lineRule="auto"/>
        <w:rPr>
          <w:rFonts w:ascii="Times New Roman" w:hAnsi="Times New Roman" w:cs="Times New Roman"/>
        </w:rPr>
      </w:pPr>
      <w:r w:rsidRPr="00F21A69">
        <w:rPr>
          <w:rFonts w:ascii="Times New Roman" w:hAnsi="Times New Roman" w:cs="Times New Roman"/>
        </w:rPr>
        <w:t>Across all three domains, a consistent i</w:t>
      </w:r>
      <w:r w:rsidR="009B281B" w:rsidRPr="00F21A69">
        <w:rPr>
          <w:rFonts w:ascii="Times New Roman" w:hAnsi="Times New Roman" w:cs="Times New Roman"/>
        </w:rPr>
        <w:t>nsight emerges</w:t>
      </w:r>
      <w:r w:rsidR="00B92D35" w:rsidRPr="00F21A69">
        <w:rPr>
          <w:rFonts w:ascii="Times New Roman" w:hAnsi="Times New Roman" w:cs="Times New Roman"/>
        </w:rPr>
        <w:t>, cognitive flexibility underlies both</w:t>
      </w:r>
      <w:r w:rsidR="00B62C33" w:rsidRPr="00F21A69">
        <w:rPr>
          <w:rFonts w:ascii="Times New Roman" w:hAnsi="Times New Roman" w:cs="Times New Roman"/>
        </w:rPr>
        <w:t xml:space="preserve"> the strengths and the weaknesses of eyewitness memory. The same mechanisms that allow individuals to update beliefs, simulate events and construct meaningful </w:t>
      </w:r>
      <w:r w:rsidR="008C13FE" w:rsidRPr="00F21A69">
        <w:rPr>
          <w:rFonts w:ascii="Times New Roman" w:hAnsi="Times New Roman" w:cs="Times New Roman"/>
        </w:rPr>
        <w:t>narratives</w:t>
      </w:r>
      <w:r w:rsidR="00B62C33" w:rsidRPr="00F21A69">
        <w:rPr>
          <w:rFonts w:ascii="Times New Roman" w:hAnsi="Times New Roman" w:cs="Times New Roman"/>
        </w:rPr>
        <w:t xml:space="preserve"> also render memory sensitive to suggestion, </w:t>
      </w:r>
      <w:r w:rsidR="00722C5C" w:rsidRPr="00F21A69">
        <w:rPr>
          <w:rFonts w:ascii="Times New Roman" w:hAnsi="Times New Roman" w:cs="Times New Roman"/>
        </w:rPr>
        <w:t xml:space="preserve">attributional ambiguity and contextual pressure. </w:t>
      </w:r>
      <w:r w:rsidR="001A2A1C" w:rsidRPr="00F21A69">
        <w:rPr>
          <w:rFonts w:ascii="Times New Roman" w:hAnsi="Times New Roman" w:cs="Times New Roman"/>
        </w:rPr>
        <w:t xml:space="preserve">Understanding eyewitness </w:t>
      </w:r>
      <w:r w:rsidR="008C13FE" w:rsidRPr="00F21A69">
        <w:rPr>
          <w:rFonts w:ascii="Times New Roman" w:hAnsi="Times New Roman" w:cs="Times New Roman"/>
        </w:rPr>
        <w:t>fallibility,</w:t>
      </w:r>
      <w:r w:rsidR="001A2A1C" w:rsidRPr="00F21A69">
        <w:rPr>
          <w:rFonts w:ascii="Times New Roman" w:hAnsi="Times New Roman" w:cs="Times New Roman"/>
        </w:rPr>
        <w:t xml:space="preserve"> </w:t>
      </w:r>
      <w:r w:rsidR="00790489" w:rsidRPr="00F21A69">
        <w:rPr>
          <w:rFonts w:ascii="Times New Roman" w:hAnsi="Times New Roman" w:cs="Times New Roman"/>
        </w:rPr>
        <w:t xml:space="preserve">therefore, requires recognising memory as an </w:t>
      </w:r>
      <w:r w:rsidR="008C13FE" w:rsidRPr="00F21A69">
        <w:rPr>
          <w:rFonts w:ascii="Times New Roman" w:hAnsi="Times New Roman" w:cs="Times New Roman"/>
        </w:rPr>
        <w:t>adaptive,</w:t>
      </w:r>
      <w:r w:rsidR="00790489" w:rsidRPr="00F21A69">
        <w:rPr>
          <w:rFonts w:ascii="Times New Roman" w:hAnsi="Times New Roman" w:cs="Times New Roman"/>
        </w:rPr>
        <w:t xml:space="preserve"> prediction driven system</w:t>
      </w:r>
      <w:r w:rsidR="008C13FE" w:rsidRPr="00F21A69">
        <w:rPr>
          <w:rFonts w:ascii="Times New Roman" w:hAnsi="Times New Roman" w:cs="Times New Roman"/>
        </w:rPr>
        <w:t xml:space="preserve">. Eyewitness errors do not reflect broken cognition they reflect cognition functioning as designed. </w:t>
      </w:r>
    </w:p>
    <w:p w14:paraId="41099004" w14:textId="77777777" w:rsidR="005C2FE0" w:rsidRDefault="005C2FE0" w:rsidP="005C2FE0">
      <w:pPr>
        <w:spacing w:line="480" w:lineRule="auto"/>
      </w:pPr>
    </w:p>
    <w:p w14:paraId="25D7D749" w14:textId="77777777" w:rsidR="00A1116E" w:rsidRDefault="00A1116E" w:rsidP="005C2FE0">
      <w:pPr>
        <w:spacing w:line="480" w:lineRule="auto"/>
      </w:pPr>
    </w:p>
    <w:p w14:paraId="49684E8E" w14:textId="77777777" w:rsidR="00CE46B8" w:rsidRDefault="00CE46B8" w:rsidP="005C2FE0">
      <w:pPr>
        <w:spacing w:line="480" w:lineRule="auto"/>
      </w:pPr>
    </w:p>
    <w:p w14:paraId="5E827B28" w14:textId="77777777" w:rsidR="00CE46B8" w:rsidRDefault="00CE46B8" w:rsidP="005C2FE0">
      <w:pPr>
        <w:spacing w:line="480" w:lineRule="auto"/>
      </w:pPr>
    </w:p>
    <w:p w14:paraId="0BBAF3E2" w14:textId="77777777" w:rsidR="00CE46B8" w:rsidRDefault="00CE46B8" w:rsidP="005C2FE0">
      <w:pPr>
        <w:spacing w:line="480" w:lineRule="auto"/>
      </w:pPr>
    </w:p>
    <w:p w14:paraId="3BB4AA67" w14:textId="77777777" w:rsidR="00CE46B8" w:rsidRDefault="00CE46B8" w:rsidP="00CE46B8">
      <w:pPr>
        <w:spacing w:line="480" w:lineRule="auto"/>
        <w:ind w:firstLine="0"/>
      </w:pPr>
    </w:p>
    <w:p w14:paraId="1333C684" w14:textId="76D818E4" w:rsidR="00B9535F" w:rsidRPr="00D67B38" w:rsidRDefault="00B9535F" w:rsidP="00B9535F">
      <w:pPr>
        <w:spacing w:line="480" w:lineRule="auto"/>
        <w:ind w:firstLine="0"/>
        <w:jc w:val="center"/>
        <w:rPr>
          <w:rFonts w:ascii="Times New Roman" w:hAnsi="Times New Roman" w:cs="Times New Roman"/>
          <w:u w:val="single"/>
        </w:rPr>
      </w:pPr>
      <w:r w:rsidRPr="00D67B38">
        <w:rPr>
          <w:rFonts w:ascii="Times New Roman" w:hAnsi="Times New Roman" w:cs="Times New Roman"/>
          <w:u w:val="single"/>
        </w:rPr>
        <w:lastRenderedPageBreak/>
        <w:t>References</w:t>
      </w:r>
    </w:p>
    <w:p w14:paraId="4A96C44F" w14:textId="10D752F3" w:rsidR="00CE46B8" w:rsidRPr="00AC0BAB" w:rsidRDefault="00CE46B8" w:rsidP="001164D8">
      <w:pPr>
        <w:pStyle w:val="NormalWeb"/>
        <w:spacing w:line="480" w:lineRule="auto"/>
        <w:ind w:left="720" w:hanging="720"/>
      </w:pPr>
      <w:r w:rsidRPr="00AC0BAB">
        <w:t xml:space="preserve">Bridge, D. J., &amp; Paller, K. A. (2018). Neural correlates of reactivation and retrieval-induced distortion. </w:t>
      </w:r>
      <w:r w:rsidRPr="00AC0BAB">
        <w:rPr>
          <w:rStyle w:val="Emphasis"/>
          <w:rFonts w:eastAsiaTheme="majorEastAsia"/>
        </w:rPr>
        <w:t>Journal of Neuroscience, 38</w:t>
      </w:r>
      <w:r w:rsidRPr="00AC0BAB">
        <w:t xml:space="preserve">(4), 840–851. </w:t>
      </w:r>
      <w:hyperlink r:id="rId5" w:history="1">
        <w:r w:rsidRPr="00AC0BAB">
          <w:rPr>
            <w:rStyle w:val="Hyperlink"/>
            <w:u w:val="none"/>
          </w:rPr>
          <w:t>https://doi.org/10.1523/JNEUROSCI</w:t>
        </w:r>
        <w:r w:rsidRPr="00AC0BAB">
          <w:rPr>
            <w:rStyle w:val="Hyperlink"/>
            <w:u w:val="none"/>
          </w:rPr>
          <w:t>.</w:t>
        </w:r>
        <w:r w:rsidRPr="00AC0BAB">
          <w:rPr>
            <w:rStyle w:val="Hyperlink"/>
            <w:u w:val="none"/>
          </w:rPr>
          <w:t>1788-17.2018</w:t>
        </w:r>
      </w:hyperlink>
    </w:p>
    <w:p w14:paraId="444695A3" w14:textId="50455292" w:rsidR="00983360" w:rsidRPr="00AC0BAB" w:rsidRDefault="00983360" w:rsidP="001164D8">
      <w:pPr>
        <w:pStyle w:val="NormalWeb"/>
        <w:spacing w:line="480" w:lineRule="auto"/>
        <w:ind w:left="720" w:hanging="720"/>
      </w:pPr>
      <w:r w:rsidRPr="00AC0BAB">
        <w:t xml:space="preserve">Chambers, K. L., &amp; Zaragoza, M. S. (2019). Retrieval-induced suggestibility: How repeated recall shapes memory. </w:t>
      </w:r>
      <w:r w:rsidRPr="00AC0BAB">
        <w:rPr>
          <w:rStyle w:val="Emphasis"/>
          <w:rFonts w:eastAsiaTheme="majorEastAsia"/>
        </w:rPr>
        <w:t>Journal of Experimental Psychology: Learning, Memory, and Cognition, 45</w:t>
      </w:r>
      <w:r w:rsidRPr="00AC0BAB">
        <w:t xml:space="preserve">(7), 1257–1273. </w:t>
      </w:r>
      <w:hyperlink r:id="rId6" w:history="1">
        <w:r w:rsidRPr="00AC0BAB">
          <w:rPr>
            <w:rStyle w:val="Hyperlink"/>
            <w:u w:val="none"/>
          </w:rPr>
          <w:t>https://doi.org/10.1037/xlm0000655</w:t>
        </w:r>
      </w:hyperlink>
    </w:p>
    <w:p w14:paraId="08C635E3" w14:textId="0A5147C6" w:rsidR="00983360" w:rsidRPr="00AC0BAB" w:rsidRDefault="0068355A" w:rsidP="001164D8">
      <w:pPr>
        <w:pStyle w:val="NormalWeb"/>
        <w:spacing w:line="480" w:lineRule="auto"/>
        <w:ind w:left="720" w:hanging="720"/>
      </w:pPr>
      <w:r w:rsidRPr="00AC0BAB">
        <w:t xml:space="preserve">Clark, A. (2016). </w:t>
      </w:r>
      <w:r w:rsidRPr="00AC0BAB">
        <w:rPr>
          <w:rStyle w:val="Emphasis"/>
          <w:rFonts w:eastAsiaTheme="majorEastAsia"/>
        </w:rPr>
        <w:t>Surfing uncertainty: Prediction, action, and the embodied mind</w:t>
      </w:r>
      <w:r w:rsidRPr="00AC0BAB">
        <w:t>. Oxford University Press.</w:t>
      </w:r>
    </w:p>
    <w:p w14:paraId="52DB60DB" w14:textId="19EF3FF9" w:rsidR="00775EE9" w:rsidRPr="00AC0BAB" w:rsidRDefault="00775EE9" w:rsidP="001164D8">
      <w:pPr>
        <w:pStyle w:val="NormalWeb"/>
        <w:spacing w:line="480" w:lineRule="auto"/>
        <w:ind w:left="720" w:hanging="720"/>
      </w:pPr>
      <w:r w:rsidRPr="00AC0BAB">
        <w:t xml:space="preserve">Ecker, U. K. H., Hogan, J. L., &amp; Lewandowsky, S. (2017). Reminders and repetition of misinformation: Helping or hindering its retraction? </w:t>
      </w:r>
      <w:r w:rsidRPr="00AC0BAB">
        <w:rPr>
          <w:rStyle w:val="Emphasis"/>
          <w:rFonts w:eastAsiaTheme="majorEastAsia"/>
        </w:rPr>
        <w:t>Journal of Applied Research in Memory and Cognition, 6</w:t>
      </w:r>
      <w:r w:rsidRPr="00AC0BAB">
        <w:t xml:space="preserve">(2), 185–192. </w:t>
      </w:r>
      <w:hyperlink r:id="rId7" w:history="1">
        <w:r w:rsidRPr="00AC0BAB">
          <w:rPr>
            <w:rStyle w:val="Hyperlink"/>
            <w:u w:val="none"/>
          </w:rPr>
          <w:t>https://doi.org/10.1016/j.jarmac.2017.01.014</w:t>
        </w:r>
      </w:hyperlink>
    </w:p>
    <w:p w14:paraId="54D4AD75" w14:textId="19522141" w:rsidR="00C56BFD" w:rsidRPr="00AC0BAB" w:rsidRDefault="00C56BFD" w:rsidP="001164D8">
      <w:pPr>
        <w:pStyle w:val="NormalWeb"/>
        <w:spacing w:line="480" w:lineRule="auto"/>
        <w:ind w:left="720" w:hanging="720"/>
      </w:pPr>
      <w:r w:rsidRPr="00AC0BAB">
        <w:t xml:space="preserve">Fisher, R. P., &amp; Schacter, D. L. (2018). Memory and suggestibility in the forensic interview. </w:t>
      </w:r>
      <w:r w:rsidRPr="00AC0BAB">
        <w:rPr>
          <w:rStyle w:val="Emphasis"/>
          <w:rFonts w:eastAsiaTheme="majorEastAsia"/>
        </w:rPr>
        <w:t>Annual Review of Law and Social Science, 14</w:t>
      </w:r>
      <w:r w:rsidRPr="00AC0BAB">
        <w:t xml:space="preserve">, 65–83. </w:t>
      </w:r>
      <w:hyperlink r:id="rId8" w:history="1">
        <w:r w:rsidRPr="00AC0BAB">
          <w:rPr>
            <w:rStyle w:val="Hyperlink"/>
            <w:u w:val="none"/>
          </w:rPr>
          <w:t>https://doi.org/10.1146/annurev-lawsocsci-101317-030850</w:t>
        </w:r>
      </w:hyperlink>
    </w:p>
    <w:p w14:paraId="17CA692F" w14:textId="68D9935F" w:rsidR="00A542CC" w:rsidRPr="00AC0BAB" w:rsidRDefault="00A542CC" w:rsidP="001164D8">
      <w:pPr>
        <w:pStyle w:val="NormalWeb"/>
        <w:spacing w:line="480" w:lineRule="auto"/>
        <w:ind w:left="720" w:hanging="720"/>
      </w:pPr>
      <w:r w:rsidRPr="00AC0BAB">
        <w:t xml:space="preserve">Frenda, S. J., Knowles, E. D., </w:t>
      </w:r>
      <w:proofErr w:type="spellStart"/>
      <w:r w:rsidRPr="00AC0BAB">
        <w:t>Saletan</w:t>
      </w:r>
      <w:proofErr w:type="spellEnd"/>
      <w:r w:rsidRPr="00AC0BAB">
        <w:t xml:space="preserve">, W., &amp; Loftus, E. F. (2017). False memories of fabricated political events. </w:t>
      </w:r>
      <w:r w:rsidRPr="00AC0BAB">
        <w:rPr>
          <w:rStyle w:val="Emphasis"/>
          <w:rFonts w:eastAsiaTheme="majorEastAsia"/>
        </w:rPr>
        <w:t>Journal of Experimental Social Psychology, 68</w:t>
      </w:r>
      <w:r w:rsidRPr="00AC0BAB">
        <w:t xml:space="preserve">, 60–65. </w:t>
      </w:r>
      <w:hyperlink r:id="rId9" w:history="1">
        <w:r w:rsidRPr="00AC0BAB">
          <w:rPr>
            <w:rStyle w:val="Hyperlink"/>
            <w:u w:val="none"/>
          </w:rPr>
          <w:t>https://doi.org/10.1016/j.jesp.2016.06.013</w:t>
        </w:r>
      </w:hyperlink>
    </w:p>
    <w:p w14:paraId="54A7AFA7" w14:textId="251DDEFB" w:rsidR="00A542CC" w:rsidRPr="00AC0BAB" w:rsidRDefault="0085395D" w:rsidP="001164D8">
      <w:pPr>
        <w:pStyle w:val="NormalWeb"/>
        <w:spacing w:line="480" w:lineRule="auto"/>
        <w:ind w:left="720" w:hanging="720"/>
      </w:pPr>
      <w:r w:rsidRPr="00AC0BAB">
        <w:t xml:space="preserve">Garrett, B. L. (2020). </w:t>
      </w:r>
      <w:r w:rsidRPr="00AC0BAB">
        <w:rPr>
          <w:rStyle w:val="Emphasis"/>
          <w:rFonts w:eastAsiaTheme="majorEastAsia"/>
        </w:rPr>
        <w:t>Autopsy of a crime lab: Exposing the flaws in forensic science</w:t>
      </w:r>
      <w:r w:rsidRPr="00AC0BAB">
        <w:t>. University of California Press.</w:t>
      </w:r>
    </w:p>
    <w:p w14:paraId="6F6587CD" w14:textId="4723A65E" w:rsidR="00A74A44" w:rsidRPr="00A74A44" w:rsidRDefault="00A74A44" w:rsidP="001164D8">
      <w:pPr>
        <w:pStyle w:val="NormalWeb"/>
        <w:spacing w:line="480" w:lineRule="auto"/>
        <w:ind w:left="720" w:hanging="720"/>
        <w:rPr>
          <w:rFonts w:eastAsiaTheme="minorHAnsi"/>
          <w:kern w:val="2"/>
          <w:lang w:eastAsia="en-US"/>
          <w14:ligatures w14:val="standardContextual"/>
        </w:rPr>
      </w:pPr>
      <w:r w:rsidRPr="00A74A44">
        <w:rPr>
          <w:rFonts w:eastAsiaTheme="minorHAnsi"/>
          <w:kern w:val="2"/>
          <w:lang w:eastAsia="en-US"/>
          <w14:ligatures w14:val="standardContextual"/>
        </w:rPr>
        <w:lastRenderedPageBreak/>
        <w:t xml:space="preserve">Innocence Project. (2023). </w:t>
      </w:r>
      <w:r w:rsidRPr="00A74A44">
        <w:rPr>
          <w:rFonts w:eastAsiaTheme="minorHAnsi"/>
          <w:i/>
          <w:iCs/>
          <w:kern w:val="2"/>
          <w:lang w:eastAsia="en-US"/>
          <w14:ligatures w14:val="standardContextual"/>
        </w:rPr>
        <w:t>DNA exonerations in the United States</w:t>
      </w:r>
      <w:r w:rsidRPr="00A74A44">
        <w:rPr>
          <w:rFonts w:eastAsiaTheme="minorHAnsi"/>
          <w:kern w:val="2"/>
          <w:lang w:eastAsia="en-US"/>
          <w14:ligatures w14:val="standardContextual"/>
        </w:rPr>
        <w:t xml:space="preserve">. Retrieved March 3, 2026, from </w:t>
      </w:r>
      <w:hyperlink r:id="rId10" w:tgtFrame="_new" w:history="1">
        <w:r w:rsidRPr="00A74A44">
          <w:rPr>
            <w:rFonts w:eastAsiaTheme="minorHAnsi"/>
            <w:color w:val="0000FF"/>
            <w:kern w:val="2"/>
            <w:u w:val="single"/>
            <w:lang w:eastAsia="en-US"/>
            <w14:ligatures w14:val="standardContextual"/>
          </w:rPr>
          <w:t>https://innocenceproject.org/dna-exonerations-in-the-united-states/</w:t>
        </w:r>
      </w:hyperlink>
    </w:p>
    <w:p w14:paraId="25DFEC0A" w14:textId="5ED917DE" w:rsidR="00B30DE3" w:rsidRPr="00AC0BAB" w:rsidRDefault="00B30DE3" w:rsidP="001164D8">
      <w:pPr>
        <w:pStyle w:val="NormalWeb"/>
        <w:spacing w:line="480" w:lineRule="auto"/>
        <w:ind w:left="720" w:hanging="720"/>
      </w:pPr>
      <w:r w:rsidRPr="00AC0BAB">
        <w:t xml:space="preserve">Jalbert, M. C., &amp; Spellman, B. A. (2021). Memory conformity. </w:t>
      </w:r>
      <w:r w:rsidRPr="00AC0BAB">
        <w:rPr>
          <w:rStyle w:val="Emphasis"/>
          <w:rFonts w:eastAsiaTheme="majorEastAsia"/>
        </w:rPr>
        <w:t>Current Directions in Psychological Science, 30</w:t>
      </w:r>
      <w:r w:rsidRPr="00AC0BAB">
        <w:t xml:space="preserve">(1), 42–47. </w:t>
      </w:r>
      <w:hyperlink r:id="rId11" w:history="1">
        <w:r w:rsidRPr="00AC0BAB">
          <w:rPr>
            <w:rStyle w:val="Hyperlink"/>
            <w:u w:val="none"/>
          </w:rPr>
          <w:t>https://doi.org/10.1177/0963721420969369</w:t>
        </w:r>
      </w:hyperlink>
    </w:p>
    <w:p w14:paraId="047167C7" w14:textId="71D0ED2A" w:rsidR="008C28A0" w:rsidRPr="00AC0BAB" w:rsidRDefault="008C28A0" w:rsidP="001164D8">
      <w:pPr>
        <w:pStyle w:val="NormalWeb"/>
        <w:spacing w:line="480" w:lineRule="auto"/>
        <w:ind w:left="720" w:hanging="720"/>
        <w:rPr>
          <w:rFonts w:eastAsiaTheme="minorHAnsi"/>
          <w:kern w:val="2"/>
          <w:lang w:eastAsia="en-US"/>
          <w14:ligatures w14:val="standardContextual"/>
        </w:rPr>
      </w:pPr>
      <w:r w:rsidRPr="00AC0BAB">
        <w:rPr>
          <w:rFonts w:eastAsiaTheme="minorHAnsi"/>
          <w:kern w:val="2"/>
          <w:lang w:eastAsia="en-US"/>
          <w14:ligatures w14:val="standardContextual"/>
        </w:rPr>
        <w:t xml:space="preserve">Lee, J. L. C., Nader, K., &amp; Schiller, D. (2017). An update on memory reconsolidation updating. </w:t>
      </w:r>
      <w:r w:rsidRPr="00AC0BAB">
        <w:rPr>
          <w:rFonts w:eastAsiaTheme="minorHAnsi"/>
          <w:i/>
          <w:iCs/>
          <w:kern w:val="2"/>
          <w:lang w:eastAsia="en-US"/>
          <w14:ligatures w14:val="standardContextual"/>
        </w:rPr>
        <w:t>Trends in Cognitive Sciences, 21</w:t>
      </w:r>
      <w:r w:rsidRPr="00AC0BAB">
        <w:rPr>
          <w:rFonts w:eastAsiaTheme="minorHAnsi"/>
          <w:kern w:val="2"/>
          <w:lang w:eastAsia="en-US"/>
          <w14:ligatures w14:val="standardContextual"/>
        </w:rPr>
        <w:t xml:space="preserve">(7), 531–545. </w:t>
      </w:r>
      <w:hyperlink r:id="rId12" w:tgtFrame="_new" w:history="1">
        <w:r w:rsidRPr="00AC0BAB">
          <w:rPr>
            <w:rFonts w:eastAsiaTheme="minorHAnsi"/>
            <w:color w:val="0000FF"/>
            <w:kern w:val="2"/>
            <w:lang w:eastAsia="en-US"/>
            <w14:ligatures w14:val="standardContextual"/>
          </w:rPr>
          <w:t>https://doi.org/10.1016/j.tics.2017.04.006</w:t>
        </w:r>
      </w:hyperlink>
    </w:p>
    <w:p w14:paraId="6B8F7EEB" w14:textId="05ACAA46" w:rsidR="003E3BE8" w:rsidRPr="00AC0BAB" w:rsidRDefault="003E3BE8" w:rsidP="001164D8">
      <w:pPr>
        <w:pStyle w:val="NormalWeb"/>
        <w:spacing w:line="480" w:lineRule="auto"/>
        <w:ind w:left="720" w:hanging="720"/>
      </w:pPr>
      <w:r w:rsidRPr="00AC0BAB">
        <w:t xml:space="preserve">Memon, A., Meissner, C. A., &amp; Fraser, J. (2018). The Cognitive Interview: A meta-analytic review and study space analysis. </w:t>
      </w:r>
      <w:r w:rsidRPr="00AC0BAB">
        <w:rPr>
          <w:rStyle w:val="Emphasis"/>
          <w:rFonts w:eastAsiaTheme="majorEastAsia"/>
        </w:rPr>
        <w:t>Psychology, Public Policy, and Law, 24</w:t>
      </w:r>
      <w:r w:rsidRPr="00AC0BAB">
        <w:t xml:space="preserve">(3), 287–295. </w:t>
      </w:r>
      <w:hyperlink r:id="rId13" w:history="1">
        <w:r w:rsidRPr="00AC0BAB">
          <w:rPr>
            <w:rStyle w:val="Hyperlink"/>
            <w:u w:val="none"/>
          </w:rPr>
          <w:t>https://doi.org/10.1037/law0000175</w:t>
        </w:r>
      </w:hyperlink>
    </w:p>
    <w:p w14:paraId="219436B6" w14:textId="036B117E" w:rsidR="002D5879" w:rsidRPr="00AC0BAB" w:rsidRDefault="002D5879" w:rsidP="001164D8">
      <w:pPr>
        <w:pStyle w:val="NormalWeb"/>
        <w:spacing w:line="480" w:lineRule="auto"/>
        <w:ind w:left="720" w:hanging="720"/>
      </w:pPr>
      <w:r w:rsidRPr="00AC0BAB">
        <w:t xml:space="preserve">Mitchell, K. J., &amp; Johnson, M. K. (2018). Source monitoring 25 years later: What have we learned from fMRI about the neural mechanisms of source memory? </w:t>
      </w:r>
      <w:r w:rsidRPr="00AC0BAB">
        <w:rPr>
          <w:rStyle w:val="Emphasis"/>
          <w:rFonts w:eastAsiaTheme="majorEastAsia"/>
        </w:rPr>
        <w:t>Psychological Bulletin, 144</w:t>
      </w:r>
      <w:r w:rsidRPr="00AC0BAB">
        <w:t xml:space="preserve">(7), 725–759. </w:t>
      </w:r>
      <w:hyperlink r:id="rId14" w:history="1">
        <w:r w:rsidRPr="00AC0BAB">
          <w:rPr>
            <w:rStyle w:val="Hyperlink"/>
            <w:u w:val="none"/>
          </w:rPr>
          <w:t>https://doi.org/10.1037/bul0000156</w:t>
        </w:r>
      </w:hyperlink>
    </w:p>
    <w:p w14:paraId="371A4AF2" w14:textId="4434467E" w:rsidR="00B77732" w:rsidRPr="00AC0BAB" w:rsidRDefault="00B77732" w:rsidP="001164D8">
      <w:pPr>
        <w:pStyle w:val="NormalWeb"/>
        <w:spacing w:line="480" w:lineRule="auto"/>
        <w:ind w:left="720" w:hanging="720"/>
      </w:pPr>
      <w:r w:rsidRPr="00AC0BAB">
        <w:t xml:space="preserve">Murphy, G., Loftus, E. F., Grady, R. H., Levine, L. J., &amp; Greene, C. M. (2019). False memories for fake news during Ireland’s abortion referendum. </w:t>
      </w:r>
      <w:r w:rsidRPr="00AC0BAB">
        <w:rPr>
          <w:rStyle w:val="Emphasis"/>
          <w:rFonts w:eastAsiaTheme="majorEastAsia"/>
        </w:rPr>
        <w:t>Psychological Science, 30</w:t>
      </w:r>
      <w:r w:rsidRPr="00AC0BAB">
        <w:t xml:space="preserve">(10), 1449–1459. </w:t>
      </w:r>
      <w:hyperlink r:id="rId15" w:history="1">
        <w:r w:rsidRPr="00AC0BAB">
          <w:rPr>
            <w:rStyle w:val="Hyperlink"/>
            <w:u w:val="none"/>
          </w:rPr>
          <w:t>https://doi.org/10.1177/0956797619865827</w:t>
        </w:r>
      </w:hyperlink>
    </w:p>
    <w:p w14:paraId="4C016AB6" w14:textId="123F272D" w:rsidR="00EC7C24" w:rsidRPr="00AC0BAB" w:rsidRDefault="00EC7C24" w:rsidP="001164D8">
      <w:pPr>
        <w:pStyle w:val="NormalWeb"/>
        <w:spacing w:line="480" w:lineRule="auto"/>
        <w:ind w:left="720" w:hanging="720"/>
      </w:pPr>
      <w:r w:rsidRPr="00AC0BAB">
        <w:t xml:space="preserve">Otgaar, H., Howe, M. L., Muris, P., &amp; </w:t>
      </w:r>
      <w:proofErr w:type="spellStart"/>
      <w:r w:rsidRPr="00AC0BAB">
        <w:t>Merckelbach</w:t>
      </w:r>
      <w:proofErr w:type="spellEnd"/>
      <w:r w:rsidRPr="00AC0BAB">
        <w:t xml:space="preserve">, H. (2019). The misinformation effect: Memory distortion and suggestibility. </w:t>
      </w:r>
      <w:r w:rsidRPr="00AC0BAB">
        <w:rPr>
          <w:rStyle w:val="Emphasis"/>
          <w:rFonts w:eastAsiaTheme="majorEastAsia"/>
        </w:rPr>
        <w:t>Psychological Bulletin, 145</w:t>
      </w:r>
      <w:r w:rsidRPr="00AC0BAB">
        <w:t xml:space="preserve">(5), 477–499. </w:t>
      </w:r>
      <w:hyperlink r:id="rId16" w:history="1">
        <w:r w:rsidRPr="00AC0BAB">
          <w:rPr>
            <w:rStyle w:val="Hyperlink"/>
          </w:rPr>
          <w:t>https://doi.org/10.1037/bul0000197</w:t>
        </w:r>
      </w:hyperlink>
    </w:p>
    <w:p w14:paraId="52F3A13F" w14:textId="5F44F491" w:rsidR="00DC4861" w:rsidRPr="00AC0BAB" w:rsidRDefault="00DC4861" w:rsidP="001164D8">
      <w:pPr>
        <w:pStyle w:val="NormalWeb"/>
        <w:spacing w:line="480" w:lineRule="auto"/>
        <w:ind w:left="720" w:hanging="720"/>
      </w:pPr>
      <w:r w:rsidRPr="00AC0BAB">
        <w:t xml:space="preserve">Sauerland, M., Sagana, A., &amp; Otgaar, H. (2020). The confidence–accuracy relationship in eyewitness identification: A meta-analysis. </w:t>
      </w:r>
      <w:r w:rsidRPr="00AC0BAB">
        <w:rPr>
          <w:rStyle w:val="Emphasis"/>
          <w:rFonts w:eastAsiaTheme="majorEastAsia"/>
        </w:rPr>
        <w:t>Psychological Bulletin, 146</w:t>
      </w:r>
      <w:r w:rsidRPr="00AC0BAB">
        <w:t xml:space="preserve">(9), 795–833. </w:t>
      </w:r>
      <w:hyperlink r:id="rId17" w:history="1">
        <w:r w:rsidRPr="00AC0BAB">
          <w:rPr>
            <w:rStyle w:val="Hyperlink"/>
          </w:rPr>
          <w:t>https://doi.org/10.1037/bul0000248</w:t>
        </w:r>
      </w:hyperlink>
    </w:p>
    <w:p w14:paraId="1DA84535" w14:textId="7CDA0060" w:rsidR="00D90286" w:rsidRPr="00AC0BAB" w:rsidRDefault="00D90286" w:rsidP="001164D8">
      <w:pPr>
        <w:pStyle w:val="NormalWeb"/>
        <w:spacing w:line="480" w:lineRule="auto"/>
        <w:ind w:left="720" w:hanging="720"/>
      </w:pPr>
      <w:r w:rsidRPr="00AC0BAB">
        <w:lastRenderedPageBreak/>
        <w:t xml:space="preserve">Schacter, D. L. (2022). </w:t>
      </w:r>
      <w:r w:rsidRPr="00AC0BAB">
        <w:rPr>
          <w:rStyle w:val="Emphasis"/>
          <w:rFonts w:eastAsiaTheme="majorEastAsia"/>
        </w:rPr>
        <w:t>The seven sins of memory: How the mind forgets and remembers</w:t>
      </w:r>
      <w:r w:rsidRPr="00AC0BAB">
        <w:t xml:space="preserve"> (Updated ed.). Houghton Mifflin Harcourt.</w:t>
      </w:r>
    </w:p>
    <w:p w14:paraId="0995DADA" w14:textId="396D14B7" w:rsidR="00EA7E6E" w:rsidRPr="00AC0BAB" w:rsidRDefault="00EA7E6E" w:rsidP="001164D8">
      <w:pPr>
        <w:pStyle w:val="NormalWeb"/>
        <w:spacing w:line="480" w:lineRule="auto"/>
        <w:ind w:left="720" w:hanging="720"/>
      </w:pPr>
      <w:r w:rsidRPr="00AC0BAB">
        <w:t xml:space="preserve">Schacter, D. L., Benoit, R. G., &amp; Szpunar, K. K. (2017). Episodic future thinking: Mechanisms and functions. </w:t>
      </w:r>
      <w:r w:rsidRPr="00AC0BAB">
        <w:rPr>
          <w:rStyle w:val="Emphasis"/>
          <w:rFonts w:eastAsiaTheme="majorEastAsia"/>
        </w:rPr>
        <w:t xml:space="preserve">Current Opinion in </w:t>
      </w:r>
      <w:proofErr w:type="spellStart"/>
      <w:r w:rsidRPr="00AC0BAB">
        <w:rPr>
          <w:rStyle w:val="Emphasis"/>
          <w:rFonts w:eastAsiaTheme="majorEastAsia"/>
        </w:rPr>
        <w:t>Behavioral</w:t>
      </w:r>
      <w:proofErr w:type="spellEnd"/>
      <w:r w:rsidRPr="00AC0BAB">
        <w:rPr>
          <w:rStyle w:val="Emphasis"/>
          <w:rFonts w:eastAsiaTheme="majorEastAsia"/>
        </w:rPr>
        <w:t xml:space="preserve"> Sciences, 17</w:t>
      </w:r>
      <w:r w:rsidRPr="00AC0BAB">
        <w:t xml:space="preserve">, 41–50. </w:t>
      </w:r>
      <w:hyperlink r:id="rId18" w:history="1">
        <w:r w:rsidRPr="00AC0BAB">
          <w:rPr>
            <w:rStyle w:val="Hyperlink"/>
          </w:rPr>
          <w:t>https://doi.org/10.1016/j.cobeha.2017.06.002</w:t>
        </w:r>
      </w:hyperlink>
    </w:p>
    <w:p w14:paraId="60644139" w14:textId="0D48E5D3" w:rsidR="00CB6795" w:rsidRPr="00AC0BAB" w:rsidRDefault="00CB6795" w:rsidP="001164D8">
      <w:pPr>
        <w:pStyle w:val="NormalWeb"/>
        <w:spacing w:line="480" w:lineRule="auto"/>
        <w:ind w:left="720" w:hanging="720"/>
      </w:pPr>
      <w:r w:rsidRPr="00AC0BAB">
        <w:t xml:space="preserve">Schwabe, L. (2017). Memory under stress: From single systems to network changes. </w:t>
      </w:r>
      <w:r w:rsidRPr="00AC0BAB">
        <w:rPr>
          <w:rStyle w:val="Emphasis"/>
          <w:rFonts w:eastAsiaTheme="majorEastAsia"/>
        </w:rPr>
        <w:t>European Journal of Neuroscience, 45</w:t>
      </w:r>
      <w:r w:rsidRPr="00AC0BAB">
        <w:t xml:space="preserve">(4), 478–489. </w:t>
      </w:r>
      <w:hyperlink r:id="rId19" w:history="1">
        <w:r w:rsidRPr="00AC0BAB">
          <w:rPr>
            <w:rStyle w:val="Hyperlink"/>
          </w:rPr>
          <w:t>https://doi.org/10.1111/ejn.13478</w:t>
        </w:r>
      </w:hyperlink>
    </w:p>
    <w:p w14:paraId="09AF06D6" w14:textId="78B7365E" w:rsidR="00A27AE6" w:rsidRPr="00AC0BAB" w:rsidRDefault="00A27AE6" w:rsidP="001164D8">
      <w:pPr>
        <w:pStyle w:val="NormalWeb"/>
        <w:spacing w:line="480" w:lineRule="auto"/>
        <w:ind w:left="720" w:hanging="720"/>
        <w:rPr>
          <w:rFonts w:eastAsiaTheme="minorHAnsi"/>
          <w:kern w:val="2"/>
          <w:lang w:eastAsia="en-US"/>
          <w14:ligatures w14:val="standardContextual"/>
        </w:rPr>
      </w:pPr>
      <w:r w:rsidRPr="00AC0BAB">
        <w:rPr>
          <w:rFonts w:eastAsiaTheme="minorHAnsi"/>
          <w:kern w:val="2"/>
          <w:lang w:eastAsia="en-US"/>
          <w14:ligatures w14:val="standardContextual"/>
        </w:rPr>
        <w:t xml:space="preserve">Shields, G. S., </w:t>
      </w:r>
      <w:proofErr w:type="spellStart"/>
      <w:r w:rsidRPr="00AC0BAB">
        <w:rPr>
          <w:rFonts w:eastAsiaTheme="minorHAnsi"/>
          <w:kern w:val="2"/>
          <w:lang w:eastAsia="en-US"/>
          <w14:ligatures w14:val="standardContextual"/>
        </w:rPr>
        <w:t>Sazma</w:t>
      </w:r>
      <w:proofErr w:type="spellEnd"/>
      <w:r w:rsidRPr="00AC0BAB">
        <w:rPr>
          <w:rFonts w:eastAsiaTheme="minorHAnsi"/>
          <w:kern w:val="2"/>
          <w:lang w:eastAsia="en-US"/>
          <w14:ligatures w14:val="standardContextual"/>
        </w:rPr>
        <w:t xml:space="preserve">, M. A., McCullough, A. M., &amp; Yonelinas, A. P. (2017). The effects of acute stress on episodic memory: A meta-analysis. </w:t>
      </w:r>
      <w:r w:rsidRPr="00AC0BAB">
        <w:rPr>
          <w:rFonts w:eastAsiaTheme="minorHAnsi"/>
          <w:i/>
          <w:iCs/>
          <w:kern w:val="2"/>
          <w:lang w:eastAsia="en-US"/>
          <w14:ligatures w14:val="standardContextual"/>
        </w:rPr>
        <w:t>Psychological Bulletin, 143</w:t>
      </w:r>
      <w:r w:rsidRPr="00AC0BAB">
        <w:rPr>
          <w:rFonts w:eastAsiaTheme="minorHAnsi"/>
          <w:kern w:val="2"/>
          <w:lang w:eastAsia="en-US"/>
          <w14:ligatures w14:val="standardContextual"/>
        </w:rPr>
        <w:t xml:space="preserve">(6), 636–675. </w:t>
      </w:r>
      <w:hyperlink r:id="rId20" w:tgtFrame="_new" w:history="1">
        <w:r w:rsidRPr="00AC0BAB">
          <w:rPr>
            <w:rFonts w:eastAsiaTheme="minorHAnsi"/>
            <w:color w:val="0000FF"/>
            <w:kern w:val="2"/>
            <w:u w:val="single"/>
            <w:lang w:eastAsia="en-US"/>
            <w14:ligatures w14:val="standardContextual"/>
          </w:rPr>
          <w:t>https://doi.org/10.1037/bul0000100</w:t>
        </w:r>
      </w:hyperlink>
    </w:p>
    <w:p w14:paraId="2CA0666F" w14:textId="598CA876" w:rsidR="00FE06C0" w:rsidRPr="00AC0BAB" w:rsidRDefault="00FE06C0" w:rsidP="001164D8">
      <w:pPr>
        <w:pStyle w:val="NormalWeb"/>
        <w:spacing w:line="480" w:lineRule="auto"/>
        <w:ind w:left="720" w:hanging="720"/>
      </w:pPr>
      <w:r w:rsidRPr="00AC0BAB">
        <w:t xml:space="preserve">Sweller, J. (2019). Cognitive load theory and educational technology. </w:t>
      </w:r>
      <w:r w:rsidRPr="00AC0BAB">
        <w:rPr>
          <w:rStyle w:val="Emphasis"/>
          <w:rFonts w:eastAsiaTheme="majorEastAsia"/>
        </w:rPr>
        <w:t>Educational Technology Research and Development, 67</w:t>
      </w:r>
      <w:r w:rsidRPr="00AC0BAB">
        <w:t xml:space="preserve">(2), 213–225. </w:t>
      </w:r>
      <w:hyperlink r:id="rId21" w:history="1">
        <w:r w:rsidRPr="00AC0BAB">
          <w:rPr>
            <w:rStyle w:val="Hyperlink"/>
          </w:rPr>
          <w:t>https://doi.org/10.1007/s11423-019-09698-7</w:t>
        </w:r>
      </w:hyperlink>
    </w:p>
    <w:p w14:paraId="4AAB7A30" w14:textId="695797D6" w:rsidR="001027D0" w:rsidRPr="00AC0BAB" w:rsidRDefault="00050DC1" w:rsidP="001164D8">
      <w:pPr>
        <w:pStyle w:val="NormalWeb"/>
        <w:spacing w:line="480" w:lineRule="auto"/>
        <w:ind w:left="720" w:hanging="720"/>
        <w:rPr>
          <w:rFonts w:eastAsiaTheme="minorHAnsi"/>
          <w:kern w:val="2"/>
          <w:lang w:eastAsia="en-US"/>
          <w14:ligatures w14:val="standardContextual"/>
        </w:rPr>
      </w:pPr>
      <w:r w:rsidRPr="00AC0BAB">
        <w:rPr>
          <w:rFonts w:eastAsiaTheme="minorHAnsi"/>
          <w:kern w:val="2"/>
          <w:lang w:eastAsia="en-US"/>
          <w14:ligatures w14:val="standardContextual"/>
        </w:rPr>
        <w:t xml:space="preserve">Wixted, J. T., &amp; Wells, G. L. (2017). The relationship between eyewitness confidence and identification accuracy. </w:t>
      </w:r>
      <w:r w:rsidRPr="00AC0BAB">
        <w:rPr>
          <w:rFonts w:eastAsiaTheme="minorHAnsi"/>
          <w:i/>
          <w:iCs/>
          <w:kern w:val="2"/>
          <w:lang w:eastAsia="en-US"/>
          <w14:ligatures w14:val="standardContextual"/>
        </w:rPr>
        <w:t>Psychological Science in the Public Interest, 18</w:t>
      </w:r>
      <w:r w:rsidRPr="00AC0BAB">
        <w:rPr>
          <w:rFonts w:eastAsiaTheme="minorHAnsi"/>
          <w:kern w:val="2"/>
          <w:lang w:eastAsia="en-US"/>
          <w14:ligatures w14:val="standardContextual"/>
        </w:rPr>
        <w:t xml:space="preserve">(1), 10–65. </w:t>
      </w:r>
      <w:hyperlink r:id="rId22" w:tgtFrame="_new" w:history="1">
        <w:r w:rsidRPr="00AC0BAB">
          <w:rPr>
            <w:rFonts w:eastAsiaTheme="minorHAnsi"/>
            <w:color w:val="0000FF"/>
            <w:kern w:val="2"/>
            <w:u w:val="single"/>
            <w:lang w:eastAsia="en-US"/>
            <w14:ligatures w14:val="standardContextual"/>
          </w:rPr>
          <w:t>https://doi.org/10.1177/1529100616686966</w:t>
        </w:r>
      </w:hyperlink>
    </w:p>
    <w:p w14:paraId="25A2C791" w14:textId="0344880C" w:rsidR="00050DC1" w:rsidRPr="00AC0BAB" w:rsidRDefault="00050DC1" w:rsidP="001164D8">
      <w:pPr>
        <w:pStyle w:val="NormalWeb"/>
        <w:spacing w:line="480" w:lineRule="auto"/>
        <w:ind w:left="720" w:hanging="720"/>
      </w:pPr>
      <w:r w:rsidRPr="00AC0BAB">
        <w:t xml:space="preserve">Wixted, J. T., Mickes, L., &amp; Fisher, R. P. (2018). Rethinking the reliability of eyewitness identification. </w:t>
      </w:r>
      <w:r w:rsidRPr="00AC0BAB">
        <w:rPr>
          <w:rStyle w:val="Emphasis"/>
          <w:rFonts w:eastAsiaTheme="majorEastAsia"/>
        </w:rPr>
        <w:t>Perspectives on Psychological Science, 13</w:t>
      </w:r>
      <w:r w:rsidRPr="00AC0BAB">
        <w:t xml:space="preserve">(3), 324–335. </w:t>
      </w:r>
      <w:hyperlink r:id="rId23" w:history="1">
        <w:r w:rsidRPr="00AC0BAB">
          <w:rPr>
            <w:rStyle w:val="Hyperlink"/>
          </w:rPr>
          <w:t>https://doi.org/10.1177/1745691617734878</w:t>
        </w:r>
      </w:hyperlink>
    </w:p>
    <w:p w14:paraId="4A0C9C0D" w14:textId="6C761838" w:rsidR="007E30EE" w:rsidRPr="00AC0BAB" w:rsidRDefault="007E30EE" w:rsidP="001164D8">
      <w:pPr>
        <w:pStyle w:val="NormalWeb"/>
        <w:spacing w:line="480" w:lineRule="auto"/>
        <w:ind w:left="720" w:hanging="720"/>
      </w:pPr>
      <w:r w:rsidRPr="00AC0BAB">
        <w:t xml:space="preserve">Wells, G. L., </w:t>
      </w:r>
      <w:proofErr w:type="spellStart"/>
      <w:r w:rsidRPr="00AC0BAB">
        <w:t>Kovera</w:t>
      </w:r>
      <w:proofErr w:type="spellEnd"/>
      <w:r w:rsidRPr="00AC0BAB">
        <w:t xml:space="preserve">, M. B., Douglass, A. B., Brewer, N., Meissner, C. A., &amp; Wixted, J. T. (2020). Policy and procedure recommendations for the collection and preservation of </w:t>
      </w:r>
      <w:r w:rsidRPr="00AC0BAB">
        <w:lastRenderedPageBreak/>
        <w:t xml:space="preserve">eyewitness identification evidence. </w:t>
      </w:r>
      <w:r w:rsidRPr="00AC0BAB">
        <w:rPr>
          <w:rStyle w:val="Emphasis"/>
          <w:rFonts w:eastAsiaTheme="majorEastAsia"/>
        </w:rPr>
        <w:t xml:space="preserve">Law and Human </w:t>
      </w:r>
      <w:proofErr w:type="spellStart"/>
      <w:r w:rsidRPr="00AC0BAB">
        <w:rPr>
          <w:rStyle w:val="Emphasis"/>
          <w:rFonts w:eastAsiaTheme="majorEastAsia"/>
        </w:rPr>
        <w:t>Behavior</w:t>
      </w:r>
      <w:proofErr w:type="spellEnd"/>
      <w:r w:rsidRPr="00AC0BAB">
        <w:rPr>
          <w:rStyle w:val="Emphasis"/>
          <w:rFonts w:eastAsiaTheme="majorEastAsia"/>
        </w:rPr>
        <w:t>, 44</w:t>
      </w:r>
      <w:r w:rsidRPr="00AC0BAB">
        <w:t xml:space="preserve">(1), 3–36. </w:t>
      </w:r>
      <w:hyperlink r:id="rId24" w:history="1">
        <w:r w:rsidRPr="00AC0BAB">
          <w:rPr>
            <w:rStyle w:val="Hyperlink"/>
          </w:rPr>
          <w:t>https://doi.org/10.1037/lhb0000359</w:t>
        </w:r>
      </w:hyperlink>
    </w:p>
    <w:p w14:paraId="77F241DC" w14:textId="24302C9E" w:rsidR="007E30EE" w:rsidRPr="00AC0BAB" w:rsidRDefault="007E30EE" w:rsidP="001164D8">
      <w:pPr>
        <w:pStyle w:val="NormalWeb"/>
        <w:spacing w:line="480" w:lineRule="auto"/>
        <w:ind w:left="720" w:hanging="720"/>
      </w:pPr>
      <w:r w:rsidRPr="00AC0BAB">
        <w:t xml:space="preserve">Yonelinas, A. P., &amp; Ritchey, M. (2015). The slow forgetting of emotional episodic memories. </w:t>
      </w:r>
      <w:r w:rsidRPr="00AC0BAB">
        <w:rPr>
          <w:rStyle w:val="Emphasis"/>
          <w:rFonts w:eastAsiaTheme="majorEastAsia"/>
        </w:rPr>
        <w:t>Psychological Science, 26</w:t>
      </w:r>
      <w:r w:rsidRPr="00AC0BAB">
        <w:t xml:space="preserve">(3), 373–381. </w:t>
      </w:r>
      <w:hyperlink r:id="rId25" w:history="1">
        <w:r w:rsidRPr="00AC0BAB">
          <w:rPr>
            <w:rStyle w:val="Hyperlink"/>
          </w:rPr>
          <w:t>https://doi.org/10.1177/0956797614565658</w:t>
        </w:r>
      </w:hyperlink>
    </w:p>
    <w:p w14:paraId="195053FD" w14:textId="2D6DD1D4" w:rsidR="00F47D02" w:rsidRPr="00AC0BAB" w:rsidRDefault="00F47D02" w:rsidP="001164D8">
      <w:pPr>
        <w:pStyle w:val="NormalWeb"/>
        <w:spacing w:line="480" w:lineRule="auto"/>
        <w:ind w:left="720" w:hanging="720"/>
      </w:pPr>
      <w:r w:rsidRPr="00AC0BAB">
        <w:t xml:space="preserve">Yonelinas, A. P., Aly, M., Wang, W.-C., &amp; Koen, J. D. (2019). Recollection and familiarity: Examining controversial assumptions and new directions. </w:t>
      </w:r>
      <w:r w:rsidRPr="00AC0BAB">
        <w:rPr>
          <w:rStyle w:val="Emphasis"/>
          <w:rFonts w:eastAsiaTheme="majorEastAsia"/>
        </w:rPr>
        <w:t>Hippocampus, 29</w:t>
      </w:r>
      <w:r w:rsidRPr="00AC0BAB">
        <w:t xml:space="preserve">(9), 707–725. </w:t>
      </w:r>
      <w:hyperlink r:id="rId26" w:history="1">
        <w:r w:rsidRPr="00AC0BAB">
          <w:rPr>
            <w:rStyle w:val="Hyperlink"/>
          </w:rPr>
          <w:t>https://doi.org/10.1002/hipo.23064</w:t>
        </w:r>
      </w:hyperlink>
    </w:p>
    <w:p w14:paraId="332C174E" w14:textId="77777777" w:rsidR="00F47D02" w:rsidRPr="00AC0BAB" w:rsidRDefault="00F47D02" w:rsidP="00F47D02">
      <w:pPr>
        <w:pStyle w:val="NormalWeb"/>
      </w:pPr>
    </w:p>
    <w:p w14:paraId="0A5C1866" w14:textId="77777777" w:rsidR="007E30EE" w:rsidRPr="00AC0BAB" w:rsidRDefault="007E30EE" w:rsidP="007E30EE">
      <w:pPr>
        <w:pStyle w:val="NormalWeb"/>
      </w:pPr>
    </w:p>
    <w:p w14:paraId="4C7B54EE" w14:textId="77777777" w:rsidR="007E30EE" w:rsidRPr="00AC0BAB" w:rsidRDefault="007E30EE" w:rsidP="007E30EE">
      <w:pPr>
        <w:pStyle w:val="NormalWeb"/>
      </w:pPr>
    </w:p>
    <w:p w14:paraId="4891E3F0" w14:textId="77777777" w:rsidR="00050DC1" w:rsidRDefault="00050DC1" w:rsidP="00050DC1">
      <w:pPr>
        <w:pStyle w:val="NormalWeb"/>
      </w:pPr>
    </w:p>
    <w:p w14:paraId="24DAD87B" w14:textId="77777777" w:rsidR="00050DC1" w:rsidRDefault="00050DC1" w:rsidP="00FE06C0">
      <w:pPr>
        <w:pStyle w:val="NormalWeb"/>
      </w:pPr>
    </w:p>
    <w:p w14:paraId="4CE06AF4" w14:textId="77777777" w:rsidR="00FE06C0" w:rsidRDefault="00FE06C0" w:rsidP="00FE06C0">
      <w:pPr>
        <w:pStyle w:val="NormalWeb"/>
      </w:pPr>
    </w:p>
    <w:p w14:paraId="7F5AAE7D" w14:textId="77777777" w:rsidR="00FE06C0" w:rsidRDefault="00FE06C0" w:rsidP="00FE06C0">
      <w:pPr>
        <w:pStyle w:val="NormalWeb"/>
      </w:pPr>
    </w:p>
    <w:p w14:paraId="17A1A2B9" w14:textId="77777777" w:rsidR="00A474BC" w:rsidRDefault="00A474BC" w:rsidP="00CB6795">
      <w:pPr>
        <w:pStyle w:val="NormalWeb"/>
        <w:rPr>
          <w:rFonts w:asciiTheme="minorHAnsi" w:eastAsiaTheme="minorHAnsi" w:hAnsiTheme="minorHAnsi" w:cstheme="minorBidi"/>
          <w:kern w:val="2"/>
          <w:lang w:eastAsia="en-US"/>
          <w14:ligatures w14:val="standardContextual"/>
        </w:rPr>
      </w:pPr>
    </w:p>
    <w:p w14:paraId="1795999F" w14:textId="77777777" w:rsidR="00A27AE6" w:rsidRDefault="00A27AE6" w:rsidP="00CB6795">
      <w:pPr>
        <w:pStyle w:val="NormalWeb"/>
      </w:pPr>
    </w:p>
    <w:p w14:paraId="3811D797" w14:textId="77777777" w:rsidR="00CB6795" w:rsidRDefault="00CB6795" w:rsidP="00CB6795">
      <w:pPr>
        <w:pStyle w:val="NormalWeb"/>
      </w:pPr>
    </w:p>
    <w:p w14:paraId="585E7024" w14:textId="77777777" w:rsidR="00CB6795" w:rsidRDefault="00CB6795" w:rsidP="00EA7E6E">
      <w:pPr>
        <w:pStyle w:val="NormalWeb"/>
      </w:pPr>
    </w:p>
    <w:p w14:paraId="73E70850" w14:textId="77777777" w:rsidR="00EA7E6E" w:rsidRDefault="00EA7E6E" w:rsidP="00EA7E6E">
      <w:pPr>
        <w:pStyle w:val="NormalWeb"/>
      </w:pPr>
    </w:p>
    <w:p w14:paraId="3C96116B" w14:textId="77777777" w:rsidR="00D90286" w:rsidRDefault="00D90286" w:rsidP="00DC4861">
      <w:pPr>
        <w:pStyle w:val="NormalWeb"/>
      </w:pPr>
    </w:p>
    <w:p w14:paraId="3F77D1D7" w14:textId="77777777" w:rsidR="00DC4861" w:rsidRDefault="00DC4861" w:rsidP="00DC4861">
      <w:pPr>
        <w:pStyle w:val="NormalWeb"/>
      </w:pPr>
    </w:p>
    <w:p w14:paraId="51EFA088" w14:textId="77777777" w:rsidR="00EC7C24" w:rsidRDefault="00EC7C24" w:rsidP="00EC7C24">
      <w:pPr>
        <w:pStyle w:val="NormalWeb"/>
      </w:pPr>
    </w:p>
    <w:p w14:paraId="1BA15716" w14:textId="77777777" w:rsidR="00EC7C24" w:rsidRDefault="00EC7C24" w:rsidP="00B77732">
      <w:pPr>
        <w:pStyle w:val="NormalWeb"/>
      </w:pPr>
    </w:p>
    <w:p w14:paraId="3D608174" w14:textId="77777777" w:rsidR="00B77732" w:rsidRDefault="00B77732" w:rsidP="00B77732">
      <w:pPr>
        <w:pStyle w:val="NormalWeb"/>
      </w:pPr>
    </w:p>
    <w:p w14:paraId="5FFA3A56" w14:textId="77777777" w:rsidR="00B77732" w:rsidRDefault="00B77732" w:rsidP="002D5879">
      <w:pPr>
        <w:pStyle w:val="NormalWeb"/>
      </w:pPr>
    </w:p>
    <w:p w14:paraId="00FE5BEE" w14:textId="77777777" w:rsidR="002D5879" w:rsidRDefault="002D5879" w:rsidP="002D5879">
      <w:pPr>
        <w:pStyle w:val="NormalWeb"/>
      </w:pPr>
    </w:p>
    <w:p w14:paraId="5C2B2132" w14:textId="77777777" w:rsidR="002D5879" w:rsidRDefault="002D5879" w:rsidP="003E3BE8">
      <w:pPr>
        <w:pStyle w:val="NormalWeb"/>
      </w:pPr>
    </w:p>
    <w:p w14:paraId="72547B97" w14:textId="3B4CB956" w:rsidR="003E3BE8" w:rsidRDefault="003E3BE8" w:rsidP="003E3BE8">
      <w:pPr>
        <w:pStyle w:val="NormalWeb"/>
      </w:pPr>
    </w:p>
    <w:p w14:paraId="086F4CA1" w14:textId="77777777" w:rsidR="003E3BE8" w:rsidRDefault="003E3BE8" w:rsidP="00B30DE3">
      <w:pPr>
        <w:pStyle w:val="NormalWeb"/>
        <w:rPr>
          <w:rFonts w:asciiTheme="minorHAnsi" w:eastAsiaTheme="minorHAnsi" w:hAnsiTheme="minorHAnsi" w:cstheme="minorBidi"/>
          <w:kern w:val="2"/>
          <w:lang w:eastAsia="en-US"/>
          <w14:ligatures w14:val="standardContextual"/>
        </w:rPr>
      </w:pPr>
    </w:p>
    <w:p w14:paraId="27199A04" w14:textId="77777777" w:rsidR="008C28A0" w:rsidRDefault="008C28A0" w:rsidP="00B30DE3">
      <w:pPr>
        <w:pStyle w:val="NormalWeb"/>
      </w:pPr>
    </w:p>
    <w:p w14:paraId="37D3B84D" w14:textId="77777777" w:rsidR="00B30DE3" w:rsidRDefault="00B30DE3" w:rsidP="00B30DE3">
      <w:pPr>
        <w:pStyle w:val="NormalWeb"/>
      </w:pPr>
    </w:p>
    <w:p w14:paraId="650E8100" w14:textId="77777777" w:rsidR="00B30DE3" w:rsidRDefault="00B30DE3" w:rsidP="00B30DE3">
      <w:pPr>
        <w:pStyle w:val="NormalWeb"/>
      </w:pPr>
    </w:p>
    <w:p w14:paraId="2BBDA824" w14:textId="77777777" w:rsidR="00B30DE3" w:rsidRDefault="00B30DE3" w:rsidP="00A542CC">
      <w:pPr>
        <w:pStyle w:val="NormalWeb"/>
        <w:rPr>
          <w:rFonts w:asciiTheme="minorHAnsi" w:eastAsiaTheme="minorHAnsi" w:hAnsiTheme="minorHAnsi" w:cstheme="minorBidi"/>
          <w:kern w:val="2"/>
          <w:lang w:eastAsia="en-US"/>
          <w14:ligatures w14:val="standardContextual"/>
        </w:rPr>
      </w:pPr>
    </w:p>
    <w:p w14:paraId="54144D29" w14:textId="77777777" w:rsidR="00EA5880" w:rsidRDefault="00EA5880" w:rsidP="00A542CC">
      <w:pPr>
        <w:pStyle w:val="NormalWeb"/>
      </w:pPr>
    </w:p>
    <w:p w14:paraId="3F427B93" w14:textId="77777777" w:rsidR="00A542CC" w:rsidRDefault="00A542CC" w:rsidP="00C56BFD">
      <w:pPr>
        <w:pStyle w:val="NormalWeb"/>
      </w:pPr>
    </w:p>
    <w:p w14:paraId="1A8BB944" w14:textId="77777777" w:rsidR="00C56BFD" w:rsidRDefault="00C56BFD" w:rsidP="00C56BFD">
      <w:pPr>
        <w:pStyle w:val="NormalWeb"/>
      </w:pPr>
    </w:p>
    <w:p w14:paraId="2B40980E" w14:textId="77777777" w:rsidR="00C56BFD" w:rsidRDefault="00C56BFD" w:rsidP="00983360">
      <w:pPr>
        <w:pStyle w:val="NormalWeb"/>
      </w:pPr>
    </w:p>
    <w:p w14:paraId="30CF91DB" w14:textId="77777777" w:rsidR="00775EE9" w:rsidRDefault="00775EE9" w:rsidP="00983360">
      <w:pPr>
        <w:pStyle w:val="NormalWeb"/>
      </w:pPr>
    </w:p>
    <w:p w14:paraId="77E4DF4C" w14:textId="77777777" w:rsidR="0068355A" w:rsidRDefault="0068355A" w:rsidP="00983360">
      <w:pPr>
        <w:pStyle w:val="NormalWeb"/>
      </w:pPr>
    </w:p>
    <w:p w14:paraId="1C792066" w14:textId="77777777" w:rsidR="00983360" w:rsidRDefault="00983360" w:rsidP="00CE46B8">
      <w:pPr>
        <w:pStyle w:val="NormalWeb"/>
      </w:pPr>
    </w:p>
    <w:p w14:paraId="469B6C06" w14:textId="77777777" w:rsidR="00CE46B8" w:rsidRDefault="00CE46B8" w:rsidP="00CE46B8">
      <w:pPr>
        <w:pStyle w:val="NormalWeb"/>
      </w:pPr>
    </w:p>
    <w:p w14:paraId="7A0F0813" w14:textId="77777777" w:rsidR="00CE46B8" w:rsidRDefault="00CE46B8" w:rsidP="00CE46B8">
      <w:pPr>
        <w:spacing w:line="480" w:lineRule="auto"/>
        <w:ind w:firstLine="0"/>
      </w:pPr>
    </w:p>
    <w:sectPr w:rsidR="00CE46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FE0"/>
    <w:rsid w:val="00027037"/>
    <w:rsid w:val="0004208D"/>
    <w:rsid w:val="00050DC1"/>
    <w:rsid w:val="00056A15"/>
    <w:rsid w:val="000570A8"/>
    <w:rsid w:val="0008384B"/>
    <w:rsid w:val="00090D7D"/>
    <w:rsid w:val="000B245B"/>
    <w:rsid w:val="000C64EA"/>
    <w:rsid w:val="000C7AD3"/>
    <w:rsid w:val="000D3C76"/>
    <w:rsid w:val="001027D0"/>
    <w:rsid w:val="001057FC"/>
    <w:rsid w:val="001164D8"/>
    <w:rsid w:val="001367D6"/>
    <w:rsid w:val="00177D88"/>
    <w:rsid w:val="001821C2"/>
    <w:rsid w:val="001A2A1C"/>
    <w:rsid w:val="001A4829"/>
    <w:rsid w:val="001B204A"/>
    <w:rsid w:val="001C65CB"/>
    <w:rsid w:val="001E6A42"/>
    <w:rsid w:val="001F2E35"/>
    <w:rsid w:val="002220D3"/>
    <w:rsid w:val="0022310C"/>
    <w:rsid w:val="00224A6D"/>
    <w:rsid w:val="0025134C"/>
    <w:rsid w:val="00271BA4"/>
    <w:rsid w:val="00273E1C"/>
    <w:rsid w:val="00281FB5"/>
    <w:rsid w:val="00283045"/>
    <w:rsid w:val="0029435B"/>
    <w:rsid w:val="002944E0"/>
    <w:rsid w:val="002A5DDF"/>
    <w:rsid w:val="002B7704"/>
    <w:rsid w:val="002D43AF"/>
    <w:rsid w:val="002D5879"/>
    <w:rsid w:val="00322399"/>
    <w:rsid w:val="0033237B"/>
    <w:rsid w:val="00370D1B"/>
    <w:rsid w:val="00382F30"/>
    <w:rsid w:val="003A56FE"/>
    <w:rsid w:val="003B1AE0"/>
    <w:rsid w:val="003B4C1A"/>
    <w:rsid w:val="003E3BE8"/>
    <w:rsid w:val="00414761"/>
    <w:rsid w:val="004432B0"/>
    <w:rsid w:val="00473659"/>
    <w:rsid w:val="004818AE"/>
    <w:rsid w:val="004949DF"/>
    <w:rsid w:val="00496A1F"/>
    <w:rsid w:val="004B34E9"/>
    <w:rsid w:val="004E4A37"/>
    <w:rsid w:val="00502559"/>
    <w:rsid w:val="00502906"/>
    <w:rsid w:val="00513BA8"/>
    <w:rsid w:val="005674B0"/>
    <w:rsid w:val="00577B2A"/>
    <w:rsid w:val="00586ABF"/>
    <w:rsid w:val="005A1895"/>
    <w:rsid w:val="005A4784"/>
    <w:rsid w:val="005B1BA7"/>
    <w:rsid w:val="005B6506"/>
    <w:rsid w:val="005C2FE0"/>
    <w:rsid w:val="005F291B"/>
    <w:rsid w:val="00603698"/>
    <w:rsid w:val="00611037"/>
    <w:rsid w:val="006112E6"/>
    <w:rsid w:val="00617960"/>
    <w:rsid w:val="00631648"/>
    <w:rsid w:val="0068355A"/>
    <w:rsid w:val="006B070A"/>
    <w:rsid w:val="006B1F7D"/>
    <w:rsid w:val="006F7801"/>
    <w:rsid w:val="00711409"/>
    <w:rsid w:val="0071342C"/>
    <w:rsid w:val="00722C5C"/>
    <w:rsid w:val="007750E2"/>
    <w:rsid w:val="00775EE9"/>
    <w:rsid w:val="00790489"/>
    <w:rsid w:val="007A10F2"/>
    <w:rsid w:val="007D4891"/>
    <w:rsid w:val="007E30EE"/>
    <w:rsid w:val="00823F68"/>
    <w:rsid w:val="0083147A"/>
    <w:rsid w:val="00845D91"/>
    <w:rsid w:val="0085395D"/>
    <w:rsid w:val="008541EF"/>
    <w:rsid w:val="00893A1A"/>
    <w:rsid w:val="00895F8F"/>
    <w:rsid w:val="008C13FE"/>
    <w:rsid w:val="008C28A0"/>
    <w:rsid w:val="00900ED7"/>
    <w:rsid w:val="00901066"/>
    <w:rsid w:val="0093544A"/>
    <w:rsid w:val="00940245"/>
    <w:rsid w:val="00976CD7"/>
    <w:rsid w:val="00976E52"/>
    <w:rsid w:val="00983360"/>
    <w:rsid w:val="009A0483"/>
    <w:rsid w:val="009B281B"/>
    <w:rsid w:val="009D22E5"/>
    <w:rsid w:val="009E1A8C"/>
    <w:rsid w:val="00A1116E"/>
    <w:rsid w:val="00A14D6F"/>
    <w:rsid w:val="00A22934"/>
    <w:rsid w:val="00A27AE6"/>
    <w:rsid w:val="00A33668"/>
    <w:rsid w:val="00A474BC"/>
    <w:rsid w:val="00A542CC"/>
    <w:rsid w:val="00A74A44"/>
    <w:rsid w:val="00A87CF2"/>
    <w:rsid w:val="00A942E0"/>
    <w:rsid w:val="00A97C0B"/>
    <w:rsid w:val="00AA2DDD"/>
    <w:rsid w:val="00AC0BAB"/>
    <w:rsid w:val="00B01BFB"/>
    <w:rsid w:val="00B260DC"/>
    <w:rsid w:val="00B30DE3"/>
    <w:rsid w:val="00B34225"/>
    <w:rsid w:val="00B402E3"/>
    <w:rsid w:val="00B61BC6"/>
    <w:rsid w:val="00B62C33"/>
    <w:rsid w:val="00B77732"/>
    <w:rsid w:val="00B82DBA"/>
    <w:rsid w:val="00B92607"/>
    <w:rsid w:val="00B92D35"/>
    <w:rsid w:val="00B9535F"/>
    <w:rsid w:val="00BA100C"/>
    <w:rsid w:val="00BE290E"/>
    <w:rsid w:val="00C27998"/>
    <w:rsid w:val="00C56BFD"/>
    <w:rsid w:val="00C63534"/>
    <w:rsid w:val="00C81D6F"/>
    <w:rsid w:val="00C87DF3"/>
    <w:rsid w:val="00C9209C"/>
    <w:rsid w:val="00C92ADA"/>
    <w:rsid w:val="00CB009B"/>
    <w:rsid w:val="00CB21C1"/>
    <w:rsid w:val="00CB6795"/>
    <w:rsid w:val="00CD447A"/>
    <w:rsid w:val="00CE46B8"/>
    <w:rsid w:val="00CE69D8"/>
    <w:rsid w:val="00D01990"/>
    <w:rsid w:val="00D66FD7"/>
    <w:rsid w:val="00D67B38"/>
    <w:rsid w:val="00D74E20"/>
    <w:rsid w:val="00D90286"/>
    <w:rsid w:val="00D94557"/>
    <w:rsid w:val="00DA080D"/>
    <w:rsid w:val="00DC4861"/>
    <w:rsid w:val="00DC5891"/>
    <w:rsid w:val="00E47B1C"/>
    <w:rsid w:val="00E83F85"/>
    <w:rsid w:val="00EA5880"/>
    <w:rsid w:val="00EA76E0"/>
    <w:rsid w:val="00EA7E6E"/>
    <w:rsid w:val="00EC47E1"/>
    <w:rsid w:val="00EC7C24"/>
    <w:rsid w:val="00EE2168"/>
    <w:rsid w:val="00F21A69"/>
    <w:rsid w:val="00F26AB3"/>
    <w:rsid w:val="00F47D02"/>
    <w:rsid w:val="00F57668"/>
    <w:rsid w:val="00F6310F"/>
    <w:rsid w:val="00FB12C4"/>
    <w:rsid w:val="00FB59AC"/>
    <w:rsid w:val="00FE0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F1CF4"/>
  <w15:chartTrackingRefBased/>
  <w15:docId w15:val="{59773D4F-2201-4142-B017-9F1413DA4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9" w:lineRule="auto"/>
    </w:pPr>
  </w:style>
  <w:style w:type="paragraph" w:styleId="Heading1">
    <w:name w:val="heading 1"/>
    <w:basedOn w:val="Normal"/>
    <w:next w:val="Normal"/>
    <w:link w:val="Heading1Char"/>
    <w:uiPriority w:val="9"/>
    <w:qFormat/>
    <w:rsid w:val="005C2F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2F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2F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2F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2F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2F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2F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2F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2F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F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2F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2F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2F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2F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2F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2F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2F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2FE0"/>
    <w:rPr>
      <w:rFonts w:eastAsiaTheme="majorEastAsia" w:cstheme="majorBidi"/>
      <w:color w:val="272727" w:themeColor="text1" w:themeTint="D8"/>
    </w:rPr>
  </w:style>
  <w:style w:type="paragraph" w:styleId="Title">
    <w:name w:val="Title"/>
    <w:basedOn w:val="Normal"/>
    <w:next w:val="Normal"/>
    <w:link w:val="TitleChar"/>
    <w:uiPriority w:val="10"/>
    <w:qFormat/>
    <w:rsid w:val="005C2F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F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2FE0"/>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2F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2FE0"/>
    <w:pPr>
      <w:spacing w:before="160"/>
      <w:jc w:val="center"/>
    </w:pPr>
    <w:rPr>
      <w:i/>
      <w:iCs/>
      <w:color w:val="404040" w:themeColor="text1" w:themeTint="BF"/>
    </w:rPr>
  </w:style>
  <w:style w:type="character" w:customStyle="1" w:styleId="QuoteChar">
    <w:name w:val="Quote Char"/>
    <w:basedOn w:val="DefaultParagraphFont"/>
    <w:link w:val="Quote"/>
    <w:uiPriority w:val="29"/>
    <w:rsid w:val="005C2FE0"/>
    <w:rPr>
      <w:i/>
      <w:iCs/>
      <w:color w:val="404040" w:themeColor="text1" w:themeTint="BF"/>
    </w:rPr>
  </w:style>
  <w:style w:type="paragraph" w:styleId="ListParagraph">
    <w:name w:val="List Paragraph"/>
    <w:basedOn w:val="Normal"/>
    <w:uiPriority w:val="34"/>
    <w:qFormat/>
    <w:rsid w:val="005C2FE0"/>
    <w:pPr>
      <w:ind w:left="720"/>
      <w:contextualSpacing/>
    </w:pPr>
  </w:style>
  <w:style w:type="character" w:styleId="IntenseEmphasis">
    <w:name w:val="Intense Emphasis"/>
    <w:basedOn w:val="DefaultParagraphFont"/>
    <w:uiPriority w:val="21"/>
    <w:qFormat/>
    <w:rsid w:val="005C2FE0"/>
    <w:rPr>
      <w:i/>
      <w:iCs/>
      <w:color w:val="0F4761" w:themeColor="accent1" w:themeShade="BF"/>
    </w:rPr>
  </w:style>
  <w:style w:type="paragraph" w:styleId="IntenseQuote">
    <w:name w:val="Intense Quote"/>
    <w:basedOn w:val="Normal"/>
    <w:next w:val="Normal"/>
    <w:link w:val="IntenseQuoteChar"/>
    <w:uiPriority w:val="30"/>
    <w:qFormat/>
    <w:rsid w:val="005C2F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2FE0"/>
    <w:rPr>
      <w:i/>
      <w:iCs/>
      <w:color w:val="0F4761" w:themeColor="accent1" w:themeShade="BF"/>
    </w:rPr>
  </w:style>
  <w:style w:type="character" w:styleId="IntenseReference">
    <w:name w:val="Intense Reference"/>
    <w:basedOn w:val="DefaultParagraphFont"/>
    <w:uiPriority w:val="32"/>
    <w:qFormat/>
    <w:rsid w:val="005C2FE0"/>
    <w:rPr>
      <w:b/>
      <w:bCs/>
      <w:smallCaps/>
      <w:color w:val="0F4761" w:themeColor="accent1" w:themeShade="BF"/>
      <w:spacing w:val="5"/>
    </w:rPr>
  </w:style>
  <w:style w:type="paragraph" w:styleId="NormalWeb">
    <w:name w:val="Normal (Web)"/>
    <w:basedOn w:val="Normal"/>
    <w:uiPriority w:val="99"/>
    <w:semiHidden/>
    <w:unhideWhenUsed/>
    <w:rsid w:val="00CE46B8"/>
    <w:pPr>
      <w:spacing w:before="100" w:beforeAutospacing="1" w:after="100" w:afterAutospacing="1" w:line="240" w:lineRule="auto"/>
      <w:ind w:firstLine="0"/>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E46B8"/>
    <w:rPr>
      <w:i/>
      <w:iCs/>
    </w:rPr>
  </w:style>
  <w:style w:type="character" w:styleId="Hyperlink">
    <w:name w:val="Hyperlink"/>
    <w:basedOn w:val="DefaultParagraphFont"/>
    <w:uiPriority w:val="99"/>
    <w:unhideWhenUsed/>
    <w:rsid w:val="00CE46B8"/>
    <w:rPr>
      <w:color w:val="467886" w:themeColor="hyperlink"/>
      <w:u w:val="single"/>
    </w:rPr>
  </w:style>
  <w:style w:type="character" w:styleId="UnresolvedMention">
    <w:name w:val="Unresolved Mention"/>
    <w:basedOn w:val="DefaultParagraphFont"/>
    <w:uiPriority w:val="99"/>
    <w:semiHidden/>
    <w:unhideWhenUsed/>
    <w:rsid w:val="00CE46B8"/>
    <w:rPr>
      <w:color w:val="605E5C"/>
      <w:shd w:val="clear" w:color="auto" w:fill="E1DFDD"/>
    </w:rPr>
  </w:style>
  <w:style w:type="character" w:styleId="FollowedHyperlink">
    <w:name w:val="FollowedHyperlink"/>
    <w:basedOn w:val="DefaultParagraphFont"/>
    <w:uiPriority w:val="99"/>
    <w:semiHidden/>
    <w:unhideWhenUsed/>
    <w:rsid w:val="001164D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lawsocsci-101317-030850" TargetMode="External"/><Relationship Id="rId13" Type="http://schemas.openxmlformats.org/officeDocument/2006/relationships/hyperlink" Target="https://doi.org/10.1037/law0000175" TargetMode="External"/><Relationship Id="rId18" Type="http://schemas.openxmlformats.org/officeDocument/2006/relationships/hyperlink" Target="https://doi.org/10.1016/j.cobeha.2017.06.002" TargetMode="External"/><Relationship Id="rId26" Type="http://schemas.openxmlformats.org/officeDocument/2006/relationships/hyperlink" Target="https://doi.org/10.1002/hipo.23064" TargetMode="External"/><Relationship Id="rId3" Type="http://schemas.openxmlformats.org/officeDocument/2006/relationships/settings" Target="settings.xml"/><Relationship Id="rId21" Type="http://schemas.openxmlformats.org/officeDocument/2006/relationships/hyperlink" Target="https://doi.org/10.1007/s11423-019-09698-7" TargetMode="External"/><Relationship Id="rId7" Type="http://schemas.openxmlformats.org/officeDocument/2006/relationships/hyperlink" Target="https://doi.org/10.1016/j.jarmac.2017.01.014" TargetMode="External"/><Relationship Id="rId12" Type="http://schemas.openxmlformats.org/officeDocument/2006/relationships/hyperlink" Target="https://doi.org/10.1016/j.tics.2017.04.006" TargetMode="External"/><Relationship Id="rId17" Type="http://schemas.openxmlformats.org/officeDocument/2006/relationships/hyperlink" Target="https://doi.org/10.1037/bul0000248" TargetMode="External"/><Relationship Id="rId25" Type="http://schemas.openxmlformats.org/officeDocument/2006/relationships/hyperlink" Target="https://doi.org/10.1177/0956797614565658" TargetMode="External"/><Relationship Id="rId2" Type="http://schemas.openxmlformats.org/officeDocument/2006/relationships/styles" Target="styles.xml"/><Relationship Id="rId16" Type="http://schemas.openxmlformats.org/officeDocument/2006/relationships/hyperlink" Target="https://doi.org/10.1037/bul0000197" TargetMode="External"/><Relationship Id="rId20" Type="http://schemas.openxmlformats.org/officeDocument/2006/relationships/hyperlink" Target="https://doi.org/10.1037/bul0000100" TargetMode="External"/><Relationship Id="rId1" Type="http://schemas.openxmlformats.org/officeDocument/2006/relationships/customXml" Target="../customXml/item1.xml"/><Relationship Id="rId6" Type="http://schemas.openxmlformats.org/officeDocument/2006/relationships/hyperlink" Target="https://doi.org/10.1037/xlm0000655" TargetMode="External"/><Relationship Id="rId11" Type="http://schemas.openxmlformats.org/officeDocument/2006/relationships/hyperlink" Target="https://doi.org/10.1177/0963721420969369" TargetMode="External"/><Relationship Id="rId24" Type="http://schemas.openxmlformats.org/officeDocument/2006/relationships/hyperlink" Target="https://doi.org/10.1037/lhb0000359" TargetMode="External"/><Relationship Id="rId5" Type="http://schemas.openxmlformats.org/officeDocument/2006/relationships/hyperlink" Target="https://doi.org/10.1523/JNEUROSCI.1788-17.2018" TargetMode="External"/><Relationship Id="rId15" Type="http://schemas.openxmlformats.org/officeDocument/2006/relationships/hyperlink" Target="https://doi.org/10.1177/0956797619865827" TargetMode="External"/><Relationship Id="rId23" Type="http://schemas.openxmlformats.org/officeDocument/2006/relationships/hyperlink" Target="https://doi.org/10.1177/1745691617734878" TargetMode="External"/><Relationship Id="rId28" Type="http://schemas.openxmlformats.org/officeDocument/2006/relationships/theme" Target="theme/theme1.xml"/><Relationship Id="rId10" Type="http://schemas.openxmlformats.org/officeDocument/2006/relationships/hyperlink" Target="https://innocenceproject.org/dna-exonerations-in-the-united-states/" TargetMode="External"/><Relationship Id="rId19" Type="http://schemas.openxmlformats.org/officeDocument/2006/relationships/hyperlink" Target="https://doi.org/10.1111/ejn.13478" TargetMode="External"/><Relationship Id="rId4" Type="http://schemas.openxmlformats.org/officeDocument/2006/relationships/webSettings" Target="webSettings.xml"/><Relationship Id="rId9" Type="http://schemas.openxmlformats.org/officeDocument/2006/relationships/hyperlink" Target="https://doi.org/10.1016/j.jesp.2016.06.013" TargetMode="External"/><Relationship Id="rId14" Type="http://schemas.openxmlformats.org/officeDocument/2006/relationships/hyperlink" Target="https://doi.org/10.1037/bul0000156" TargetMode="External"/><Relationship Id="rId22" Type="http://schemas.openxmlformats.org/officeDocument/2006/relationships/hyperlink" Target="https://doi.org/10.1177/152910061668696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183BE-277A-44F6-B920-2825BC854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14</Pages>
  <Words>3791</Words>
  <Characters>19827</Characters>
  <Application>Microsoft Office Word</Application>
  <DocSecurity>0</DocSecurity>
  <Lines>708</Lines>
  <Paragraphs>407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Morgan (2303990)</dc:creator>
  <cp:keywords/>
  <dc:description/>
  <cp:lastModifiedBy>Jess Morgan (2303990)</cp:lastModifiedBy>
  <cp:revision>36</cp:revision>
  <dcterms:created xsi:type="dcterms:W3CDTF">2026-03-03T18:28:00Z</dcterms:created>
  <dcterms:modified xsi:type="dcterms:W3CDTF">2026-03-03T19:14:00Z</dcterms:modified>
</cp:coreProperties>
</file>