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8FFA11" w14:textId="647693CC" w:rsidR="00F358D2" w:rsidRDefault="00595562" w:rsidP="00595562">
      <w:pPr>
        <w:spacing w:line="360" w:lineRule="auto"/>
        <w:jc w:val="center"/>
        <w:rPr>
          <w:rFonts w:ascii="Times New Roman" w:hAnsi="Times New Roman" w:cs="Times New Roman"/>
          <w:sz w:val="32"/>
          <w:szCs w:val="32"/>
        </w:rPr>
      </w:pPr>
      <w:r>
        <w:rPr>
          <w:noProof/>
          <w:lang w:val="en-IN" w:eastAsia="en-IN" w:bidi="mr-IN"/>
        </w:rPr>
        <w:drawing>
          <wp:inline distT="0" distB="0" distL="0" distR="0" wp14:anchorId="3410F57E" wp14:editId="09A6AA55">
            <wp:extent cx="2944495" cy="1144270"/>
            <wp:effectExtent l="0" t="0" r="8255" b="0"/>
            <wp:docPr id="1"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sign&#10;&#10;Description automatically generated"/>
                    <pic:cNvPicPr>
                      <a:picLocks noChangeAspect="1"/>
                    </pic:cNvPicPr>
                  </pic:nvPicPr>
                  <pic:blipFill>
                    <a:blip r:embed="rId8"/>
                    <a:stretch>
                      <a:fillRect/>
                    </a:stretch>
                  </pic:blipFill>
                  <pic:spPr>
                    <a:xfrm>
                      <a:off x="0" y="0"/>
                      <a:ext cx="2945081" cy="1144294"/>
                    </a:xfrm>
                    <a:prstGeom prst="rect">
                      <a:avLst/>
                    </a:prstGeom>
                  </pic:spPr>
                </pic:pic>
              </a:graphicData>
            </a:graphic>
          </wp:inline>
        </w:drawing>
      </w:r>
    </w:p>
    <w:p w14:paraId="25D072D6" w14:textId="77777777" w:rsidR="00595562" w:rsidRDefault="00595562" w:rsidP="00E83C28">
      <w:pPr>
        <w:spacing w:line="360" w:lineRule="auto"/>
        <w:jc w:val="center"/>
        <w:rPr>
          <w:rFonts w:ascii="Times New Roman" w:hAnsi="Times New Roman" w:cs="Times New Roman"/>
          <w:sz w:val="48"/>
          <w:szCs w:val="48"/>
        </w:rPr>
      </w:pPr>
    </w:p>
    <w:p w14:paraId="38FCCB62" w14:textId="77777777" w:rsidR="00595562" w:rsidRDefault="00595562" w:rsidP="00E83C28">
      <w:pPr>
        <w:spacing w:line="360" w:lineRule="auto"/>
        <w:jc w:val="center"/>
        <w:rPr>
          <w:rFonts w:ascii="Times New Roman" w:hAnsi="Times New Roman" w:cs="Times New Roman"/>
          <w:sz w:val="48"/>
          <w:szCs w:val="48"/>
        </w:rPr>
      </w:pPr>
    </w:p>
    <w:p w14:paraId="2E3362A1" w14:textId="77777777" w:rsidR="00CA6CBB" w:rsidRDefault="00CA6CBB" w:rsidP="00E83C28">
      <w:pPr>
        <w:spacing w:line="360" w:lineRule="auto"/>
        <w:jc w:val="center"/>
        <w:rPr>
          <w:rFonts w:ascii="Times New Roman" w:hAnsi="Times New Roman" w:cs="Times New Roman"/>
          <w:sz w:val="48"/>
          <w:szCs w:val="48"/>
        </w:rPr>
      </w:pPr>
    </w:p>
    <w:p w14:paraId="236C375D" w14:textId="7680745B" w:rsidR="00E83C28" w:rsidRPr="004A5F6F" w:rsidRDefault="00C408B7" w:rsidP="00E83C28">
      <w:pPr>
        <w:spacing w:line="360" w:lineRule="auto"/>
        <w:jc w:val="center"/>
        <w:rPr>
          <w:rFonts w:ascii="Times New Roman" w:hAnsi="Times New Roman" w:cs="Times New Roman"/>
          <w:sz w:val="48"/>
          <w:szCs w:val="48"/>
        </w:rPr>
      </w:pPr>
      <w:r w:rsidRPr="004A5F6F">
        <w:rPr>
          <w:rFonts w:ascii="Times New Roman" w:hAnsi="Times New Roman" w:cs="Times New Roman"/>
          <w:sz w:val="48"/>
          <w:szCs w:val="48"/>
        </w:rPr>
        <w:t>BMIH6007</w:t>
      </w:r>
    </w:p>
    <w:p w14:paraId="540B4EEF" w14:textId="0994B4E5" w:rsidR="000E36A2" w:rsidRPr="004A5F6F" w:rsidRDefault="00C408B7" w:rsidP="00E83C28">
      <w:pPr>
        <w:spacing w:line="360" w:lineRule="auto"/>
        <w:jc w:val="center"/>
        <w:rPr>
          <w:rFonts w:ascii="Times New Roman" w:hAnsi="Times New Roman" w:cs="Times New Roman"/>
          <w:sz w:val="48"/>
          <w:szCs w:val="48"/>
        </w:rPr>
      </w:pPr>
      <w:r w:rsidRPr="004A5F6F">
        <w:rPr>
          <w:rFonts w:ascii="Times New Roman" w:hAnsi="Times New Roman" w:cs="Times New Roman"/>
          <w:sz w:val="48"/>
          <w:szCs w:val="48"/>
        </w:rPr>
        <w:t>International Meetings Management for the Hotel Industry</w:t>
      </w:r>
    </w:p>
    <w:p w14:paraId="7B35E84E" w14:textId="77777777" w:rsidR="000E36A2" w:rsidRDefault="000E36A2" w:rsidP="00EB549E">
      <w:pPr>
        <w:spacing w:line="360" w:lineRule="auto"/>
        <w:jc w:val="both"/>
        <w:rPr>
          <w:rFonts w:ascii="Times New Roman" w:hAnsi="Times New Roman" w:cs="Times New Roman"/>
          <w:sz w:val="24"/>
          <w:szCs w:val="24"/>
        </w:rPr>
      </w:pPr>
    </w:p>
    <w:p w14:paraId="3B735EE2" w14:textId="77777777" w:rsidR="000E36A2" w:rsidRDefault="000E36A2" w:rsidP="00EB549E">
      <w:pPr>
        <w:spacing w:line="360" w:lineRule="auto"/>
        <w:jc w:val="both"/>
        <w:rPr>
          <w:rFonts w:ascii="Times New Roman" w:hAnsi="Times New Roman" w:cs="Times New Roman"/>
          <w:sz w:val="24"/>
          <w:szCs w:val="24"/>
        </w:rPr>
      </w:pPr>
    </w:p>
    <w:p w14:paraId="52787C7E" w14:textId="77777777" w:rsidR="004A5F6F" w:rsidRDefault="004A5F6F" w:rsidP="00EB549E">
      <w:pPr>
        <w:spacing w:line="360" w:lineRule="auto"/>
        <w:jc w:val="both"/>
        <w:rPr>
          <w:rFonts w:ascii="Times New Roman" w:hAnsi="Times New Roman" w:cs="Times New Roman"/>
          <w:sz w:val="24"/>
          <w:szCs w:val="24"/>
        </w:rPr>
      </w:pPr>
    </w:p>
    <w:p w14:paraId="3DF3CB06" w14:textId="77777777" w:rsidR="004A5F6F" w:rsidRDefault="004A5F6F" w:rsidP="00EB549E">
      <w:pPr>
        <w:spacing w:line="360" w:lineRule="auto"/>
        <w:jc w:val="both"/>
        <w:rPr>
          <w:rFonts w:ascii="Times New Roman" w:hAnsi="Times New Roman" w:cs="Times New Roman"/>
          <w:sz w:val="24"/>
          <w:szCs w:val="24"/>
        </w:rPr>
      </w:pPr>
    </w:p>
    <w:p w14:paraId="116262A5" w14:textId="77777777" w:rsidR="004A5F6F" w:rsidRDefault="004A5F6F" w:rsidP="00EB549E">
      <w:pPr>
        <w:spacing w:line="360" w:lineRule="auto"/>
        <w:jc w:val="both"/>
        <w:rPr>
          <w:rFonts w:ascii="Times New Roman" w:hAnsi="Times New Roman" w:cs="Times New Roman"/>
          <w:sz w:val="24"/>
          <w:szCs w:val="24"/>
        </w:rPr>
      </w:pPr>
    </w:p>
    <w:p w14:paraId="1A5C74C4" w14:textId="77777777" w:rsidR="00417072" w:rsidRDefault="00417072" w:rsidP="00681479">
      <w:pPr>
        <w:spacing w:line="240" w:lineRule="auto"/>
        <w:jc w:val="both"/>
        <w:rPr>
          <w:rFonts w:ascii="Times New Roman" w:hAnsi="Times New Roman" w:cs="Times New Roman"/>
          <w:sz w:val="28"/>
          <w:szCs w:val="28"/>
        </w:rPr>
      </w:pPr>
    </w:p>
    <w:p w14:paraId="6D6DDAAD" w14:textId="67F83E3F" w:rsidR="004A5F6F" w:rsidRPr="00CA6CBB" w:rsidRDefault="00681479" w:rsidP="00681479">
      <w:pPr>
        <w:spacing w:line="240" w:lineRule="auto"/>
        <w:jc w:val="both"/>
        <w:rPr>
          <w:rFonts w:ascii="Times New Roman" w:hAnsi="Times New Roman" w:cs="Times New Roman"/>
          <w:sz w:val="28"/>
          <w:szCs w:val="28"/>
        </w:rPr>
      </w:pPr>
      <w:r w:rsidRPr="00CA6CBB">
        <w:rPr>
          <w:rFonts w:ascii="Times New Roman" w:hAnsi="Times New Roman" w:cs="Times New Roman"/>
          <w:sz w:val="28"/>
          <w:szCs w:val="28"/>
        </w:rPr>
        <w:t>Tutor name:</w:t>
      </w:r>
      <w:r w:rsidR="00CA6CBB" w:rsidRPr="00CA6CBB">
        <w:rPr>
          <w:rFonts w:ascii="Times New Roman" w:hAnsi="Times New Roman" w:cs="Times New Roman"/>
          <w:sz w:val="28"/>
          <w:szCs w:val="28"/>
        </w:rPr>
        <w:t xml:space="preserve"> Kathryn Flynn</w:t>
      </w:r>
    </w:p>
    <w:p w14:paraId="16169B23" w14:textId="5BD84E11" w:rsidR="004A5F6F" w:rsidRPr="00CA6CBB" w:rsidRDefault="004A5F6F" w:rsidP="00681479">
      <w:pPr>
        <w:spacing w:line="240" w:lineRule="auto"/>
        <w:jc w:val="both"/>
        <w:rPr>
          <w:rFonts w:ascii="Times New Roman" w:hAnsi="Times New Roman" w:cs="Times New Roman"/>
          <w:sz w:val="28"/>
          <w:szCs w:val="28"/>
        </w:rPr>
      </w:pPr>
      <w:r w:rsidRPr="00CA6CBB">
        <w:rPr>
          <w:rFonts w:ascii="Times New Roman" w:hAnsi="Times New Roman" w:cs="Times New Roman"/>
          <w:sz w:val="28"/>
          <w:szCs w:val="28"/>
        </w:rPr>
        <w:t>Student name</w:t>
      </w:r>
      <w:r w:rsidR="004337E3" w:rsidRPr="00CA6CBB">
        <w:rPr>
          <w:rFonts w:ascii="Times New Roman" w:hAnsi="Times New Roman" w:cs="Times New Roman"/>
          <w:sz w:val="28"/>
          <w:szCs w:val="28"/>
        </w:rPr>
        <w:t>:</w:t>
      </w:r>
      <w:r w:rsidR="00681479" w:rsidRPr="00CA6CBB">
        <w:rPr>
          <w:rFonts w:ascii="Times New Roman" w:hAnsi="Times New Roman" w:cs="Times New Roman"/>
          <w:sz w:val="28"/>
          <w:szCs w:val="28"/>
        </w:rPr>
        <w:t xml:space="preserve"> Andrea-Nicoleta Rotaru</w:t>
      </w:r>
    </w:p>
    <w:p w14:paraId="1D9852F7" w14:textId="039E3F79" w:rsidR="00F358D2" w:rsidRPr="00CA6CBB" w:rsidRDefault="004337E3" w:rsidP="00CA6CBB">
      <w:pPr>
        <w:spacing w:line="240" w:lineRule="auto"/>
        <w:jc w:val="both"/>
        <w:rPr>
          <w:rFonts w:ascii="Times New Roman" w:hAnsi="Times New Roman" w:cs="Times New Roman"/>
          <w:sz w:val="28"/>
          <w:szCs w:val="28"/>
        </w:rPr>
      </w:pPr>
      <w:r w:rsidRPr="00CA6CBB">
        <w:rPr>
          <w:rFonts w:ascii="Times New Roman" w:hAnsi="Times New Roman" w:cs="Times New Roman"/>
          <w:sz w:val="28"/>
          <w:szCs w:val="28"/>
        </w:rPr>
        <w:t xml:space="preserve">Student </w:t>
      </w:r>
      <w:r w:rsidR="00595562" w:rsidRPr="00CA6CBB">
        <w:rPr>
          <w:rFonts w:ascii="Times New Roman" w:hAnsi="Times New Roman" w:cs="Times New Roman"/>
          <w:sz w:val="28"/>
          <w:szCs w:val="28"/>
        </w:rPr>
        <w:t>ID</w:t>
      </w:r>
      <w:r w:rsidRPr="00CA6CBB">
        <w:rPr>
          <w:rFonts w:ascii="Times New Roman" w:hAnsi="Times New Roman" w:cs="Times New Roman"/>
          <w:sz w:val="28"/>
          <w:szCs w:val="28"/>
        </w:rPr>
        <w:t>:</w:t>
      </w:r>
      <w:r w:rsidR="00681479" w:rsidRPr="00CA6CBB">
        <w:rPr>
          <w:rFonts w:ascii="Times New Roman" w:hAnsi="Times New Roman" w:cs="Times New Roman"/>
          <w:sz w:val="28"/>
          <w:szCs w:val="28"/>
        </w:rPr>
        <w:t xml:space="preserve"> 1912874</w:t>
      </w:r>
    </w:p>
    <w:p w14:paraId="3F170168" w14:textId="77777777" w:rsidR="00F358D2" w:rsidRDefault="00F358D2" w:rsidP="00EB549E">
      <w:pPr>
        <w:spacing w:line="360" w:lineRule="auto"/>
        <w:jc w:val="both"/>
        <w:rPr>
          <w:rFonts w:ascii="Times New Roman" w:hAnsi="Times New Roman" w:cs="Times New Roman"/>
          <w:sz w:val="24"/>
          <w:szCs w:val="24"/>
        </w:rPr>
      </w:pPr>
    </w:p>
    <w:p w14:paraId="4932DE5B" w14:textId="77777777" w:rsidR="00CA6CBB" w:rsidRDefault="00CA6CBB" w:rsidP="00EB549E">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791593059"/>
        <w:docPartObj>
          <w:docPartGallery w:val="Table of Contents"/>
          <w:docPartUnique/>
        </w:docPartObj>
      </w:sdtPr>
      <w:sdtEndPr>
        <w:rPr>
          <w:b/>
          <w:bCs/>
          <w:noProof/>
        </w:rPr>
      </w:sdtEndPr>
      <w:sdtContent>
        <w:p w14:paraId="25F130A6" w14:textId="3F4580BF" w:rsidR="00EC203B" w:rsidRPr="00EC203B" w:rsidRDefault="00EC203B" w:rsidP="00EC203B">
          <w:pPr>
            <w:pStyle w:val="TOCHeading"/>
            <w:spacing w:line="360" w:lineRule="auto"/>
            <w:jc w:val="both"/>
            <w:rPr>
              <w:rFonts w:ascii="Times New Roman" w:hAnsi="Times New Roman" w:cs="Times New Roman"/>
              <w:sz w:val="24"/>
              <w:szCs w:val="24"/>
            </w:rPr>
          </w:pPr>
          <w:r w:rsidRPr="00EC203B">
            <w:rPr>
              <w:rFonts w:ascii="Times New Roman" w:hAnsi="Times New Roman" w:cs="Times New Roman"/>
              <w:sz w:val="24"/>
              <w:szCs w:val="24"/>
            </w:rPr>
            <w:t>Table of Contents</w:t>
          </w:r>
        </w:p>
        <w:p w14:paraId="184B5D9A" w14:textId="3786788D" w:rsidR="00EC203B" w:rsidRPr="00EC203B" w:rsidRDefault="00EC203B" w:rsidP="00EC203B">
          <w:pPr>
            <w:pStyle w:val="TOC1"/>
            <w:tabs>
              <w:tab w:val="right" w:leader="dot" w:pos="9016"/>
            </w:tabs>
            <w:spacing w:line="360" w:lineRule="auto"/>
            <w:jc w:val="both"/>
            <w:rPr>
              <w:rFonts w:ascii="Times New Roman" w:hAnsi="Times New Roman" w:cs="Times New Roman"/>
              <w:noProof/>
              <w:sz w:val="24"/>
              <w:szCs w:val="24"/>
            </w:rPr>
          </w:pPr>
          <w:r w:rsidRPr="00EC203B">
            <w:rPr>
              <w:rFonts w:ascii="Times New Roman" w:hAnsi="Times New Roman" w:cs="Times New Roman"/>
              <w:sz w:val="24"/>
              <w:szCs w:val="24"/>
            </w:rPr>
            <w:fldChar w:fldCharType="begin"/>
          </w:r>
          <w:r w:rsidRPr="00EC203B">
            <w:rPr>
              <w:rFonts w:ascii="Times New Roman" w:hAnsi="Times New Roman" w:cs="Times New Roman"/>
              <w:sz w:val="24"/>
              <w:szCs w:val="24"/>
            </w:rPr>
            <w:instrText xml:space="preserve"> TOC \o "1-3" \h \z \u </w:instrText>
          </w:r>
          <w:r w:rsidRPr="00EC203B">
            <w:rPr>
              <w:rFonts w:ascii="Times New Roman" w:hAnsi="Times New Roman" w:cs="Times New Roman"/>
              <w:sz w:val="24"/>
              <w:szCs w:val="24"/>
            </w:rPr>
            <w:fldChar w:fldCharType="separate"/>
          </w:r>
          <w:hyperlink w:anchor="_Toc165740297" w:history="1">
            <w:r w:rsidRPr="00EC203B">
              <w:rPr>
                <w:rStyle w:val="Hyperlink"/>
                <w:rFonts w:ascii="Times New Roman" w:hAnsi="Times New Roman" w:cs="Times New Roman"/>
                <w:noProof/>
                <w:sz w:val="24"/>
                <w:szCs w:val="24"/>
              </w:rPr>
              <w:t>1.Event Presentation</w:t>
            </w:r>
            <w:r w:rsidRPr="00EC203B">
              <w:rPr>
                <w:rFonts w:ascii="Times New Roman" w:hAnsi="Times New Roman" w:cs="Times New Roman"/>
                <w:noProof/>
                <w:webHidden/>
                <w:sz w:val="24"/>
                <w:szCs w:val="24"/>
              </w:rPr>
              <w:tab/>
            </w:r>
            <w:r w:rsidRPr="00EC203B">
              <w:rPr>
                <w:rFonts w:ascii="Times New Roman" w:hAnsi="Times New Roman" w:cs="Times New Roman"/>
                <w:noProof/>
                <w:webHidden/>
                <w:sz w:val="24"/>
                <w:szCs w:val="24"/>
              </w:rPr>
              <w:fldChar w:fldCharType="begin"/>
            </w:r>
            <w:r w:rsidRPr="00EC203B">
              <w:rPr>
                <w:rFonts w:ascii="Times New Roman" w:hAnsi="Times New Roman" w:cs="Times New Roman"/>
                <w:noProof/>
                <w:webHidden/>
                <w:sz w:val="24"/>
                <w:szCs w:val="24"/>
              </w:rPr>
              <w:instrText xml:space="preserve"> PAGEREF _Toc165740297 \h </w:instrText>
            </w:r>
            <w:r w:rsidRPr="00EC203B">
              <w:rPr>
                <w:rFonts w:ascii="Times New Roman" w:hAnsi="Times New Roman" w:cs="Times New Roman"/>
                <w:noProof/>
                <w:webHidden/>
                <w:sz w:val="24"/>
                <w:szCs w:val="24"/>
              </w:rPr>
            </w:r>
            <w:r w:rsidRPr="00EC203B">
              <w:rPr>
                <w:rFonts w:ascii="Times New Roman" w:hAnsi="Times New Roman" w:cs="Times New Roman"/>
                <w:noProof/>
                <w:webHidden/>
                <w:sz w:val="24"/>
                <w:szCs w:val="24"/>
              </w:rPr>
              <w:fldChar w:fldCharType="separate"/>
            </w:r>
            <w:r w:rsidRPr="00EC203B">
              <w:rPr>
                <w:rFonts w:ascii="Times New Roman" w:hAnsi="Times New Roman" w:cs="Times New Roman"/>
                <w:noProof/>
                <w:webHidden/>
                <w:sz w:val="24"/>
                <w:szCs w:val="24"/>
              </w:rPr>
              <w:t>5</w:t>
            </w:r>
            <w:r w:rsidRPr="00EC203B">
              <w:rPr>
                <w:rFonts w:ascii="Times New Roman" w:hAnsi="Times New Roman" w:cs="Times New Roman"/>
                <w:noProof/>
                <w:webHidden/>
                <w:sz w:val="24"/>
                <w:szCs w:val="24"/>
              </w:rPr>
              <w:fldChar w:fldCharType="end"/>
            </w:r>
          </w:hyperlink>
        </w:p>
        <w:p w14:paraId="1E52A51B" w14:textId="29849EF6" w:rsidR="00EC203B" w:rsidRPr="00EC203B" w:rsidRDefault="002432FC" w:rsidP="00EC203B">
          <w:pPr>
            <w:pStyle w:val="TOC1"/>
            <w:tabs>
              <w:tab w:val="right" w:leader="dot" w:pos="9016"/>
            </w:tabs>
            <w:spacing w:line="360" w:lineRule="auto"/>
            <w:jc w:val="both"/>
            <w:rPr>
              <w:rFonts w:ascii="Times New Roman" w:hAnsi="Times New Roman" w:cs="Times New Roman"/>
              <w:noProof/>
              <w:sz w:val="24"/>
              <w:szCs w:val="24"/>
            </w:rPr>
          </w:pPr>
          <w:hyperlink w:anchor="_Toc165740298" w:history="1">
            <w:r w:rsidR="00EC203B" w:rsidRPr="00EC203B">
              <w:rPr>
                <w:rStyle w:val="Hyperlink"/>
                <w:rFonts w:ascii="Times New Roman" w:hAnsi="Times New Roman" w:cs="Times New Roman"/>
                <w:noProof/>
                <w:sz w:val="24"/>
                <w:szCs w:val="24"/>
              </w:rPr>
              <w:t>References</w:t>
            </w:r>
            <w:r w:rsidR="00EC203B" w:rsidRPr="00EC203B">
              <w:rPr>
                <w:rFonts w:ascii="Times New Roman" w:hAnsi="Times New Roman" w:cs="Times New Roman"/>
                <w:noProof/>
                <w:webHidden/>
                <w:sz w:val="24"/>
                <w:szCs w:val="24"/>
              </w:rPr>
              <w:tab/>
            </w:r>
            <w:r w:rsidR="00EC203B" w:rsidRPr="00EC203B">
              <w:rPr>
                <w:rFonts w:ascii="Times New Roman" w:hAnsi="Times New Roman" w:cs="Times New Roman"/>
                <w:noProof/>
                <w:webHidden/>
                <w:sz w:val="24"/>
                <w:szCs w:val="24"/>
              </w:rPr>
              <w:fldChar w:fldCharType="begin"/>
            </w:r>
            <w:r w:rsidR="00EC203B" w:rsidRPr="00EC203B">
              <w:rPr>
                <w:rFonts w:ascii="Times New Roman" w:hAnsi="Times New Roman" w:cs="Times New Roman"/>
                <w:noProof/>
                <w:webHidden/>
                <w:sz w:val="24"/>
                <w:szCs w:val="24"/>
              </w:rPr>
              <w:instrText xml:space="preserve"> PAGEREF _Toc165740298 \h </w:instrText>
            </w:r>
            <w:r w:rsidR="00EC203B" w:rsidRPr="00EC203B">
              <w:rPr>
                <w:rFonts w:ascii="Times New Roman" w:hAnsi="Times New Roman" w:cs="Times New Roman"/>
                <w:noProof/>
                <w:webHidden/>
                <w:sz w:val="24"/>
                <w:szCs w:val="24"/>
              </w:rPr>
            </w:r>
            <w:r w:rsidR="00EC203B" w:rsidRPr="00EC203B">
              <w:rPr>
                <w:rFonts w:ascii="Times New Roman" w:hAnsi="Times New Roman" w:cs="Times New Roman"/>
                <w:noProof/>
                <w:webHidden/>
                <w:sz w:val="24"/>
                <w:szCs w:val="24"/>
              </w:rPr>
              <w:fldChar w:fldCharType="separate"/>
            </w:r>
            <w:r w:rsidR="00EC203B" w:rsidRPr="00EC203B">
              <w:rPr>
                <w:rFonts w:ascii="Times New Roman" w:hAnsi="Times New Roman" w:cs="Times New Roman"/>
                <w:noProof/>
                <w:webHidden/>
                <w:sz w:val="24"/>
                <w:szCs w:val="24"/>
              </w:rPr>
              <w:t>20</w:t>
            </w:r>
            <w:r w:rsidR="00EC203B" w:rsidRPr="00EC203B">
              <w:rPr>
                <w:rFonts w:ascii="Times New Roman" w:hAnsi="Times New Roman" w:cs="Times New Roman"/>
                <w:noProof/>
                <w:webHidden/>
                <w:sz w:val="24"/>
                <w:szCs w:val="24"/>
              </w:rPr>
              <w:fldChar w:fldCharType="end"/>
            </w:r>
          </w:hyperlink>
        </w:p>
        <w:p w14:paraId="30E41910" w14:textId="5FD31124" w:rsidR="00EC203B" w:rsidRDefault="00EC203B" w:rsidP="00EC203B">
          <w:pPr>
            <w:spacing w:line="360" w:lineRule="auto"/>
            <w:jc w:val="both"/>
          </w:pPr>
          <w:r w:rsidRPr="00EC203B">
            <w:rPr>
              <w:rFonts w:ascii="Times New Roman" w:hAnsi="Times New Roman" w:cs="Times New Roman"/>
              <w:b/>
              <w:bCs/>
              <w:noProof/>
              <w:sz w:val="24"/>
              <w:szCs w:val="24"/>
            </w:rPr>
            <w:fldChar w:fldCharType="end"/>
          </w:r>
        </w:p>
      </w:sdtContent>
    </w:sdt>
    <w:p w14:paraId="647F6D0B" w14:textId="77777777" w:rsidR="000E36A2" w:rsidRDefault="000E36A2" w:rsidP="00EB549E">
      <w:pPr>
        <w:spacing w:line="360" w:lineRule="auto"/>
        <w:jc w:val="both"/>
        <w:rPr>
          <w:rFonts w:ascii="Times New Roman" w:hAnsi="Times New Roman" w:cs="Times New Roman"/>
          <w:sz w:val="24"/>
          <w:szCs w:val="24"/>
        </w:rPr>
      </w:pPr>
    </w:p>
    <w:p w14:paraId="4EEDA183" w14:textId="77777777" w:rsidR="00417072" w:rsidRDefault="00417072" w:rsidP="00EB549E">
      <w:pPr>
        <w:spacing w:line="360" w:lineRule="auto"/>
        <w:jc w:val="both"/>
        <w:rPr>
          <w:rFonts w:ascii="Times New Roman" w:hAnsi="Times New Roman" w:cs="Times New Roman"/>
          <w:sz w:val="24"/>
          <w:szCs w:val="24"/>
        </w:rPr>
      </w:pPr>
    </w:p>
    <w:p w14:paraId="667168A9" w14:textId="77777777" w:rsidR="000E36A2" w:rsidRDefault="000E36A2" w:rsidP="00EB549E">
      <w:pPr>
        <w:spacing w:line="360" w:lineRule="auto"/>
        <w:jc w:val="both"/>
        <w:rPr>
          <w:rFonts w:ascii="Times New Roman" w:hAnsi="Times New Roman" w:cs="Times New Roman"/>
          <w:sz w:val="24"/>
          <w:szCs w:val="24"/>
        </w:rPr>
      </w:pPr>
    </w:p>
    <w:p w14:paraId="366976F4" w14:textId="29720A16" w:rsidR="00D90BA5" w:rsidRPr="00D90BA5" w:rsidRDefault="00D90BA5" w:rsidP="00EC203B">
      <w:pPr>
        <w:pStyle w:val="Heading1"/>
      </w:pPr>
      <w:bookmarkStart w:id="0" w:name="_Toc165740297"/>
      <w:r>
        <w:lastRenderedPageBreak/>
        <w:t>1.Event Presentation</w:t>
      </w:r>
      <w:bookmarkEnd w:id="0"/>
    </w:p>
    <w:p w14:paraId="766076E3" w14:textId="77777777" w:rsidR="000E36A2" w:rsidRDefault="000E36A2" w:rsidP="00EB549E">
      <w:pPr>
        <w:spacing w:line="360" w:lineRule="auto"/>
        <w:jc w:val="both"/>
        <w:rPr>
          <w:rFonts w:ascii="Times New Roman" w:hAnsi="Times New Roman" w:cs="Times New Roman"/>
          <w:sz w:val="24"/>
          <w:szCs w:val="24"/>
        </w:rPr>
      </w:pPr>
      <w:r>
        <w:rPr>
          <w:noProof/>
        </w:rPr>
        <w:drawing>
          <wp:inline distT="0" distB="0" distL="0" distR="0" wp14:anchorId="6A64A4B0" wp14:editId="2A032280">
            <wp:extent cx="5731510" cy="3223895"/>
            <wp:effectExtent l="0" t="0" r="2540" b="0"/>
            <wp:docPr id="1341476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3474601D" wp14:editId="7E4FD947">
            <wp:extent cx="5731510" cy="3223895"/>
            <wp:effectExtent l="0" t="0" r="2540" b="0"/>
            <wp:docPr id="6592744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794CC16" w14:textId="77777777" w:rsidR="006E3938" w:rsidRDefault="006E3938" w:rsidP="006E3938">
      <w:pPr>
        <w:spacing w:line="360" w:lineRule="auto"/>
        <w:jc w:val="both"/>
        <w:rPr>
          <w:rFonts w:ascii="Times New Roman" w:hAnsi="Times New Roman" w:cs="Times New Roman"/>
          <w:sz w:val="24"/>
          <w:szCs w:val="24"/>
        </w:rPr>
      </w:pPr>
      <w:r w:rsidRPr="00086DBB">
        <w:rPr>
          <w:rFonts w:ascii="Times New Roman" w:hAnsi="Times New Roman" w:cs="Times New Roman"/>
          <w:sz w:val="24"/>
          <w:szCs w:val="24"/>
        </w:rPr>
        <w:t xml:space="preserve">The following presentation shall discuss the feasibility of a MICE industry event catering to the global hospitality and events sector. Simulating </w:t>
      </w:r>
      <w:r>
        <w:rPr>
          <w:rFonts w:ascii="Times New Roman" w:hAnsi="Times New Roman" w:cs="Times New Roman"/>
          <w:sz w:val="24"/>
          <w:szCs w:val="24"/>
        </w:rPr>
        <w:t>the</w:t>
      </w:r>
      <w:r w:rsidRPr="00086DBB">
        <w:rPr>
          <w:rFonts w:ascii="Times New Roman" w:hAnsi="Times New Roman" w:cs="Times New Roman"/>
          <w:sz w:val="24"/>
          <w:szCs w:val="24"/>
        </w:rPr>
        <w:t xml:space="preserve"> theme</w:t>
      </w:r>
      <w:r>
        <w:rPr>
          <w:rFonts w:ascii="Times New Roman" w:hAnsi="Times New Roman" w:cs="Times New Roman"/>
          <w:sz w:val="24"/>
          <w:szCs w:val="24"/>
        </w:rPr>
        <w:t xml:space="preserve"> </w:t>
      </w:r>
      <w:r w:rsidRPr="00086DBB">
        <w:rPr>
          <w:rFonts w:ascii="Times New Roman" w:hAnsi="Times New Roman" w:cs="Times New Roman"/>
          <w:sz w:val="24"/>
          <w:szCs w:val="24"/>
        </w:rPr>
        <w:t xml:space="preserve">“Technology and Innovation in the Hospitality Sector” the launch of a new conference solution enabled by AR and VR technology with built-in telepresence and automotive display functionalities shall be organised by the </w:t>
      </w:r>
      <w:r w:rsidRPr="00086DBB">
        <w:rPr>
          <w:rFonts w:ascii="Times New Roman" w:hAnsi="Times New Roman" w:cs="Times New Roman"/>
          <w:color w:val="222222"/>
          <w:sz w:val="24"/>
          <w:szCs w:val="24"/>
          <w:shd w:val="clear" w:color="auto" w:fill="FFFFFF"/>
        </w:rPr>
        <w:t>Hospitality Sector Council UK</w:t>
      </w:r>
      <w:r w:rsidRPr="00086DBB">
        <w:rPr>
          <w:rFonts w:ascii="Times New Roman" w:hAnsi="Times New Roman" w:cs="Times New Roman"/>
          <w:sz w:val="24"/>
          <w:szCs w:val="24"/>
        </w:rPr>
        <w:t xml:space="preserve">.  </w:t>
      </w:r>
      <w:r>
        <w:rPr>
          <w:rFonts w:ascii="Times New Roman" w:hAnsi="Times New Roman" w:cs="Times New Roman"/>
          <w:sz w:val="24"/>
          <w:szCs w:val="24"/>
        </w:rPr>
        <w:t xml:space="preserve">Showcasing the ability </w:t>
      </w:r>
      <w:r w:rsidRPr="00086DBB">
        <w:rPr>
          <w:rFonts w:ascii="Times New Roman" w:hAnsi="Times New Roman" w:cs="Times New Roman"/>
          <w:sz w:val="24"/>
          <w:szCs w:val="24"/>
        </w:rPr>
        <w:t>to create an enhanced business conference solution, the event planner shall be responsible for successfully designing the event</w:t>
      </w:r>
      <w:r>
        <w:rPr>
          <w:rFonts w:ascii="Times New Roman" w:hAnsi="Times New Roman" w:cs="Times New Roman"/>
          <w:sz w:val="24"/>
          <w:szCs w:val="24"/>
        </w:rPr>
        <w:t xml:space="preserve"> whilst performing the feasibility check in the pre-planning stage of the research</w:t>
      </w:r>
      <w:r w:rsidRPr="00086DBB">
        <w:rPr>
          <w:rFonts w:ascii="Times New Roman" w:hAnsi="Times New Roman" w:cs="Times New Roman"/>
          <w:sz w:val="24"/>
          <w:szCs w:val="24"/>
        </w:rPr>
        <w:t xml:space="preserve">. Accordingly, </w:t>
      </w:r>
      <w:r w:rsidRPr="00086DBB">
        <w:rPr>
          <w:rFonts w:ascii="Times New Roman" w:hAnsi="Times New Roman" w:cs="Times New Roman"/>
          <w:sz w:val="24"/>
          <w:szCs w:val="24"/>
        </w:rPr>
        <w:lastRenderedPageBreak/>
        <w:t xml:space="preserve">the event shall be a B2B trade show conference named Global TeleMeet: Redefining the Future of Corporate Meetings. The venue location is the </w:t>
      </w:r>
      <w:r w:rsidRPr="00086DBB">
        <w:rPr>
          <w:rFonts w:ascii="Times New Roman" w:hAnsi="Times New Roman" w:cs="Times New Roman"/>
          <w:color w:val="222222"/>
          <w:sz w:val="24"/>
          <w:szCs w:val="24"/>
          <w:shd w:val="clear" w:color="auto" w:fill="FFFFFF"/>
        </w:rPr>
        <w:t>London Marriott Hotel, Grosvenor Square.</w:t>
      </w:r>
      <w:r w:rsidRPr="00086DBB">
        <w:rPr>
          <w:rFonts w:ascii="Times New Roman" w:hAnsi="Times New Roman" w:cs="Times New Roman"/>
          <w:sz w:val="24"/>
          <w:szCs w:val="24"/>
        </w:rPr>
        <w:t xml:space="preserve"> In consideration of the event creation and its strategic pre-planning activity, the feasibility study shall justify the market, operational and financial factors necessary for the event’s fruition.</w:t>
      </w:r>
    </w:p>
    <w:p w14:paraId="0828CC4F" w14:textId="77777777" w:rsidR="000E36A2" w:rsidRDefault="000E36A2" w:rsidP="00EB549E">
      <w:pPr>
        <w:spacing w:line="360" w:lineRule="auto"/>
        <w:jc w:val="both"/>
        <w:rPr>
          <w:rFonts w:ascii="Times New Roman" w:hAnsi="Times New Roman" w:cs="Times New Roman"/>
          <w:sz w:val="24"/>
          <w:szCs w:val="24"/>
        </w:rPr>
      </w:pPr>
      <w:r>
        <w:rPr>
          <w:noProof/>
        </w:rPr>
        <w:drawing>
          <wp:inline distT="0" distB="0" distL="0" distR="0" wp14:anchorId="71086B66" wp14:editId="34738B4B">
            <wp:extent cx="5731510" cy="3223895"/>
            <wp:effectExtent l="0" t="0" r="2540" b="0"/>
            <wp:docPr id="176668429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2AF1043" w14:textId="2105520C" w:rsidR="00AC7434" w:rsidRPr="00AC7434" w:rsidRDefault="00AC7434" w:rsidP="00AC7434">
      <w:pPr>
        <w:spacing w:line="360" w:lineRule="auto"/>
        <w:jc w:val="both"/>
        <w:rPr>
          <w:rFonts w:ascii="Times New Roman" w:hAnsi="Times New Roman" w:cs="Times New Roman"/>
          <w:sz w:val="24"/>
          <w:szCs w:val="24"/>
          <w:lang w:val="en-IN"/>
        </w:rPr>
      </w:pPr>
      <w:r w:rsidRPr="00AC7434">
        <w:rPr>
          <w:rFonts w:ascii="Times New Roman" w:hAnsi="Times New Roman" w:cs="Times New Roman"/>
          <w:sz w:val="24"/>
          <w:szCs w:val="24"/>
        </w:rPr>
        <w:t xml:space="preserve">The feasibility plan of an event is an essential component that needs to be outlined and this is closely associated with the event organisation strategy. In conducting the feasibility study, many assessments </w:t>
      </w:r>
      <w:proofErr w:type="gramStart"/>
      <w:r w:rsidRPr="00AC7434">
        <w:rPr>
          <w:rFonts w:ascii="Times New Roman" w:hAnsi="Times New Roman" w:cs="Times New Roman"/>
          <w:sz w:val="24"/>
          <w:szCs w:val="24"/>
        </w:rPr>
        <w:t>have to</w:t>
      </w:r>
      <w:proofErr w:type="gramEnd"/>
      <w:r w:rsidRPr="00AC7434">
        <w:rPr>
          <w:rFonts w:ascii="Times New Roman" w:hAnsi="Times New Roman" w:cs="Times New Roman"/>
          <w:sz w:val="24"/>
          <w:szCs w:val="24"/>
        </w:rPr>
        <w:t xml:space="preserve"> be made by the event planner which includes the market, operations and financial aspects. These assessments shall enable the proper evaluations of the outcomes based on the decisions taken and shall use appropriate research on the </w:t>
      </w:r>
      <w:proofErr w:type="gramStart"/>
      <w:r w:rsidRPr="00AC7434">
        <w:rPr>
          <w:rFonts w:ascii="Times New Roman" w:hAnsi="Times New Roman" w:cs="Times New Roman"/>
          <w:sz w:val="24"/>
          <w:szCs w:val="24"/>
        </w:rPr>
        <w:t>aforementioned aspects</w:t>
      </w:r>
      <w:proofErr w:type="gramEnd"/>
      <w:r w:rsidRPr="00AC7434">
        <w:rPr>
          <w:rFonts w:ascii="Times New Roman" w:hAnsi="Times New Roman" w:cs="Times New Roman"/>
          <w:sz w:val="24"/>
          <w:szCs w:val="24"/>
        </w:rPr>
        <w:t xml:space="preserve"> to inform the event study</w:t>
      </w:r>
      <w:r w:rsidR="006E3938">
        <w:rPr>
          <w:rFonts w:ascii="Times New Roman" w:hAnsi="Times New Roman" w:cs="Times New Roman"/>
          <w:sz w:val="24"/>
          <w:szCs w:val="24"/>
        </w:rPr>
        <w:t xml:space="preserve"> </w:t>
      </w:r>
      <w:sdt>
        <w:sdtPr>
          <w:rPr>
            <w:rFonts w:ascii="Times New Roman" w:hAnsi="Times New Roman" w:cs="Times New Roman"/>
            <w:sz w:val="24"/>
            <w:szCs w:val="24"/>
          </w:rPr>
          <w:id w:val="-404232668"/>
          <w:citation/>
        </w:sdtPr>
        <w:sdtEndPr/>
        <w:sdtContent>
          <w:r w:rsidR="006E3938">
            <w:rPr>
              <w:rFonts w:ascii="Times New Roman" w:hAnsi="Times New Roman" w:cs="Times New Roman"/>
              <w:sz w:val="24"/>
              <w:szCs w:val="24"/>
            </w:rPr>
            <w:fldChar w:fldCharType="begin"/>
          </w:r>
          <w:r w:rsidR="006E3938">
            <w:rPr>
              <w:rFonts w:ascii="Times New Roman" w:hAnsi="Times New Roman" w:cs="Times New Roman"/>
              <w:sz w:val="24"/>
              <w:szCs w:val="24"/>
              <w:lang w:val="en-US"/>
            </w:rPr>
            <w:instrText xml:space="preserve"> CITATION Fox14 \l 1033 </w:instrText>
          </w:r>
          <w:r w:rsidR="006E3938">
            <w:rPr>
              <w:rFonts w:ascii="Times New Roman" w:hAnsi="Times New Roman" w:cs="Times New Roman"/>
              <w:sz w:val="24"/>
              <w:szCs w:val="24"/>
            </w:rPr>
            <w:fldChar w:fldCharType="separate"/>
          </w:r>
          <w:r w:rsidR="006E3938" w:rsidRPr="004E515E">
            <w:rPr>
              <w:rFonts w:ascii="Times New Roman" w:hAnsi="Times New Roman" w:cs="Times New Roman"/>
              <w:noProof/>
              <w:sz w:val="24"/>
              <w:szCs w:val="24"/>
              <w:lang w:val="en-US"/>
            </w:rPr>
            <w:t>(Fox, et al., 2014)</w:t>
          </w:r>
          <w:r w:rsidR="006E3938">
            <w:rPr>
              <w:rFonts w:ascii="Times New Roman" w:hAnsi="Times New Roman" w:cs="Times New Roman"/>
              <w:sz w:val="24"/>
              <w:szCs w:val="24"/>
            </w:rPr>
            <w:fldChar w:fldCharType="end"/>
          </w:r>
        </w:sdtContent>
      </w:sdt>
      <w:r w:rsidR="006E3938">
        <w:rPr>
          <w:rFonts w:ascii="Times New Roman" w:hAnsi="Times New Roman" w:cs="Times New Roman"/>
          <w:sz w:val="24"/>
          <w:szCs w:val="24"/>
        </w:rPr>
        <w:t xml:space="preserve">. </w:t>
      </w:r>
      <w:r w:rsidRPr="00AC7434">
        <w:rPr>
          <w:rFonts w:ascii="Times New Roman" w:hAnsi="Times New Roman" w:cs="Times New Roman"/>
          <w:sz w:val="24"/>
          <w:szCs w:val="24"/>
        </w:rPr>
        <w:t>Moreover, the events cycle shall be used to maximise the experience of the participants to determine the success rate of the event.</w:t>
      </w:r>
    </w:p>
    <w:p w14:paraId="526B7A87" w14:textId="77777777" w:rsidR="000E36A2" w:rsidRDefault="000E36A2" w:rsidP="00EB549E">
      <w:pPr>
        <w:spacing w:line="360" w:lineRule="auto"/>
        <w:jc w:val="both"/>
        <w:rPr>
          <w:rFonts w:ascii="Times New Roman" w:hAnsi="Times New Roman" w:cs="Times New Roman"/>
          <w:sz w:val="24"/>
          <w:szCs w:val="24"/>
        </w:rPr>
      </w:pPr>
    </w:p>
    <w:p w14:paraId="1BE28E0B" w14:textId="77777777" w:rsidR="00AC7434" w:rsidRDefault="000E36A2" w:rsidP="00EB549E">
      <w:pPr>
        <w:spacing w:line="360" w:lineRule="auto"/>
        <w:jc w:val="both"/>
        <w:rPr>
          <w:rFonts w:ascii="Times New Roman" w:hAnsi="Times New Roman" w:cs="Times New Roman"/>
          <w:sz w:val="24"/>
          <w:szCs w:val="24"/>
        </w:rPr>
      </w:pPr>
      <w:r>
        <w:rPr>
          <w:noProof/>
        </w:rPr>
        <w:lastRenderedPageBreak/>
        <w:drawing>
          <wp:inline distT="0" distB="0" distL="0" distR="0" wp14:anchorId="376CAF10" wp14:editId="52C74A51">
            <wp:extent cx="5731510" cy="3223895"/>
            <wp:effectExtent l="0" t="0" r="2540" b="0"/>
            <wp:docPr id="21338702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E4D1C47" w14:textId="710AC7D8" w:rsidR="00AC7434" w:rsidRPr="00AC7434" w:rsidRDefault="007161C4" w:rsidP="00AC7434">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t>To ensure</w:t>
      </w:r>
      <w:r w:rsidR="00AC7434" w:rsidRPr="00AC7434">
        <w:rPr>
          <w:rFonts w:ascii="Times New Roman" w:hAnsi="Times New Roman" w:cs="Times New Roman"/>
          <w:sz w:val="24"/>
          <w:szCs w:val="24"/>
        </w:rPr>
        <w:t xml:space="preserve"> that the trade show event remains a success, the 7Ps of event marketing (project, planning, price, promotions, people, place, </w:t>
      </w:r>
      <w:proofErr w:type="gramStart"/>
      <w:r w:rsidR="00FB68F4" w:rsidRPr="00AC7434">
        <w:rPr>
          <w:rFonts w:ascii="Times New Roman" w:hAnsi="Times New Roman" w:cs="Times New Roman"/>
          <w:sz w:val="24"/>
          <w:szCs w:val="24"/>
        </w:rPr>
        <w:t>positioning</w:t>
      </w:r>
      <w:proofErr w:type="gramEnd"/>
      <w:r w:rsidR="00FB68F4" w:rsidRPr="00AC7434">
        <w:rPr>
          <w:rFonts w:ascii="Times New Roman" w:hAnsi="Times New Roman" w:cs="Times New Roman"/>
          <w:sz w:val="24"/>
          <w:szCs w:val="24"/>
        </w:rPr>
        <w:t xml:space="preserve"> and</w:t>
      </w:r>
      <w:r w:rsidR="00AC7434" w:rsidRPr="00AC7434">
        <w:rPr>
          <w:rFonts w:ascii="Times New Roman" w:hAnsi="Times New Roman" w:cs="Times New Roman"/>
          <w:sz w:val="24"/>
          <w:szCs w:val="24"/>
        </w:rPr>
        <w:t xml:space="preserve"> performance) shall be mapped to the Events cycle. Addressing these aspects properly shall contribute to the success of the event outcomes in generating memorable experiences </w:t>
      </w:r>
      <w:r>
        <w:rPr>
          <w:rFonts w:ascii="Times New Roman" w:hAnsi="Times New Roman" w:cs="Times New Roman"/>
          <w:sz w:val="24"/>
          <w:szCs w:val="24"/>
        </w:rPr>
        <w:t>for</w:t>
      </w:r>
      <w:r w:rsidR="00AC7434" w:rsidRPr="00AC7434">
        <w:rPr>
          <w:rFonts w:ascii="Times New Roman" w:hAnsi="Times New Roman" w:cs="Times New Roman"/>
          <w:sz w:val="24"/>
          <w:szCs w:val="24"/>
        </w:rPr>
        <w:t xml:space="preserve"> the participants. The pre-event planning research stage of the event cycle and the subsequent stages, namely, organising, measurement, analysis and sharing shall cover the 7Ps of the event marketing mix. With the agenda of the AR/VR trade show conference being to drive </w:t>
      </w:r>
      <w:r>
        <w:rPr>
          <w:rFonts w:ascii="Times New Roman" w:hAnsi="Times New Roman" w:cs="Times New Roman"/>
          <w:sz w:val="24"/>
          <w:szCs w:val="24"/>
        </w:rPr>
        <w:t xml:space="preserve">the </w:t>
      </w:r>
      <w:r w:rsidR="00AC7434" w:rsidRPr="00AC7434">
        <w:rPr>
          <w:rFonts w:ascii="Times New Roman" w:hAnsi="Times New Roman" w:cs="Times New Roman"/>
          <w:sz w:val="24"/>
          <w:szCs w:val="24"/>
        </w:rPr>
        <w:t xml:space="preserve">sales pipeline of the conference solution and </w:t>
      </w:r>
      <w:r>
        <w:rPr>
          <w:rFonts w:ascii="Times New Roman" w:hAnsi="Times New Roman" w:cs="Times New Roman"/>
          <w:sz w:val="24"/>
          <w:szCs w:val="24"/>
        </w:rPr>
        <w:t>create</w:t>
      </w:r>
      <w:r w:rsidR="00AC7434" w:rsidRPr="00AC7434">
        <w:rPr>
          <w:rFonts w:ascii="Times New Roman" w:hAnsi="Times New Roman" w:cs="Times New Roman"/>
          <w:sz w:val="24"/>
          <w:szCs w:val="24"/>
        </w:rPr>
        <w:t xml:space="preserve"> a memorable experience, the theory of liminality shall inform the premise of the planned event setting wherein the business clients remain enthralled with the experience of the solution and the overall service (</w:t>
      </w:r>
      <w:sdt>
        <w:sdtPr>
          <w:rPr>
            <w:rFonts w:ascii="Times New Roman" w:hAnsi="Times New Roman" w:cs="Times New Roman"/>
            <w:sz w:val="24"/>
            <w:szCs w:val="24"/>
          </w:rPr>
          <w:id w:val="-194770694"/>
          <w:citation/>
        </w:sdtPr>
        <w:sdtEndPr/>
        <w:sdtContent>
          <w:r w:rsidR="00F50CC6" w:rsidRPr="00086DBB">
            <w:rPr>
              <w:rFonts w:ascii="Times New Roman" w:hAnsi="Times New Roman" w:cs="Times New Roman"/>
              <w:sz w:val="24"/>
              <w:szCs w:val="24"/>
            </w:rPr>
            <w:fldChar w:fldCharType="begin"/>
          </w:r>
          <w:r w:rsidR="00F50CC6" w:rsidRPr="00086DBB">
            <w:rPr>
              <w:rFonts w:ascii="Times New Roman" w:hAnsi="Times New Roman" w:cs="Times New Roman"/>
              <w:sz w:val="24"/>
              <w:szCs w:val="24"/>
            </w:rPr>
            <w:instrText xml:space="preserve"> CITATION Get24 \l 1033 </w:instrText>
          </w:r>
          <w:r w:rsidR="00F50CC6" w:rsidRPr="00086DBB">
            <w:rPr>
              <w:rFonts w:ascii="Times New Roman" w:hAnsi="Times New Roman" w:cs="Times New Roman"/>
              <w:sz w:val="24"/>
              <w:szCs w:val="24"/>
            </w:rPr>
            <w:fldChar w:fldCharType="separate"/>
          </w:r>
          <w:r w:rsidR="00F50CC6" w:rsidRPr="00086DBB">
            <w:rPr>
              <w:rFonts w:ascii="Times New Roman" w:hAnsi="Times New Roman" w:cs="Times New Roman"/>
              <w:noProof/>
              <w:sz w:val="24"/>
              <w:szCs w:val="24"/>
            </w:rPr>
            <w:t>(Getz &amp; Page, 2024)</w:t>
          </w:r>
          <w:r w:rsidR="00F50CC6" w:rsidRPr="00086DBB">
            <w:rPr>
              <w:rFonts w:ascii="Times New Roman" w:hAnsi="Times New Roman" w:cs="Times New Roman"/>
              <w:sz w:val="24"/>
              <w:szCs w:val="24"/>
            </w:rPr>
            <w:fldChar w:fldCharType="end"/>
          </w:r>
        </w:sdtContent>
      </w:sdt>
      <w:r w:rsidR="00AC7434" w:rsidRPr="00AC7434">
        <w:rPr>
          <w:rFonts w:ascii="Times New Roman" w:hAnsi="Times New Roman" w:cs="Times New Roman"/>
          <w:sz w:val="24"/>
          <w:szCs w:val="24"/>
        </w:rPr>
        <w:t xml:space="preserve">. Moreover, the application of the stakeholder theory is justified to identify and analyse the needs and roles of the relevant stakeholders to the trade show conference </w:t>
      </w:r>
      <w:sdt>
        <w:sdtPr>
          <w:rPr>
            <w:rFonts w:ascii="Times New Roman" w:hAnsi="Times New Roman" w:cs="Times New Roman"/>
            <w:color w:val="222222"/>
            <w:sz w:val="24"/>
            <w:szCs w:val="24"/>
            <w:shd w:val="clear" w:color="auto" w:fill="FFFFFF"/>
          </w:rPr>
          <w:id w:val="872340701"/>
          <w:citation/>
        </w:sdtPr>
        <w:sdtEndPr/>
        <w:sdtContent>
          <w:r w:rsidR="00F50CC6" w:rsidRPr="00086DBB">
            <w:rPr>
              <w:rFonts w:ascii="Times New Roman" w:hAnsi="Times New Roman" w:cs="Times New Roman"/>
              <w:color w:val="222222"/>
              <w:sz w:val="24"/>
              <w:szCs w:val="24"/>
              <w:shd w:val="clear" w:color="auto" w:fill="FFFFFF"/>
            </w:rPr>
            <w:fldChar w:fldCharType="begin"/>
          </w:r>
          <w:r w:rsidR="00F50CC6" w:rsidRPr="00086DBB">
            <w:rPr>
              <w:rFonts w:ascii="Times New Roman" w:hAnsi="Times New Roman" w:cs="Times New Roman"/>
              <w:color w:val="222222"/>
              <w:sz w:val="24"/>
              <w:szCs w:val="24"/>
              <w:shd w:val="clear" w:color="auto" w:fill="FFFFFF"/>
            </w:rPr>
            <w:instrText xml:space="preserve"> CITATION Mer21 \l 1033 </w:instrText>
          </w:r>
          <w:r w:rsidR="00F50CC6" w:rsidRPr="00086DBB">
            <w:rPr>
              <w:rFonts w:ascii="Times New Roman" w:hAnsi="Times New Roman" w:cs="Times New Roman"/>
              <w:color w:val="222222"/>
              <w:sz w:val="24"/>
              <w:szCs w:val="24"/>
              <w:shd w:val="clear" w:color="auto" w:fill="FFFFFF"/>
            </w:rPr>
            <w:fldChar w:fldCharType="separate"/>
          </w:r>
          <w:r w:rsidR="00F50CC6" w:rsidRPr="00086DBB">
            <w:rPr>
              <w:rFonts w:ascii="Times New Roman" w:hAnsi="Times New Roman" w:cs="Times New Roman"/>
              <w:noProof/>
              <w:color w:val="222222"/>
              <w:sz w:val="24"/>
              <w:szCs w:val="24"/>
              <w:shd w:val="clear" w:color="auto" w:fill="FFFFFF"/>
            </w:rPr>
            <w:t>(Meredith, et al., 2021)</w:t>
          </w:r>
          <w:r w:rsidR="00F50CC6" w:rsidRPr="00086DBB">
            <w:rPr>
              <w:rFonts w:ascii="Times New Roman" w:hAnsi="Times New Roman" w:cs="Times New Roman"/>
              <w:color w:val="222222"/>
              <w:sz w:val="24"/>
              <w:szCs w:val="24"/>
              <w:shd w:val="clear" w:color="auto" w:fill="FFFFFF"/>
            </w:rPr>
            <w:fldChar w:fldCharType="end"/>
          </w:r>
        </w:sdtContent>
      </w:sdt>
      <w:r w:rsidR="00F50CC6">
        <w:rPr>
          <w:rFonts w:ascii="Times New Roman" w:hAnsi="Times New Roman" w:cs="Times New Roman"/>
          <w:sz w:val="24"/>
          <w:szCs w:val="24"/>
        </w:rPr>
        <w:t>.</w:t>
      </w:r>
      <w:r>
        <w:rPr>
          <w:rFonts w:ascii="Times New Roman" w:hAnsi="Times New Roman" w:cs="Times New Roman"/>
          <w:sz w:val="24"/>
          <w:szCs w:val="24"/>
        </w:rPr>
        <w:t xml:space="preserve"> </w:t>
      </w:r>
      <w:r w:rsidR="00AC7434" w:rsidRPr="00AC7434">
        <w:rPr>
          <w:rFonts w:ascii="Times New Roman" w:hAnsi="Times New Roman" w:cs="Times New Roman"/>
          <w:sz w:val="24"/>
          <w:szCs w:val="24"/>
        </w:rPr>
        <w:t xml:space="preserve">This shall lead to the better progression of the built-in AR/VR conference solution event. </w:t>
      </w:r>
    </w:p>
    <w:p w14:paraId="2BF1F33B" w14:textId="77777777" w:rsidR="00AC7434" w:rsidRDefault="00AC7434" w:rsidP="00EB549E">
      <w:pPr>
        <w:spacing w:line="360" w:lineRule="auto"/>
        <w:jc w:val="both"/>
        <w:rPr>
          <w:rFonts w:ascii="Times New Roman" w:hAnsi="Times New Roman" w:cs="Times New Roman"/>
          <w:sz w:val="24"/>
          <w:szCs w:val="24"/>
        </w:rPr>
      </w:pPr>
    </w:p>
    <w:p w14:paraId="05898A46" w14:textId="0787DBB8" w:rsidR="00FB68F4" w:rsidRDefault="00416337" w:rsidP="00EB549E">
      <w:pPr>
        <w:spacing w:line="360" w:lineRule="auto"/>
        <w:jc w:val="both"/>
        <w:rPr>
          <w:rFonts w:ascii="Times New Roman" w:hAnsi="Times New Roman" w:cs="Times New Roman"/>
          <w:sz w:val="24"/>
          <w:szCs w:val="24"/>
        </w:rPr>
      </w:pPr>
      <w:r>
        <w:rPr>
          <w:noProof/>
        </w:rPr>
        <w:lastRenderedPageBreak/>
        <w:drawing>
          <wp:inline distT="0" distB="0" distL="0" distR="0" wp14:anchorId="05EDDC48" wp14:editId="6502FBDC">
            <wp:extent cx="5731510" cy="3223895"/>
            <wp:effectExtent l="0" t="0" r="2540" b="0"/>
            <wp:docPr id="20128301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0E36A2">
        <w:rPr>
          <w:noProof/>
        </w:rPr>
        <w:drawing>
          <wp:inline distT="0" distB="0" distL="0" distR="0" wp14:anchorId="0B0CBF47" wp14:editId="6B9634EC">
            <wp:extent cx="5731510" cy="3223895"/>
            <wp:effectExtent l="0" t="0" r="2540" b="0"/>
            <wp:docPr id="1800412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8F9BE4D" w14:textId="5FE3E4C5"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planned event manifested in the trade show shall prioritise the presentation of the AR/VR technology with built-in telepresence and automotive display conference solution developed by Marriott and build a sales pipeline with potential business customers. It will also provide a platform for learning and knowledge sharing regarding innovative conference procedures adopted by the target audiences. As a B2B trade show event, the invited parties shall be corporate clients and companies that frequently utilise Marriott's services as well as leaders from hospitality bodies across the globe. The trade show shall promote the AR/VR conference solution wherein the potential business clients shall experience its value in terms of corporate </w:t>
      </w:r>
      <w:r w:rsidRPr="00FB68F4">
        <w:rPr>
          <w:rFonts w:ascii="Times New Roman" w:hAnsi="Times New Roman" w:cs="Times New Roman"/>
          <w:sz w:val="24"/>
          <w:szCs w:val="24"/>
        </w:rPr>
        <w:lastRenderedPageBreak/>
        <w:t xml:space="preserve">meetings and thus fulfil a crucial aspect of the broader hospitality strategy set forth by the Hospitality Sector Council </w:t>
      </w:r>
      <w:sdt>
        <w:sdtPr>
          <w:rPr>
            <w:rFonts w:ascii="Times New Roman" w:hAnsi="Times New Roman" w:cs="Times New Roman"/>
            <w:sz w:val="24"/>
            <w:szCs w:val="24"/>
          </w:rPr>
          <w:id w:val="764811733"/>
          <w:citation/>
        </w:sdtPr>
        <w:sdtEndPr/>
        <w:sdtContent>
          <w:r w:rsidR="00694412" w:rsidRPr="00086DBB">
            <w:rPr>
              <w:rFonts w:ascii="Times New Roman" w:hAnsi="Times New Roman" w:cs="Times New Roman"/>
              <w:sz w:val="24"/>
              <w:szCs w:val="24"/>
            </w:rPr>
            <w:fldChar w:fldCharType="begin"/>
          </w:r>
          <w:r w:rsidR="00694412" w:rsidRPr="00086DBB">
            <w:rPr>
              <w:rFonts w:ascii="Times New Roman" w:hAnsi="Times New Roman" w:cs="Times New Roman"/>
              <w:sz w:val="24"/>
              <w:szCs w:val="24"/>
              <w:lang w:val="en-US"/>
            </w:rPr>
            <w:instrText xml:space="preserve"> CITATION HSC24 \l 1033 </w:instrText>
          </w:r>
          <w:r w:rsidR="00694412" w:rsidRPr="00086DBB">
            <w:rPr>
              <w:rFonts w:ascii="Times New Roman" w:hAnsi="Times New Roman" w:cs="Times New Roman"/>
              <w:sz w:val="24"/>
              <w:szCs w:val="24"/>
            </w:rPr>
            <w:fldChar w:fldCharType="separate"/>
          </w:r>
          <w:r w:rsidR="00694412" w:rsidRPr="00086DBB">
            <w:rPr>
              <w:rFonts w:ascii="Times New Roman" w:hAnsi="Times New Roman" w:cs="Times New Roman"/>
              <w:noProof/>
              <w:sz w:val="24"/>
              <w:szCs w:val="24"/>
              <w:lang w:val="en-US"/>
            </w:rPr>
            <w:t>(HSC, 2024)</w:t>
          </w:r>
          <w:r w:rsidR="00694412" w:rsidRPr="00086DBB">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The motive of the event is to deliver high customer experience and drive direct sales thus leading to customer loyalty. In addition, the trade show shall also harbour a learning kiosk enabling the business clients to share technology and innovation-related knowledge and experiences specific to their industries and value-increasing opportunities for the associated stakeholders </w:t>
      </w:r>
      <w:sdt>
        <w:sdtPr>
          <w:rPr>
            <w:rFonts w:ascii="Times New Roman" w:hAnsi="Times New Roman" w:cs="Times New Roman"/>
            <w:sz w:val="24"/>
            <w:szCs w:val="24"/>
          </w:rPr>
          <w:id w:val="-994648471"/>
          <w:citation/>
        </w:sdtPr>
        <w:sdtEndPr/>
        <w:sdtContent>
          <w:r w:rsidR="00694412" w:rsidRPr="00086DBB">
            <w:rPr>
              <w:rFonts w:ascii="Times New Roman" w:hAnsi="Times New Roman" w:cs="Times New Roman"/>
              <w:sz w:val="24"/>
              <w:szCs w:val="24"/>
            </w:rPr>
            <w:fldChar w:fldCharType="begin"/>
          </w:r>
          <w:r w:rsidR="00694412" w:rsidRPr="00086DBB">
            <w:rPr>
              <w:rFonts w:ascii="Times New Roman" w:hAnsi="Times New Roman" w:cs="Times New Roman"/>
              <w:sz w:val="24"/>
              <w:szCs w:val="24"/>
            </w:rPr>
            <w:instrText xml:space="preserve"> CITATION Rog13 \l 1033 </w:instrText>
          </w:r>
          <w:r w:rsidR="00694412" w:rsidRPr="00086DBB">
            <w:rPr>
              <w:rFonts w:ascii="Times New Roman" w:hAnsi="Times New Roman" w:cs="Times New Roman"/>
              <w:sz w:val="24"/>
              <w:szCs w:val="24"/>
            </w:rPr>
            <w:fldChar w:fldCharType="separate"/>
          </w:r>
          <w:r w:rsidR="00694412" w:rsidRPr="00086DBB">
            <w:rPr>
              <w:rFonts w:ascii="Times New Roman" w:hAnsi="Times New Roman" w:cs="Times New Roman"/>
              <w:noProof/>
              <w:sz w:val="24"/>
              <w:szCs w:val="24"/>
            </w:rPr>
            <w:t>(Rogers, 2013)</w:t>
          </w:r>
          <w:r w:rsidR="00694412" w:rsidRPr="00086DBB">
            <w:rPr>
              <w:rFonts w:ascii="Times New Roman" w:hAnsi="Times New Roman" w:cs="Times New Roman"/>
              <w:sz w:val="24"/>
              <w:szCs w:val="24"/>
            </w:rPr>
            <w:fldChar w:fldCharType="end"/>
          </w:r>
        </w:sdtContent>
      </w:sdt>
      <w:r w:rsidR="00694412" w:rsidRPr="00086DBB">
        <w:rPr>
          <w:rFonts w:ascii="Times New Roman" w:hAnsi="Times New Roman" w:cs="Times New Roman"/>
          <w:sz w:val="24"/>
          <w:szCs w:val="24"/>
        </w:rPr>
        <w:t xml:space="preserve"> </w:t>
      </w:r>
      <w:sdt>
        <w:sdtPr>
          <w:rPr>
            <w:rFonts w:ascii="Times New Roman" w:hAnsi="Times New Roman" w:cs="Times New Roman"/>
            <w:sz w:val="24"/>
            <w:szCs w:val="24"/>
          </w:rPr>
          <w:id w:val="1299420101"/>
          <w:citation/>
        </w:sdtPr>
        <w:sdtEndPr/>
        <w:sdtContent>
          <w:r w:rsidR="00694412" w:rsidRPr="00086DBB">
            <w:rPr>
              <w:rFonts w:ascii="Times New Roman" w:hAnsi="Times New Roman" w:cs="Times New Roman"/>
              <w:sz w:val="24"/>
              <w:szCs w:val="24"/>
            </w:rPr>
            <w:fldChar w:fldCharType="begin"/>
          </w:r>
          <w:r w:rsidR="00694412" w:rsidRPr="00086DBB">
            <w:rPr>
              <w:rFonts w:ascii="Times New Roman" w:hAnsi="Times New Roman" w:cs="Times New Roman"/>
              <w:sz w:val="24"/>
              <w:szCs w:val="24"/>
            </w:rPr>
            <w:instrText xml:space="preserve"> CITATION Get24 \l 1033 </w:instrText>
          </w:r>
          <w:r w:rsidR="00694412" w:rsidRPr="00086DBB">
            <w:rPr>
              <w:rFonts w:ascii="Times New Roman" w:hAnsi="Times New Roman" w:cs="Times New Roman"/>
              <w:sz w:val="24"/>
              <w:szCs w:val="24"/>
            </w:rPr>
            <w:fldChar w:fldCharType="separate"/>
          </w:r>
          <w:r w:rsidR="00694412" w:rsidRPr="00086DBB">
            <w:rPr>
              <w:rFonts w:ascii="Times New Roman" w:hAnsi="Times New Roman" w:cs="Times New Roman"/>
              <w:noProof/>
              <w:sz w:val="24"/>
              <w:szCs w:val="24"/>
            </w:rPr>
            <w:t>(Getz &amp; Page, 2024)</w:t>
          </w:r>
          <w:r w:rsidR="00694412" w:rsidRPr="00086DBB">
            <w:rPr>
              <w:rFonts w:ascii="Times New Roman" w:hAnsi="Times New Roman" w:cs="Times New Roman"/>
              <w:sz w:val="24"/>
              <w:szCs w:val="24"/>
            </w:rPr>
            <w:fldChar w:fldCharType="end"/>
          </w:r>
        </w:sdtContent>
      </w:sdt>
      <w:r w:rsidR="00694412">
        <w:rPr>
          <w:rFonts w:ascii="Times New Roman" w:hAnsi="Times New Roman" w:cs="Times New Roman"/>
          <w:sz w:val="24"/>
          <w:szCs w:val="24"/>
        </w:rPr>
        <w:t xml:space="preserve">. </w:t>
      </w:r>
      <w:r w:rsidRPr="00FB68F4">
        <w:rPr>
          <w:rFonts w:ascii="Times New Roman" w:hAnsi="Times New Roman" w:cs="Times New Roman"/>
          <w:sz w:val="24"/>
          <w:szCs w:val="24"/>
        </w:rPr>
        <w:t xml:space="preserve">Hosting the meeting in London can be advantageous in various aspects, mainly, the ready accessibility of global hospitality and tourism-related business leaders and further leveraging networking opportunities to sustainably enhance the business conference solution through incorporating future-facing technology and innovation within the sector. </w:t>
      </w:r>
    </w:p>
    <w:p w14:paraId="50067666" w14:textId="34C8E235"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trade show featuring the AR/VR conference meeting solution would primarily cater to corporate clients from different industries. This shall include C-level executives, directors, </w:t>
      </w:r>
      <w:proofErr w:type="gramStart"/>
      <w:r w:rsidRPr="00FB68F4">
        <w:rPr>
          <w:rFonts w:ascii="Times New Roman" w:hAnsi="Times New Roman" w:cs="Times New Roman"/>
          <w:sz w:val="24"/>
          <w:szCs w:val="24"/>
        </w:rPr>
        <w:t>owners</w:t>
      </w:r>
      <w:proofErr w:type="gramEnd"/>
      <w:r w:rsidRPr="00FB68F4">
        <w:rPr>
          <w:rFonts w:ascii="Times New Roman" w:hAnsi="Times New Roman" w:cs="Times New Roman"/>
          <w:sz w:val="24"/>
          <w:szCs w:val="24"/>
        </w:rPr>
        <w:t xml:space="preserve"> and corporate clients across the globe travelling for their work purposes. The AR and VR-driven market remains optimistic considering a notable infusion of investment activity which is fuelling its adoption by industry leaders and trendsetters. Capitalising on the opportunity to provide dynamic and immersive experiences with the AR and VR-enriched conference solution for the target business clients can contribute to memorable meeting experiences due to the expanding scope of the application of augmented reality and virtual reality in hospitality and tourism </w:t>
      </w:r>
      <w:sdt>
        <w:sdtPr>
          <w:rPr>
            <w:rFonts w:ascii="Times New Roman" w:hAnsi="Times New Roman" w:cs="Times New Roman"/>
            <w:sz w:val="24"/>
            <w:szCs w:val="24"/>
          </w:rPr>
          <w:id w:val="-590091818"/>
          <w:citation/>
        </w:sdtPr>
        <w:sdtEndPr/>
        <w:sdtContent>
          <w:r w:rsidR="000D75E4" w:rsidRPr="00086DBB">
            <w:rPr>
              <w:rFonts w:ascii="Times New Roman" w:hAnsi="Times New Roman" w:cs="Times New Roman"/>
              <w:sz w:val="24"/>
              <w:szCs w:val="24"/>
            </w:rPr>
            <w:fldChar w:fldCharType="begin"/>
          </w:r>
          <w:r w:rsidR="000D75E4" w:rsidRPr="00086DBB">
            <w:rPr>
              <w:rFonts w:ascii="Times New Roman" w:hAnsi="Times New Roman" w:cs="Times New Roman"/>
              <w:sz w:val="24"/>
              <w:szCs w:val="24"/>
              <w:lang w:val="en-US"/>
            </w:rPr>
            <w:instrText xml:space="preserve"> CITATION Wei19 \l 1033 </w:instrText>
          </w:r>
          <w:r w:rsidR="000D75E4" w:rsidRPr="00086DBB">
            <w:rPr>
              <w:rFonts w:ascii="Times New Roman" w:hAnsi="Times New Roman" w:cs="Times New Roman"/>
              <w:sz w:val="24"/>
              <w:szCs w:val="24"/>
            </w:rPr>
            <w:fldChar w:fldCharType="separate"/>
          </w:r>
          <w:r w:rsidR="000D75E4" w:rsidRPr="00086DBB">
            <w:rPr>
              <w:rFonts w:ascii="Times New Roman" w:hAnsi="Times New Roman" w:cs="Times New Roman"/>
              <w:noProof/>
              <w:sz w:val="24"/>
              <w:szCs w:val="24"/>
              <w:lang w:val="en-US"/>
            </w:rPr>
            <w:t>(Wei, 2019)</w:t>
          </w:r>
          <w:r w:rsidR="000D75E4" w:rsidRPr="00086DBB">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Not only does the conference solution tap the largest segment within AR and VR, namely, software applications leveraged by the clients but they would also form the collaborative support underpinning enhanced designing and innovation of the conference solution </w:t>
      </w:r>
      <w:sdt>
        <w:sdtPr>
          <w:rPr>
            <w:rFonts w:ascii="Times New Roman" w:hAnsi="Times New Roman" w:cs="Times New Roman"/>
            <w:sz w:val="24"/>
            <w:szCs w:val="24"/>
          </w:rPr>
          <w:id w:val="1879743085"/>
          <w:citation/>
        </w:sdtPr>
        <w:sdtEndPr/>
        <w:sdtContent>
          <w:r w:rsidR="000D75E4" w:rsidRPr="00086DBB">
            <w:rPr>
              <w:rFonts w:ascii="Times New Roman" w:hAnsi="Times New Roman" w:cs="Times New Roman"/>
              <w:sz w:val="24"/>
              <w:szCs w:val="24"/>
            </w:rPr>
            <w:fldChar w:fldCharType="begin"/>
          </w:r>
          <w:r w:rsidR="000D75E4" w:rsidRPr="00086DBB">
            <w:rPr>
              <w:rFonts w:ascii="Times New Roman" w:hAnsi="Times New Roman" w:cs="Times New Roman"/>
              <w:sz w:val="24"/>
              <w:szCs w:val="24"/>
            </w:rPr>
            <w:instrText xml:space="preserve"> CITATION Sta241 \l 1033 </w:instrText>
          </w:r>
          <w:r w:rsidR="000D75E4" w:rsidRPr="00086DBB">
            <w:rPr>
              <w:rFonts w:ascii="Times New Roman" w:hAnsi="Times New Roman" w:cs="Times New Roman"/>
              <w:sz w:val="24"/>
              <w:szCs w:val="24"/>
            </w:rPr>
            <w:fldChar w:fldCharType="separate"/>
          </w:r>
          <w:r w:rsidR="000D75E4" w:rsidRPr="00086DBB">
            <w:rPr>
              <w:rFonts w:ascii="Times New Roman" w:hAnsi="Times New Roman" w:cs="Times New Roman"/>
              <w:noProof/>
              <w:sz w:val="24"/>
              <w:szCs w:val="24"/>
            </w:rPr>
            <w:t>(Statista, 2024)</w:t>
          </w:r>
          <w:r w:rsidR="000D75E4" w:rsidRPr="00086DBB">
            <w:rPr>
              <w:rFonts w:ascii="Times New Roman" w:hAnsi="Times New Roman" w:cs="Times New Roman"/>
              <w:sz w:val="24"/>
              <w:szCs w:val="24"/>
            </w:rPr>
            <w:fldChar w:fldCharType="end"/>
          </w:r>
        </w:sdtContent>
      </w:sdt>
      <w:r w:rsidR="000D75E4" w:rsidRPr="00086DBB">
        <w:rPr>
          <w:rFonts w:ascii="Times New Roman" w:hAnsi="Times New Roman" w:cs="Times New Roman"/>
          <w:sz w:val="24"/>
          <w:szCs w:val="24"/>
        </w:rPr>
        <w:t xml:space="preserve"> </w:t>
      </w:r>
      <w:sdt>
        <w:sdtPr>
          <w:rPr>
            <w:rFonts w:ascii="Times New Roman" w:hAnsi="Times New Roman" w:cs="Times New Roman"/>
            <w:sz w:val="24"/>
            <w:szCs w:val="24"/>
          </w:rPr>
          <w:id w:val="1590269135"/>
          <w:citation/>
        </w:sdtPr>
        <w:sdtEndPr/>
        <w:sdtContent>
          <w:r w:rsidR="000D75E4" w:rsidRPr="00086DBB">
            <w:rPr>
              <w:rFonts w:ascii="Times New Roman" w:hAnsi="Times New Roman" w:cs="Times New Roman"/>
              <w:sz w:val="24"/>
              <w:szCs w:val="24"/>
            </w:rPr>
            <w:fldChar w:fldCharType="begin"/>
          </w:r>
          <w:r w:rsidR="000D75E4" w:rsidRPr="00086DBB">
            <w:rPr>
              <w:rFonts w:ascii="Times New Roman" w:hAnsi="Times New Roman" w:cs="Times New Roman"/>
              <w:sz w:val="24"/>
              <w:szCs w:val="24"/>
              <w:lang w:val="en-US"/>
            </w:rPr>
            <w:instrText xml:space="preserve"> CITATION Mar181 \l 1033 </w:instrText>
          </w:r>
          <w:r w:rsidR="000D75E4" w:rsidRPr="00086DBB">
            <w:rPr>
              <w:rFonts w:ascii="Times New Roman" w:hAnsi="Times New Roman" w:cs="Times New Roman"/>
              <w:sz w:val="24"/>
              <w:szCs w:val="24"/>
            </w:rPr>
            <w:fldChar w:fldCharType="separate"/>
          </w:r>
          <w:r w:rsidR="000D75E4" w:rsidRPr="00086DBB">
            <w:rPr>
              <w:rFonts w:ascii="Times New Roman" w:hAnsi="Times New Roman" w:cs="Times New Roman"/>
              <w:noProof/>
              <w:sz w:val="24"/>
              <w:szCs w:val="24"/>
              <w:lang w:val="en-US"/>
            </w:rPr>
            <w:t>(Marasco, et al., 2018)</w:t>
          </w:r>
          <w:r w:rsidR="000D75E4" w:rsidRPr="00086DBB">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Moreover, the event would be a platform that drives engagement with business clients concerning digital technology and innovation whilst discussing the emerging area of Industry 4.0 integration </w:t>
      </w:r>
      <w:sdt>
        <w:sdtPr>
          <w:rPr>
            <w:rFonts w:ascii="Times New Roman" w:hAnsi="Times New Roman" w:cs="Times New Roman"/>
            <w:sz w:val="24"/>
            <w:szCs w:val="24"/>
          </w:rPr>
          <w:id w:val="-1370292185"/>
          <w:citation/>
        </w:sdtPr>
        <w:sdtEndPr/>
        <w:sdtContent>
          <w:r w:rsidR="000D75E4">
            <w:rPr>
              <w:rFonts w:ascii="Times New Roman" w:hAnsi="Times New Roman" w:cs="Times New Roman"/>
              <w:sz w:val="24"/>
              <w:szCs w:val="24"/>
            </w:rPr>
            <w:fldChar w:fldCharType="begin"/>
          </w:r>
          <w:r w:rsidR="000D75E4">
            <w:rPr>
              <w:rFonts w:ascii="Times New Roman" w:hAnsi="Times New Roman" w:cs="Times New Roman"/>
              <w:sz w:val="24"/>
              <w:szCs w:val="24"/>
              <w:lang w:val="en-US"/>
            </w:rPr>
            <w:instrText xml:space="preserve"> CITATION Rya20 \l 1033 </w:instrText>
          </w:r>
          <w:r w:rsidR="000D75E4">
            <w:rPr>
              <w:rFonts w:ascii="Times New Roman" w:hAnsi="Times New Roman" w:cs="Times New Roman"/>
              <w:sz w:val="24"/>
              <w:szCs w:val="24"/>
            </w:rPr>
            <w:fldChar w:fldCharType="separate"/>
          </w:r>
          <w:r w:rsidR="000D75E4" w:rsidRPr="004E515E">
            <w:rPr>
              <w:rFonts w:ascii="Times New Roman" w:hAnsi="Times New Roman" w:cs="Times New Roman"/>
              <w:noProof/>
              <w:sz w:val="24"/>
              <w:szCs w:val="24"/>
              <w:lang w:val="en-US"/>
            </w:rPr>
            <w:t>(Ryan, et al., 2020)</w:t>
          </w:r>
          <w:r w:rsidR="000D75E4">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As a result, the trade show shall be a platform for driving qualified leads within the targeted business community whilst enabling meaningful connections and knowledge sharing.  </w:t>
      </w:r>
    </w:p>
    <w:p w14:paraId="3CB84A2C" w14:textId="77777777" w:rsidR="00FB68F4" w:rsidRDefault="00FB68F4" w:rsidP="00EB549E">
      <w:pPr>
        <w:spacing w:line="360" w:lineRule="auto"/>
        <w:jc w:val="both"/>
        <w:rPr>
          <w:rFonts w:ascii="Times New Roman" w:hAnsi="Times New Roman" w:cs="Times New Roman"/>
          <w:sz w:val="24"/>
          <w:szCs w:val="24"/>
        </w:rPr>
      </w:pPr>
    </w:p>
    <w:p w14:paraId="311A7782" w14:textId="77777777" w:rsidR="00FB68F4" w:rsidRDefault="000E36A2" w:rsidP="00EB549E">
      <w:pPr>
        <w:spacing w:line="360" w:lineRule="auto"/>
        <w:jc w:val="both"/>
        <w:rPr>
          <w:rFonts w:ascii="Times New Roman" w:hAnsi="Times New Roman" w:cs="Times New Roman"/>
          <w:sz w:val="24"/>
          <w:szCs w:val="24"/>
        </w:rPr>
      </w:pPr>
      <w:r>
        <w:rPr>
          <w:noProof/>
        </w:rPr>
        <w:lastRenderedPageBreak/>
        <w:drawing>
          <wp:inline distT="0" distB="0" distL="0" distR="0" wp14:anchorId="5406CA06" wp14:editId="485919CA">
            <wp:extent cx="5731510" cy="3223895"/>
            <wp:effectExtent l="0" t="0" r="2540" b="0"/>
            <wp:docPr id="122437769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F364217" w14:textId="43BA5D4A"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trade show organised by the Hospitality Sector Council UK is a manifestation of the marketing strategy to showcase the new AR &amp; VR conference solution as well as contribute to their networking opportunities with business clients and potential decision-making bodies outside and within the hospitality industry respectively </w:t>
      </w:r>
      <w:sdt>
        <w:sdtPr>
          <w:rPr>
            <w:rFonts w:ascii="Times New Roman" w:eastAsia="Times New Roman" w:hAnsi="Times New Roman" w:cs="Times New Roman"/>
            <w:color w:val="222222"/>
            <w:kern w:val="0"/>
            <w:sz w:val="24"/>
            <w:szCs w:val="24"/>
            <w:lang w:eastAsia="en-IN"/>
            <w14:ligatures w14:val="none"/>
          </w:rPr>
          <w:id w:val="-200484658"/>
          <w:citation/>
        </w:sdtPr>
        <w:sdtEndPr/>
        <w:sdtContent>
          <w:r w:rsidR="000D75E4" w:rsidRPr="00086DBB">
            <w:rPr>
              <w:rFonts w:ascii="Times New Roman" w:eastAsia="Times New Roman" w:hAnsi="Times New Roman" w:cs="Times New Roman"/>
              <w:color w:val="222222"/>
              <w:kern w:val="0"/>
              <w:sz w:val="24"/>
              <w:szCs w:val="24"/>
              <w:lang w:eastAsia="en-IN"/>
              <w14:ligatures w14:val="none"/>
            </w:rPr>
            <w:fldChar w:fldCharType="begin"/>
          </w:r>
          <w:r w:rsidR="000D75E4" w:rsidRPr="00086DBB">
            <w:rPr>
              <w:rFonts w:ascii="Times New Roman" w:eastAsia="Times New Roman" w:hAnsi="Times New Roman" w:cs="Times New Roman"/>
              <w:color w:val="222222"/>
              <w:kern w:val="0"/>
              <w:sz w:val="24"/>
              <w:szCs w:val="24"/>
              <w:lang w:eastAsia="en-IN"/>
              <w14:ligatures w14:val="none"/>
            </w:rPr>
            <w:instrText xml:space="preserve"> CITATION OTo11 \l 1033 </w:instrText>
          </w:r>
          <w:r w:rsidR="000D75E4" w:rsidRPr="00086DBB">
            <w:rPr>
              <w:rFonts w:ascii="Times New Roman" w:eastAsia="Times New Roman" w:hAnsi="Times New Roman" w:cs="Times New Roman"/>
              <w:color w:val="222222"/>
              <w:kern w:val="0"/>
              <w:sz w:val="24"/>
              <w:szCs w:val="24"/>
              <w:lang w:eastAsia="en-IN"/>
              <w14:ligatures w14:val="none"/>
            </w:rPr>
            <w:fldChar w:fldCharType="separate"/>
          </w:r>
          <w:r w:rsidR="000D75E4" w:rsidRPr="00086DBB">
            <w:rPr>
              <w:rFonts w:ascii="Times New Roman" w:eastAsia="Times New Roman" w:hAnsi="Times New Roman" w:cs="Times New Roman"/>
              <w:noProof/>
              <w:color w:val="222222"/>
              <w:kern w:val="0"/>
              <w:sz w:val="24"/>
              <w:szCs w:val="24"/>
              <w:lang w:eastAsia="en-IN"/>
              <w14:ligatures w14:val="none"/>
            </w:rPr>
            <w:t>(O'Toole, 2011)</w:t>
          </w:r>
          <w:r w:rsidR="000D75E4" w:rsidRPr="00086DBB">
            <w:rPr>
              <w:rFonts w:ascii="Times New Roman" w:eastAsia="Times New Roman" w:hAnsi="Times New Roman" w:cs="Times New Roman"/>
              <w:color w:val="222222"/>
              <w:kern w:val="0"/>
              <w:sz w:val="24"/>
              <w:szCs w:val="24"/>
              <w:lang w:eastAsia="en-IN"/>
              <w14:ligatures w14:val="none"/>
            </w:rPr>
            <w:fldChar w:fldCharType="end"/>
          </w:r>
        </w:sdtContent>
      </w:sdt>
      <w:r w:rsidRPr="00FB68F4">
        <w:rPr>
          <w:rFonts w:ascii="Times New Roman" w:hAnsi="Times New Roman" w:cs="Times New Roman"/>
          <w:sz w:val="24"/>
          <w:szCs w:val="24"/>
        </w:rPr>
        <w:t xml:space="preserve">. Despite the popularity of trade shows still flailing from the aftermath of the COVID-19 pandemic globally and the effect of Brexit within the UK, growing confidence amongst professional clients for conference service bookings reinforces demands for this trade show. Organising this event in the London Marriott Hotel, Grosvenor Square is preferable due to London’s commercial and business value as well as its high accessibility to international companies whilst also lending favourable support to leverage the hotel supply and further potentially extend to destination supply flow with relevant stakeholder management for the trade show conference and stay-related experiences </w:t>
      </w:r>
      <w:sdt>
        <w:sdtPr>
          <w:rPr>
            <w:rFonts w:ascii="Times New Roman" w:eastAsia="Times New Roman" w:hAnsi="Times New Roman" w:cs="Times New Roman"/>
            <w:color w:val="222222"/>
            <w:kern w:val="0"/>
            <w:sz w:val="24"/>
            <w:szCs w:val="24"/>
            <w:lang w:eastAsia="en-IN"/>
            <w14:ligatures w14:val="none"/>
          </w:rPr>
          <w:id w:val="498235773"/>
          <w:citation/>
        </w:sdtPr>
        <w:sdtEndPr/>
        <w:sdtContent>
          <w:r w:rsidR="000D75E4" w:rsidRPr="00086DBB">
            <w:rPr>
              <w:rFonts w:ascii="Times New Roman" w:eastAsia="Times New Roman" w:hAnsi="Times New Roman" w:cs="Times New Roman"/>
              <w:color w:val="222222"/>
              <w:kern w:val="0"/>
              <w:sz w:val="24"/>
              <w:szCs w:val="24"/>
              <w:lang w:eastAsia="en-IN"/>
              <w14:ligatures w14:val="none"/>
            </w:rPr>
            <w:fldChar w:fldCharType="begin"/>
          </w:r>
          <w:r w:rsidR="000D75E4" w:rsidRPr="00086DBB">
            <w:rPr>
              <w:rFonts w:ascii="Times New Roman" w:eastAsia="Times New Roman" w:hAnsi="Times New Roman" w:cs="Times New Roman"/>
              <w:color w:val="222222"/>
              <w:kern w:val="0"/>
              <w:sz w:val="24"/>
              <w:szCs w:val="24"/>
              <w:lang w:eastAsia="en-IN"/>
              <w14:ligatures w14:val="none"/>
            </w:rPr>
            <w:instrText xml:space="preserve"> CITATION IBI23 \l 1033 </w:instrText>
          </w:r>
          <w:r w:rsidR="000D75E4" w:rsidRPr="00086DBB">
            <w:rPr>
              <w:rFonts w:ascii="Times New Roman" w:eastAsia="Times New Roman" w:hAnsi="Times New Roman" w:cs="Times New Roman"/>
              <w:color w:val="222222"/>
              <w:kern w:val="0"/>
              <w:sz w:val="24"/>
              <w:szCs w:val="24"/>
              <w:lang w:eastAsia="en-IN"/>
              <w14:ligatures w14:val="none"/>
            </w:rPr>
            <w:fldChar w:fldCharType="separate"/>
          </w:r>
          <w:r w:rsidR="000D75E4" w:rsidRPr="00086DBB">
            <w:rPr>
              <w:rFonts w:ascii="Times New Roman" w:eastAsia="Times New Roman" w:hAnsi="Times New Roman" w:cs="Times New Roman"/>
              <w:noProof/>
              <w:color w:val="222222"/>
              <w:kern w:val="0"/>
              <w:sz w:val="24"/>
              <w:szCs w:val="24"/>
              <w:lang w:eastAsia="en-IN"/>
              <w14:ligatures w14:val="none"/>
            </w:rPr>
            <w:t>(IBISWorld, 2023)</w:t>
          </w:r>
          <w:r w:rsidR="000D75E4" w:rsidRPr="00086DBB">
            <w:rPr>
              <w:rFonts w:ascii="Times New Roman" w:eastAsia="Times New Roman" w:hAnsi="Times New Roman" w:cs="Times New Roman"/>
              <w:color w:val="222222"/>
              <w:kern w:val="0"/>
              <w:sz w:val="24"/>
              <w:szCs w:val="24"/>
              <w:lang w:eastAsia="en-IN"/>
              <w14:ligatures w14:val="none"/>
            </w:rPr>
            <w:fldChar w:fldCharType="end"/>
          </w:r>
        </w:sdtContent>
      </w:sdt>
      <w:r w:rsidR="000D75E4" w:rsidRPr="00086DBB">
        <w:rPr>
          <w:rFonts w:ascii="Times New Roman" w:eastAsia="Times New Roman" w:hAnsi="Times New Roman" w:cs="Times New Roman"/>
          <w:color w:val="222222"/>
          <w:kern w:val="0"/>
          <w:sz w:val="24"/>
          <w:szCs w:val="24"/>
          <w:lang w:eastAsia="en-IN"/>
          <w14:ligatures w14:val="none"/>
        </w:rPr>
        <w:t xml:space="preserve"> </w:t>
      </w:r>
      <w:sdt>
        <w:sdtPr>
          <w:rPr>
            <w:rFonts w:ascii="Times New Roman" w:eastAsia="Times New Roman" w:hAnsi="Times New Roman" w:cs="Times New Roman"/>
            <w:color w:val="222222"/>
            <w:kern w:val="0"/>
            <w:sz w:val="24"/>
            <w:szCs w:val="24"/>
            <w:lang w:eastAsia="en-IN"/>
            <w14:ligatures w14:val="none"/>
          </w:rPr>
          <w:id w:val="224274304"/>
          <w:citation/>
        </w:sdtPr>
        <w:sdtEndPr/>
        <w:sdtContent>
          <w:r w:rsidR="000D75E4" w:rsidRPr="00086DBB">
            <w:rPr>
              <w:rFonts w:ascii="Times New Roman" w:eastAsia="Times New Roman" w:hAnsi="Times New Roman" w:cs="Times New Roman"/>
              <w:color w:val="222222"/>
              <w:kern w:val="0"/>
              <w:sz w:val="24"/>
              <w:szCs w:val="24"/>
              <w:lang w:eastAsia="en-IN"/>
              <w14:ligatures w14:val="none"/>
            </w:rPr>
            <w:fldChar w:fldCharType="begin"/>
          </w:r>
          <w:r w:rsidR="000D75E4" w:rsidRPr="00086DBB">
            <w:rPr>
              <w:rFonts w:ascii="Times New Roman" w:eastAsia="Times New Roman" w:hAnsi="Times New Roman" w:cs="Times New Roman"/>
              <w:color w:val="222222"/>
              <w:kern w:val="0"/>
              <w:sz w:val="24"/>
              <w:szCs w:val="24"/>
              <w:lang w:eastAsia="en-IN"/>
              <w14:ligatures w14:val="none"/>
            </w:rPr>
            <w:instrText xml:space="preserve"> CITATION Web19 \l 1033 </w:instrText>
          </w:r>
          <w:r w:rsidR="000D75E4" w:rsidRPr="00086DBB">
            <w:rPr>
              <w:rFonts w:ascii="Times New Roman" w:eastAsia="Times New Roman" w:hAnsi="Times New Roman" w:cs="Times New Roman"/>
              <w:color w:val="222222"/>
              <w:kern w:val="0"/>
              <w:sz w:val="24"/>
              <w:szCs w:val="24"/>
              <w:lang w:eastAsia="en-IN"/>
              <w14:ligatures w14:val="none"/>
            </w:rPr>
            <w:fldChar w:fldCharType="separate"/>
          </w:r>
          <w:r w:rsidR="000D75E4" w:rsidRPr="00086DBB">
            <w:rPr>
              <w:rFonts w:ascii="Times New Roman" w:eastAsia="Times New Roman" w:hAnsi="Times New Roman" w:cs="Times New Roman"/>
              <w:noProof/>
              <w:color w:val="222222"/>
              <w:kern w:val="0"/>
              <w:sz w:val="24"/>
              <w:szCs w:val="24"/>
              <w:lang w:eastAsia="en-IN"/>
              <w14:ligatures w14:val="none"/>
            </w:rPr>
            <w:t>(Weber &amp; Mair, 2019)</w:t>
          </w:r>
          <w:r w:rsidR="000D75E4" w:rsidRPr="00086DBB">
            <w:rPr>
              <w:rFonts w:ascii="Times New Roman" w:eastAsia="Times New Roman" w:hAnsi="Times New Roman" w:cs="Times New Roman"/>
              <w:color w:val="222222"/>
              <w:kern w:val="0"/>
              <w:sz w:val="24"/>
              <w:szCs w:val="24"/>
              <w:lang w:eastAsia="en-IN"/>
              <w14:ligatures w14:val="none"/>
            </w:rPr>
            <w:fldChar w:fldCharType="end"/>
          </w:r>
        </w:sdtContent>
      </w:sdt>
      <w:r w:rsidRPr="00FB68F4">
        <w:rPr>
          <w:rFonts w:ascii="Times New Roman" w:hAnsi="Times New Roman" w:cs="Times New Roman"/>
          <w:sz w:val="24"/>
          <w:szCs w:val="24"/>
        </w:rPr>
        <w:t xml:space="preserve">.  However, the event also must address the challenge associated with hospitality concerning a sustainable future in terms of bridging the gap between labour shortage and enhanced customer experience. Realising that the labour shortage crisis may impact the event outcome, it </w:t>
      </w:r>
      <w:proofErr w:type="gramStart"/>
      <w:r w:rsidRPr="00FB68F4">
        <w:rPr>
          <w:rFonts w:ascii="Times New Roman" w:hAnsi="Times New Roman" w:cs="Times New Roman"/>
          <w:sz w:val="24"/>
          <w:szCs w:val="24"/>
        </w:rPr>
        <w:t>would</w:t>
      </w:r>
      <w:proofErr w:type="gramEnd"/>
      <w:r w:rsidRPr="00FB68F4">
        <w:rPr>
          <w:rFonts w:ascii="Times New Roman" w:hAnsi="Times New Roman" w:cs="Times New Roman"/>
          <w:sz w:val="24"/>
          <w:szCs w:val="24"/>
        </w:rPr>
        <w:t xml:space="preserve"> beneficial to complement the supply with technological innovations which shall ensure that the available staff remain committed and engaged with their work </w:t>
      </w:r>
      <w:r w:rsidRPr="00FB68F4">
        <w:rPr>
          <w:rFonts w:ascii="Times New Roman" w:hAnsi="Times New Roman" w:cs="Times New Roman"/>
          <w:sz w:val="24"/>
          <w:szCs w:val="24"/>
          <w:lang w:val="en-US"/>
        </w:rPr>
        <w:t>(</w:t>
      </w:r>
      <w:sdt>
        <w:sdtPr>
          <w:rPr>
            <w:rFonts w:ascii="Times New Roman" w:eastAsia="Times New Roman" w:hAnsi="Times New Roman" w:cs="Times New Roman"/>
            <w:color w:val="222222"/>
            <w:kern w:val="0"/>
            <w:sz w:val="24"/>
            <w:szCs w:val="24"/>
            <w:lang w:eastAsia="en-IN"/>
            <w14:ligatures w14:val="none"/>
          </w:rPr>
          <w:id w:val="1850055135"/>
          <w:citation/>
        </w:sdtPr>
        <w:sdtEndPr/>
        <w:sdtContent>
          <w:r w:rsidR="000D75E4">
            <w:rPr>
              <w:rFonts w:ascii="Times New Roman" w:eastAsia="Times New Roman" w:hAnsi="Times New Roman" w:cs="Times New Roman"/>
              <w:color w:val="222222"/>
              <w:kern w:val="0"/>
              <w:sz w:val="24"/>
              <w:szCs w:val="24"/>
              <w:lang w:eastAsia="en-IN"/>
              <w14:ligatures w14:val="none"/>
            </w:rPr>
            <w:fldChar w:fldCharType="begin"/>
          </w:r>
          <w:r w:rsidR="000D75E4">
            <w:rPr>
              <w:rFonts w:ascii="Times New Roman" w:eastAsia="Times New Roman" w:hAnsi="Times New Roman" w:cs="Times New Roman"/>
              <w:color w:val="222222"/>
              <w:kern w:val="0"/>
              <w:sz w:val="24"/>
              <w:szCs w:val="24"/>
              <w:lang w:val="en-US" w:eastAsia="en-IN"/>
              <w14:ligatures w14:val="none"/>
            </w:rPr>
            <w:instrText xml:space="preserve"> CITATION Bin23 \l 1033 </w:instrText>
          </w:r>
          <w:r w:rsidR="000D75E4">
            <w:rPr>
              <w:rFonts w:ascii="Times New Roman" w:eastAsia="Times New Roman" w:hAnsi="Times New Roman" w:cs="Times New Roman"/>
              <w:color w:val="222222"/>
              <w:kern w:val="0"/>
              <w:sz w:val="24"/>
              <w:szCs w:val="24"/>
              <w:lang w:eastAsia="en-IN"/>
              <w14:ligatures w14:val="none"/>
            </w:rPr>
            <w:fldChar w:fldCharType="separate"/>
          </w:r>
          <w:r w:rsidR="000D75E4" w:rsidRPr="00313D35">
            <w:rPr>
              <w:rFonts w:ascii="Times New Roman" w:eastAsia="Times New Roman" w:hAnsi="Times New Roman" w:cs="Times New Roman"/>
              <w:noProof/>
              <w:color w:val="222222"/>
              <w:kern w:val="0"/>
              <w:sz w:val="24"/>
              <w:szCs w:val="24"/>
              <w:lang w:val="en-US" w:eastAsia="en-IN"/>
              <w14:ligatures w14:val="none"/>
            </w:rPr>
            <w:t>(Binggeli, et al., 2023)</w:t>
          </w:r>
          <w:r w:rsidR="000D75E4">
            <w:rPr>
              <w:rFonts w:ascii="Times New Roman" w:eastAsia="Times New Roman" w:hAnsi="Times New Roman" w:cs="Times New Roman"/>
              <w:color w:val="222222"/>
              <w:kern w:val="0"/>
              <w:sz w:val="24"/>
              <w:szCs w:val="24"/>
              <w:lang w:eastAsia="en-IN"/>
              <w14:ligatures w14:val="none"/>
            </w:rPr>
            <w:fldChar w:fldCharType="end"/>
          </w:r>
        </w:sdtContent>
      </w:sdt>
      <w:r w:rsidRPr="00FB68F4">
        <w:rPr>
          <w:rFonts w:ascii="Times New Roman" w:hAnsi="Times New Roman" w:cs="Times New Roman"/>
          <w:sz w:val="24"/>
          <w:szCs w:val="24"/>
        </w:rPr>
        <w:t xml:space="preserve">. The purpose-driven innovative technology application linked to the smartphone shall reduce much of the routine work associated with the business clients’ navigation and experience whilst the supply staff can be engaged in more quality service provisions. Maintaining a differentiated offer would be key for enhancing the event outcome success for the business customers thriving in the experience </w:t>
      </w:r>
      <w:r w:rsidRPr="00FB68F4">
        <w:rPr>
          <w:rFonts w:ascii="Times New Roman" w:hAnsi="Times New Roman" w:cs="Times New Roman"/>
          <w:sz w:val="24"/>
          <w:szCs w:val="24"/>
        </w:rPr>
        <w:lastRenderedPageBreak/>
        <w:t xml:space="preserve">economy </w:t>
      </w:r>
      <w:sdt>
        <w:sdtPr>
          <w:rPr>
            <w:rFonts w:ascii="Times New Roman" w:eastAsia="Times New Roman" w:hAnsi="Times New Roman" w:cs="Times New Roman"/>
            <w:color w:val="222222"/>
            <w:kern w:val="0"/>
            <w:sz w:val="24"/>
            <w:szCs w:val="24"/>
            <w:lang w:eastAsia="en-IN"/>
            <w14:ligatures w14:val="none"/>
          </w:rPr>
          <w:id w:val="-968049916"/>
          <w:citation/>
        </w:sdtPr>
        <w:sdtEndPr/>
        <w:sdtContent>
          <w:r w:rsidR="000D75E4">
            <w:rPr>
              <w:rFonts w:ascii="Times New Roman" w:eastAsia="Times New Roman" w:hAnsi="Times New Roman" w:cs="Times New Roman"/>
              <w:color w:val="222222"/>
              <w:kern w:val="0"/>
              <w:sz w:val="24"/>
              <w:szCs w:val="24"/>
              <w:lang w:eastAsia="en-IN"/>
              <w14:ligatures w14:val="none"/>
            </w:rPr>
            <w:fldChar w:fldCharType="begin"/>
          </w:r>
          <w:r w:rsidR="000D75E4">
            <w:rPr>
              <w:rFonts w:ascii="Times New Roman" w:eastAsia="Times New Roman" w:hAnsi="Times New Roman" w:cs="Times New Roman"/>
              <w:color w:val="222222"/>
              <w:kern w:val="0"/>
              <w:sz w:val="24"/>
              <w:szCs w:val="24"/>
              <w:lang w:val="en-US" w:eastAsia="en-IN"/>
              <w14:ligatures w14:val="none"/>
            </w:rPr>
            <w:instrText xml:space="preserve"> CITATION Tem21 \l 1033 </w:instrText>
          </w:r>
          <w:r w:rsidR="000D75E4">
            <w:rPr>
              <w:rFonts w:ascii="Times New Roman" w:eastAsia="Times New Roman" w:hAnsi="Times New Roman" w:cs="Times New Roman"/>
              <w:color w:val="222222"/>
              <w:kern w:val="0"/>
              <w:sz w:val="24"/>
              <w:szCs w:val="24"/>
              <w:lang w:eastAsia="en-IN"/>
              <w14:ligatures w14:val="none"/>
            </w:rPr>
            <w:fldChar w:fldCharType="separate"/>
          </w:r>
          <w:r w:rsidR="000D75E4" w:rsidRPr="00313D35">
            <w:rPr>
              <w:rFonts w:ascii="Times New Roman" w:eastAsia="Times New Roman" w:hAnsi="Times New Roman" w:cs="Times New Roman"/>
              <w:noProof/>
              <w:color w:val="222222"/>
              <w:kern w:val="0"/>
              <w:sz w:val="24"/>
              <w:szCs w:val="24"/>
              <w:lang w:val="en-US" w:eastAsia="en-IN"/>
              <w14:ligatures w14:val="none"/>
            </w:rPr>
            <w:t>(Temkin, 2021)</w:t>
          </w:r>
          <w:r w:rsidR="000D75E4">
            <w:rPr>
              <w:rFonts w:ascii="Times New Roman" w:eastAsia="Times New Roman" w:hAnsi="Times New Roman" w:cs="Times New Roman"/>
              <w:color w:val="222222"/>
              <w:kern w:val="0"/>
              <w:sz w:val="24"/>
              <w:szCs w:val="24"/>
              <w:lang w:eastAsia="en-IN"/>
              <w14:ligatures w14:val="none"/>
            </w:rPr>
            <w:fldChar w:fldCharType="end"/>
          </w:r>
        </w:sdtContent>
      </w:sdt>
      <w:r w:rsidRPr="00FB68F4">
        <w:rPr>
          <w:rFonts w:ascii="Times New Roman" w:hAnsi="Times New Roman" w:cs="Times New Roman"/>
          <w:sz w:val="24"/>
          <w:szCs w:val="24"/>
        </w:rPr>
        <w:t xml:space="preserve">.  These aspects also add to the feasibility of the event being organised by the Hospitality Sector Council UK. </w:t>
      </w:r>
    </w:p>
    <w:p w14:paraId="2F9215DE" w14:textId="556205BA"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The impact of competition may be fragmented across the hospitality participants. Technology forms a determining criterion in the contemporary events landscape wherein the hospitality bodies can tap its advancements from designing to execution. This is especially relevant in the post-COVID era marked by the rising impact of virtual events. However, the promising aspect of the event being organised by Hospitality Sector Council UK remains the in-person desirability among professional clients underpinned by the low overall level of competition in the UK only balanced by the small industry players</w:t>
      </w:r>
      <w:r w:rsidR="00FA1CC6">
        <w:rPr>
          <w:rFonts w:ascii="Times New Roman" w:hAnsi="Times New Roman" w:cs="Times New Roman"/>
          <w:sz w:val="24"/>
          <w:szCs w:val="24"/>
        </w:rPr>
        <w:t xml:space="preserve"> </w:t>
      </w:r>
      <w:sdt>
        <w:sdtPr>
          <w:rPr>
            <w:rFonts w:ascii="Times New Roman" w:hAnsi="Times New Roman" w:cs="Times New Roman"/>
            <w:sz w:val="24"/>
            <w:szCs w:val="24"/>
          </w:rPr>
          <w:id w:val="605927926"/>
          <w:citation/>
        </w:sdtPr>
        <w:sdtEndPr/>
        <w:sdtContent>
          <w:r w:rsidR="00FA1CC6">
            <w:rPr>
              <w:rFonts w:ascii="Times New Roman" w:hAnsi="Times New Roman" w:cs="Times New Roman"/>
              <w:sz w:val="24"/>
              <w:szCs w:val="24"/>
            </w:rPr>
            <w:fldChar w:fldCharType="begin"/>
          </w:r>
          <w:r w:rsidR="00FA1CC6">
            <w:rPr>
              <w:rFonts w:ascii="Times New Roman" w:hAnsi="Times New Roman" w:cs="Times New Roman"/>
              <w:sz w:val="24"/>
              <w:szCs w:val="24"/>
              <w:lang w:val="en-US"/>
            </w:rPr>
            <w:instrText xml:space="preserve"> CITATION IBI23 \l 1033 </w:instrText>
          </w:r>
          <w:r w:rsidR="00FA1CC6">
            <w:rPr>
              <w:rFonts w:ascii="Times New Roman" w:hAnsi="Times New Roman" w:cs="Times New Roman"/>
              <w:sz w:val="24"/>
              <w:szCs w:val="24"/>
            </w:rPr>
            <w:fldChar w:fldCharType="separate"/>
          </w:r>
          <w:r w:rsidR="00FA1CC6" w:rsidRPr="00FA1CC6">
            <w:rPr>
              <w:rFonts w:ascii="Times New Roman" w:hAnsi="Times New Roman" w:cs="Times New Roman"/>
              <w:noProof/>
              <w:sz w:val="24"/>
              <w:szCs w:val="24"/>
              <w:lang w:val="en-US"/>
            </w:rPr>
            <w:t>(IBISWorld, 2023)</w:t>
          </w:r>
          <w:r w:rsidR="00FA1CC6">
            <w:rPr>
              <w:rFonts w:ascii="Times New Roman" w:hAnsi="Times New Roman" w:cs="Times New Roman"/>
              <w:sz w:val="24"/>
              <w:szCs w:val="24"/>
            </w:rPr>
            <w:fldChar w:fldCharType="end"/>
          </w:r>
        </w:sdtContent>
      </w:sdt>
      <w:r w:rsidRPr="00FB68F4">
        <w:rPr>
          <w:rFonts w:ascii="Times New Roman" w:hAnsi="Times New Roman" w:cs="Times New Roman"/>
          <w:sz w:val="24"/>
          <w:szCs w:val="24"/>
        </w:rPr>
        <w:t>. Acknowledging the competitive influence shall enable the optimum utilisation of purpose-driven event coordination technology via smartphone microsite landing calendar bookmark coupled with service excellence. Alternatively, the low competition also shall secure the grounds for a comprehensive trade show conference event planning by developing the newer event themes, namely, cooperative support, experience and experiential learning whilst also maintaining other areas such as service-related business conference enablement</w:t>
      </w:r>
      <w:r w:rsidR="00FA1CC6" w:rsidRPr="00FA1CC6">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13727559"/>
          <w:citation/>
        </w:sdtPr>
        <w:sdtEndPr/>
        <w:sdtContent>
          <w:r w:rsidR="00FA1CC6">
            <w:rPr>
              <w:rFonts w:ascii="Times New Roman" w:hAnsi="Times New Roman" w:cs="Times New Roman"/>
              <w:color w:val="222222"/>
              <w:sz w:val="24"/>
              <w:szCs w:val="24"/>
              <w:shd w:val="clear" w:color="auto" w:fill="FFFFFF"/>
            </w:rPr>
            <w:fldChar w:fldCharType="begin"/>
          </w:r>
          <w:r w:rsidR="00FA1CC6">
            <w:rPr>
              <w:rFonts w:ascii="Times New Roman" w:hAnsi="Times New Roman" w:cs="Times New Roman"/>
              <w:color w:val="222222"/>
              <w:sz w:val="24"/>
              <w:szCs w:val="24"/>
              <w:shd w:val="clear" w:color="auto" w:fill="FFFFFF"/>
              <w:lang w:val="en-US"/>
            </w:rPr>
            <w:instrText xml:space="preserve"> CITATION Sin23 \l 1033 </w:instrText>
          </w:r>
          <w:r w:rsidR="00FA1CC6">
            <w:rPr>
              <w:rFonts w:ascii="Times New Roman" w:hAnsi="Times New Roman" w:cs="Times New Roman"/>
              <w:color w:val="222222"/>
              <w:sz w:val="24"/>
              <w:szCs w:val="24"/>
              <w:shd w:val="clear" w:color="auto" w:fill="FFFFFF"/>
            </w:rPr>
            <w:fldChar w:fldCharType="separate"/>
          </w:r>
          <w:r w:rsidR="00FA1CC6" w:rsidRPr="00A87DEF">
            <w:rPr>
              <w:rFonts w:ascii="Times New Roman" w:hAnsi="Times New Roman" w:cs="Times New Roman"/>
              <w:noProof/>
              <w:color w:val="222222"/>
              <w:sz w:val="24"/>
              <w:szCs w:val="24"/>
              <w:shd w:val="clear" w:color="auto" w:fill="FFFFFF"/>
              <w:lang w:val="en-US"/>
            </w:rPr>
            <w:t>(Singh, et al., 2023)</w:t>
          </w:r>
          <w:r w:rsidR="00FA1CC6">
            <w:rPr>
              <w:rFonts w:ascii="Times New Roman" w:hAnsi="Times New Roman" w:cs="Times New Roman"/>
              <w:color w:val="222222"/>
              <w:sz w:val="24"/>
              <w:szCs w:val="24"/>
              <w:shd w:val="clear" w:color="auto" w:fill="FFFFFF"/>
            </w:rPr>
            <w:fldChar w:fldCharType="end"/>
          </w:r>
        </w:sdtContent>
      </w:sdt>
      <w:r w:rsidRPr="00FB68F4">
        <w:rPr>
          <w:rFonts w:ascii="Times New Roman" w:hAnsi="Times New Roman" w:cs="Times New Roman"/>
          <w:sz w:val="24"/>
          <w:szCs w:val="24"/>
        </w:rPr>
        <w:t xml:space="preserve">. </w:t>
      </w:r>
      <w:r w:rsidR="00CD79CD">
        <w:rPr>
          <w:rFonts w:ascii="Times New Roman" w:hAnsi="Times New Roman" w:cs="Times New Roman"/>
          <w:sz w:val="24"/>
          <w:szCs w:val="24"/>
        </w:rPr>
        <w:t>Overall, guests shall encounter a</w:t>
      </w:r>
      <w:r w:rsidRPr="00FB68F4">
        <w:rPr>
          <w:rFonts w:ascii="Times New Roman" w:hAnsi="Times New Roman" w:cs="Times New Roman"/>
          <w:sz w:val="24"/>
          <w:szCs w:val="24"/>
        </w:rPr>
        <w:t xml:space="preserve"> smooth procedure for</w:t>
      </w:r>
      <w:r w:rsidR="005A6260">
        <w:rPr>
          <w:rFonts w:ascii="Times New Roman" w:hAnsi="Times New Roman" w:cs="Times New Roman"/>
          <w:sz w:val="24"/>
          <w:szCs w:val="24"/>
        </w:rPr>
        <w:t xml:space="preserve"> the</w:t>
      </w:r>
      <w:r w:rsidRPr="00FB68F4">
        <w:rPr>
          <w:rFonts w:ascii="Times New Roman" w:hAnsi="Times New Roman" w:cs="Times New Roman"/>
          <w:sz w:val="24"/>
          <w:szCs w:val="24"/>
        </w:rPr>
        <w:t xml:space="preserve"> signup, information requirements and venue navigation whilst </w:t>
      </w:r>
      <w:r w:rsidR="00CD79CD">
        <w:rPr>
          <w:rFonts w:ascii="Times New Roman" w:hAnsi="Times New Roman" w:cs="Times New Roman"/>
          <w:sz w:val="24"/>
          <w:szCs w:val="24"/>
        </w:rPr>
        <w:t>also being recipients</w:t>
      </w:r>
      <w:r w:rsidRPr="00FB68F4">
        <w:rPr>
          <w:rFonts w:ascii="Times New Roman" w:hAnsi="Times New Roman" w:cs="Times New Roman"/>
          <w:sz w:val="24"/>
          <w:szCs w:val="24"/>
        </w:rPr>
        <w:t xml:space="preserve"> to memorable experiences. </w:t>
      </w:r>
    </w:p>
    <w:p w14:paraId="21A19E46" w14:textId="77777777" w:rsidR="00FB68F4" w:rsidRDefault="00FB68F4" w:rsidP="00EB549E">
      <w:pPr>
        <w:spacing w:line="360" w:lineRule="auto"/>
        <w:jc w:val="both"/>
        <w:rPr>
          <w:rFonts w:ascii="Times New Roman" w:hAnsi="Times New Roman" w:cs="Times New Roman"/>
          <w:sz w:val="24"/>
          <w:szCs w:val="24"/>
        </w:rPr>
      </w:pPr>
    </w:p>
    <w:p w14:paraId="5EDC1F3E" w14:textId="77777777" w:rsidR="00FB68F4" w:rsidRDefault="000E36A2" w:rsidP="00EB549E">
      <w:pPr>
        <w:spacing w:line="360" w:lineRule="auto"/>
        <w:jc w:val="both"/>
        <w:rPr>
          <w:rFonts w:ascii="Times New Roman" w:hAnsi="Times New Roman" w:cs="Times New Roman"/>
          <w:sz w:val="24"/>
          <w:szCs w:val="24"/>
        </w:rPr>
      </w:pPr>
      <w:r>
        <w:rPr>
          <w:noProof/>
        </w:rPr>
        <w:drawing>
          <wp:inline distT="0" distB="0" distL="0" distR="0" wp14:anchorId="4DECA51A" wp14:editId="0627A018">
            <wp:extent cx="5731510" cy="3223895"/>
            <wp:effectExtent l="0" t="0" r="2540" b="0"/>
            <wp:docPr id="1030558215"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59A0528C" w14:textId="35C130D6"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lastRenderedPageBreak/>
        <w:t xml:space="preserve">Event staff (human resources), a vital resource for the trade show conference shall be trained and developed properly to generate positive and lasting client experiences. However, the time-bound nature of the event coupled with the requirement of well-trained staff towards the international-facing event can pose a challenge to the event resource allocation decision-making requirement </w:t>
      </w:r>
      <w:sdt>
        <w:sdtPr>
          <w:rPr>
            <w:rFonts w:ascii="Times New Roman" w:hAnsi="Times New Roman" w:cs="Times New Roman"/>
            <w:color w:val="222222"/>
            <w:sz w:val="24"/>
            <w:szCs w:val="24"/>
            <w:shd w:val="clear" w:color="auto" w:fill="FFFFFF"/>
          </w:rPr>
          <w:id w:val="948741062"/>
          <w:citation/>
        </w:sdtPr>
        <w:sdtEndPr/>
        <w:sdtContent>
          <w:r w:rsidR="0029052C">
            <w:rPr>
              <w:rFonts w:ascii="Times New Roman" w:hAnsi="Times New Roman" w:cs="Times New Roman"/>
              <w:color w:val="222222"/>
              <w:sz w:val="24"/>
              <w:szCs w:val="24"/>
              <w:shd w:val="clear" w:color="auto" w:fill="FFFFFF"/>
            </w:rPr>
            <w:fldChar w:fldCharType="begin"/>
          </w:r>
          <w:r w:rsidR="0029052C">
            <w:rPr>
              <w:rFonts w:ascii="Times New Roman" w:hAnsi="Times New Roman" w:cs="Times New Roman"/>
              <w:color w:val="222222"/>
              <w:sz w:val="24"/>
              <w:szCs w:val="24"/>
              <w:shd w:val="clear" w:color="auto" w:fill="FFFFFF"/>
              <w:lang w:val="en-US"/>
            </w:rPr>
            <w:instrText xml:space="preserve"> CITATION Lei21 \l 1033 </w:instrText>
          </w:r>
          <w:r w:rsidR="0029052C">
            <w:rPr>
              <w:rFonts w:ascii="Times New Roman" w:hAnsi="Times New Roman" w:cs="Times New Roman"/>
              <w:color w:val="222222"/>
              <w:sz w:val="24"/>
              <w:szCs w:val="24"/>
              <w:shd w:val="clear" w:color="auto" w:fill="FFFFFF"/>
            </w:rPr>
            <w:fldChar w:fldCharType="separate"/>
          </w:r>
          <w:r w:rsidR="0029052C" w:rsidRPr="00314E91">
            <w:rPr>
              <w:rFonts w:ascii="Times New Roman" w:hAnsi="Times New Roman" w:cs="Times New Roman"/>
              <w:noProof/>
              <w:color w:val="222222"/>
              <w:sz w:val="24"/>
              <w:szCs w:val="24"/>
              <w:shd w:val="clear" w:color="auto" w:fill="FFFFFF"/>
              <w:lang w:val="en-US"/>
            </w:rPr>
            <w:t>(Leigh, et al., 2021)</w:t>
          </w:r>
          <w:r w:rsidR="0029052C">
            <w:rPr>
              <w:rFonts w:ascii="Times New Roman" w:hAnsi="Times New Roman" w:cs="Times New Roman"/>
              <w:color w:val="222222"/>
              <w:sz w:val="24"/>
              <w:szCs w:val="24"/>
              <w:shd w:val="clear" w:color="auto" w:fill="FFFFFF"/>
            </w:rPr>
            <w:fldChar w:fldCharType="end"/>
          </w:r>
        </w:sdtContent>
      </w:sdt>
      <w:r w:rsidRPr="00FB68F4">
        <w:rPr>
          <w:rFonts w:ascii="Times New Roman" w:hAnsi="Times New Roman" w:cs="Times New Roman"/>
          <w:sz w:val="24"/>
          <w:szCs w:val="24"/>
        </w:rPr>
        <w:t xml:space="preserve">. Identifying the appropriate staff enablement factors are most crucial for the trade show conference event success. </w:t>
      </w:r>
    </w:p>
    <w:p w14:paraId="768B9CBF" w14:textId="512E5735"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trade show business conference shall require a blend of skills suited to each particular purpose of the event. Sales skills and customer relationship management shall be dominant skill areas to build the sales pipeline for qualified leads for the AR/VR conference solution and address customer enquiries for the solution. This aspect is necessary to demonstrate the unique qualities of the AR/VR conference solution, </w:t>
      </w:r>
      <w:proofErr w:type="spellStart"/>
      <w:r w:rsidRPr="00FB68F4">
        <w:rPr>
          <w:rFonts w:ascii="Times New Roman" w:hAnsi="Times New Roman" w:cs="Times New Roman"/>
          <w:sz w:val="24"/>
          <w:szCs w:val="24"/>
        </w:rPr>
        <w:t>skillfully</w:t>
      </w:r>
      <w:proofErr w:type="spellEnd"/>
      <w:r w:rsidRPr="00FB68F4">
        <w:rPr>
          <w:rFonts w:ascii="Times New Roman" w:hAnsi="Times New Roman" w:cs="Times New Roman"/>
          <w:sz w:val="24"/>
          <w:szCs w:val="24"/>
        </w:rPr>
        <w:t xml:space="preserve"> manoeuvring the target audience for maximum success. Interactive skills and management skills are also required for the involved event staff to handle the guests properly and contribute to a memorable experience. The interactive qualities are also necessary to rightfully reinforce commitments from pertinent stakeholders (intra and inter-organisation) factoring the event location and its proximal conditions alongside traversing the international frontiers at least from the business client side acknowledging their cultural perspectives and liaising with relevant stakeholders during their stay </w:t>
      </w:r>
      <w:sdt>
        <w:sdtPr>
          <w:rPr>
            <w:rFonts w:ascii="Times New Roman" w:hAnsi="Times New Roman" w:cs="Times New Roman"/>
            <w:color w:val="222222"/>
            <w:sz w:val="24"/>
            <w:szCs w:val="24"/>
            <w:shd w:val="clear" w:color="auto" w:fill="FFFFFF"/>
          </w:rPr>
          <w:id w:val="2044865370"/>
          <w:citation/>
        </w:sdtPr>
        <w:sdtEndPr/>
        <w:sdtContent>
          <w:r w:rsidR="0029052C" w:rsidRPr="00086DBB">
            <w:rPr>
              <w:rFonts w:ascii="Times New Roman" w:hAnsi="Times New Roman" w:cs="Times New Roman"/>
              <w:color w:val="222222"/>
              <w:sz w:val="24"/>
              <w:szCs w:val="24"/>
              <w:shd w:val="clear" w:color="auto" w:fill="FFFFFF"/>
            </w:rPr>
            <w:fldChar w:fldCharType="begin"/>
          </w:r>
          <w:r w:rsidR="0029052C" w:rsidRPr="00086DBB">
            <w:rPr>
              <w:rFonts w:ascii="Times New Roman" w:hAnsi="Times New Roman" w:cs="Times New Roman"/>
              <w:color w:val="222222"/>
              <w:sz w:val="24"/>
              <w:szCs w:val="24"/>
              <w:shd w:val="clear" w:color="auto" w:fill="FFFFFF"/>
            </w:rPr>
            <w:instrText xml:space="preserve"> CITATION Web19 \l 1033 </w:instrText>
          </w:r>
          <w:r w:rsidR="0029052C" w:rsidRPr="00086DBB">
            <w:rPr>
              <w:rFonts w:ascii="Times New Roman" w:hAnsi="Times New Roman" w:cs="Times New Roman"/>
              <w:color w:val="222222"/>
              <w:sz w:val="24"/>
              <w:szCs w:val="24"/>
              <w:shd w:val="clear" w:color="auto" w:fill="FFFFFF"/>
            </w:rPr>
            <w:fldChar w:fldCharType="separate"/>
          </w:r>
          <w:r w:rsidR="0029052C" w:rsidRPr="00086DBB">
            <w:rPr>
              <w:rFonts w:ascii="Times New Roman" w:hAnsi="Times New Roman" w:cs="Times New Roman"/>
              <w:noProof/>
              <w:color w:val="222222"/>
              <w:sz w:val="24"/>
              <w:szCs w:val="24"/>
              <w:shd w:val="clear" w:color="auto" w:fill="FFFFFF"/>
            </w:rPr>
            <w:t>(Weber &amp; Mair, 2019)</w:t>
          </w:r>
          <w:r w:rsidR="0029052C" w:rsidRPr="00086DBB">
            <w:rPr>
              <w:rFonts w:ascii="Times New Roman" w:hAnsi="Times New Roman" w:cs="Times New Roman"/>
              <w:color w:val="222222"/>
              <w:sz w:val="24"/>
              <w:szCs w:val="24"/>
              <w:shd w:val="clear" w:color="auto" w:fill="FFFFFF"/>
            </w:rPr>
            <w:fldChar w:fldCharType="end"/>
          </w:r>
        </w:sdtContent>
      </w:sdt>
      <w:r w:rsidR="0029052C" w:rsidRPr="00086DBB">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1365445542"/>
          <w:citation/>
        </w:sdtPr>
        <w:sdtEndPr/>
        <w:sdtContent>
          <w:r w:rsidR="0029052C" w:rsidRPr="00086DBB">
            <w:rPr>
              <w:rFonts w:ascii="Times New Roman" w:hAnsi="Times New Roman" w:cs="Times New Roman"/>
              <w:color w:val="222222"/>
              <w:sz w:val="24"/>
              <w:szCs w:val="24"/>
              <w:shd w:val="clear" w:color="auto" w:fill="FFFFFF"/>
            </w:rPr>
            <w:fldChar w:fldCharType="begin"/>
          </w:r>
          <w:r w:rsidR="0029052C" w:rsidRPr="00086DBB">
            <w:rPr>
              <w:rFonts w:ascii="Times New Roman" w:hAnsi="Times New Roman" w:cs="Times New Roman"/>
              <w:color w:val="222222"/>
              <w:sz w:val="24"/>
              <w:szCs w:val="24"/>
              <w:shd w:val="clear" w:color="auto" w:fill="FFFFFF"/>
            </w:rPr>
            <w:instrText xml:space="preserve"> CITATION Yeu21 \l 1033 </w:instrText>
          </w:r>
          <w:r w:rsidR="0029052C" w:rsidRPr="00086DBB">
            <w:rPr>
              <w:rFonts w:ascii="Times New Roman" w:hAnsi="Times New Roman" w:cs="Times New Roman"/>
              <w:color w:val="222222"/>
              <w:sz w:val="24"/>
              <w:szCs w:val="24"/>
              <w:shd w:val="clear" w:color="auto" w:fill="FFFFFF"/>
            </w:rPr>
            <w:fldChar w:fldCharType="separate"/>
          </w:r>
          <w:r w:rsidR="0029052C" w:rsidRPr="00086DBB">
            <w:rPr>
              <w:rFonts w:ascii="Times New Roman" w:hAnsi="Times New Roman" w:cs="Times New Roman"/>
              <w:noProof/>
              <w:color w:val="222222"/>
              <w:sz w:val="24"/>
              <w:szCs w:val="24"/>
              <w:shd w:val="clear" w:color="auto" w:fill="FFFFFF"/>
            </w:rPr>
            <w:t>(Yeung &amp; Thomas, 2021)</w:t>
          </w:r>
          <w:r w:rsidR="0029052C" w:rsidRPr="00086DBB">
            <w:rPr>
              <w:rFonts w:ascii="Times New Roman" w:hAnsi="Times New Roman" w:cs="Times New Roman"/>
              <w:color w:val="222222"/>
              <w:sz w:val="24"/>
              <w:szCs w:val="24"/>
              <w:shd w:val="clear" w:color="auto" w:fill="FFFFFF"/>
            </w:rPr>
            <w:fldChar w:fldCharType="end"/>
          </w:r>
        </w:sdtContent>
      </w:sdt>
      <w:r w:rsidRPr="00FB68F4">
        <w:rPr>
          <w:rFonts w:ascii="Times New Roman" w:hAnsi="Times New Roman" w:cs="Times New Roman"/>
          <w:sz w:val="24"/>
          <w:szCs w:val="24"/>
        </w:rPr>
        <w:t xml:space="preserve">. Directional skills and leadership enablement are also necessary for streamlining the event and driving it towards success </w:t>
      </w:r>
      <w:sdt>
        <w:sdtPr>
          <w:rPr>
            <w:rFonts w:ascii="Times New Roman" w:hAnsi="Times New Roman" w:cs="Times New Roman"/>
            <w:color w:val="222222"/>
            <w:sz w:val="24"/>
            <w:szCs w:val="24"/>
            <w:shd w:val="clear" w:color="auto" w:fill="FFFFFF"/>
          </w:rPr>
          <w:id w:val="516352545"/>
          <w:citation/>
        </w:sdtPr>
        <w:sdtEndPr/>
        <w:sdtContent>
          <w:r w:rsidR="0029052C" w:rsidRPr="00086DBB">
            <w:rPr>
              <w:rFonts w:ascii="Times New Roman" w:hAnsi="Times New Roman" w:cs="Times New Roman"/>
              <w:color w:val="222222"/>
              <w:sz w:val="24"/>
              <w:szCs w:val="24"/>
              <w:shd w:val="clear" w:color="auto" w:fill="FFFFFF"/>
            </w:rPr>
            <w:fldChar w:fldCharType="begin"/>
          </w:r>
          <w:r w:rsidR="0029052C" w:rsidRPr="00086DBB">
            <w:rPr>
              <w:rFonts w:ascii="Times New Roman" w:hAnsi="Times New Roman" w:cs="Times New Roman"/>
              <w:color w:val="222222"/>
              <w:sz w:val="24"/>
              <w:szCs w:val="24"/>
              <w:shd w:val="clear" w:color="auto" w:fill="FFFFFF"/>
            </w:rPr>
            <w:instrText xml:space="preserve"> CITATION Get24 \l 1033 </w:instrText>
          </w:r>
          <w:r w:rsidR="0029052C" w:rsidRPr="00086DBB">
            <w:rPr>
              <w:rFonts w:ascii="Times New Roman" w:hAnsi="Times New Roman" w:cs="Times New Roman"/>
              <w:color w:val="222222"/>
              <w:sz w:val="24"/>
              <w:szCs w:val="24"/>
              <w:shd w:val="clear" w:color="auto" w:fill="FFFFFF"/>
            </w:rPr>
            <w:fldChar w:fldCharType="separate"/>
          </w:r>
          <w:r w:rsidR="0029052C" w:rsidRPr="00086DBB">
            <w:rPr>
              <w:rFonts w:ascii="Times New Roman" w:hAnsi="Times New Roman" w:cs="Times New Roman"/>
              <w:noProof/>
              <w:color w:val="222222"/>
              <w:sz w:val="24"/>
              <w:szCs w:val="24"/>
              <w:shd w:val="clear" w:color="auto" w:fill="FFFFFF"/>
            </w:rPr>
            <w:t>(Getz &amp; Page, 2024)</w:t>
          </w:r>
          <w:r w:rsidR="0029052C" w:rsidRPr="00086DBB">
            <w:rPr>
              <w:rFonts w:ascii="Times New Roman" w:hAnsi="Times New Roman" w:cs="Times New Roman"/>
              <w:color w:val="222222"/>
              <w:sz w:val="24"/>
              <w:szCs w:val="24"/>
              <w:shd w:val="clear" w:color="auto" w:fill="FFFFFF"/>
            </w:rPr>
            <w:fldChar w:fldCharType="end"/>
          </w:r>
        </w:sdtContent>
      </w:sdt>
      <w:r w:rsidRPr="00FB68F4">
        <w:rPr>
          <w:rFonts w:ascii="Times New Roman" w:hAnsi="Times New Roman" w:cs="Times New Roman"/>
          <w:sz w:val="24"/>
          <w:szCs w:val="24"/>
        </w:rPr>
        <w:t xml:space="preserve">. The </w:t>
      </w:r>
      <w:proofErr w:type="gramStart"/>
      <w:r w:rsidRPr="00FB68F4">
        <w:rPr>
          <w:rFonts w:ascii="Times New Roman" w:hAnsi="Times New Roman" w:cs="Times New Roman"/>
          <w:sz w:val="24"/>
          <w:szCs w:val="24"/>
        </w:rPr>
        <w:t>aforementioned skills</w:t>
      </w:r>
      <w:proofErr w:type="gramEnd"/>
      <w:r w:rsidRPr="00FB68F4">
        <w:rPr>
          <w:rFonts w:ascii="Times New Roman" w:hAnsi="Times New Roman" w:cs="Times New Roman"/>
          <w:sz w:val="24"/>
          <w:szCs w:val="24"/>
        </w:rPr>
        <w:t xml:space="preserve"> directed towards the event staff are the most crucial requirement for the AR/VR tradeshow business conference.</w:t>
      </w:r>
    </w:p>
    <w:p w14:paraId="5E2EBEAD" w14:textId="77777777" w:rsidR="00FB68F4" w:rsidRDefault="00FB68F4" w:rsidP="00EB549E">
      <w:pPr>
        <w:spacing w:line="360" w:lineRule="auto"/>
        <w:jc w:val="both"/>
        <w:rPr>
          <w:rFonts w:ascii="Times New Roman" w:hAnsi="Times New Roman" w:cs="Times New Roman"/>
          <w:sz w:val="24"/>
          <w:szCs w:val="24"/>
        </w:rPr>
      </w:pPr>
    </w:p>
    <w:p w14:paraId="474A73B6" w14:textId="5C4B4C44" w:rsidR="00FB68F4" w:rsidRDefault="00FA5D43" w:rsidP="00EB549E">
      <w:pPr>
        <w:spacing w:line="360" w:lineRule="auto"/>
        <w:jc w:val="both"/>
        <w:rPr>
          <w:rFonts w:ascii="Times New Roman" w:hAnsi="Times New Roman" w:cs="Times New Roman"/>
          <w:sz w:val="24"/>
          <w:szCs w:val="24"/>
        </w:rPr>
      </w:pPr>
      <w:r>
        <w:rPr>
          <w:noProof/>
        </w:rPr>
        <w:lastRenderedPageBreak/>
        <w:drawing>
          <wp:inline distT="0" distB="0" distL="0" distR="0" wp14:anchorId="22FA4CC3" wp14:editId="3E284773">
            <wp:extent cx="5731510" cy="3223895"/>
            <wp:effectExtent l="0" t="0" r="2540" b="0"/>
            <wp:docPr id="180350293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0603D90C" w14:textId="5CA95445"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application of the stakeholder theory to the event logically serves as a tool for the categorisation of the relevant stakeholders and their interest and impact </w:t>
      </w:r>
      <w:r w:rsidR="007B17B6">
        <w:rPr>
          <w:rFonts w:ascii="Times New Roman" w:hAnsi="Times New Roman" w:cs="Times New Roman"/>
          <w:sz w:val="24"/>
          <w:szCs w:val="24"/>
        </w:rPr>
        <w:t>on</w:t>
      </w:r>
      <w:r w:rsidRPr="00FB68F4">
        <w:rPr>
          <w:rFonts w:ascii="Times New Roman" w:hAnsi="Times New Roman" w:cs="Times New Roman"/>
          <w:sz w:val="24"/>
          <w:szCs w:val="24"/>
        </w:rPr>
        <w:t xml:space="preserve"> the event</w:t>
      </w:r>
      <w:r w:rsidR="007B17B6">
        <w:rPr>
          <w:rFonts w:ascii="Times New Roman" w:hAnsi="Times New Roman" w:cs="Times New Roman"/>
          <w:sz w:val="24"/>
          <w:szCs w:val="24"/>
        </w:rPr>
        <w:t>’s</w:t>
      </w:r>
      <w:r w:rsidRPr="00FB68F4">
        <w:rPr>
          <w:rFonts w:ascii="Times New Roman" w:hAnsi="Times New Roman" w:cs="Times New Roman"/>
          <w:sz w:val="24"/>
          <w:szCs w:val="24"/>
        </w:rPr>
        <w:t xml:space="preserve"> success.  From the planning to the other stages of the event cycle, each of the stakeholder groups shall be engaged clearly and with transparency. Working together, it is also important to set realistic goals and expectations and communicate consistently with all the involved stakeholder participants regarding the trade show business conference</w:t>
      </w:r>
      <w:r w:rsidR="00512D5B">
        <w:rPr>
          <w:rFonts w:ascii="Times New Roman" w:hAnsi="Times New Roman" w:cs="Times New Roman"/>
          <w:sz w:val="24"/>
          <w:szCs w:val="24"/>
        </w:rPr>
        <w:t xml:space="preserve"> </w:t>
      </w:r>
      <w:sdt>
        <w:sdtPr>
          <w:rPr>
            <w:rFonts w:ascii="Times New Roman" w:hAnsi="Times New Roman" w:cs="Times New Roman"/>
            <w:sz w:val="24"/>
            <w:szCs w:val="24"/>
          </w:rPr>
          <w:id w:val="-891043122"/>
          <w:citation/>
        </w:sdtPr>
        <w:sdtEndPr/>
        <w:sdtContent>
          <w:r w:rsidR="00512D5B">
            <w:rPr>
              <w:rFonts w:ascii="Times New Roman" w:hAnsi="Times New Roman" w:cs="Times New Roman"/>
              <w:sz w:val="24"/>
              <w:szCs w:val="24"/>
            </w:rPr>
            <w:fldChar w:fldCharType="begin"/>
          </w:r>
          <w:r w:rsidR="00512D5B">
            <w:rPr>
              <w:rFonts w:ascii="Times New Roman" w:hAnsi="Times New Roman" w:cs="Times New Roman"/>
              <w:sz w:val="24"/>
              <w:szCs w:val="24"/>
              <w:lang w:val="en-US"/>
            </w:rPr>
            <w:instrText xml:space="preserve"> CITATION Mer21 \l 1033 </w:instrText>
          </w:r>
          <w:r w:rsidR="00512D5B">
            <w:rPr>
              <w:rFonts w:ascii="Times New Roman" w:hAnsi="Times New Roman" w:cs="Times New Roman"/>
              <w:sz w:val="24"/>
              <w:szCs w:val="24"/>
            </w:rPr>
            <w:fldChar w:fldCharType="separate"/>
          </w:r>
          <w:r w:rsidR="00512D5B" w:rsidRPr="00512D5B">
            <w:rPr>
              <w:rFonts w:ascii="Times New Roman" w:hAnsi="Times New Roman" w:cs="Times New Roman"/>
              <w:noProof/>
              <w:sz w:val="24"/>
              <w:szCs w:val="24"/>
              <w:lang w:val="en-US"/>
            </w:rPr>
            <w:t>(Meredith, et al., 2021)</w:t>
          </w:r>
          <w:r w:rsidR="00512D5B">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The stakeholder planning can be beneficial to render their alignment and reduce conflicting situations in streamlining people which would otherwise be detrimental to the event’s progress. </w:t>
      </w:r>
    </w:p>
    <w:p w14:paraId="298C4442" w14:textId="77777777" w:rsidR="00FB68F4" w:rsidRDefault="00FB68F4" w:rsidP="00EB549E">
      <w:pPr>
        <w:spacing w:line="360" w:lineRule="auto"/>
        <w:jc w:val="both"/>
        <w:rPr>
          <w:rFonts w:ascii="Times New Roman" w:hAnsi="Times New Roman" w:cs="Times New Roman"/>
          <w:sz w:val="24"/>
          <w:szCs w:val="24"/>
        </w:rPr>
      </w:pPr>
    </w:p>
    <w:p w14:paraId="7134F7F0" w14:textId="77777777" w:rsidR="00FB68F4" w:rsidRDefault="000E36A2" w:rsidP="00EB549E">
      <w:pPr>
        <w:spacing w:line="360" w:lineRule="auto"/>
        <w:jc w:val="both"/>
        <w:rPr>
          <w:rFonts w:ascii="Times New Roman" w:hAnsi="Times New Roman" w:cs="Times New Roman"/>
          <w:sz w:val="24"/>
          <w:szCs w:val="24"/>
        </w:rPr>
      </w:pPr>
      <w:r>
        <w:rPr>
          <w:noProof/>
        </w:rPr>
        <w:lastRenderedPageBreak/>
        <w:drawing>
          <wp:inline distT="0" distB="0" distL="0" distR="0" wp14:anchorId="369396F5" wp14:editId="1F9EB5B4">
            <wp:extent cx="5731510" cy="3223895"/>
            <wp:effectExtent l="0" t="0" r="2540" b="0"/>
            <wp:docPr id="2429508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A8C31B4" w14:textId="53290029"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The event for the AR/VR technology conference solution shall be organised as a trade show business conference wherein it is of the utmost importance to determine the feasibility of the venue for the chosen dates. The trade show conference shall take place for two days i.e., 2</w:t>
      </w:r>
      <w:r w:rsidRPr="00FB68F4">
        <w:rPr>
          <w:rFonts w:ascii="Times New Roman" w:hAnsi="Times New Roman" w:cs="Times New Roman"/>
          <w:sz w:val="24"/>
          <w:szCs w:val="24"/>
          <w:vertAlign w:val="superscript"/>
        </w:rPr>
        <w:t>nd</w:t>
      </w:r>
      <w:r w:rsidRPr="00FB68F4">
        <w:rPr>
          <w:rFonts w:ascii="Times New Roman" w:hAnsi="Times New Roman" w:cs="Times New Roman"/>
          <w:sz w:val="24"/>
          <w:szCs w:val="24"/>
        </w:rPr>
        <w:t xml:space="preserve"> and 3</w:t>
      </w:r>
      <w:r w:rsidRPr="00FB68F4">
        <w:rPr>
          <w:rFonts w:ascii="Times New Roman" w:hAnsi="Times New Roman" w:cs="Times New Roman"/>
          <w:sz w:val="24"/>
          <w:szCs w:val="24"/>
          <w:vertAlign w:val="superscript"/>
        </w:rPr>
        <w:t>rd</w:t>
      </w:r>
      <w:r w:rsidRPr="00FB68F4">
        <w:rPr>
          <w:rFonts w:ascii="Times New Roman" w:hAnsi="Times New Roman" w:cs="Times New Roman"/>
          <w:sz w:val="24"/>
          <w:szCs w:val="24"/>
        </w:rPr>
        <w:t xml:space="preserve"> May 2024 reserved for invited business visitors and guest business clients. London Marriott Hotel, Grosvenor Square remains suitable for the allocated duration of the event considering the availability of organising meeting rooms and space for the installation of the trade show booth. The availability and the business-ready preparation of the hotel correspond with the greater profitability associated with the business event sector and its scope for revenue generation potential. Revising the influence of business, destination and local economies in revenue generation coupled with the policy dynamics of hosting international conferences, the hotel venue as well as the city i.e. London appraises the compatibility for technology integration and health-related planning as measures to strategically navigate the global after-effects of the post-COVID pandemic </w:t>
      </w:r>
      <w:sdt>
        <w:sdtPr>
          <w:rPr>
            <w:rFonts w:ascii="Times New Roman" w:hAnsi="Times New Roman" w:cs="Times New Roman"/>
            <w:color w:val="222222"/>
            <w:sz w:val="24"/>
            <w:szCs w:val="24"/>
            <w:shd w:val="clear" w:color="auto" w:fill="FFFFFF"/>
          </w:rPr>
          <w:id w:val="-1542132663"/>
          <w:citation/>
        </w:sdtPr>
        <w:sdtEndPr/>
        <w:sdtContent>
          <w:r w:rsidR="00512D5B">
            <w:rPr>
              <w:rFonts w:ascii="Times New Roman" w:hAnsi="Times New Roman" w:cs="Times New Roman"/>
              <w:color w:val="222222"/>
              <w:sz w:val="24"/>
              <w:szCs w:val="24"/>
              <w:shd w:val="clear" w:color="auto" w:fill="FFFFFF"/>
            </w:rPr>
            <w:fldChar w:fldCharType="begin"/>
          </w:r>
          <w:r w:rsidR="00512D5B">
            <w:rPr>
              <w:rFonts w:ascii="Times New Roman" w:hAnsi="Times New Roman" w:cs="Times New Roman"/>
              <w:color w:val="222222"/>
              <w:sz w:val="24"/>
              <w:szCs w:val="24"/>
              <w:shd w:val="clear" w:color="auto" w:fill="FFFFFF"/>
              <w:lang w:val="en-US"/>
            </w:rPr>
            <w:instrText xml:space="preserve"> CITATION Dra21 \l 1033 </w:instrText>
          </w:r>
          <w:r w:rsidR="00512D5B">
            <w:rPr>
              <w:rFonts w:ascii="Times New Roman" w:hAnsi="Times New Roman" w:cs="Times New Roman"/>
              <w:color w:val="222222"/>
              <w:sz w:val="24"/>
              <w:szCs w:val="24"/>
              <w:shd w:val="clear" w:color="auto" w:fill="FFFFFF"/>
            </w:rPr>
            <w:fldChar w:fldCharType="separate"/>
          </w:r>
          <w:r w:rsidR="00512D5B" w:rsidRPr="002B1DDA">
            <w:rPr>
              <w:rFonts w:ascii="Times New Roman" w:hAnsi="Times New Roman" w:cs="Times New Roman"/>
              <w:noProof/>
              <w:color w:val="222222"/>
              <w:sz w:val="24"/>
              <w:szCs w:val="24"/>
              <w:shd w:val="clear" w:color="auto" w:fill="FFFFFF"/>
              <w:lang w:val="en-US"/>
            </w:rPr>
            <w:t>(Draper, et al., 2021)</w:t>
          </w:r>
          <w:r w:rsidR="00512D5B">
            <w:rPr>
              <w:rFonts w:ascii="Times New Roman" w:hAnsi="Times New Roman" w:cs="Times New Roman"/>
              <w:color w:val="222222"/>
              <w:sz w:val="24"/>
              <w:szCs w:val="24"/>
              <w:shd w:val="clear" w:color="auto" w:fill="FFFFFF"/>
            </w:rPr>
            <w:fldChar w:fldCharType="end"/>
          </w:r>
        </w:sdtContent>
      </w:sdt>
      <w:r w:rsidR="00512D5B">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75827359"/>
          <w:citation/>
        </w:sdtPr>
        <w:sdtEndPr/>
        <w:sdtContent>
          <w:r w:rsidR="00512D5B">
            <w:rPr>
              <w:rFonts w:ascii="Times New Roman" w:hAnsi="Times New Roman" w:cs="Times New Roman"/>
              <w:color w:val="222222"/>
              <w:sz w:val="24"/>
              <w:szCs w:val="24"/>
              <w:shd w:val="clear" w:color="auto" w:fill="FFFFFF"/>
            </w:rPr>
            <w:fldChar w:fldCharType="begin"/>
          </w:r>
          <w:r w:rsidR="00512D5B">
            <w:rPr>
              <w:rFonts w:ascii="Times New Roman" w:hAnsi="Times New Roman" w:cs="Times New Roman"/>
              <w:color w:val="222222"/>
              <w:sz w:val="24"/>
              <w:szCs w:val="24"/>
              <w:shd w:val="clear" w:color="auto" w:fill="FFFFFF"/>
              <w:lang w:val="en-US"/>
            </w:rPr>
            <w:instrText xml:space="preserve"> CITATION Chr23 \l 1033 </w:instrText>
          </w:r>
          <w:r w:rsidR="00512D5B">
            <w:rPr>
              <w:rFonts w:ascii="Times New Roman" w:hAnsi="Times New Roman" w:cs="Times New Roman"/>
              <w:color w:val="222222"/>
              <w:sz w:val="24"/>
              <w:szCs w:val="24"/>
              <w:shd w:val="clear" w:color="auto" w:fill="FFFFFF"/>
            </w:rPr>
            <w:fldChar w:fldCharType="separate"/>
          </w:r>
          <w:r w:rsidR="00512D5B" w:rsidRPr="0051713A">
            <w:rPr>
              <w:rFonts w:ascii="Times New Roman" w:hAnsi="Times New Roman" w:cs="Times New Roman"/>
              <w:noProof/>
              <w:color w:val="222222"/>
              <w:sz w:val="24"/>
              <w:szCs w:val="24"/>
              <w:shd w:val="clear" w:color="auto" w:fill="FFFFFF"/>
              <w:lang w:val="en-US"/>
            </w:rPr>
            <w:t>(Christofle &amp; Fournier, 2023)</w:t>
          </w:r>
          <w:r w:rsidR="00512D5B">
            <w:rPr>
              <w:rFonts w:ascii="Times New Roman" w:hAnsi="Times New Roman" w:cs="Times New Roman"/>
              <w:color w:val="222222"/>
              <w:sz w:val="24"/>
              <w:szCs w:val="24"/>
              <w:shd w:val="clear" w:color="auto" w:fill="FFFFFF"/>
            </w:rPr>
            <w:fldChar w:fldCharType="end"/>
          </w:r>
        </w:sdtContent>
      </w:sdt>
      <w:r w:rsidRPr="00FB68F4">
        <w:rPr>
          <w:rFonts w:ascii="Times New Roman" w:hAnsi="Times New Roman" w:cs="Times New Roman"/>
          <w:sz w:val="24"/>
          <w:szCs w:val="24"/>
        </w:rPr>
        <w:t xml:space="preserve">. Together they give substantial support to an ambidextrous event planning and engagement requirement forming the premise for personal and societal aspects of the trade show business conference event and the organising firm’s requirement </w:t>
      </w:r>
      <w:sdt>
        <w:sdtPr>
          <w:rPr>
            <w:rFonts w:ascii="Times New Roman" w:hAnsi="Times New Roman" w:cs="Times New Roman"/>
            <w:color w:val="222222"/>
            <w:sz w:val="24"/>
            <w:szCs w:val="24"/>
            <w:shd w:val="clear" w:color="auto" w:fill="FFFFFF"/>
          </w:rPr>
          <w:id w:val="-732008093"/>
          <w:citation/>
        </w:sdtPr>
        <w:sdtEndPr/>
        <w:sdtContent>
          <w:r w:rsidR="00512D5B">
            <w:rPr>
              <w:rFonts w:ascii="Times New Roman" w:hAnsi="Times New Roman" w:cs="Times New Roman"/>
              <w:color w:val="222222"/>
              <w:sz w:val="24"/>
              <w:szCs w:val="24"/>
              <w:shd w:val="clear" w:color="auto" w:fill="FFFFFF"/>
            </w:rPr>
            <w:fldChar w:fldCharType="begin"/>
          </w:r>
          <w:r w:rsidR="00512D5B">
            <w:rPr>
              <w:rFonts w:ascii="Times New Roman" w:hAnsi="Times New Roman" w:cs="Times New Roman"/>
              <w:color w:val="222222"/>
              <w:sz w:val="24"/>
              <w:szCs w:val="24"/>
              <w:shd w:val="clear" w:color="auto" w:fill="FFFFFF"/>
              <w:lang w:val="en-US"/>
            </w:rPr>
            <w:instrText xml:space="preserve"> CITATION Ser21 \l 1033 </w:instrText>
          </w:r>
          <w:r w:rsidR="00512D5B">
            <w:rPr>
              <w:rFonts w:ascii="Times New Roman" w:hAnsi="Times New Roman" w:cs="Times New Roman"/>
              <w:color w:val="222222"/>
              <w:sz w:val="24"/>
              <w:szCs w:val="24"/>
              <w:shd w:val="clear" w:color="auto" w:fill="FFFFFF"/>
            </w:rPr>
            <w:fldChar w:fldCharType="separate"/>
          </w:r>
          <w:r w:rsidR="00512D5B" w:rsidRPr="00354B36">
            <w:rPr>
              <w:rFonts w:ascii="Times New Roman" w:hAnsi="Times New Roman" w:cs="Times New Roman"/>
              <w:noProof/>
              <w:color w:val="222222"/>
              <w:sz w:val="24"/>
              <w:szCs w:val="24"/>
              <w:shd w:val="clear" w:color="auto" w:fill="FFFFFF"/>
              <w:lang w:val="en-US"/>
            </w:rPr>
            <w:t>(Seraphin, 2021)</w:t>
          </w:r>
          <w:r w:rsidR="00512D5B">
            <w:rPr>
              <w:rFonts w:ascii="Times New Roman" w:hAnsi="Times New Roman" w:cs="Times New Roman"/>
              <w:color w:val="222222"/>
              <w:sz w:val="24"/>
              <w:szCs w:val="24"/>
              <w:shd w:val="clear" w:color="auto" w:fill="FFFFFF"/>
            </w:rPr>
            <w:fldChar w:fldCharType="end"/>
          </w:r>
        </w:sdtContent>
      </w:sdt>
      <w:r w:rsidR="00512D5B">
        <w:rPr>
          <w:rFonts w:ascii="Times New Roman" w:hAnsi="Times New Roman" w:cs="Times New Roman"/>
          <w:sz w:val="24"/>
          <w:szCs w:val="24"/>
        </w:rPr>
        <w:t xml:space="preserve">. </w:t>
      </w:r>
      <w:r w:rsidRPr="00FB68F4">
        <w:rPr>
          <w:rFonts w:ascii="Times New Roman" w:hAnsi="Times New Roman" w:cs="Times New Roman"/>
          <w:sz w:val="24"/>
          <w:szCs w:val="24"/>
        </w:rPr>
        <w:t>Accordingly, the invited business guests can coordinate their trade show conference arrival, stay and other activities via a smartphone-enabled application which will be offered to them upon successful registration of the event. For example, the VIP</w:t>
      </w:r>
      <w:r w:rsidR="007B17B6">
        <w:rPr>
          <w:rFonts w:ascii="Times New Roman" w:hAnsi="Times New Roman" w:cs="Times New Roman"/>
          <w:sz w:val="24"/>
          <w:szCs w:val="24"/>
        </w:rPr>
        <w:t>-</w:t>
      </w:r>
      <w:r w:rsidRPr="00FB68F4">
        <w:rPr>
          <w:rFonts w:ascii="Times New Roman" w:hAnsi="Times New Roman" w:cs="Times New Roman"/>
          <w:sz w:val="24"/>
          <w:szCs w:val="24"/>
        </w:rPr>
        <w:t xml:space="preserve">hosted buyers’ programme shall be a premium coverage of the technology-driven application extended to cover the business clients’ other itineraries including London tours and stay planning. </w:t>
      </w:r>
    </w:p>
    <w:p w14:paraId="1F5BB237" w14:textId="10201B7E" w:rsidR="00FB68F4" w:rsidRPr="00FB68F4" w:rsidRDefault="00512D5B" w:rsidP="00FB68F4">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rPr>
        <w:lastRenderedPageBreak/>
        <w:t>Moreover, the</w:t>
      </w:r>
      <w:r w:rsidR="00FB68F4" w:rsidRPr="00FB68F4">
        <w:rPr>
          <w:rFonts w:ascii="Times New Roman" w:hAnsi="Times New Roman" w:cs="Times New Roman"/>
          <w:sz w:val="24"/>
          <w:szCs w:val="24"/>
        </w:rPr>
        <w:t xml:space="preserve"> event shall require human resources, physical resources, </w:t>
      </w:r>
      <w:proofErr w:type="gramStart"/>
      <w:r w:rsidR="00FB68F4" w:rsidRPr="00FB68F4">
        <w:rPr>
          <w:rFonts w:ascii="Times New Roman" w:hAnsi="Times New Roman" w:cs="Times New Roman"/>
          <w:sz w:val="24"/>
          <w:szCs w:val="24"/>
        </w:rPr>
        <w:t>infrastructure</w:t>
      </w:r>
      <w:proofErr w:type="gramEnd"/>
      <w:r w:rsidR="00FB68F4" w:rsidRPr="00FB68F4">
        <w:rPr>
          <w:rFonts w:ascii="Times New Roman" w:hAnsi="Times New Roman" w:cs="Times New Roman"/>
          <w:sz w:val="24"/>
          <w:szCs w:val="24"/>
        </w:rPr>
        <w:t xml:space="preserve"> and allocated funding as part of the overall plan for resources. These resources are required for creating the trade show booth and decorating the conference meeting room with necessary graphics and other arrangements including seating and catering. Digital technology and social media presence shall be utilised for the event coordination, </w:t>
      </w:r>
      <w:proofErr w:type="gramStart"/>
      <w:r w:rsidR="00FB68F4" w:rsidRPr="00FB68F4">
        <w:rPr>
          <w:rFonts w:ascii="Times New Roman" w:hAnsi="Times New Roman" w:cs="Times New Roman"/>
          <w:sz w:val="24"/>
          <w:szCs w:val="24"/>
        </w:rPr>
        <w:t>execution</w:t>
      </w:r>
      <w:proofErr w:type="gramEnd"/>
      <w:r w:rsidR="00FB68F4" w:rsidRPr="00FB68F4">
        <w:rPr>
          <w:rFonts w:ascii="Times New Roman" w:hAnsi="Times New Roman" w:cs="Times New Roman"/>
          <w:sz w:val="24"/>
          <w:szCs w:val="24"/>
        </w:rPr>
        <w:t xml:space="preserve"> and marketing reach </w:t>
      </w:r>
      <w:sdt>
        <w:sdtPr>
          <w:rPr>
            <w:rFonts w:ascii="Times New Roman" w:hAnsi="Times New Roman" w:cs="Times New Roman"/>
            <w:color w:val="222222"/>
            <w:sz w:val="24"/>
            <w:szCs w:val="24"/>
            <w:shd w:val="clear" w:color="auto" w:fill="FFFFFF"/>
          </w:rPr>
          <w:id w:val="1926455401"/>
          <w:citation/>
        </w:sdtPr>
        <w:sdtEndPr/>
        <w:sdtContent>
          <w:r w:rsidR="00C50F05" w:rsidRPr="00086DBB">
            <w:rPr>
              <w:rFonts w:ascii="Times New Roman" w:hAnsi="Times New Roman" w:cs="Times New Roman"/>
              <w:color w:val="222222"/>
              <w:sz w:val="24"/>
              <w:szCs w:val="24"/>
              <w:shd w:val="clear" w:color="auto" w:fill="FFFFFF"/>
            </w:rPr>
            <w:fldChar w:fldCharType="begin"/>
          </w:r>
          <w:r w:rsidR="00C50F05" w:rsidRPr="00086DBB">
            <w:rPr>
              <w:rFonts w:ascii="Times New Roman" w:hAnsi="Times New Roman" w:cs="Times New Roman"/>
              <w:color w:val="222222"/>
              <w:sz w:val="24"/>
              <w:szCs w:val="24"/>
              <w:shd w:val="clear" w:color="auto" w:fill="FFFFFF"/>
            </w:rPr>
            <w:instrText xml:space="preserve"> CITATION Get24 \l 1033 </w:instrText>
          </w:r>
          <w:r w:rsidR="00C50F05" w:rsidRPr="00086DBB">
            <w:rPr>
              <w:rFonts w:ascii="Times New Roman" w:hAnsi="Times New Roman" w:cs="Times New Roman"/>
              <w:color w:val="222222"/>
              <w:sz w:val="24"/>
              <w:szCs w:val="24"/>
              <w:shd w:val="clear" w:color="auto" w:fill="FFFFFF"/>
            </w:rPr>
            <w:fldChar w:fldCharType="separate"/>
          </w:r>
          <w:r w:rsidR="00C50F05" w:rsidRPr="00086DBB">
            <w:rPr>
              <w:rFonts w:ascii="Times New Roman" w:hAnsi="Times New Roman" w:cs="Times New Roman"/>
              <w:noProof/>
              <w:color w:val="222222"/>
              <w:sz w:val="24"/>
              <w:szCs w:val="24"/>
              <w:shd w:val="clear" w:color="auto" w:fill="FFFFFF"/>
            </w:rPr>
            <w:t>(Getz &amp; Page, 2024)</w:t>
          </w:r>
          <w:r w:rsidR="00C50F05" w:rsidRPr="00086DBB">
            <w:rPr>
              <w:rFonts w:ascii="Times New Roman" w:hAnsi="Times New Roman" w:cs="Times New Roman"/>
              <w:color w:val="222222"/>
              <w:sz w:val="24"/>
              <w:szCs w:val="24"/>
              <w:shd w:val="clear" w:color="auto" w:fill="FFFFFF"/>
            </w:rPr>
            <w:fldChar w:fldCharType="end"/>
          </w:r>
        </w:sdtContent>
      </w:sdt>
      <w:r w:rsidR="00C50F05" w:rsidRPr="00086DBB">
        <w:rPr>
          <w:rFonts w:ascii="Times New Roman" w:hAnsi="Times New Roman" w:cs="Times New Roman"/>
          <w:color w:val="222222"/>
          <w:sz w:val="24"/>
          <w:szCs w:val="24"/>
          <w:shd w:val="clear" w:color="auto" w:fill="FFFFFF"/>
        </w:rPr>
        <w:t xml:space="preserve"> </w:t>
      </w:r>
      <w:sdt>
        <w:sdtPr>
          <w:rPr>
            <w:rFonts w:ascii="Times New Roman" w:hAnsi="Times New Roman" w:cs="Times New Roman"/>
            <w:color w:val="222222"/>
            <w:sz w:val="24"/>
            <w:szCs w:val="24"/>
            <w:shd w:val="clear" w:color="auto" w:fill="FFFFFF"/>
          </w:rPr>
          <w:id w:val="714075722"/>
          <w:citation/>
        </w:sdtPr>
        <w:sdtEndPr/>
        <w:sdtContent>
          <w:r w:rsidR="00C50F05" w:rsidRPr="00086DBB">
            <w:rPr>
              <w:rFonts w:ascii="Times New Roman" w:hAnsi="Times New Roman" w:cs="Times New Roman"/>
              <w:color w:val="222222"/>
              <w:sz w:val="24"/>
              <w:szCs w:val="24"/>
              <w:shd w:val="clear" w:color="auto" w:fill="FFFFFF"/>
            </w:rPr>
            <w:fldChar w:fldCharType="begin"/>
          </w:r>
          <w:r w:rsidR="00C50F05" w:rsidRPr="00086DBB">
            <w:rPr>
              <w:rFonts w:ascii="Times New Roman" w:hAnsi="Times New Roman" w:cs="Times New Roman"/>
              <w:color w:val="222222"/>
              <w:sz w:val="24"/>
              <w:szCs w:val="24"/>
              <w:shd w:val="clear" w:color="auto" w:fill="FFFFFF"/>
            </w:rPr>
            <w:instrText xml:space="preserve"> CITATION Rog13 \l 1033 </w:instrText>
          </w:r>
          <w:r w:rsidR="00C50F05" w:rsidRPr="00086DBB">
            <w:rPr>
              <w:rFonts w:ascii="Times New Roman" w:hAnsi="Times New Roman" w:cs="Times New Roman"/>
              <w:color w:val="222222"/>
              <w:sz w:val="24"/>
              <w:szCs w:val="24"/>
              <w:shd w:val="clear" w:color="auto" w:fill="FFFFFF"/>
            </w:rPr>
            <w:fldChar w:fldCharType="separate"/>
          </w:r>
          <w:r w:rsidR="00C50F05" w:rsidRPr="00086DBB">
            <w:rPr>
              <w:rFonts w:ascii="Times New Roman" w:hAnsi="Times New Roman" w:cs="Times New Roman"/>
              <w:noProof/>
              <w:color w:val="222222"/>
              <w:sz w:val="24"/>
              <w:szCs w:val="24"/>
              <w:shd w:val="clear" w:color="auto" w:fill="FFFFFF"/>
            </w:rPr>
            <w:t>(Rogers, 2013)</w:t>
          </w:r>
          <w:r w:rsidR="00C50F05" w:rsidRPr="00086DBB">
            <w:rPr>
              <w:rFonts w:ascii="Times New Roman" w:hAnsi="Times New Roman" w:cs="Times New Roman"/>
              <w:color w:val="222222"/>
              <w:sz w:val="24"/>
              <w:szCs w:val="24"/>
              <w:shd w:val="clear" w:color="auto" w:fill="FFFFFF"/>
            </w:rPr>
            <w:fldChar w:fldCharType="end"/>
          </w:r>
        </w:sdtContent>
      </w:sdt>
      <w:r w:rsidR="00FB68F4" w:rsidRPr="00FB68F4">
        <w:rPr>
          <w:rFonts w:ascii="Times New Roman" w:hAnsi="Times New Roman" w:cs="Times New Roman"/>
          <w:sz w:val="24"/>
          <w:szCs w:val="24"/>
        </w:rPr>
        <w:t xml:space="preserve">. </w:t>
      </w:r>
    </w:p>
    <w:p w14:paraId="06A2F687" w14:textId="77777777" w:rsidR="00FB68F4" w:rsidRDefault="00FB68F4" w:rsidP="00EB549E">
      <w:pPr>
        <w:spacing w:line="360" w:lineRule="auto"/>
        <w:jc w:val="both"/>
        <w:rPr>
          <w:rFonts w:ascii="Times New Roman" w:hAnsi="Times New Roman" w:cs="Times New Roman"/>
          <w:sz w:val="24"/>
          <w:szCs w:val="24"/>
        </w:rPr>
      </w:pPr>
    </w:p>
    <w:p w14:paraId="5413A306" w14:textId="77777777" w:rsidR="00FB68F4" w:rsidRDefault="000E36A2" w:rsidP="00EB549E">
      <w:pPr>
        <w:spacing w:line="360" w:lineRule="auto"/>
        <w:jc w:val="both"/>
        <w:rPr>
          <w:rFonts w:ascii="Times New Roman" w:hAnsi="Times New Roman" w:cs="Times New Roman"/>
          <w:sz w:val="24"/>
          <w:szCs w:val="24"/>
        </w:rPr>
      </w:pPr>
      <w:r>
        <w:rPr>
          <w:noProof/>
        </w:rPr>
        <w:drawing>
          <wp:inline distT="0" distB="0" distL="0" distR="0" wp14:anchorId="38C0C334" wp14:editId="6FE1C0E8">
            <wp:extent cx="5731510" cy="3223895"/>
            <wp:effectExtent l="0" t="0" r="2540" b="0"/>
            <wp:docPr id="133144837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65D85480" w14:textId="6920CFEA"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Targeting the corporate clients for the trade show business conference, an integrated marketing communication focusing on digital and prudent usage of print media shall be leveraged. The intention is to draw corporate clients across industries to avail </w:t>
      </w:r>
      <w:r w:rsidR="007B17B6">
        <w:rPr>
          <w:rFonts w:ascii="Times New Roman" w:hAnsi="Times New Roman" w:cs="Times New Roman"/>
          <w:sz w:val="24"/>
          <w:szCs w:val="24"/>
        </w:rPr>
        <w:t xml:space="preserve">of </w:t>
      </w:r>
      <w:r w:rsidRPr="00FB68F4">
        <w:rPr>
          <w:rFonts w:ascii="Times New Roman" w:hAnsi="Times New Roman" w:cs="Times New Roman"/>
          <w:sz w:val="24"/>
          <w:szCs w:val="24"/>
        </w:rPr>
        <w:t>the AR/VR conference solution</w:t>
      </w:r>
      <w:r w:rsidR="007B17B6">
        <w:rPr>
          <w:rFonts w:ascii="Times New Roman" w:hAnsi="Times New Roman" w:cs="Times New Roman"/>
          <w:sz w:val="24"/>
          <w:szCs w:val="24"/>
        </w:rPr>
        <w:t xml:space="preserve"> offer</w:t>
      </w:r>
      <w:r w:rsidRPr="00FB68F4">
        <w:rPr>
          <w:rFonts w:ascii="Times New Roman" w:hAnsi="Times New Roman" w:cs="Times New Roman"/>
          <w:sz w:val="24"/>
          <w:szCs w:val="24"/>
        </w:rPr>
        <w:t xml:space="preserve">. Professional social media platforms such as LinkedIn and microblogging site X (formerly Twitter) can be used for the trade show broadcast, direction to the event registration and handling customer queries and concerns. Email marketing also remains favourable amongst the business customer segments to refine the sales pipeline for the conference </w:t>
      </w:r>
      <w:r w:rsidR="00C50F05" w:rsidRPr="00FB68F4">
        <w:rPr>
          <w:rFonts w:ascii="Times New Roman" w:hAnsi="Times New Roman" w:cs="Times New Roman"/>
          <w:sz w:val="24"/>
          <w:szCs w:val="24"/>
        </w:rPr>
        <w:t>solution reach</w:t>
      </w:r>
      <w:r w:rsidR="00C50F05">
        <w:rPr>
          <w:rFonts w:ascii="Times New Roman" w:hAnsi="Times New Roman" w:cs="Times New Roman"/>
          <w:sz w:val="24"/>
          <w:szCs w:val="24"/>
        </w:rPr>
        <w:t xml:space="preserve"> </w:t>
      </w:r>
      <w:sdt>
        <w:sdtPr>
          <w:rPr>
            <w:rFonts w:ascii="Times New Roman" w:hAnsi="Times New Roman" w:cs="Times New Roman"/>
            <w:sz w:val="24"/>
            <w:szCs w:val="24"/>
          </w:rPr>
          <w:id w:val="-26799538"/>
          <w:citation/>
        </w:sdtPr>
        <w:sdtEndPr/>
        <w:sdtContent>
          <w:r w:rsidR="00C50F05">
            <w:rPr>
              <w:rFonts w:ascii="Times New Roman" w:hAnsi="Times New Roman" w:cs="Times New Roman"/>
              <w:sz w:val="24"/>
              <w:szCs w:val="24"/>
            </w:rPr>
            <w:fldChar w:fldCharType="begin"/>
          </w:r>
          <w:r w:rsidR="00C50F05">
            <w:rPr>
              <w:rFonts w:ascii="Times New Roman" w:hAnsi="Times New Roman" w:cs="Times New Roman"/>
              <w:sz w:val="24"/>
              <w:szCs w:val="24"/>
              <w:lang w:val="en-US"/>
            </w:rPr>
            <w:instrText xml:space="preserve"> CITATION Get24 \l 1033 </w:instrText>
          </w:r>
          <w:r w:rsidR="00C50F05">
            <w:rPr>
              <w:rFonts w:ascii="Times New Roman" w:hAnsi="Times New Roman" w:cs="Times New Roman"/>
              <w:sz w:val="24"/>
              <w:szCs w:val="24"/>
            </w:rPr>
            <w:fldChar w:fldCharType="separate"/>
          </w:r>
          <w:r w:rsidR="00C50F05" w:rsidRPr="00C50F05">
            <w:rPr>
              <w:rFonts w:ascii="Times New Roman" w:hAnsi="Times New Roman" w:cs="Times New Roman"/>
              <w:noProof/>
              <w:sz w:val="24"/>
              <w:szCs w:val="24"/>
              <w:lang w:val="en-US"/>
            </w:rPr>
            <w:t>(Getz &amp; Page, 2024)</w:t>
          </w:r>
          <w:r w:rsidR="00C50F05">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The promotional efforts simultaneously address the event’s agenda towards salient stakeholder theory and together with the event’s execution, integrates the </w:t>
      </w:r>
      <w:proofErr w:type="spellStart"/>
      <w:r w:rsidRPr="00FB68F4">
        <w:rPr>
          <w:rFonts w:ascii="Times New Roman" w:hAnsi="Times New Roman" w:cs="Times New Roman"/>
          <w:sz w:val="24"/>
          <w:szCs w:val="24"/>
        </w:rPr>
        <w:t>Servqual</w:t>
      </w:r>
      <w:proofErr w:type="spellEnd"/>
      <w:r w:rsidRPr="00FB68F4">
        <w:rPr>
          <w:rFonts w:ascii="Times New Roman" w:hAnsi="Times New Roman" w:cs="Times New Roman"/>
          <w:sz w:val="24"/>
          <w:szCs w:val="24"/>
        </w:rPr>
        <w:t xml:space="preserve"> model in the perceptual manifestation of service quality. The tangibility, responsiveness, assurance and service provisions at the trade show and their effect on buying intention, satisfaction and loyalty shall align the effectiveness of the event promotions with performance achievement.  Moreover, it is important to evaluate the success of the trade show </w:t>
      </w:r>
      <w:r w:rsidRPr="00FB68F4">
        <w:rPr>
          <w:rFonts w:ascii="Times New Roman" w:hAnsi="Times New Roman" w:cs="Times New Roman"/>
          <w:sz w:val="24"/>
          <w:szCs w:val="24"/>
        </w:rPr>
        <w:lastRenderedPageBreak/>
        <w:t xml:space="preserve">conference aligned with the event goals.  The event shall start with mapping the interests and expectations of the concerned stakeholders to the event whilst factoring their level of interest and power </w:t>
      </w:r>
      <w:r w:rsidR="007B17B6">
        <w:rPr>
          <w:rFonts w:ascii="Times New Roman" w:hAnsi="Times New Roman" w:cs="Times New Roman"/>
          <w:sz w:val="24"/>
          <w:szCs w:val="24"/>
        </w:rPr>
        <w:t>concerning</w:t>
      </w:r>
      <w:r w:rsidRPr="00FB68F4">
        <w:rPr>
          <w:rFonts w:ascii="Times New Roman" w:hAnsi="Times New Roman" w:cs="Times New Roman"/>
          <w:sz w:val="24"/>
          <w:szCs w:val="24"/>
        </w:rPr>
        <w:t xml:space="preserve"> the event</w:t>
      </w:r>
      <w:r w:rsidR="007B17B6">
        <w:rPr>
          <w:rFonts w:ascii="Times New Roman" w:hAnsi="Times New Roman" w:cs="Times New Roman"/>
          <w:sz w:val="24"/>
          <w:szCs w:val="24"/>
        </w:rPr>
        <w:t>’s</w:t>
      </w:r>
      <w:r w:rsidRPr="00FB68F4">
        <w:rPr>
          <w:rFonts w:ascii="Times New Roman" w:hAnsi="Times New Roman" w:cs="Times New Roman"/>
          <w:sz w:val="24"/>
          <w:szCs w:val="24"/>
        </w:rPr>
        <w:t xml:space="preserve"> success.  Proceeding to maximise participant experience and their importance to build</w:t>
      </w:r>
      <w:r w:rsidR="007B17B6">
        <w:rPr>
          <w:rFonts w:ascii="Times New Roman" w:hAnsi="Times New Roman" w:cs="Times New Roman"/>
          <w:sz w:val="24"/>
          <w:szCs w:val="24"/>
        </w:rPr>
        <w:t>ing</w:t>
      </w:r>
      <w:r w:rsidRPr="00FB68F4">
        <w:rPr>
          <w:rFonts w:ascii="Times New Roman" w:hAnsi="Times New Roman" w:cs="Times New Roman"/>
          <w:sz w:val="24"/>
          <w:szCs w:val="24"/>
        </w:rPr>
        <w:t xml:space="preserve"> the sales pipeline for the AR/VR conference solution, every aspect of the event from venue to channel outreach, contents, service and sales engagement process along with sales traction shall be measured by scores on KPIs namely, Total Registrations, Conversion Rate and Post-Event Conversion</w:t>
      </w:r>
      <w:r w:rsidR="00C50F05">
        <w:rPr>
          <w:rFonts w:ascii="Times New Roman" w:hAnsi="Times New Roman" w:cs="Times New Roman"/>
          <w:sz w:val="24"/>
          <w:szCs w:val="24"/>
        </w:rPr>
        <w:t xml:space="preserve"> </w:t>
      </w:r>
      <w:sdt>
        <w:sdtPr>
          <w:rPr>
            <w:rFonts w:ascii="Times New Roman" w:hAnsi="Times New Roman" w:cs="Times New Roman"/>
            <w:sz w:val="24"/>
            <w:szCs w:val="24"/>
          </w:rPr>
          <w:id w:val="-780809037"/>
          <w:citation/>
        </w:sdtPr>
        <w:sdtEndPr/>
        <w:sdtContent>
          <w:r w:rsidR="00C50F05">
            <w:rPr>
              <w:rFonts w:ascii="Times New Roman" w:hAnsi="Times New Roman" w:cs="Times New Roman"/>
              <w:sz w:val="24"/>
              <w:szCs w:val="24"/>
            </w:rPr>
            <w:fldChar w:fldCharType="begin"/>
          </w:r>
          <w:r w:rsidR="00C50F05">
            <w:rPr>
              <w:rFonts w:ascii="Times New Roman" w:hAnsi="Times New Roman" w:cs="Times New Roman"/>
              <w:sz w:val="24"/>
              <w:szCs w:val="24"/>
              <w:lang w:val="en-US"/>
            </w:rPr>
            <w:instrText xml:space="preserve"> CITATION OTo11 \l 1033 </w:instrText>
          </w:r>
          <w:r w:rsidR="00C50F05">
            <w:rPr>
              <w:rFonts w:ascii="Times New Roman" w:hAnsi="Times New Roman" w:cs="Times New Roman"/>
              <w:sz w:val="24"/>
              <w:szCs w:val="24"/>
            </w:rPr>
            <w:fldChar w:fldCharType="separate"/>
          </w:r>
          <w:r w:rsidR="00C50F05" w:rsidRPr="00C50F05">
            <w:rPr>
              <w:rFonts w:ascii="Times New Roman" w:hAnsi="Times New Roman" w:cs="Times New Roman"/>
              <w:noProof/>
              <w:sz w:val="24"/>
              <w:szCs w:val="24"/>
              <w:lang w:val="en-US"/>
            </w:rPr>
            <w:t>(O'Toole, 2011)</w:t>
          </w:r>
          <w:r w:rsidR="00C50F05">
            <w:rPr>
              <w:rFonts w:ascii="Times New Roman" w:hAnsi="Times New Roman" w:cs="Times New Roman"/>
              <w:sz w:val="24"/>
              <w:szCs w:val="24"/>
            </w:rPr>
            <w:fldChar w:fldCharType="end"/>
          </w:r>
        </w:sdtContent>
      </w:sdt>
      <w:r w:rsidR="00C50F05">
        <w:rPr>
          <w:rFonts w:ascii="Times New Roman" w:hAnsi="Times New Roman" w:cs="Times New Roman"/>
          <w:sz w:val="24"/>
          <w:szCs w:val="24"/>
        </w:rPr>
        <w:t xml:space="preserve"> </w:t>
      </w:r>
      <w:sdt>
        <w:sdtPr>
          <w:rPr>
            <w:rFonts w:ascii="Times New Roman" w:hAnsi="Times New Roman" w:cs="Times New Roman"/>
            <w:sz w:val="24"/>
            <w:szCs w:val="24"/>
          </w:rPr>
          <w:id w:val="-263451627"/>
          <w:citation/>
        </w:sdtPr>
        <w:sdtEndPr/>
        <w:sdtContent>
          <w:r w:rsidR="00C50F05">
            <w:rPr>
              <w:rFonts w:ascii="Times New Roman" w:hAnsi="Times New Roman" w:cs="Times New Roman"/>
              <w:sz w:val="24"/>
              <w:szCs w:val="24"/>
            </w:rPr>
            <w:fldChar w:fldCharType="begin"/>
          </w:r>
          <w:r w:rsidR="00C50F05">
            <w:rPr>
              <w:rFonts w:ascii="Times New Roman" w:hAnsi="Times New Roman" w:cs="Times New Roman"/>
              <w:sz w:val="24"/>
              <w:szCs w:val="24"/>
              <w:lang w:val="en-US"/>
            </w:rPr>
            <w:instrText xml:space="preserve"> CITATION Sin23 \l 1033 </w:instrText>
          </w:r>
          <w:r w:rsidR="00C50F05">
            <w:rPr>
              <w:rFonts w:ascii="Times New Roman" w:hAnsi="Times New Roman" w:cs="Times New Roman"/>
              <w:sz w:val="24"/>
              <w:szCs w:val="24"/>
            </w:rPr>
            <w:fldChar w:fldCharType="separate"/>
          </w:r>
          <w:r w:rsidR="00C50F05" w:rsidRPr="00C50F05">
            <w:rPr>
              <w:rFonts w:ascii="Times New Roman" w:hAnsi="Times New Roman" w:cs="Times New Roman"/>
              <w:noProof/>
              <w:sz w:val="24"/>
              <w:szCs w:val="24"/>
              <w:lang w:val="en-US"/>
            </w:rPr>
            <w:t>(Singh, et al., 2023)</w:t>
          </w:r>
          <w:r w:rsidR="00C50F05">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Using the scores and feedback received from participants, the post-event procedures can be enhanced to suit the requirements of business clients whilst allowing a better scope to design future events.  </w:t>
      </w:r>
    </w:p>
    <w:p w14:paraId="180C5AFA" w14:textId="77777777" w:rsidR="00FB68F4" w:rsidRDefault="00FB68F4" w:rsidP="00EB549E">
      <w:pPr>
        <w:spacing w:line="360" w:lineRule="auto"/>
        <w:jc w:val="both"/>
        <w:rPr>
          <w:rFonts w:ascii="Times New Roman" w:hAnsi="Times New Roman" w:cs="Times New Roman"/>
          <w:sz w:val="24"/>
          <w:szCs w:val="24"/>
        </w:rPr>
      </w:pPr>
    </w:p>
    <w:p w14:paraId="3904703D" w14:textId="77777777" w:rsidR="00FB68F4" w:rsidRDefault="000E36A2" w:rsidP="00EB549E">
      <w:pPr>
        <w:spacing w:line="360" w:lineRule="auto"/>
        <w:jc w:val="both"/>
        <w:rPr>
          <w:rFonts w:ascii="Times New Roman" w:hAnsi="Times New Roman" w:cs="Times New Roman"/>
          <w:sz w:val="24"/>
          <w:szCs w:val="24"/>
        </w:rPr>
      </w:pPr>
      <w:r>
        <w:rPr>
          <w:noProof/>
        </w:rPr>
        <w:drawing>
          <wp:inline distT="0" distB="0" distL="0" distR="0" wp14:anchorId="752F2266" wp14:editId="0A7C0763">
            <wp:extent cx="5731510" cy="3223895"/>
            <wp:effectExtent l="0" t="0" r="2540" b="0"/>
            <wp:docPr id="30638568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7D4F0AD" w14:textId="1F59BCD9"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The pricing decision for the trade show shall be arrived</w:t>
      </w:r>
      <w:r w:rsidR="007B17B6">
        <w:rPr>
          <w:rFonts w:ascii="Times New Roman" w:hAnsi="Times New Roman" w:cs="Times New Roman"/>
          <w:sz w:val="24"/>
          <w:szCs w:val="24"/>
        </w:rPr>
        <w:t xml:space="preserve"> at</w:t>
      </w:r>
      <w:r w:rsidRPr="00FB68F4">
        <w:rPr>
          <w:rFonts w:ascii="Times New Roman" w:hAnsi="Times New Roman" w:cs="Times New Roman"/>
          <w:sz w:val="24"/>
          <w:szCs w:val="24"/>
        </w:rPr>
        <w:t xml:space="preserve"> considering factors such as costs associated with the event, </w:t>
      </w:r>
      <w:proofErr w:type="gramStart"/>
      <w:r w:rsidRPr="00FB68F4">
        <w:rPr>
          <w:rFonts w:ascii="Times New Roman" w:hAnsi="Times New Roman" w:cs="Times New Roman"/>
          <w:sz w:val="24"/>
          <w:szCs w:val="24"/>
        </w:rPr>
        <w:t>budget</w:t>
      </w:r>
      <w:proofErr w:type="gramEnd"/>
      <w:r w:rsidRPr="00FB68F4">
        <w:rPr>
          <w:rFonts w:ascii="Times New Roman" w:hAnsi="Times New Roman" w:cs="Times New Roman"/>
          <w:sz w:val="24"/>
          <w:szCs w:val="24"/>
        </w:rPr>
        <w:t xml:space="preserve"> and other considerations such as </w:t>
      </w:r>
      <w:r w:rsidR="007B17B6">
        <w:rPr>
          <w:rFonts w:ascii="Times New Roman" w:hAnsi="Times New Roman" w:cs="Times New Roman"/>
          <w:sz w:val="24"/>
          <w:szCs w:val="24"/>
        </w:rPr>
        <w:t xml:space="preserve">the </w:t>
      </w:r>
      <w:r w:rsidRPr="00FB68F4">
        <w:rPr>
          <w:rFonts w:ascii="Times New Roman" w:hAnsi="Times New Roman" w:cs="Times New Roman"/>
          <w:sz w:val="24"/>
          <w:szCs w:val="24"/>
        </w:rPr>
        <w:t xml:space="preserve">attendee’s </w:t>
      </w:r>
      <w:r w:rsidR="007B17B6">
        <w:rPr>
          <w:rFonts w:ascii="Times New Roman" w:hAnsi="Times New Roman" w:cs="Times New Roman"/>
          <w:sz w:val="24"/>
          <w:szCs w:val="24"/>
        </w:rPr>
        <w:t>disposition</w:t>
      </w:r>
      <w:r w:rsidRPr="00FB68F4">
        <w:rPr>
          <w:rFonts w:ascii="Times New Roman" w:hAnsi="Times New Roman" w:cs="Times New Roman"/>
          <w:sz w:val="24"/>
          <w:szCs w:val="24"/>
        </w:rPr>
        <w:t xml:space="preserve"> to pay. Based on research on events within the UK, plausible estimates and the GTM event offer, a combination of competitive pricing and value-based pricing shall be fixed for the ticket pricing and event entrance fees</w:t>
      </w:r>
      <w:r w:rsidR="00D732E3">
        <w:rPr>
          <w:rFonts w:ascii="Times New Roman" w:hAnsi="Times New Roman" w:cs="Times New Roman"/>
          <w:sz w:val="24"/>
          <w:szCs w:val="24"/>
        </w:rPr>
        <w:t xml:space="preserve"> </w:t>
      </w:r>
      <w:sdt>
        <w:sdtPr>
          <w:rPr>
            <w:rFonts w:ascii="Times New Roman" w:hAnsi="Times New Roman" w:cs="Times New Roman"/>
            <w:sz w:val="24"/>
            <w:szCs w:val="24"/>
          </w:rPr>
          <w:id w:val="1546094680"/>
          <w:citation/>
        </w:sdtPr>
        <w:sdtEndPr/>
        <w:sdtContent>
          <w:r w:rsidR="00E81246">
            <w:rPr>
              <w:rFonts w:ascii="Times New Roman" w:hAnsi="Times New Roman" w:cs="Times New Roman"/>
              <w:sz w:val="24"/>
              <w:szCs w:val="24"/>
            </w:rPr>
            <w:fldChar w:fldCharType="begin"/>
          </w:r>
          <w:r w:rsidR="00E81246">
            <w:rPr>
              <w:rFonts w:ascii="Times New Roman" w:hAnsi="Times New Roman" w:cs="Times New Roman"/>
              <w:sz w:val="24"/>
              <w:szCs w:val="24"/>
              <w:lang w:val="en-US"/>
            </w:rPr>
            <w:instrText xml:space="preserve"> CITATION OTo11 \l 1033 </w:instrText>
          </w:r>
          <w:r w:rsidR="00E81246">
            <w:rPr>
              <w:rFonts w:ascii="Times New Roman" w:hAnsi="Times New Roman" w:cs="Times New Roman"/>
              <w:sz w:val="24"/>
              <w:szCs w:val="24"/>
            </w:rPr>
            <w:fldChar w:fldCharType="separate"/>
          </w:r>
          <w:r w:rsidR="00E81246" w:rsidRPr="00E81246">
            <w:rPr>
              <w:rFonts w:ascii="Times New Roman" w:hAnsi="Times New Roman" w:cs="Times New Roman"/>
              <w:noProof/>
              <w:sz w:val="24"/>
              <w:szCs w:val="24"/>
              <w:lang w:val="en-US"/>
            </w:rPr>
            <w:t>(O'Toole, 2011)</w:t>
          </w:r>
          <w:r w:rsidR="00E81246">
            <w:rPr>
              <w:rFonts w:ascii="Times New Roman" w:hAnsi="Times New Roman" w:cs="Times New Roman"/>
              <w:sz w:val="24"/>
              <w:szCs w:val="24"/>
            </w:rPr>
            <w:fldChar w:fldCharType="end"/>
          </w:r>
        </w:sdtContent>
      </w:sdt>
      <w:r w:rsidRPr="00FB68F4">
        <w:rPr>
          <w:rFonts w:ascii="Times New Roman" w:hAnsi="Times New Roman" w:cs="Times New Roman"/>
          <w:sz w:val="24"/>
          <w:szCs w:val="24"/>
        </w:rPr>
        <w:t>.  Moreover, the chosen KPIs for the event shall measure the progress of the trade show conference and its revenue-generating potential.</w:t>
      </w:r>
    </w:p>
    <w:p w14:paraId="62013358" w14:textId="77777777" w:rsidR="00FB68F4" w:rsidRDefault="00FB68F4" w:rsidP="00EB549E">
      <w:pPr>
        <w:spacing w:line="360" w:lineRule="auto"/>
        <w:jc w:val="both"/>
        <w:rPr>
          <w:rFonts w:ascii="Times New Roman" w:hAnsi="Times New Roman" w:cs="Times New Roman"/>
          <w:sz w:val="24"/>
          <w:szCs w:val="24"/>
        </w:rPr>
      </w:pPr>
    </w:p>
    <w:p w14:paraId="528DB4CA" w14:textId="77777777" w:rsidR="00FB68F4" w:rsidRDefault="000E36A2" w:rsidP="00EB549E">
      <w:pPr>
        <w:spacing w:line="360" w:lineRule="auto"/>
        <w:jc w:val="both"/>
        <w:rPr>
          <w:rFonts w:ascii="Times New Roman" w:hAnsi="Times New Roman" w:cs="Times New Roman"/>
          <w:sz w:val="24"/>
          <w:szCs w:val="24"/>
        </w:rPr>
      </w:pPr>
      <w:r>
        <w:rPr>
          <w:noProof/>
        </w:rPr>
        <w:lastRenderedPageBreak/>
        <w:drawing>
          <wp:inline distT="0" distB="0" distL="0" distR="0" wp14:anchorId="73F5E364" wp14:editId="05B3B0CC">
            <wp:extent cx="5731510" cy="3223895"/>
            <wp:effectExtent l="0" t="0" r="2540" b="0"/>
            <wp:docPr id="3501210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B7BECD8" w14:textId="33F55242"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The trade show conference which mirrors a planned event has provided the estimated costs to be incurred during the project execution. Using a cost breakdown structure, the necessary components for the trade show conference enablement (expenditures) have been shown as part of budgeting and better cost estimating. Moreover, the table also accounts for the total income arrived from the accrued trade show conference activities which is more than the expenses driven by the presentation and sales efforts along with the marketing promotio</w:t>
      </w:r>
      <w:r w:rsidR="00E81246">
        <w:rPr>
          <w:rFonts w:ascii="Times New Roman" w:hAnsi="Times New Roman" w:cs="Times New Roman"/>
          <w:sz w:val="24"/>
          <w:szCs w:val="24"/>
        </w:rPr>
        <w:t xml:space="preserve">ns </w:t>
      </w:r>
      <w:sdt>
        <w:sdtPr>
          <w:rPr>
            <w:rFonts w:ascii="Times New Roman" w:hAnsi="Times New Roman" w:cs="Times New Roman"/>
            <w:sz w:val="24"/>
            <w:szCs w:val="24"/>
          </w:rPr>
          <w:id w:val="-1333903618"/>
          <w:citation/>
        </w:sdtPr>
        <w:sdtEndPr/>
        <w:sdtContent>
          <w:r w:rsidR="00E81246">
            <w:rPr>
              <w:rFonts w:ascii="Times New Roman" w:hAnsi="Times New Roman" w:cs="Times New Roman"/>
              <w:sz w:val="24"/>
              <w:szCs w:val="24"/>
            </w:rPr>
            <w:fldChar w:fldCharType="begin"/>
          </w:r>
          <w:r w:rsidR="00E81246">
            <w:rPr>
              <w:rFonts w:ascii="Times New Roman" w:hAnsi="Times New Roman" w:cs="Times New Roman"/>
              <w:sz w:val="24"/>
              <w:szCs w:val="24"/>
              <w:lang w:val="en-US"/>
            </w:rPr>
            <w:instrText xml:space="preserve"> CITATION Get24 \l 1033 </w:instrText>
          </w:r>
          <w:r w:rsidR="00E81246">
            <w:rPr>
              <w:rFonts w:ascii="Times New Roman" w:hAnsi="Times New Roman" w:cs="Times New Roman"/>
              <w:sz w:val="24"/>
              <w:szCs w:val="24"/>
            </w:rPr>
            <w:fldChar w:fldCharType="separate"/>
          </w:r>
          <w:r w:rsidR="00E81246" w:rsidRPr="00E81246">
            <w:rPr>
              <w:rFonts w:ascii="Times New Roman" w:hAnsi="Times New Roman" w:cs="Times New Roman"/>
              <w:noProof/>
              <w:sz w:val="24"/>
              <w:szCs w:val="24"/>
              <w:lang w:val="en-US"/>
            </w:rPr>
            <w:t>(Getz &amp; Page, 2024)</w:t>
          </w:r>
          <w:r w:rsidR="00E81246">
            <w:rPr>
              <w:rFonts w:ascii="Times New Roman" w:hAnsi="Times New Roman" w:cs="Times New Roman"/>
              <w:sz w:val="24"/>
              <w:szCs w:val="24"/>
            </w:rPr>
            <w:fldChar w:fldCharType="end"/>
          </w:r>
        </w:sdtContent>
      </w:sdt>
      <w:r w:rsidR="00E81246">
        <w:rPr>
          <w:rFonts w:ascii="Times New Roman" w:hAnsi="Times New Roman" w:cs="Times New Roman"/>
          <w:sz w:val="24"/>
          <w:szCs w:val="24"/>
        </w:rPr>
        <w:t xml:space="preserve"> </w:t>
      </w:r>
      <w:sdt>
        <w:sdtPr>
          <w:rPr>
            <w:rFonts w:ascii="Times New Roman" w:hAnsi="Times New Roman" w:cs="Times New Roman"/>
            <w:sz w:val="24"/>
            <w:szCs w:val="24"/>
          </w:rPr>
          <w:id w:val="-1530170280"/>
          <w:citation/>
        </w:sdtPr>
        <w:sdtEndPr/>
        <w:sdtContent>
          <w:r w:rsidR="00E81246">
            <w:rPr>
              <w:rFonts w:ascii="Times New Roman" w:hAnsi="Times New Roman" w:cs="Times New Roman"/>
              <w:sz w:val="24"/>
              <w:szCs w:val="24"/>
            </w:rPr>
            <w:fldChar w:fldCharType="begin"/>
          </w:r>
          <w:r w:rsidR="00E81246">
            <w:rPr>
              <w:rFonts w:ascii="Times New Roman" w:hAnsi="Times New Roman" w:cs="Times New Roman"/>
              <w:sz w:val="24"/>
              <w:szCs w:val="24"/>
              <w:lang w:val="en-US"/>
            </w:rPr>
            <w:instrText xml:space="preserve"> CITATION Mer21 \l 1033 </w:instrText>
          </w:r>
          <w:r w:rsidR="00E81246">
            <w:rPr>
              <w:rFonts w:ascii="Times New Roman" w:hAnsi="Times New Roman" w:cs="Times New Roman"/>
              <w:sz w:val="24"/>
              <w:szCs w:val="24"/>
            </w:rPr>
            <w:fldChar w:fldCharType="separate"/>
          </w:r>
          <w:r w:rsidR="00E81246" w:rsidRPr="00E81246">
            <w:rPr>
              <w:rFonts w:ascii="Times New Roman" w:hAnsi="Times New Roman" w:cs="Times New Roman"/>
              <w:noProof/>
              <w:sz w:val="24"/>
              <w:szCs w:val="24"/>
              <w:lang w:val="en-US"/>
            </w:rPr>
            <w:t>(Meredith, et al., 2021)</w:t>
          </w:r>
          <w:r w:rsidR="00E81246">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Overall, the trade show conference organised by Hospitality Sector Council UK remains optimistic to be a profitable project. </w:t>
      </w:r>
    </w:p>
    <w:p w14:paraId="740809FF" w14:textId="77777777" w:rsidR="00FB68F4" w:rsidRDefault="00FB68F4" w:rsidP="00EB549E">
      <w:pPr>
        <w:spacing w:line="360" w:lineRule="auto"/>
        <w:jc w:val="both"/>
        <w:rPr>
          <w:rFonts w:ascii="Times New Roman" w:hAnsi="Times New Roman" w:cs="Times New Roman"/>
          <w:sz w:val="24"/>
          <w:szCs w:val="24"/>
        </w:rPr>
      </w:pPr>
    </w:p>
    <w:p w14:paraId="1D405F35" w14:textId="77777777" w:rsidR="00FB68F4" w:rsidRDefault="00FB68F4" w:rsidP="00EB549E">
      <w:pPr>
        <w:spacing w:line="360" w:lineRule="auto"/>
        <w:jc w:val="both"/>
        <w:rPr>
          <w:rFonts w:ascii="Times New Roman" w:hAnsi="Times New Roman" w:cs="Times New Roman"/>
          <w:sz w:val="24"/>
          <w:szCs w:val="24"/>
        </w:rPr>
      </w:pPr>
    </w:p>
    <w:p w14:paraId="53E7D824" w14:textId="77777777" w:rsidR="00FB68F4" w:rsidRDefault="000E36A2" w:rsidP="00EB549E">
      <w:pPr>
        <w:spacing w:line="360" w:lineRule="auto"/>
        <w:jc w:val="both"/>
        <w:rPr>
          <w:rFonts w:ascii="Times New Roman" w:hAnsi="Times New Roman" w:cs="Times New Roman"/>
          <w:sz w:val="24"/>
          <w:szCs w:val="24"/>
        </w:rPr>
      </w:pPr>
      <w:r>
        <w:rPr>
          <w:noProof/>
        </w:rPr>
        <w:lastRenderedPageBreak/>
        <w:drawing>
          <wp:inline distT="0" distB="0" distL="0" distR="0" wp14:anchorId="049357EC" wp14:editId="6960FD0B">
            <wp:extent cx="5731510" cy="3223895"/>
            <wp:effectExtent l="0" t="0" r="2540" b="0"/>
            <wp:docPr id="141837558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B46B618" w14:textId="7713A405" w:rsidR="00FB68F4" w:rsidRPr="00FB68F4" w:rsidRDefault="00FB68F4" w:rsidP="00FB68F4">
      <w:pPr>
        <w:spacing w:line="360" w:lineRule="auto"/>
        <w:jc w:val="both"/>
        <w:rPr>
          <w:rFonts w:ascii="Times New Roman" w:hAnsi="Times New Roman" w:cs="Times New Roman"/>
          <w:sz w:val="24"/>
          <w:szCs w:val="24"/>
          <w:lang w:val="en-IN"/>
        </w:rPr>
      </w:pPr>
      <w:r w:rsidRPr="00FB68F4">
        <w:rPr>
          <w:rFonts w:ascii="Times New Roman" w:hAnsi="Times New Roman" w:cs="Times New Roman"/>
          <w:sz w:val="24"/>
          <w:szCs w:val="24"/>
        </w:rPr>
        <w:t xml:space="preserve">The funding sources and the revenue streams for the trade show conference have been shown separately. Showcasing the availability of finances for the trade show conference and the gain in outcomes through the identified revenue channels, the latter, in particular, shall determine the success of the project feasibility and development </w:t>
      </w:r>
      <w:sdt>
        <w:sdtPr>
          <w:rPr>
            <w:rFonts w:ascii="Times New Roman" w:hAnsi="Times New Roman" w:cs="Times New Roman"/>
            <w:sz w:val="24"/>
            <w:szCs w:val="24"/>
          </w:rPr>
          <w:id w:val="-1841538733"/>
          <w:citation/>
        </w:sdtPr>
        <w:sdtEndPr/>
        <w:sdtContent>
          <w:r w:rsidR="00E81246">
            <w:rPr>
              <w:rFonts w:ascii="Times New Roman" w:hAnsi="Times New Roman" w:cs="Times New Roman"/>
              <w:sz w:val="24"/>
              <w:szCs w:val="24"/>
            </w:rPr>
            <w:fldChar w:fldCharType="begin"/>
          </w:r>
          <w:r w:rsidR="00E81246">
            <w:rPr>
              <w:rFonts w:ascii="Times New Roman" w:hAnsi="Times New Roman" w:cs="Times New Roman"/>
              <w:sz w:val="24"/>
              <w:szCs w:val="24"/>
              <w:lang w:val="en-US"/>
            </w:rPr>
            <w:instrText xml:space="preserve"> CITATION Get24 \l 1033 </w:instrText>
          </w:r>
          <w:r w:rsidR="00E81246">
            <w:rPr>
              <w:rFonts w:ascii="Times New Roman" w:hAnsi="Times New Roman" w:cs="Times New Roman"/>
              <w:sz w:val="24"/>
              <w:szCs w:val="24"/>
            </w:rPr>
            <w:fldChar w:fldCharType="separate"/>
          </w:r>
          <w:r w:rsidR="00E81246" w:rsidRPr="00E81246">
            <w:rPr>
              <w:rFonts w:ascii="Times New Roman" w:hAnsi="Times New Roman" w:cs="Times New Roman"/>
              <w:noProof/>
              <w:sz w:val="24"/>
              <w:szCs w:val="24"/>
              <w:lang w:val="en-US"/>
            </w:rPr>
            <w:t>(Getz &amp; Page, 2024)</w:t>
          </w:r>
          <w:r w:rsidR="00E81246">
            <w:rPr>
              <w:rFonts w:ascii="Times New Roman" w:hAnsi="Times New Roman" w:cs="Times New Roman"/>
              <w:sz w:val="24"/>
              <w:szCs w:val="24"/>
            </w:rPr>
            <w:fldChar w:fldCharType="end"/>
          </w:r>
        </w:sdtContent>
      </w:sdt>
      <w:r w:rsidR="00E81246">
        <w:rPr>
          <w:rFonts w:ascii="Times New Roman" w:hAnsi="Times New Roman" w:cs="Times New Roman"/>
          <w:sz w:val="24"/>
          <w:szCs w:val="24"/>
        </w:rPr>
        <w:t xml:space="preserve"> </w:t>
      </w:r>
      <w:sdt>
        <w:sdtPr>
          <w:rPr>
            <w:rFonts w:ascii="Times New Roman" w:hAnsi="Times New Roman" w:cs="Times New Roman"/>
            <w:sz w:val="24"/>
            <w:szCs w:val="24"/>
          </w:rPr>
          <w:id w:val="-1337761056"/>
          <w:citation/>
        </w:sdtPr>
        <w:sdtEndPr/>
        <w:sdtContent>
          <w:r w:rsidR="00E81246">
            <w:rPr>
              <w:rFonts w:ascii="Times New Roman" w:hAnsi="Times New Roman" w:cs="Times New Roman"/>
              <w:sz w:val="24"/>
              <w:szCs w:val="24"/>
            </w:rPr>
            <w:fldChar w:fldCharType="begin"/>
          </w:r>
          <w:r w:rsidR="00E81246">
            <w:rPr>
              <w:rFonts w:ascii="Times New Roman" w:hAnsi="Times New Roman" w:cs="Times New Roman"/>
              <w:sz w:val="24"/>
              <w:szCs w:val="24"/>
              <w:lang w:val="en-US"/>
            </w:rPr>
            <w:instrText xml:space="preserve"> CITATION OTo11 \l 1033 </w:instrText>
          </w:r>
          <w:r w:rsidR="00E81246">
            <w:rPr>
              <w:rFonts w:ascii="Times New Roman" w:hAnsi="Times New Roman" w:cs="Times New Roman"/>
              <w:sz w:val="24"/>
              <w:szCs w:val="24"/>
            </w:rPr>
            <w:fldChar w:fldCharType="separate"/>
          </w:r>
          <w:r w:rsidR="00E81246" w:rsidRPr="00E81246">
            <w:rPr>
              <w:rFonts w:ascii="Times New Roman" w:hAnsi="Times New Roman" w:cs="Times New Roman"/>
              <w:noProof/>
              <w:sz w:val="24"/>
              <w:szCs w:val="24"/>
              <w:lang w:val="en-US"/>
            </w:rPr>
            <w:t>(O'Toole, 2011)</w:t>
          </w:r>
          <w:r w:rsidR="00E81246">
            <w:rPr>
              <w:rFonts w:ascii="Times New Roman" w:hAnsi="Times New Roman" w:cs="Times New Roman"/>
              <w:sz w:val="24"/>
              <w:szCs w:val="24"/>
            </w:rPr>
            <w:fldChar w:fldCharType="end"/>
          </w:r>
        </w:sdtContent>
      </w:sdt>
      <w:r w:rsidRPr="00FB68F4">
        <w:rPr>
          <w:rFonts w:ascii="Times New Roman" w:hAnsi="Times New Roman" w:cs="Times New Roman"/>
          <w:sz w:val="24"/>
          <w:szCs w:val="24"/>
        </w:rPr>
        <w:t xml:space="preserve">. A dedicated approach to harnessing these channels would be essential. </w:t>
      </w:r>
    </w:p>
    <w:p w14:paraId="5A4B7E1E" w14:textId="77777777" w:rsidR="00FB68F4" w:rsidRDefault="00FB68F4" w:rsidP="00EB549E">
      <w:pPr>
        <w:spacing w:line="360" w:lineRule="auto"/>
        <w:jc w:val="both"/>
        <w:rPr>
          <w:rFonts w:ascii="Times New Roman" w:hAnsi="Times New Roman" w:cs="Times New Roman"/>
          <w:sz w:val="24"/>
          <w:szCs w:val="24"/>
        </w:rPr>
      </w:pPr>
    </w:p>
    <w:p w14:paraId="5CA65FCD" w14:textId="62F45EDB" w:rsidR="000E36A2" w:rsidRDefault="000E36A2" w:rsidP="00EB549E">
      <w:pPr>
        <w:spacing w:line="360" w:lineRule="auto"/>
        <w:jc w:val="both"/>
        <w:rPr>
          <w:rFonts w:ascii="Times New Roman" w:hAnsi="Times New Roman" w:cs="Times New Roman"/>
          <w:sz w:val="24"/>
          <w:szCs w:val="24"/>
        </w:rPr>
      </w:pPr>
      <w:r>
        <w:rPr>
          <w:noProof/>
        </w:rPr>
        <w:drawing>
          <wp:inline distT="0" distB="0" distL="0" distR="0" wp14:anchorId="2F4FB56C" wp14:editId="69B0156F">
            <wp:extent cx="5731510" cy="3223895"/>
            <wp:effectExtent l="0" t="0" r="2540" b="0"/>
            <wp:docPr id="86054945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158BEBE6" w14:textId="77777777" w:rsidR="00FB68F4" w:rsidRDefault="00FB68F4" w:rsidP="00FB68F4">
      <w:pPr>
        <w:spacing w:line="360" w:lineRule="auto"/>
        <w:jc w:val="both"/>
        <w:rPr>
          <w:rFonts w:ascii="Times New Roman" w:hAnsi="Times New Roman" w:cs="Times New Roman"/>
          <w:sz w:val="24"/>
          <w:szCs w:val="24"/>
        </w:rPr>
      </w:pPr>
      <w:r w:rsidRPr="00FB68F4">
        <w:rPr>
          <w:rFonts w:ascii="Times New Roman" w:hAnsi="Times New Roman" w:cs="Times New Roman"/>
          <w:sz w:val="24"/>
          <w:szCs w:val="24"/>
        </w:rPr>
        <w:lastRenderedPageBreak/>
        <w:t xml:space="preserve">The trade show business conference organised by the Hospitality Sector Council UK conforms to the event mindset and requirements of the MICE industry. The feasibility study of the trade show conference i.e., Global TeleMeet: Redefining the future of corporate meetings (new conference solution enabled by AR/VR technology with built-in telepresence and automotive display) has been undertaken casting clarity on the success of the project. The screening process entailed exploration of the market factors, operational </w:t>
      </w:r>
      <w:proofErr w:type="gramStart"/>
      <w:r w:rsidRPr="00FB68F4">
        <w:rPr>
          <w:rFonts w:ascii="Times New Roman" w:hAnsi="Times New Roman" w:cs="Times New Roman"/>
          <w:sz w:val="24"/>
          <w:szCs w:val="24"/>
        </w:rPr>
        <w:t>factors</w:t>
      </w:r>
      <w:proofErr w:type="gramEnd"/>
      <w:r w:rsidRPr="00FB68F4">
        <w:rPr>
          <w:rFonts w:ascii="Times New Roman" w:hAnsi="Times New Roman" w:cs="Times New Roman"/>
          <w:sz w:val="24"/>
          <w:szCs w:val="24"/>
        </w:rPr>
        <w:t xml:space="preserve"> and financial factors relevant to the trade show event ensuring that the project remains optimistic and profitable.</w:t>
      </w:r>
    </w:p>
    <w:p w14:paraId="49093C52" w14:textId="27ADACB4" w:rsidR="0054167D" w:rsidRDefault="0054167D" w:rsidP="00FB68F4">
      <w:pPr>
        <w:spacing w:line="360" w:lineRule="auto"/>
        <w:jc w:val="both"/>
        <w:rPr>
          <w:rFonts w:ascii="Times New Roman" w:hAnsi="Times New Roman" w:cs="Times New Roman"/>
          <w:sz w:val="24"/>
          <w:szCs w:val="24"/>
        </w:rPr>
      </w:pPr>
      <w:r>
        <w:rPr>
          <w:noProof/>
        </w:rPr>
        <w:drawing>
          <wp:inline distT="0" distB="0" distL="0" distR="0" wp14:anchorId="5680714D" wp14:editId="0A960104">
            <wp:extent cx="5731510" cy="3223895"/>
            <wp:effectExtent l="0" t="0" r="2540" b="0"/>
            <wp:docPr id="2181526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38C3B42" w14:textId="18185D1E" w:rsidR="0054167D" w:rsidRDefault="0054167D" w:rsidP="00FB68F4">
      <w:pPr>
        <w:spacing w:line="360" w:lineRule="auto"/>
        <w:jc w:val="both"/>
        <w:rPr>
          <w:rFonts w:ascii="Times New Roman" w:hAnsi="Times New Roman" w:cs="Times New Roman"/>
          <w:sz w:val="24"/>
          <w:szCs w:val="24"/>
        </w:rPr>
      </w:pPr>
      <w:r>
        <w:rPr>
          <w:noProof/>
        </w:rPr>
        <w:drawing>
          <wp:inline distT="0" distB="0" distL="0" distR="0" wp14:anchorId="32B4433E" wp14:editId="1D7A8EE6">
            <wp:extent cx="5731510" cy="3223895"/>
            <wp:effectExtent l="0" t="0" r="2540" b="0"/>
            <wp:docPr id="51000832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7D8636C5" w14:textId="1A07B629" w:rsidR="00970153" w:rsidRDefault="00970153" w:rsidP="00D90BA5">
      <w:pPr>
        <w:pStyle w:val="Heading1"/>
      </w:pPr>
      <w:bookmarkStart w:id="1" w:name="_Toc165740298"/>
      <w:r>
        <w:lastRenderedPageBreak/>
        <w:t>References</w:t>
      </w:r>
      <w:bookmarkEnd w:id="1"/>
    </w:p>
    <w:p w14:paraId="23FE5677" w14:textId="77777777" w:rsidR="000C4033" w:rsidRPr="000C4033" w:rsidRDefault="000C4033" w:rsidP="000C4033">
      <w:pPr>
        <w:pStyle w:val="Bibliography"/>
        <w:spacing w:line="360" w:lineRule="auto"/>
        <w:jc w:val="both"/>
        <w:rPr>
          <w:rFonts w:ascii="Times New Roman" w:hAnsi="Times New Roman" w:cs="Times New Roman"/>
          <w:noProof/>
          <w:kern w:val="0"/>
          <w:sz w:val="24"/>
          <w:szCs w:val="24"/>
          <w14:ligatures w14:val="none"/>
        </w:rPr>
      </w:pPr>
      <w:r w:rsidRPr="000C4033">
        <w:rPr>
          <w:rFonts w:ascii="Times New Roman" w:hAnsi="Times New Roman" w:cs="Times New Roman"/>
          <w:sz w:val="24"/>
          <w:szCs w:val="24"/>
          <w:lang w:val="en-IN"/>
        </w:rPr>
        <w:fldChar w:fldCharType="begin"/>
      </w:r>
      <w:r w:rsidRPr="000C4033">
        <w:rPr>
          <w:rFonts w:ascii="Times New Roman" w:hAnsi="Times New Roman" w:cs="Times New Roman"/>
          <w:sz w:val="24"/>
          <w:szCs w:val="24"/>
          <w:lang w:val="en-US"/>
        </w:rPr>
        <w:instrText xml:space="preserve"> BIBLIOGRAPHY  \l 1033 </w:instrText>
      </w:r>
      <w:r w:rsidRPr="000C4033">
        <w:rPr>
          <w:rFonts w:ascii="Times New Roman" w:hAnsi="Times New Roman" w:cs="Times New Roman"/>
          <w:sz w:val="24"/>
          <w:szCs w:val="24"/>
          <w:lang w:val="en-IN"/>
        </w:rPr>
        <w:fldChar w:fldCharType="separate"/>
      </w:r>
      <w:r w:rsidRPr="000C4033">
        <w:rPr>
          <w:rFonts w:ascii="Times New Roman" w:hAnsi="Times New Roman" w:cs="Times New Roman"/>
          <w:noProof/>
          <w:sz w:val="24"/>
          <w:szCs w:val="24"/>
        </w:rPr>
        <w:t xml:space="preserve">Binggeli, U., Chen, Z., Kopke, S. &amp; Yu, J., 2023. The future of tourism: Bridging the labor gap, enhancing customer experience. </w:t>
      </w:r>
      <w:r w:rsidRPr="000C4033">
        <w:rPr>
          <w:rFonts w:ascii="Times New Roman" w:hAnsi="Times New Roman" w:cs="Times New Roman"/>
          <w:i/>
          <w:iCs/>
          <w:noProof/>
          <w:sz w:val="24"/>
          <w:szCs w:val="24"/>
        </w:rPr>
        <w:t>McKinsey &amp; Company</w:t>
      </w:r>
      <w:r w:rsidRPr="000C4033">
        <w:rPr>
          <w:rFonts w:ascii="Times New Roman" w:hAnsi="Times New Roman" w:cs="Times New Roman"/>
          <w:noProof/>
          <w:sz w:val="24"/>
          <w:szCs w:val="24"/>
        </w:rPr>
        <w:t xml:space="preserve">. </w:t>
      </w:r>
    </w:p>
    <w:p w14:paraId="6F47DCF5"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Christofle, S. &amp; Fournier, C., 2023. International event tourism and urban changes: Trajectories of global convention cities (1995–2020).. </w:t>
      </w:r>
      <w:r w:rsidRPr="000C4033">
        <w:rPr>
          <w:rFonts w:ascii="Times New Roman" w:hAnsi="Times New Roman" w:cs="Times New Roman"/>
          <w:i/>
          <w:iCs/>
          <w:noProof/>
          <w:sz w:val="24"/>
          <w:szCs w:val="24"/>
        </w:rPr>
        <w:t xml:space="preserve">Journal of Convention &amp; Event Tourism, </w:t>
      </w:r>
      <w:r w:rsidRPr="000C4033">
        <w:rPr>
          <w:rFonts w:ascii="Times New Roman" w:hAnsi="Times New Roman" w:cs="Times New Roman"/>
          <w:noProof/>
          <w:sz w:val="24"/>
          <w:szCs w:val="24"/>
        </w:rPr>
        <w:t>24(2).</w:t>
      </w:r>
    </w:p>
    <w:p w14:paraId="32F49904"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Draper, J., Liu, Y. &amp; Young, L., 2021. Research methods, data collection, and data analysis in meetings, expositions, events, and conventions journals. </w:t>
      </w:r>
      <w:r w:rsidRPr="000C4033">
        <w:rPr>
          <w:rFonts w:ascii="Times New Roman" w:hAnsi="Times New Roman" w:cs="Times New Roman"/>
          <w:i/>
          <w:iCs/>
          <w:noProof/>
          <w:sz w:val="24"/>
          <w:szCs w:val="24"/>
        </w:rPr>
        <w:t xml:space="preserve">In Journal of Convention &amp; Event Tourism, </w:t>
      </w:r>
      <w:r w:rsidRPr="000C4033">
        <w:rPr>
          <w:rFonts w:ascii="Times New Roman" w:hAnsi="Times New Roman" w:cs="Times New Roman"/>
          <w:noProof/>
          <w:sz w:val="24"/>
          <w:szCs w:val="24"/>
        </w:rPr>
        <w:t>22(5).</w:t>
      </w:r>
    </w:p>
    <w:p w14:paraId="6C9F0B96"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Fox, D., Gouthro, M. B., Morakabati, Y. &amp; Brackstone, J., 2014. </w:t>
      </w:r>
      <w:r w:rsidRPr="000C4033">
        <w:rPr>
          <w:rFonts w:ascii="Times New Roman" w:hAnsi="Times New Roman" w:cs="Times New Roman"/>
          <w:i/>
          <w:iCs/>
          <w:noProof/>
          <w:sz w:val="24"/>
          <w:szCs w:val="24"/>
        </w:rPr>
        <w:t xml:space="preserve">Doing Events Research: From Theory to Practice. </w:t>
      </w:r>
      <w:r w:rsidRPr="000C4033">
        <w:rPr>
          <w:rFonts w:ascii="Times New Roman" w:hAnsi="Times New Roman" w:cs="Times New Roman"/>
          <w:noProof/>
          <w:sz w:val="24"/>
          <w:szCs w:val="24"/>
        </w:rPr>
        <w:t>Abingdon: Routledge.</w:t>
      </w:r>
    </w:p>
    <w:p w14:paraId="2C8C713B"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Getz, D. &amp; Page, S., 2024. </w:t>
      </w:r>
      <w:r w:rsidRPr="000C4033">
        <w:rPr>
          <w:rFonts w:ascii="Times New Roman" w:hAnsi="Times New Roman" w:cs="Times New Roman"/>
          <w:i/>
          <w:iCs/>
          <w:noProof/>
          <w:sz w:val="24"/>
          <w:szCs w:val="24"/>
        </w:rPr>
        <w:t xml:space="preserve">Event Studies: Theory and Management for Planned Events. </w:t>
      </w:r>
      <w:r w:rsidRPr="000C4033">
        <w:rPr>
          <w:rFonts w:ascii="Times New Roman" w:hAnsi="Times New Roman" w:cs="Times New Roman"/>
          <w:noProof/>
          <w:sz w:val="24"/>
          <w:szCs w:val="24"/>
        </w:rPr>
        <w:t>Aingdon: Taylor &amp; Francis.</w:t>
      </w:r>
    </w:p>
    <w:p w14:paraId="22E0A21A"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HSC, 2024. </w:t>
      </w:r>
      <w:r w:rsidRPr="000C4033">
        <w:rPr>
          <w:rFonts w:ascii="Times New Roman" w:hAnsi="Times New Roman" w:cs="Times New Roman"/>
          <w:i/>
          <w:iCs/>
          <w:noProof/>
          <w:sz w:val="24"/>
          <w:szCs w:val="24"/>
        </w:rPr>
        <w:t xml:space="preserve">HSC. </w:t>
      </w:r>
      <w:r w:rsidRPr="000C4033">
        <w:rPr>
          <w:rFonts w:ascii="Times New Roman" w:hAnsi="Times New Roman" w:cs="Times New Roman"/>
          <w:noProof/>
          <w:sz w:val="24"/>
          <w:szCs w:val="24"/>
        </w:rPr>
        <w:t xml:space="preserve">[Online] </w:t>
      </w:r>
      <w:r w:rsidRPr="000C4033">
        <w:rPr>
          <w:rFonts w:ascii="Times New Roman" w:hAnsi="Times New Roman" w:cs="Times New Roman"/>
          <w:noProof/>
          <w:sz w:val="24"/>
          <w:szCs w:val="24"/>
        </w:rPr>
        <w:br/>
        <w:t xml:space="preserve">Available at: </w:t>
      </w:r>
      <w:r w:rsidRPr="000C4033">
        <w:rPr>
          <w:rFonts w:ascii="Times New Roman" w:hAnsi="Times New Roman" w:cs="Times New Roman"/>
          <w:noProof/>
          <w:sz w:val="24"/>
          <w:szCs w:val="24"/>
          <w:u w:val="single"/>
        </w:rPr>
        <w:t>https://hospitalitysectorcouncil.org/about/</w:t>
      </w:r>
      <w:r w:rsidRPr="000C4033">
        <w:rPr>
          <w:rFonts w:ascii="Times New Roman" w:hAnsi="Times New Roman" w:cs="Times New Roman"/>
          <w:noProof/>
          <w:sz w:val="24"/>
          <w:szCs w:val="24"/>
        </w:rPr>
        <w:br/>
        <w:t>[Accessed 2024].</w:t>
      </w:r>
    </w:p>
    <w:p w14:paraId="1EB785BB"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IBISWorld, 2023. </w:t>
      </w:r>
      <w:r w:rsidRPr="000C4033">
        <w:rPr>
          <w:rFonts w:ascii="Times New Roman" w:hAnsi="Times New Roman" w:cs="Times New Roman"/>
          <w:i/>
          <w:iCs/>
          <w:noProof/>
          <w:sz w:val="24"/>
          <w:szCs w:val="24"/>
        </w:rPr>
        <w:t xml:space="preserve">IBISWorld. </w:t>
      </w:r>
      <w:r w:rsidRPr="000C4033">
        <w:rPr>
          <w:rFonts w:ascii="Times New Roman" w:hAnsi="Times New Roman" w:cs="Times New Roman"/>
          <w:noProof/>
          <w:sz w:val="24"/>
          <w:szCs w:val="24"/>
        </w:rPr>
        <w:t xml:space="preserve">[Online] </w:t>
      </w:r>
      <w:r w:rsidRPr="000C4033">
        <w:rPr>
          <w:rFonts w:ascii="Times New Roman" w:hAnsi="Times New Roman" w:cs="Times New Roman"/>
          <w:noProof/>
          <w:sz w:val="24"/>
          <w:szCs w:val="24"/>
        </w:rPr>
        <w:br/>
        <w:t xml:space="preserve">Available at: </w:t>
      </w:r>
      <w:r w:rsidRPr="000C4033">
        <w:rPr>
          <w:rFonts w:ascii="Times New Roman" w:hAnsi="Times New Roman" w:cs="Times New Roman"/>
          <w:noProof/>
          <w:sz w:val="24"/>
          <w:szCs w:val="24"/>
          <w:u w:val="single"/>
        </w:rPr>
        <w:t>https://www.ibisworld.com/united-kingdom/market-research-reports/conference-centres-letting-operating-industry/#IndustryStatisticsAndTrends</w:t>
      </w:r>
      <w:r w:rsidRPr="000C4033">
        <w:rPr>
          <w:rFonts w:ascii="Times New Roman" w:hAnsi="Times New Roman" w:cs="Times New Roman"/>
          <w:noProof/>
          <w:sz w:val="24"/>
          <w:szCs w:val="24"/>
        </w:rPr>
        <w:br/>
        <w:t>[Accessed 2024].</w:t>
      </w:r>
    </w:p>
    <w:p w14:paraId="019218F3"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Leigh, J., Cairncross, G. &amp; Lamont, M., 2021. Training for event volunteers: factors influencing event managers' resource allocation decision-making. </w:t>
      </w:r>
      <w:r w:rsidRPr="000C4033">
        <w:rPr>
          <w:rFonts w:ascii="Times New Roman" w:hAnsi="Times New Roman" w:cs="Times New Roman"/>
          <w:i/>
          <w:iCs/>
          <w:noProof/>
          <w:sz w:val="24"/>
          <w:szCs w:val="24"/>
        </w:rPr>
        <w:t xml:space="preserve">International Journal of Event and Festival Management, </w:t>
      </w:r>
      <w:r w:rsidRPr="000C4033">
        <w:rPr>
          <w:rFonts w:ascii="Times New Roman" w:hAnsi="Times New Roman" w:cs="Times New Roman"/>
          <w:noProof/>
          <w:sz w:val="24"/>
          <w:szCs w:val="24"/>
        </w:rPr>
        <w:t>12(1).</w:t>
      </w:r>
    </w:p>
    <w:p w14:paraId="5CD3D6BA"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Marasco, A., De Martino, M., Magnotti, F. &amp; Morvillo, A., 2018. Collaborative innovation in tourism and hospitality: a systematic review of the literature. </w:t>
      </w:r>
      <w:r w:rsidRPr="000C4033">
        <w:rPr>
          <w:rFonts w:ascii="Times New Roman" w:hAnsi="Times New Roman" w:cs="Times New Roman"/>
          <w:i/>
          <w:iCs/>
          <w:noProof/>
          <w:sz w:val="24"/>
          <w:szCs w:val="24"/>
        </w:rPr>
        <w:t xml:space="preserve">International Journal of Contemporary Hospitality Management, </w:t>
      </w:r>
      <w:r w:rsidRPr="000C4033">
        <w:rPr>
          <w:rFonts w:ascii="Times New Roman" w:hAnsi="Times New Roman" w:cs="Times New Roman"/>
          <w:noProof/>
          <w:sz w:val="24"/>
          <w:szCs w:val="24"/>
        </w:rPr>
        <w:t>30(6).</w:t>
      </w:r>
    </w:p>
    <w:p w14:paraId="45E17D1B"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Meredith, J. R., Shafer, S. M. &amp; Mantel, S. J., 2021. </w:t>
      </w:r>
      <w:r w:rsidRPr="000C4033">
        <w:rPr>
          <w:rFonts w:ascii="Times New Roman" w:hAnsi="Times New Roman" w:cs="Times New Roman"/>
          <w:i/>
          <w:iCs/>
          <w:noProof/>
          <w:sz w:val="24"/>
          <w:szCs w:val="24"/>
        </w:rPr>
        <w:t xml:space="preserve">Project Management: A Managerial Approach. </w:t>
      </w:r>
      <w:r w:rsidRPr="000C4033">
        <w:rPr>
          <w:rFonts w:ascii="Times New Roman" w:hAnsi="Times New Roman" w:cs="Times New Roman"/>
          <w:noProof/>
          <w:sz w:val="24"/>
          <w:szCs w:val="24"/>
        </w:rPr>
        <w:t>Hoboken: John Wiley &amp; Sons.</w:t>
      </w:r>
    </w:p>
    <w:p w14:paraId="76894A73"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O'Toole, W., 2011. </w:t>
      </w:r>
      <w:r w:rsidRPr="000C4033">
        <w:rPr>
          <w:rFonts w:ascii="Times New Roman" w:hAnsi="Times New Roman" w:cs="Times New Roman"/>
          <w:i/>
          <w:iCs/>
          <w:noProof/>
          <w:sz w:val="24"/>
          <w:szCs w:val="24"/>
        </w:rPr>
        <w:t xml:space="preserve">Events Feasibility and Development: From Strategy to Operations. </w:t>
      </w:r>
      <w:r w:rsidRPr="000C4033">
        <w:rPr>
          <w:rFonts w:ascii="Times New Roman" w:hAnsi="Times New Roman" w:cs="Times New Roman"/>
          <w:noProof/>
          <w:sz w:val="24"/>
          <w:szCs w:val="24"/>
        </w:rPr>
        <w:t>Abingdon: Routledge.</w:t>
      </w:r>
    </w:p>
    <w:p w14:paraId="0BFA0F39"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lastRenderedPageBreak/>
        <w:t xml:space="preserve">Rogers, T., 2013. </w:t>
      </w:r>
      <w:r w:rsidRPr="000C4033">
        <w:rPr>
          <w:rFonts w:ascii="Times New Roman" w:hAnsi="Times New Roman" w:cs="Times New Roman"/>
          <w:i/>
          <w:iCs/>
          <w:noProof/>
          <w:sz w:val="24"/>
          <w:szCs w:val="24"/>
        </w:rPr>
        <w:t xml:space="preserve">Conferences and Conventions: A Global Industry. </w:t>
      </w:r>
      <w:r w:rsidRPr="000C4033">
        <w:rPr>
          <w:rFonts w:ascii="Times New Roman" w:hAnsi="Times New Roman" w:cs="Times New Roman"/>
          <w:noProof/>
          <w:sz w:val="24"/>
          <w:szCs w:val="24"/>
        </w:rPr>
        <w:t>Abingdon: Routledge.</w:t>
      </w:r>
    </w:p>
    <w:p w14:paraId="1326B17C"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Ryan, W., Fenton, A., Ahmed, W. &amp; Scarf, P., 2020. Recognizing events 4.0: The digital maturity of events. </w:t>
      </w:r>
      <w:r w:rsidRPr="000C4033">
        <w:rPr>
          <w:rFonts w:ascii="Times New Roman" w:hAnsi="Times New Roman" w:cs="Times New Roman"/>
          <w:i/>
          <w:iCs/>
          <w:noProof/>
          <w:sz w:val="24"/>
          <w:szCs w:val="24"/>
        </w:rPr>
        <w:t xml:space="preserve">International Journal of Event and Festival Management, </w:t>
      </w:r>
      <w:r w:rsidRPr="000C4033">
        <w:rPr>
          <w:rFonts w:ascii="Times New Roman" w:hAnsi="Times New Roman" w:cs="Times New Roman"/>
          <w:noProof/>
          <w:sz w:val="24"/>
          <w:szCs w:val="24"/>
        </w:rPr>
        <w:t>11(1).</w:t>
      </w:r>
    </w:p>
    <w:p w14:paraId="4E73A93A"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Seraphin, H., 2021. COVID-19: An opportunity to review existing grounded theories in event studies. </w:t>
      </w:r>
      <w:r w:rsidRPr="000C4033">
        <w:rPr>
          <w:rFonts w:ascii="Times New Roman" w:hAnsi="Times New Roman" w:cs="Times New Roman"/>
          <w:i/>
          <w:iCs/>
          <w:noProof/>
          <w:sz w:val="24"/>
          <w:szCs w:val="24"/>
        </w:rPr>
        <w:t xml:space="preserve">In Journal of Convention &amp; Event Tourism, </w:t>
      </w:r>
      <w:r w:rsidRPr="000C4033">
        <w:rPr>
          <w:rFonts w:ascii="Times New Roman" w:hAnsi="Times New Roman" w:cs="Times New Roman"/>
          <w:noProof/>
          <w:sz w:val="24"/>
          <w:szCs w:val="24"/>
        </w:rPr>
        <w:t>22(1).</w:t>
      </w:r>
    </w:p>
    <w:p w14:paraId="46300557"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Singh, R., PS, S. &amp; Bashir, A., 2023. The Journal of Convention and Event Tourism: A retrospective analysis using bibliometrics. </w:t>
      </w:r>
      <w:r w:rsidRPr="000C4033">
        <w:rPr>
          <w:rFonts w:ascii="Times New Roman" w:hAnsi="Times New Roman" w:cs="Times New Roman"/>
          <w:i/>
          <w:iCs/>
          <w:noProof/>
          <w:sz w:val="24"/>
          <w:szCs w:val="24"/>
        </w:rPr>
        <w:t xml:space="preserve">In Journal of Convention &amp; Event Tourism, </w:t>
      </w:r>
      <w:r w:rsidRPr="000C4033">
        <w:rPr>
          <w:rFonts w:ascii="Times New Roman" w:hAnsi="Times New Roman" w:cs="Times New Roman"/>
          <w:noProof/>
          <w:sz w:val="24"/>
          <w:szCs w:val="24"/>
        </w:rPr>
        <w:t>24(1).</w:t>
      </w:r>
    </w:p>
    <w:p w14:paraId="3B49AA54"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Statista, 2024. </w:t>
      </w:r>
      <w:r w:rsidRPr="000C4033">
        <w:rPr>
          <w:rFonts w:ascii="Times New Roman" w:hAnsi="Times New Roman" w:cs="Times New Roman"/>
          <w:i/>
          <w:iCs/>
          <w:noProof/>
          <w:sz w:val="24"/>
          <w:szCs w:val="24"/>
        </w:rPr>
        <w:t xml:space="preserve">Statista. </w:t>
      </w:r>
      <w:r w:rsidRPr="000C4033">
        <w:rPr>
          <w:rFonts w:ascii="Times New Roman" w:hAnsi="Times New Roman" w:cs="Times New Roman"/>
          <w:noProof/>
          <w:sz w:val="24"/>
          <w:szCs w:val="24"/>
        </w:rPr>
        <w:t xml:space="preserve">[Online] </w:t>
      </w:r>
      <w:r w:rsidRPr="000C4033">
        <w:rPr>
          <w:rFonts w:ascii="Times New Roman" w:hAnsi="Times New Roman" w:cs="Times New Roman"/>
          <w:noProof/>
          <w:sz w:val="24"/>
          <w:szCs w:val="24"/>
        </w:rPr>
        <w:br/>
        <w:t xml:space="preserve">Available at: </w:t>
      </w:r>
      <w:r w:rsidRPr="000C4033">
        <w:rPr>
          <w:rFonts w:ascii="Times New Roman" w:hAnsi="Times New Roman" w:cs="Times New Roman"/>
          <w:noProof/>
          <w:sz w:val="24"/>
          <w:szCs w:val="24"/>
          <w:u w:val="single"/>
        </w:rPr>
        <w:t>https://www.statista.com/outlook/amo/ar-vr/worldwide</w:t>
      </w:r>
      <w:r w:rsidRPr="000C4033">
        <w:rPr>
          <w:rFonts w:ascii="Times New Roman" w:hAnsi="Times New Roman" w:cs="Times New Roman"/>
          <w:noProof/>
          <w:sz w:val="24"/>
          <w:szCs w:val="24"/>
        </w:rPr>
        <w:br/>
        <w:t>[Accessed 2024].</w:t>
      </w:r>
    </w:p>
    <w:p w14:paraId="14183C8C"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Temkin, B., 2021. Data Collection: Welcome to the Experience Economy.. </w:t>
      </w:r>
      <w:r w:rsidRPr="000C4033">
        <w:rPr>
          <w:rFonts w:ascii="Times New Roman" w:hAnsi="Times New Roman" w:cs="Times New Roman"/>
          <w:i/>
          <w:iCs/>
          <w:noProof/>
          <w:sz w:val="24"/>
          <w:szCs w:val="24"/>
        </w:rPr>
        <w:t>In The Machine Age of Customer Insight.</w:t>
      </w:r>
    </w:p>
    <w:p w14:paraId="00D78D25"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Weber, K. &amp; Mair, J., 2019. Event and festival research: a review and research directions. </w:t>
      </w:r>
      <w:r w:rsidRPr="000C4033">
        <w:rPr>
          <w:rFonts w:ascii="Times New Roman" w:hAnsi="Times New Roman" w:cs="Times New Roman"/>
          <w:i/>
          <w:iCs/>
          <w:noProof/>
          <w:sz w:val="24"/>
          <w:szCs w:val="24"/>
        </w:rPr>
        <w:t xml:space="preserve">International Journal of Event and Festival Management, </w:t>
      </w:r>
      <w:r w:rsidRPr="000C4033">
        <w:rPr>
          <w:rFonts w:ascii="Times New Roman" w:hAnsi="Times New Roman" w:cs="Times New Roman"/>
          <w:noProof/>
          <w:sz w:val="24"/>
          <w:szCs w:val="24"/>
        </w:rPr>
        <w:t>10(3).</w:t>
      </w:r>
    </w:p>
    <w:p w14:paraId="684E8673"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Wei, W., 2019. Research progress on virtual reality (VR) and augmented reality (AR) in tourism and hospitality: A critical review of publications from 2000 to 2018. </w:t>
      </w:r>
      <w:r w:rsidRPr="000C4033">
        <w:rPr>
          <w:rFonts w:ascii="Times New Roman" w:hAnsi="Times New Roman" w:cs="Times New Roman"/>
          <w:i/>
          <w:iCs/>
          <w:noProof/>
          <w:sz w:val="24"/>
          <w:szCs w:val="24"/>
        </w:rPr>
        <w:t xml:space="preserve">Journal of Hospitality and Tourism Technology, </w:t>
      </w:r>
      <w:r w:rsidRPr="000C4033">
        <w:rPr>
          <w:rFonts w:ascii="Times New Roman" w:hAnsi="Times New Roman" w:cs="Times New Roman"/>
          <w:noProof/>
          <w:sz w:val="24"/>
          <w:szCs w:val="24"/>
        </w:rPr>
        <w:t>10(4).</w:t>
      </w:r>
    </w:p>
    <w:p w14:paraId="2788EAF5" w14:textId="77777777" w:rsidR="000C4033" w:rsidRPr="000C4033" w:rsidRDefault="000C4033" w:rsidP="000C4033">
      <w:pPr>
        <w:pStyle w:val="Bibliography"/>
        <w:spacing w:line="360" w:lineRule="auto"/>
        <w:jc w:val="both"/>
        <w:rPr>
          <w:rFonts w:ascii="Times New Roman" w:hAnsi="Times New Roman" w:cs="Times New Roman"/>
          <w:noProof/>
          <w:sz w:val="24"/>
          <w:szCs w:val="24"/>
        </w:rPr>
      </w:pPr>
      <w:r w:rsidRPr="000C4033">
        <w:rPr>
          <w:rFonts w:ascii="Times New Roman" w:hAnsi="Times New Roman" w:cs="Times New Roman"/>
          <w:noProof/>
          <w:sz w:val="24"/>
          <w:szCs w:val="24"/>
        </w:rPr>
        <w:t xml:space="preserve">Yeung, E. &amp; Thomas, R., 2021. The ‘long tail’ of event management research: evidence from the field’s main journals.. </w:t>
      </w:r>
      <w:r w:rsidRPr="000C4033">
        <w:rPr>
          <w:rFonts w:ascii="Times New Roman" w:hAnsi="Times New Roman" w:cs="Times New Roman"/>
          <w:i/>
          <w:iCs/>
          <w:noProof/>
          <w:sz w:val="24"/>
          <w:szCs w:val="24"/>
        </w:rPr>
        <w:t>Journal of Policy Research in Tourism, Leisure and Events.</w:t>
      </w:r>
    </w:p>
    <w:p w14:paraId="72B4FB7F" w14:textId="4AAA7DA3" w:rsidR="000C4033" w:rsidRPr="00FB68F4" w:rsidRDefault="000C4033" w:rsidP="000C4033">
      <w:pPr>
        <w:spacing w:line="360" w:lineRule="auto"/>
        <w:jc w:val="both"/>
        <w:rPr>
          <w:rFonts w:ascii="Times New Roman" w:hAnsi="Times New Roman" w:cs="Times New Roman"/>
          <w:sz w:val="24"/>
          <w:szCs w:val="24"/>
          <w:lang w:val="en-IN"/>
        </w:rPr>
      </w:pPr>
      <w:r w:rsidRPr="000C4033">
        <w:rPr>
          <w:rFonts w:ascii="Times New Roman" w:hAnsi="Times New Roman" w:cs="Times New Roman"/>
          <w:sz w:val="24"/>
          <w:szCs w:val="24"/>
          <w:lang w:val="en-IN"/>
        </w:rPr>
        <w:fldChar w:fldCharType="end"/>
      </w:r>
    </w:p>
    <w:p w14:paraId="53FD49CE" w14:textId="77777777" w:rsidR="00FB68F4" w:rsidRPr="00DD75EF" w:rsidRDefault="00FB68F4" w:rsidP="00EB549E">
      <w:pPr>
        <w:spacing w:line="360" w:lineRule="auto"/>
        <w:jc w:val="both"/>
        <w:rPr>
          <w:rFonts w:ascii="Times New Roman" w:hAnsi="Times New Roman" w:cs="Times New Roman"/>
          <w:sz w:val="24"/>
          <w:szCs w:val="24"/>
        </w:rPr>
      </w:pPr>
    </w:p>
    <w:p w14:paraId="0E9D25E1" w14:textId="77777777" w:rsidR="00EB549E" w:rsidRPr="00DD75EF" w:rsidRDefault="00EB549E" w:rsidP="00EB549E">
      <w:pPr>
        <w:spacing w:line="360" w:lineRule="auto"/>
        <w:jc w:val="both"/>
        <w:rPr>
          <w:rFonts w:ascii="Times New Roman" w:hAnsi="Times New Roman" w:cs="Times New Roman"/>
          <w:sz w:val="24"/>
          <w:szCs w:val="24"/>
        </w:rPr>
      </w:pPr>
    </w:p>
    <w:p w14:paraId="78CBCD09" w14:textId="77777777" w:rsidR="00EB549E" w:rsidRPr="00DD75EF" w:rsidRDefault="00EB549E" w:rsidP="00EB549E">
      <w:pPr>
        <w:spacing w:line="360" w:lineRule="auto"/>
        <w:jc w:val="both"/>
        <w:rPr>
          <w:rFonts w:ascii="Times New Roman" w:hAnsi="Times New Roman" w:cs="Times New Roman"/>
          <w:sz w:val="24"/>
          <w:szCs w:val="24"/>
        </w:rPr>
      </w:pPr>
    </w:p>
    <w:p w14:paraId="510AE7BC" w14:textId="77777777" w:rsidR="00EB549E" w:rsidRPr="00DD75EF" w:rsidRDefault="00EB549E" w:rsidP="00EB549E">
      <w:pPr>
        <w:spacing w:line="360" w:lineRule="auto"/>
        <w:jc w:val="both"/>
        <w:rPr>
          <w:rFonts w:ascii="Times New Roman" w:hAnsi="Times New Roman" w:cs="Times New Roman"/>
          <w:sz w:val="24"/>
          <w:szCs w:val="24"/>
        </w:rPr>
      </w:pPr>
    </w:p>
    <w:p w14:paraId="1A8C9422" w14:textId="77777777" w:rsidR="00EB549E" w:rsidRPr="00DD75EF" w:rsidRDefault="00EB549E" w:rsidP="00EB549E">
      <w:pPr>
        <w:spacing w:line="360" w:lineRule="auto"/>
        <w:jc w:val="both"/>
        <w:rPr>
          <w:rFonts w:ascii="Times New Roman" w:hAnsi="Times New Roman" w:cs="Times New Roman"/>
          <w:sz w:val="24"/>
          <w:szCs w:val="24"/>
        </w:rPr>
      </w:pPr>
    </w:p>
    <w:p w14:paraId="268E39F8" w14:textId="77777777" w:rsidR="00EB549E" w:rsidRPr="00DD75EF" w:rsidRDefault="00EB549E" w:rsidP="00EB549E">
      <w:pPr>
        <w:spacing w:line="360" w:lineRule="auto"/>
        <w:jc w:val="both"/>
        <w:rPr>
          <w:rFonts w:ascii="Times New Roman" w:hAnsi="Times New Roman" w:cs="Times New Roman"/>
          <w:sz w:val="24"/>
          <w:szCs w:val="24"/>
        </w:rPr>
      </w:pPr>
    </w:p>
    <w:p w14:paraId="31D04590" w14:textId="77777777" w:rsidR="00EB549E" w:rsidRPr="00DD75EF" w:rsidRDefault="00EB549E" w:rsidP="00EB549E">
      <w:pPr>
        <w:spacing w:line="360" w:lineRule="auto"/>
        <w:jc w:val="both"/>
        <w:rPr>
          <w:rFonts w:ascii="Times New Roman" w:hAnsi="Times New Roman" w:cs="Times New Roman"/>
          <w:sz w:val="24"/>
          <w:szCs w:val="24"/>
        </w:rPr>
      </w:pPr>
    </w:p>
    <w:p w14:paraId="6BFE3CBF" w14:textId="77777777" w:rsidR="00EB549E" w:rsidRPr="00DD75EF" w:rsidRDefault="00EB549E" w:rsidP="00EB549E">
      <w:pPr>
        <w:spacing w:line="360" w:lineRule="auto"/>
        <w:jc w:val="both"/>
        <w:rPr>
          <w:rFonts w:ascii="Times New Roman" w:hAnsi="Times New Roman" w:cs="Times New Roman"/>
          <w:sz w:val="24"/>
          <w:szCs w:val="24"/>
        </w:rPr>
      </w:pPr>
    </w:p>
    <w:p w14:paraId="632DA692" w14:textId="77777777" w:rsidR="00EB549E" w:rsidRPr="00DD75EF" w:rsidRDefault="00EB549E" w:rsidP="00EB549E">
      <w:pPr>
        <w:spacing w:line="360" w:lineRule="auto"/>
        <w:jc w:val="both"/>
        <w:rPr>
          <w:rFonts w:ascii="Times New Roman" w:hAnsi="Times New Roman" w:cs="Times New Roman"/>
          <w:sz w:val="24"/>
          <w:szCs w:val="24"/>
        </w:rPr>
      </w:pPr>
    </w:p>
    <w:p w14:paraId="0C73FE67" w14:textId="77777777" w:rsidR="00EB549E" w:rsidRPr="00DD75EF" w:rsidRDefault="00EB549E" w:rsidP="00EB549E">
      <w:pPr>
        <w:spacing w:line="360" w:lineRule="auto"/>
        <w:jc w:val="both"/>
        <w:rPr>
          <w:rFonts w:ascii="Times New Roman" w:hAnsi="Times New Roman" w:cs="Times New Roman"/>
          <w:sz w:val="24"/>
          <w:szCs w:val="24"/>
        </w:rPr>
      </w:pPr>
    </w:p>
    <w:p w14:paraId="0E2E3DCE" w14:textId="77777777" w:rsidR="00EB549E" w:rsidRPr="00DD75EF" w:rsidRDefault="00EB549E" w:rsidP="00EB549E">
      <w:pPr>
        <w:spacing w:line="360" w:lineRule="auto"/>
        <w:jc w:val="both"/>
        <w:rPr>
          <w:rFonts w:ascii="Times New Roman" w:hAnsi="Times New Roman" w:cs="Times New Roman"/>
          <w:sz w:val="24"/>
          <w:szCs w:val="24"/>
        </w:rPr>
      </w:pPr>
    </w:p>
    <w:p w14:paraId="3ABBD48E" w14:textId="77777777" w:rsidR="00EB549E" w:rsidRPr="00DD75EF" w:rsidRDefault="00EB549E" w:rsidP="00EB549E">
      <w:pPr>
        <w:spacing w:line="360" w:lineRule="auto"/>
        <w:jc w:val="both"/>
        <w:rPr>
          <w:rFonts w:ascii="Times New Roman" w:hAnsi="Times New Roman" w:cs="Times New Roman"/>
          <w:sz w:val="24"/>
          <w:szCs w:val="24"/>
        </w:rPr>
      </w:pPr>
    </w:p>
    <w:p w14:paraId="78BAA28E" w14:textId="77777777" w:rsidR="00EB549E" w:rsidRPr="00DD75EF" w:rsidRDefault="00EB549E" w:rsidP="00EB549E">
      <w:pPr>
        <w:spacing w:line="360" w:lineRule="auto"/>
        <w:jc w:val="both"/>
        <w:rPr>
          <w:rFonts w:ascii="Times New Roman" w:hAnsi="Times New Roman" w:cs="Times New Roman"/>
          <w:sz w:val="24"/>
          <w:szCs w:val="24"/>
        </w:rPr>
      </w:pPr>
    </w:p>
    <w:p w14:paraId="7FF5AC92" w14:textId="77777777" w:rsidR="00EB549E" w:rsidRPr="00DD75EF" w:rsidRDefault="00EB549E" w:rsidP="00EB549E">
      <w:pPr>
        <w:spacing w:line="360" w:lineRule="auto"/>
        <w:jc w:val="both"/>
        <w:rPr>
          <w:rFonts w:ascii="Times New Roman" w:hAnsi="Times New Roman" w:cs="Times New Roman"/>
          <w:sz w:val="24"/>
          <w:szCs w:val="24"/>
        </w:rPr>
      </w:pPr>
    </w:p>
    <w:p w14:paraId="501C0470" w14:textId="77777777" w:rsidR="00EB549E" w:rsidRPr="00DD75EF" w:rsidRDefault="00EB549E" w:rsidP="00EB549E">
      <w:pPr>
        <w:spacing w:line="360" w:lineRule="auto"/>
        <w:jc w:val="both"/>
        <w:rPr>
          <w:rFonts w:ascii="Times New Roman" w:hAnsi="Times New Roman" w:cs="Times New Roman"/>
          <w:sz w:val="24"/>
          <w:szCs w:val="24"/>
        </w:rPr>
      </w:pPr>
    </w:p>
    <w:p w14:paraId="6F568302" w14:textId="77777777" w:rsidR="00EB549E" w:rsidRPr="00DD75EF" w:rsidRDefault="00EB549E" w:rsidP="00EB549E">
      <w:pPr>
        <w:spacing w:line="360" w:lineRule="auto"/>
        <w:jc w:val="both"/>
        <w:rPr>
          <w:rFonts w:ascii="Times New Roman" w:hAnsi="Times New Roman" w:cs="Times New Roman"/>
          <w:sz w:val="24"/>
          <w:szCs w:val="24"/>
        </w:rPr>
      </w:pPr>
    </w:p>
    <w:p w14:paraId="6EFF527C" w14:textId="77777777" w:rsidR="00EB549E" w:rsidRPr="00DD75EF" w:rsidRDefault="00EB549E" w:rsidP="00EB549E">
      <w:pPr>
        <w:spacing w:line="360" w:lineRule="auto"/>
        <w:jc w:val="both"/>
        <w:rPr>
          <w:rFonts w:ascii="Times New Roman" w:hAnsi="Times New Roman" w:cs="Times New Roman"/>
          <w:sz w:val="24"/>
          <w:szCs w:val="24"/>
        </w:rPr>
      </w:pPr>
    </w:p>
    <w:p w14:paraId="76873069" w14:textId="77777777" w:rsidR="00EB549E" w:rsidRPr="00DD75EF" w:rsidRDefault="00EB549E" w:rsidP="00EB549E">
      <w:pPr>
        <w:spacing w:line="360" w:lineRule="auto"/>
        <w:jc w:val="both"/>
        <w:rPr>
          <w:rFonts w:ascii="Times New Roman" w:hAnsi="Times New Roman" w:cs="Times New Roman"/>
          <w:sz w:val="24"/>
          <w:szCs w:val="24"/>
        </w:rPr>
      </w:pPr>
    </w:p>
    <w:p w14:paraId="645DE2CD" w14:textId="77777777" w:rsidR="00EB549E" w:rsidRPr="00DD75EF" w:rsidRDefault="00EB549E" w:rsidP="00EB549E">
      <w:pPr>
        <w:spacing w:line="360" w:lineRule="auto"/>
        <w:jc w:val="both"/>
        <w:rPr>
          <w:rFonts w:ascii="Times New Roman" w:hAnsi="Times New Roman" w:cs="Times New Roman"/>
          <w:sz w:val="24"/>
          <w:szCs w:val="24"/>
        </w:rPr>
      </w:pPr>
    </w:p>
    <w:p w14:paraId="31D23511" w14:textId="77777777" w:rsidR="00EB549E" w:rsidRPr="00DD75EF" w:rsidRDefault="00EB549E" w:rsidP="00EB549E">
      <w:pPr>
        <w:spacing w:line="360" w:lineRule="auto"/>
        <w:jc w:val="both"/>
        <w:rPr>
          <w:rFonts w:ascii="Times New Roman" w:hAnsi="Times New Roman" w:cs="Times New Roman"/>
          <w:sz w:val="24"/>
          <w:szCs w:val="24"/>
        </w:rPr>
      </w:pPr>
    </w:p>
    <w:p w14:paraId="0F8F28D1" w14:textId="77777777" w:rsidR="00EB549E" w:rsidRPr="00DD75EF" w:rsidRDefault="00EB549E" w:rsidP="00EB549E">
      <w:pPr>
        <w:spacing w:line="360" w:lineRule="auto"/>
        <w:jc w:val="both"/>
        <w:rPr>
          <w:rFonts w:ascii="Times New Roman" w:hAnsi="Times New Roman" w:cs="Times New Roman"/>
          <w:sz w:val="24"/>
          <w:szCs w:val="24"/>
        </w:rPr>
      </w:pPr>
    </w:p>
    <w:p w14:paraId="42509F64" w14:textId="77777777" w:rsidR="00EB549E" w:rsidRPr="00DD75EF" w:rsidRDefault="00EB549E" w:rsidP="00EB549E">
      <w:pPr>
        <w:spacing w:line="360" w:lineRule="auto"/>
        <w:jc w:val="both"/>
        <w:rPr>
          <w:rFonts w:ascii="Times New Roman" w:hAnsi="Times New Roman" w:cs="Times New Roman"/>
          <w:sz w:val="24"/>
          <w:szCs w:val="24"/>
        </w:rPr>
      </w:pPr>
    </w:p>
    <w:p w14:paraId="4FE5B54D" w14:textId="77777777" w:rsidR="00EB549E" w:rsidRPr="00DD75EF" w:rsidRDefault="00EB549E" w:rsidP="00EB549E">
      <w:pPr>
        <w:spacing w:line="360" w:lineRule="auto"/>
        <w:jc w:val="both"/>
        <w:rPr>
          <w:rFonts w:ascii="Times New Roman" w:hAnsi="Times New Roman" w:cs="Times New Roman"/>
          <w:sz w:val="24"/>
          <w:szCs w:val="24"/>
        </w:rPr>
      </w:pPr>
    </w:p>
    <w:p w14:paraId="6FA1C6A1" w14:textId="77777777" w:rsidR="00EB549E" w:rsidRPr="00DD75EF" w:rsidRDefault="00EB549E" w:rsidP="00EB549E">
      <w:pPr>
        <w:spacing w:line="360" w:lineRule="auto"/>
        <w:jc w:val="both"/>
        <w:rPr>
          <w:rFonts w:ascii="Times New Roman" w:hAnsi="Times New Roman" w:cs="Times New Roman"/>
          <w:sz w:val="24"/>
          <w:szCs w:val="24"/>
        </w:rPr>
      </w:pPr>
    </w:p>
    <w:p w14:paraId="44DF245D" w14:textId="77777777" w:rsidR="00EB549E" w:rsidRPr="00DD75EF" w:rsidRDefault="00EB549E" w:rsidP="00EB549E">
      <w:pPr>
        <w:spacing w:line="360" w:lineRule="auto"/>
        <w:jc w:val="both"/>
        <w:rPr>
          <w:rFonts w:ascii="Times New Roman" w:hAnsi="Times New Roman" w:cs="Times New Roman"/>
          <w:sz w:val="24"/>
          <w:szCs w:val="24"/>
        </w:rPr>
      </w:pPr>
    </w:p>
    <w:p w14:paraId="1C23A1CA" w14:textId="77777777" w:rsidR="00EB549E" w:rsidRPr="00DD75EF" w:rsidRDefault="00EB549E" w:rsidP="00EB549E">
      <w:pPr>
        <w:spacing w:line="360" w:lineRule="auto"/>
        <w:jc w:val="both"/>
        <w:rPr>
          <w:rFonts w:ascii="Times New Roman" w:hAnsi="Times New Roman" w:cs="Times New Roman"/>
          <w:sz w:val="24"/>
          <w:szCs w:val="24"/>
        </w:rPr>
      </w:pPr>
    </w:p>
    <w:p w14:paraId="60929D88" w14:textId="77777777" w:rsidR="00EB549E" w:rsidRPr="00DD75EF" w:rsidRDefault="00EB549E" w:rsidP="00EB549E">
      <w:pPr>
        <w:spacing w:line="360" w:lineRule="auto"/>
        <w:jc w:val="both"/>
        <w:rPr>
          <w:rFonts w:ascii="Times New Roman" w:hAnsi="Times New Roman" w:cs="Times New Roman"/>
          <w:sz w:val="24"/>
          <w:szCs w:val="24"/>
        </w:rPr>
      </w:pPr>
    </w:p>
    <w:p w14:paraId="19BD0D61" w14:textId="77777777" w:rsidR="00EB549E" w:rsidRPr="00DD75EF" w:rsidRDefault="00EB549E" w:rsidP="00EB549E">
      <w:pPr>
        <w:spacing w:line="360" w:lineRule="auto"/>
        <w:jc w:val="both"/>
        <w:rPr>
          <w:rFonts w:ascii="Times New Roman" w:hAnsi="Times New Roman" w:cs="Times New Roman"/>
          <w:sz w:val="24"/>
          <w:szCs w:val="24"/>
        </w:rPr>
      </w:pPr>
    </w:p>
    <w:p w14:paraId="7C13E718" w14:textId="77777777" w:rsidR="00EB549E" w:rsidRPr="00DD75EF" w:rsidRDefault="00EB549E" w:rsidP="00EB549E">
      <w:pPr>
        <w:spacing w:line="360" w:lineRule="auto"/>
        <w:jc w:val="both"/>
        <w:rPr>
          <w:rFonts w:ascii="Times New Roman" w:hAnsi="Times New Roman" w:cs="Times New Roman"/>
          <w:sz w:val="24"/>
          <w:szCs w:val="24"/>
        </w:rPr>
      </w:pPr>
    </w:p>
    <w:p w14:paraId="5CFE45F6" w14:textId="77777777" w:rsidR="00EB549E" w:rsidRPr="00DD75EF" w:rsidRDefault="00EB549E" w:rsidP="00EB549E">
      <w:pPr>
        <w:spacing w:line="360" w:lineRule="auto"/>
        <w:jc w:val="both"/>
        <w:rPr>
          <w:rFonts w:ascii="Times New Roman" w:hAnsi="Times New Roman" w:cs="Times New Roman"/>
          <w:sz w:val="24"/>
          <w:szCs w:val="24"/>
        </w:rPr>
      </w:pPr>
    </w:p>
    <w:p w14:paraId="1924D9EA" w14:textId="77777777" w:rsidR="00EB549E" w:rsidRPr="00DD75EF" w:rsidRDefault="00EB549E" w:rsidP="00EB549E">
      <w:pPr>
        <w:spacing w:line="360" w:lineRule="auto"/>
        <w:jc w:val="both"/>
        <w:rPr>
          <w:rFonts w:ascii="Times New Roman" w:hAnsi="Times New Roman" w:cs="Times New Roman"/>
          <w:sz w:val="24"/>
          <w:szCs w:val="24"/>
        </w:rPr>
      </w:pPr>
    </w:p>
    <w:p w14:paraId="6D4A497B" w14:textId="77777777" w:rsidR="00EB549E" w:rsidRPr="00DD75EF" w:rsidRDefault="00EB549E" w:rsidP="00EB549E">
      <w:pPr>
        <w:spacing w:line="360" w:lineRule="auto"/>
        <w:jc w:val="both"/>
        <w:rPr>
          <w:rFonts w:ascii="Times New Roman" w:hAnsi="Times New Roman" w:cs="Times New Roman"/>
          <w:sz w:val="24"/>
          <w:szCs w:val="24"/>
        </w:rPr>
      </w:pPr>
    </w:p>
    <w:p w14:paraId="3D3D47C3" w14:textId="77777777" w:rsidR="00EB549E" w:rsidRPr="00DD75EF" w:rsidRDefault="00EB549E" w:rsidP="00EB549E">
      <w:pPr>
        <w:spacing w:line="360" w:lineRule="auto"/>
        <w:jc w:val="both"/>
        <w:rPr>
          <w:rFonts w:ascii="Times New Roman" w:hAnsi="Times New Roman" w:cs="Times New Roman"/>
          <w:sz w:val="24"/>
          <w:szCs w:val="24"/>
        </w:rPr>
      </w:pPr>
    </w:p>
    <w:p w14:paraId="03F0CA65" w14:textId="77777777" w:rsidR="00EB549E" w:rsidRPr="00EB549E" w:rsidRDefault="00EB549E">
      <w:pPr>
        <w:rPr>
          <w:lang w:val="en-US"/>
        </w:rPr>
      </w:pPr>
    </w:p>
    <w:sectPr w:rsidR="00EB549E" w:rsidRPr="00EB549E">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B00E81" w14:textId="77777777" w:rsidR="00500D97" w:rsidRDefault="00500D97" w:rsidP="009C1033">
      <w:pPr>
        <w:spacing w:after="0" w:line="240" w:lineRule="auto"/>
      </w:pPr>
      <w:r>
        <w:separator/>
      </w:r>
    </w:p>
  </w:endnote>
  <w:endnote w:type="continuationSeparator" w:id="0">
    <w:p w14:paraId="6F8AF00F" w14:textId="77777777" w:rsidR="00500D97" w:rsidRDefault="00500D97" w:rsidP="009C10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33855992"/>
      <w:docPartObj>
        <w:docPartGallery w:val="Page Numbers (Bottom of Page)"/>
        <w:docPartUnique/>
      </w:docPartObj>
    </w:sdtPr>
    <w:sdtEndPr>
      <w:rPr>
        <w:noProof/>
      </w:rPr>
    </w:sdtEndPr>
    <w:sdtContent>
      <w:p w14:paraId="73DD5854" w14:textId="4A491CDD" w:rsidR="009C1033" w:rsidRDefault="009C1033">
        <w:pPr>
          <w:pStyle w:val="Footer"/>
        </w:pPr>
        <w:r>
          <w:fldChar w:fldCharType="begin"/>
        </w:r>
        <w:r>
          <w:instrText xml:space="preserve"> PAGE   \* MERGEFORMAT </w:instrText>
        </w:r>
        <w:r>
          <w:fldChar w:fldCharType="separate"/>
        </w:r>
        <w:r>
          <w:rPr>
            <w:noProof/>
          </w:rPr>
          <w:t>2</w:t>
        </w:r>
        <w:r>
          <w:rPr>
            <w:noProof/>
          </w:rPr>
          <w:fldChar w:fldCharType="end"/>
        </w:r>
      </w:p>
    </w:sdtContent>
  </w:sdt>
  <w:p w14:paraId="21D041A4" w14:textId="77777777" w:rsidR="009C1033" w:rsidRDefault="009C10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5DC6E2" w14:textId="77777777" w:rsidR="00500D97" w:rsidRDefault="00500D97" w:rsidP="009C1033">
      <w:pPr>
        <w:spacing w:after="0" w:line="240" w:lineRule="auto"/>
      </w:pPr>
      <w:r>
        <w:separator/>
      </w:r>
    </w:p>
  </w:footnote>
  <w:footnote w:type="continuationSeparator" w:id="0">
    <w:p w14:paraId="5A365656" w14:textId="77777777" w:rsidR="00500D97" w:rsidRDefault="00500D97" w:rsidP="009C10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1E16BB3"/>
    <w:multiLevelType w:val="hybridMultilevel"/>
    <w:tmpl w:val="1FEE482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8F4C3E"/>
    <w:multiLevelType w:val="hybridMultilevel"/>
    <w:tmpl w:val="8B14E23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88056967">
    <w:abstractNumId w:val="0"/>
  </w:num>
  <w:num w:numId="2" w16cid:durableId="5900903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93"/>
    <w:rsid w:val="0002515F"/>
    <w:rsid w:val="000C4033"/>
    <w:rsid w:val="000D75E4"/>
    <w:rsid w:val="000E36A2"/>
    <w:rsid w:val="00281D4B"/>
    <w:rsid w:val="0029052C"/>
    <w:rsid w:val="00416337"/>
    <w:rsid w:val="00417072"/>
    <w:rsid w:val="004337E3"/>
    <w:rsid w:val="004A5F6F"/>
    <w:rsid w:val="00500D97"/>
    <w:rsid w:val="00512D5B"/>
    <w:rsid w:val="0054167D"/>
    <w:rsid w:val="00595562"/>
    <w:rsid w:val="005A6260"/>
    <w:rsid w:val="00681479"/>
    <w:rsid w:val="00694412"/>
    <w:rsid w:val="006E3938"/>
    <w:rsid w:val="007161C4"/>
    <w:rsid w:val="007B17B6"/>
    <w:rsid w:val="00820391"/>
    <w:rsid w:val="008D699F"/>
    <w:rsid w:val="0091552A"/>
    <w:rsid w:val="009246C7"/>
    <w:rsid w:val="00970153"/>
    <w:rsid w:val="009C1033"/>
    <w:rsid w:val="00A23DA6"/>
    <w:rsid w:val="00AC7434"/>
    <w:rsid w:val="00AD602F"/>
    <w:rsid w:val="00C408B7"/>
    <w:rsid w:val="00C50F05"/>
    <w:rsid w:val="00C61061"/>
    <w:rsid w:val="00CA6CBB"/>
    <w:rsid w:val="00CD79CD"/>
    <w:rsid w:val="00D342DB"/>
    <w:rsid w:val="00D732E3"/>
    <w:rsid w:val="00D806CF"/>
    <w:rsid w:val="00D82CCF"/>
    <w:rsid w:val="00D90BA5"/>
    <w:rsid w:val="00DA2893"/>
    <w:rsid w:val="00DD75EF"/>
    <w:rsid w:val="00E81246"/>
    <w:rsid w:val="00E83C28"/>
    <w:rsid w:val="00EB549E"/>
    <w:rsid w:val="00EC203B"/>
    <w:rsid w:val="00F153E2"/>
    <w:rsid w:val="00F358D2"/>
    <w:rsid w:val="00F50CC6"/>
    <w:rsid w:val="00FA1CC6"/>
    <w:rsid w:val="00FA5D43"/>
    <w:rsid w:val="00FB68F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4FC38"/>
  <w15:chartTrackingRefBased/>
  <w15:docId w15:val="{79E8918A-8F2E-4122-9F90-4C2B60BC8B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20391"/>
    <w:pPr>
      <w:keepNext/>
      <w:keepLines/>
      <w:spacing w:before="240" w:after="0" w:line="36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C10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033"/>
    <w:rPr>
      <w:lang w:val="en-GB"/>
    </w:rPr>
  </w:style>
  <w:style w:type="paragraph" w:styleId="Footer">
    <w:name w:val="footer"/>
    <w:basedOn w:val="Normal"/>
    <w:link w:val="FooterChar"/>
    <w:uiPriority w:val="99"/>
    <w:unhideWhenUsed/>
    <w:rsid w:val="009C10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033"/>
    <w:rPr>
      <w:lang w:val="en-GB"/>
    </w:rPr>
  </w:style>
  <w:style w:type="paragraph" w:styleId="Bibliography">
    <w:name w:val="Bibliography"/>
    <w:basedOn w:val="Normal"/>
    <w:next w:val="Normal"/>
    <w:uiPriority w:val="37"/>
    <w:unhideWhenUsed/>
    <w:rsid w:val="000C4033"/>
  </w:style>
  <w:style w:type="character" w:customStyle="1" w:styleId="Heading1Char">
    <w:name w:val="Heading 1 Char"/>
    <w:basedOn w:val="DefaultParagraphFont"/>
    <w:link w:val="Heading1"/>
    <w:uiPriority w:val="9"/>
    <w:rsid w:val="00820391"/>
    <w:rPr>
      <w:rFonts w:ascii="Times New Roman" w:eastAsiaTheme="majorEastAsia" w:hAnsi="Times New Roman" w:cstheme="majorBidi"/>
      <w:b/>
      <w:sz w:val="24"/>
      <w:szCs w:val="32"/>
      <w:lang w:val="en-GB"/>
    </w:rPr>
  </w:style>
  <w:style w:type="paragraph" w:styleId="ListParagraph">
    <w:name w:val="List Paragraph"/>
    <w:basedOn w:val="Normal"/>
    <w:uiPriority w:val="34"/>
    <w:qFormat/>
    <w:rsid w:val="00D90BA5"/>
    <w:pPr>
      <w:ind w:left="720"/>
      <w:contextualSpacing/>
    </w:pPr>
  </w:style>
  <w:style w:type="paragraph" w:styleId="TOCHeading">
    <w:name w:val="TOC Heading"/>
    <w:basedOn w:val="Heading1"/>
    <w:next w:val="Normal"/>
    <w:uiPriority w:val="39"/>
    <w:unhideWhenUsed/>
    <w:qFormat/>
    <w:rsid w:val="00EC203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EC203B"/>
    <w:pPr>
      <w:spacing w:after="100"/>
    </w:pPr>
  </w:style>
  <w:style w:type="character" w:styleId="Hyperlink">
    <w:name w:val="Hyperlink"/>
    <w:basedOn w:val="DefaultParagraphFont"/>
    <w:uiPriority w:val="99"/>
    <w:unhideWhenUsed/>
    <w:rsid w:val="00EC20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21827">
      <w:bodyDiv w:val="1"/>
      <w:marLeft w:val="0"/>
      <w:marRight w:val="0"/>
      <w:marTop w:val="0"/>
      <w:marBottom w:val="0"/>
      <w:divBdr>
        <w:top w:val="none" w:sz="0" w:space="0" w:color="auto"/>
        <w:left w:val="none" w:sz="0" w:space="0" w:color="auto"/>
        <w:bottom w:val="none" w:sz="0" w:space="0" w:color="auto"/>
        <w:right w:val="none" w:sz="0" w:space="0" w:color="auto"/>
      </w:divBdr>
    </w:div>
    <w:div w:id="30764328">
      <w:bodyDiv w:val="1"/>
      <w:marLeft w:val="0"/>
      <w:marRight w:val="0"/>
      <w:marTop w:val="0"/>
      <w:marBottom w:val="0"/>
      <w:divBdr>
        <w:top w:val="none" w:sz="0" w:space="0" w:color="auto"/>
        <w:left w:val="none" w:sz="0" w:space="0" w:color="auto"/>
        <w:bottom w:val="none" w:sz="0" w:space="0" w:color="auto"/>
        <w:right w:val="none" w:sz="0" w:space="0" w:color="auto"/>
      </w:divBdr>
    </w:div>
    <w:div w:id="128716764">
      <w:bodyDiv w:val="1"/>
      <w:marLeft w:val="0"/>
      <w:marRight w:val="0"/>
      <w:marTop w:val="0"/>
      <w:marBottom w:val="0"/>
      <w:divBdr>
        <w:top w:val="none" w:sz="0" w:space="0" w:color="auto"/>
        <w:left w:val="none" w:sz="0" w:space="0" w:color="auto"/>
        <w:bottom w:val="none" w:sz="0" w:space="0" w:color="auto"/>
        <w:right w:val="none" w:sz="0" w:space="0" w:color="auto"/>
      </w:divBdr>
    </w:div>
    <w:div w:id="215514606">
      <w:bodyDiv w:val="1"/>
      <w:marLeft w:val="0"/>
      <w:marRight w:val="0"/>
      <w:marTop w:val="0"/>
      <w:marBottom w:val="0"/>
      <w:divBdr>
        <w:top w:val="none" w:sz="0" w:space="0" w:color="auto"/>
        <w:left w:val="none" w:sz="0" w:space="0" w:color="auto"/>
        <w:bottom w:val="none" w:sz="0" w:space="0" w:color="auto"/>
        <w:right w:val="none" w:sz="0" w:space="0" w:color="auto"/>
      </w:divBdr>
    </w:div>
    <w:div w:id="441726818">
      <w:bodyDiv w:val="1"/>
      <w:marLeft w:val="0"/>
      <w:marRight w:val="0"/>
      <w:marTop w:val="0"/>
      <w:marBottom w:val="0"/>
      <w:divBdr>
        <w:top w:val="none" w:sz="0" w:space="0" w:color="auto"/>
        <w:left w:val="none" w:sz="0" w:space="0" w:color="auto"/>
        <w:bottom w:val="none" w:sz="0" w:space="0" w:color="auto"/>
        <w:right w:val="none" w:sz="0" w:space="0" w:color="auto"/>
      </w:divBdr>
    </w:div>
    <w:div w:id="604339399">
      <w:bodyDiv w:val="1"/>
      <w:marLeft w:val="0"/>
      <w:marRight w:val="0"/>
      <w:marTop w:val="0"/>
      <w:marBottom w:val="0"/>
      <w:divBdr>
        <w:top w:val="none" w:sz="0" w:space="0" w:color="auto"/>
        <w:left w:val="none" w:sz="0" w:space="0" w:color="auto"/>
        <w:bottom w:val="none" w:sz="0" w:space="0" w:color="auto"/>
        <w:right w:val="none" w:sz="0" w:space="0" w:color="auto"/>
      </w:divBdr>
    </w:div>
    <w:div w:id="727874264">
      <w:bodyDiv w:val="1"/>
      <w:marLeft w:val="0"/>
      <w:marRight w:val="0"/>
      <w:marTop w:val="0"/>
      <w:marBottom w:val="0"/>
      <w:divBdr>
        <w:top w:val="none" w:sz="0" w:space="0" w:color="auto"/>
        <w:left w:val="none" w:sz="0" w:space="0" w:color="auto"/>
        <w:bottom w:val="none" w:sz="0" w:space="0" w:color="auto"/>
        <w:right w:val="none" w:sz="0" w:space="0" w:color="auto"/>
      </w:divBdr>
    </w:div>
    <w:div w:id="761071002">
      <w:bodyDiv w:val="1"/>
      <w:marLeft w:val="0"/>
      <w:marRight w:val="0"/>
      <w:marTop w:val="0"/>
      <w:marBottom w:val="0"/>
      <w:divBdr>
        <w:top w:val="none" w:sz="0" w:space="0" w:color="auto"/>
        <w:left w:val="none" w:sz="0" w:space="0" w:color="auto"/>
        <w:bottom w:val="none" w:sz="0" w:space="0" w:color="auto"/>
        <w:right w:val="none" w:sz="0" w:space="0" w:color="auto"/>
      </w:divBdr>
    </w:div>
    <w:div w:id="833683953">
      <w:bodyDiv w:val="1"/>
      <w:marLeft w:val="0"/>
      <w:marRight w:val="0"/>
      <w:marTop w:val="0"/>
      <w:marBottom w:val="0"/>
      <w:divBdr>
        <w:top w:val="none" w:sz="0" w:space="0" w:color="auto"/>
        <w:left w:val="none" w:sz="0" w:space="0" w:color="auto"/>
        <w:bottom w:val="none" w:sz="0" w:space="0" w:color="auto"/>
        <w:right w:val="none" w:sz="0" w:space="0" w:color="auto"/>
      </w:divBdr>
    </w:div>
    <w:div w:id="946080157">
      <w:bodyDiv w:val="1"/>
      <w:marLeft w:val="0"/>
      <w:marRight w:val="0"/>
      <w:marTop w:val="0"/>
      <w:marBottom w:val="0"/>
      <w:divBdr>
        <w:top w:val="none" w:sz="0" w:space="0" w:color="auto"/>
        <w:left w:val="none" w:sz="0" w:space="0" w:color="auto"/>
        <w:bottom w:val="none" w:sz="0" w:space="0" w:color="auto"/>
        <w:right w:val="none" w:sz="0" w:space="0" w:color="auto"/>
      </w:divBdr>
    </w:div>
    <w:div w:id="1158230414">
      <w:bodyDiv w:val="1"/>
      <w:marLeft w:val="0"/>
      <w:marRight w:val="0"/>
      <w:marTop w:val="0"/>
      <w:marBottom w:val="0"/>
      <w:divBdr>
        <w:top w:val="none" w:sz="0" w:space="0" w:color="auto"/>
        <w:left w:val="none" w:sz="0" w:space="0" w:color="auto"/>
        <w:bottom w:val="none" w:sz="0" w:space="0" w:color="auto"/>
        <w:right w:val="none" w:sz="0" w:space="0" w:color="auto"/>
      </w:divBdr>
    </w:div>
    <w:div w:id="1174029422">
      <w:bodyDiv w:val="1"/>
      <w:marLeft w:val="0"/>
      <w:marRight w:val="0"/>
      <w:marTop w:val="0"/>
      <w:marBottom w:val="0"/>
      <w:divBdr>
        <w:top w:val="none" w:sz="0" w:space="0" w:color="auto"/>
        <w:left w:val="none" w:sz="0" w:space="0" w:color="auto"/>
        <w:bottom w:val="none" w:sz="0" w:space="0" w:color="auto"/>
        <w:right w:val="none" w:sz="0" w:space="0" w:color="auto"/>
      </w:divBdr>
    </w:div>
    <w:div w:id="1293901021">
      <w:bodyDiv w:val="1"/>
      <w:marLeft w:val="0"/>
      <w:marRight w:val="0"/>
      <w:marTop w:val="0"/>
      <w:marBottom w:val="0"/>
      <w:divBdr>
        <w:top w:val="none" w:sz="0" w:space="0" w:color="auto"/>
        <w:left w:val="none" w:sz="0" w:space="0" w:color="auto"/>
        <w:bottom w:val="none" w:sz="0" w:space="0" w:color="auto"/>
        <w:right w:val="none" w:sz="0" w:space="0" w:color="auto"/>
      </w:divBdr>
    </w:div>
    <w:div w:id="1475246856">
      <w:bodyDiv w:val="1"/>
      <w:marLeft w:val="0"/>
      <w:marRight w:val="0"/>
      <w:marTop w:val="0"/>
      <w:marBottom w:val="0"/>
      <w:divBdr>
        <w:top w:val="none" w:sz="0" w:space="0" w:color="auto"/>
        <w:left w:val="none" w:sz="0" w:space="0" w:color="auto"/>
        <w:bottom w:val="none" w:sz="0" w:space="0" w:color="auto"/>
        <w:right w:val="none" w:sz="0" w:space="0" w:color="auto"/>
      </w:divBdr>
    </w:div>
    <w:div w:id="1601402654">
      <w:bodyDiv w:val="1"/>
      <w:marLeft w:val="0"/>
      <w:marRight w:val="0"/>
      <w:marTop w:val="0"/>
      <w:marBottom w:val="0"/>
      <w:divBdr>
        <w:top w:val="none" w:sz="0" w:space="0" w:color="auto"/>
        <w:left w:val="none" w:sz="0" w:space="0" w:color="auto"/>
        <w:bottom w:val="none" w:sz="0" w:space="0" w:color="auto"/>
        <w:right w:val="none" w:sz="0" w:space="0" w:color="auto"/>
      </w:divBdr>
    </w:div>
    <w:div w:id="1745879501">
      <w:bodyDiv w:val="1"/>
      <w:marLeft w:val="0"/>
      <w:marRight w:val="0"/>
      <w:marTop w:val="0"/>
      <w:marBottom w:val="0"/>
      <w:divBdr>
        <w:top w:val="none" w:sz="0" w:space="0" w:color="auto"/>
        <w:left w:val="none" w:sz="0" w:space="0" w:color="auto"/>
        <w:bottom w:val="none" w:sz="0" w:space="0" w:color="auto"/>
        <w:right w:val="none" w:sz="0" w:space="0" w:color="auto"/>
      </w:divBdr>
    </w:div>
    <w:div w:id="1838767774">
      <w:bodyDiv w:val="1"/>
      <w:marLeft w:val="0"/>
      <w:marRight w:val="0"/>
      <w:marTop w:val="0"/>
      <w:marBottom w:val="0"/>
      <w:divBdr>
        <w:top w:val="none" w:sz="0" w:space="0" w:color="auto"/>
        <w:left w:val="none" w:sz="0" w:space="0" w:color="auto"/>
        <w:bottom w:val="none" w:sz="0" w:space="0" w:color="auto"/>
        <w:right w:val="none" w:sz="0" w:space="0" w:color="auto"/>
      </w:divBdr>
    </w:div>
    <w:div w:id="2000648278">
      <w:bodyDiv w:val="1"/>
      <w:marLeft w:val="0"/>
      <w:marRight w:val="0"/>
      <w:marTop w:val="0"/>
      <w:marBottom w:val="0"/>
      <w:divBdr>
        <w:top w:val="none" w:sz="0" w:space="0" w:color="auto"/>
        <w:left w:val="none" w:sz="0" w:space="0" w:color="auto"/>
        <w:bottom w:val="none" w:sz="0" w:space="0" w:color="auto"/>
        <w:right w:val="none" w:sz="0" w:space="0" w:color="auto"/>
      </w:divBdr>
    </w:div>
    <w:div w:id="2001422527">
      <w:bodyDiv w:val="1"/>
      <w:marLeft w:val="0"/>
      <w:marRight w:val="0"/>
      <w:marTop w:val="0"/>
      <w:marBottom w:val="0"/>
      <w:divBdr>
        <w:top w:val="none" w:sz="0" w:space="0" w:color="auto"/>
        <w:left w:val="none" w:sz="0" w:space="0" w:color="auto"/>
        <w:bottom w:val="none" w:sz="0" w:space="0" w:color="auto"/>
        <w:right w:val="none" w:sz="0" w:space="0" w:color="auto"/>
      </w:divBdr>
    </w:div>
    <w:div w:id="2003656948">
      <w:bodyDiv w:val="1"/>
      <w:marLeft w:val="0"/>
      <w:marRight w:val="0"/>
      <w:marTop w:val="0"/>
      <w:marBottom w:val="0"/>
      <w:divBdr>
        <w:top w:val="none" w:sz="0" w:space="0" w:color="auto"/>
        <w:left w:val="none" w:sz="0" w:space="0" w:color="auto"/>
        <w:bottom w:val="none" w:sz="0" w:space="0" w:color="auto"/>
        <w:right w:val="none" w:sz="0" w:space="0" w:color="auto"/>
      </w:divBdr>
    </w:div>
    <w:div w:id="2016297906">
      <w:bodyDiv w:val="1"/>
      <w:marLeft w:val="0"/>
      <w:marRight w:val="0"/>
      <w:marTop w:val="0"/>
      <w:marBottom w:val="0"/>
      <w:divBdr>
        <w:top w:val="none" w:sz="0" w:space="0" w:color="auto"/>
        <w:left w:val="none" w:sz="0" w:space="0" w:color="auto"/>
        <w:bottom w:val="none" w:sz="0" w:space="0" w:color="auto"/>
        <w:right w:val="none" w:sz="0" w:space="0" w:color="auto"/>
      </w:divBdr>
    </w:div>
    <w:div w:id="2020084831">
      <w:bodyDiv w:val="1"/>
      <w:marLeft w:val="0"/>
      <w:marRight w:val="0"/>
      <w:marTop w:val="0"/>
      <w:marBottom w:val="0"/>
      <w:divBdr>
        <w:top w:val="none" w:sz="0" w:space="0" w:color="auto"/>
        <w:left w:val="none" w:sz="0" w:space="0" w:color="auto"/>
        <w:bottom w:val="none" w:sz="0" w:space="0" w:color="auto"/>
        <w:right w:val="none" w:sz="0" w:space="0" w:color="auto"/>
      </w:divBdr>
    </w:div>
    <w:div w:id="2029985433">
      <w:bodyDiv w:val="1"/>
      <w:marLeft w:val="0"/>
      <w:marRight w:val="0"/>
      <w:marTop w:val="0"/>
      <w:marBottom w:val="0"/>
      <w:divBdr>
        <w:top w:val="none" w:sz="0" w:space="0" w:color="auto"/>
        <w:left w:val="none" w:sz="0" w:space="0" w:color="auto"/>
        <w:bottom w:val="none" w:sz="0" w:space="0" w:color="auto"/>
        <w:right w:val="none" w:sz="0" w:space="0" w:color="auto"/>
      </w:divBdr>
    </w:div>
    <w:div w:id="2146507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Fox14</b:Tag>
    <b:SourceType>Book</b:SourceType>
    <b:Guid>{EEEDE482-9CB2-4F39-810E-1FBABC844CB1}</b:Guid>
    <b:Title>Doing Events Research: From Theory to Practice</b:Title>
    <b:Year>2014</b:Year>
    <b:LCID>en-GB</b:LCID>
    <b:Author>
      <b:Author>
        <b:NameList>
          <b:Person>
            <b:Last>Fox</b:Last>
            <b:First>Dorothy</b:First>
          </b:Person>
          <b:Person>
            <b:Last>Gouthro</b:Last>
            <b:First>Mary</b:First>
            <b:Middle>Beth</b:Middle>
          </b:Person>
          <b:Person>
            <b:Last>Morakabati</b:Last>
            <b:First>Yeganeh</b:First>
          </b:Person>
          <b:Person>
            <b:Last>Brackstone</b:Last>
            <b:First>John</b:First>
          </b:Person>
        </b:NameList>
      </b:Author>
    </b:Author>
    <b:City>Abingdon</b:City>
    <b:Publisher>Routledge</b:Publisher>
    <b:RefOrder>1</b:RefOrder>
  </b:Source>
  <b:Source>
    <b:Tag>Get24</b:Tag>
    <b:SourceType>Book</b:SourceType>
    <b:Guid>{E6D639DE-4A95-487F-B8D4-48F13E247755}</b:Guid>
    <b:LCID>en-GB</b:LCID>
    <b:Author>
      <b:Author>
        <b:NameList>
          <b:Person>
            <b:Last>Getz</b:Last>
            <b:First>Donald</b:First>
          </b:Person>
          <b:Person>
            <b:Last>Page</b:Last>
            <b:First>Stephen</b:First>
          </b:Person>
        </b:NameList>
      </b:Author>
    </b:Author>
    <b:Title>Event Studies: Theory and Management for Planned Events</b:Title>
    <b:Year>2024</b:Year>
    <b:City>Aingdon</b:City>
    <b:Publisher>Taylor &amp; Francis</b:Publisher>
    <b:RefOrder>2</b:RefOrder>
  </b:Source>
  <b:Source>
    <b:Tag>Mer21</b:Tag>
    <b:SourceType>Book</b:SourceType>
    <b:Guid>{D1C75D11-72ED-4F11-83E8-FB8A42526BE5}</b:Guid>
    <b:Title>Project Management: A Managerial Approach</b:Title>
    <b:Year>2021</b:Year>
    <b:LCID>en-GB</b:LCID>
    <b:Author>
      <b:Author>
        <b:NameList>
          <b:Person>
            <b:Last>Meredith</b:Last>
            <b:First>Jack</b:First>
            <b:Middle>R.</b:Middle>
          </b:Person>
          <b:Person>
            <b:Last>Shafer</b:Last>
            <b:First>Scott</b:First>
            <b:Middle>M.</b:Middle>
          </b:Person>
          <b:Person>
            <b:Last>Mantel</b:Last>
            <b:First>Samuel</b:First>
            <b:Middle>J.</b:Middle>
          </b:Person>
        </b:NameList>
      </b:Author>
    </b:Author>
    <b:City>Hoboken</b:City>
    <b:Publisher>John Wiley &amp; Sons</b:Publisher>
    <b:RefOrder>3</b:RefOrder>
  </b:Source>
  <b:Source>
    <b:Tag>HSC24</b:Tag>
    <b:SourceType>InternetSite</b:SourceType>
    <b:Guid>{8443994B-3906-42EA-8992-D44C32ED478D}</b:Guid>
    <b:Title>HSC</b:Title>
    <b:Year>2024</b:Year>
    <b:LCID>en-GB</b:LCID>
    <b:Author>
      <b:Author>
        <b:Corporate>HSC</b:Corporate>
      </b:Author>
    </b:Author>
    <b:YearAccessed>2024</b:YearAccessed>
    <b:URL>https://hospitalitysectorcouncil.org/about/</b:URL>
    <b:RefOrder>4</b:RefOrder>
  </b:Source>
  <b:Source>
    <b:Tag>Rog13</b:Tag>
    <b:SourceType>Book</b:SourceType>
    <b:Guid>{983E7348-AA13-4241-B1B3-74728FCEAFB9}</b:Guid>
    <b:Title>Conferences and Conventions: A Global Industry</b:Title>
    <b:Year>2013</b:Year>
    <b:LCID>en-GB</b:LCID>
    <b:Author>
      <b:Author>
        <b:NameList>
          <b:Person>
            <b:Last>Rogers</b:Last>
            <b:First>Tony</b:First>
          </b:Person>
        </b:NameList>
      </b:Author>
    </b:Author>
    <b:City>Abingdon</b:City>
    <b:Publisher>Routledge</b:Publisher>
    <b:RefOrder>5</b:RefOrder>
  </b:Source>
  <b:Source>
    <b:Tag>Wei19</b:Tag>
    <b:SourceType>JournalArticle</b:SourceType>
    <b:Guid>{AFF6BC32-D847-405A-AFAF-5E564F8B0857}</b:Guid>
    <b:Title>Research progress on virtual reality (VR) and augmented reality (AR) in tourism and hospitality: A critical review of publications from 2000 to 2018</b:Title>
    <b:Year>2019</b:Year>
    <b:LCID>en-GB</b:LCID>
    <b:Author>
      <b:Author>
        <b:NameList>
          <b:Person>
            <b:Last>Wei</b:Last>
            <b:First>Wei</b:First>
          </b:Person>
        </b:NameList>
      </b:Author>
    </b:Author>
    <b:JournalName>Journal of Hospitality and Tourism Technology</b:JournalName>
    <b:Volume>10</b:Volume>
    <b:Issue>4</b:Issue>
    <b:RefOrder>6</b:RefOrder>
  </b:Source>
  <b:Source>
    <b:Tag>Sta241</b:Tag>
    <b:SourceType>InternetSite</b:SourceType>
    <b:Guid>{326D9268-47DE-4C97-BEB5-28F478DE6F01}</b:Guid>
    <b:Title>Statista</b:Title>
    <b:Year>2024</b:Year>
    <b:LCID>en-GB</b:LCID>
    <b:Author>
      <b:Author>
        <b:Corporate>Statista</b:Corporate>
      </b:Author>
    </b:Author>
    <b:YearAccessed>2024</b:YearAccessed>
    <b:URL>https://www.statista.com/outlook/amo/ar-vr/worldwide</b:URL>
    <b:RefOrder>7</b:RefOrder>
  </b:Source>
  <b:Source>
    <b:Tag>Mar181</b:Tag>
    <b:SourceType>JournalArticle</b:SourceType>
    <b:Guid>{A0C2CAF8-9982-4BD4-A9BD-C234FE3704E0}</b:Guid>
    <b:LCID>en-GB</b:LCID>
    <b:Author>
      <b:Author>
        <b:NameList>
          <b:Person>
            <b:Last>Marasco</b:Last>
            <b:First>A.</b:First>
          </b:Person>
          <b:Person>
            <b:Last>De Martino</b:Last>
            <b:First>M.</b:First>
          </b:Person>
          <b:Person>
            <b:Last>Magnotti</b:Last>
            <b:First>F.</b:First>
          </b:Person>
          <b:Person>
            <b:Last>Morvillo</b:Last>
            <b:First>A.</b:First>
          </b:Person>
        </b:NameList>
      </b:Author>
    </b:Author>
    <b:Title>Collaborative innovation in tourism and hospitality: a systematic review of the literature</b:Title>
    <b:JournalName>International Journal of Contemporary Hospitality Management</b:JournalName>
    <b:Year>2018</b:Year>
    <b:Volume>30</b:Volume>
    <b:Issue>6</b:Issue>
    <b:RefOrder>8</b:RefOrder>
  </b:Source>
  <b:Source>
    <b:Tag>Rya20</b:Tag>
    <b:SourceType>JournalArticle</b:SourceType>
    <b:Guid>{0C536737-28BD-4F19-B170-5D7639421ABD}</b:Guid>
    <b:LCID>en-GB</b:LCID>
    <b:Author>
      <b:Author>
        <b:NameList>
          <b:Person>
            <b:Last>Ryan</b:Last>
            <b:First>W.G.</b:First>
          </b:Person>
          <b:Person>
            <b:Last>Fenton</b:Last>
            <b:First>A.</b:First>
          </b:Person>
          <b:Person>
            <b:Last>Ahmed</b:Last>
            <b:First>W.</b:First>
          </b:Person>
          <b:Person>
            <b:Last>Scarf</b:Last>
            <b:First>P.</b:First>
          </b:Person>
        </b:NameList>
      </b:Author>
    </b:Author>
    <b:Title>Recognizing events 4.0: The digital maturity of events</b:Title>
    <b:JournalName>International Journal of Event and Festival Management</b:JournalName>
    <b:Year>2020</b:Year>
    <b:Volume>11</b:Volume>
    <b:Issue>1</b:Issue>
    <b:RefOrder>9</b:RefOrder>
  </b:Source>
  <b:Source>
    <b:Tag>OTo11</b:Tag>
    <b:SourceType>Book</b:SourceType>
    <b:Guid>{296AC636-2990-4024-8023-F9FC435B000F}</b:Guid>
    <b:Title>Events Feasibility and Development: From Strategy to Operations</b:Title>
    <b:Year>2011</b:Year>
    <b:City>Abingdon</b:City>
    <b:Publisher>Routledge</b:Publisher>
    <b:LCID>en-GB</b:LCID>
    <b:Author>
      <b:Author>
        <b:NameList>
          <b:Person>
            <b:Last>O'Toole</b:Last>
            <b:First>William</b:First>
          </b:Person>
        </b:NameList>
      </b:Author>
    </b:Author>
    <b:RefOrder>10</b:RefOrder>
  </b:Source>
  <b:Source>
    <b:Tag>IBI23</b:Tag>
    <b:SourceType>InternetSite</b:SourceType>
    <b:Guid>{2AA03A1D-F5F5-4AC6-B159-F3292532EED0}</b:Guid>
    <b:Title>IBISWorld</b:Title>
    <b:Year>2023</b:Year>
    <b:LCID>en-GB</b:LCID>
    <b:Author>
      <b:Author>
        <b:Corporate>IBISWorld</b:Corporate>
      </b:Author>
    </b:Author>
    <b:YearAccessed>2024</b:YearAccessed>
    <b:URL>https://www.ibisworld.com/united-kingdom/market-research-reports/conference-centres-letting-operating-industry/#IndustryStatisticsAndTrends</b:URL>
    <b:RefOrder>11</b:RefOrder>
  </b:Source>
  <b:Source>
    <b:Tag>Web19</b:Tag>
    <b:SourceType>JournalArticle</b:SourceType>
    <b:Guid>{A1219575-17A4-4918-A57E-7BE9B364C137}</b:Guid>
    <b:Title>Event and festival research: a review and research directions</b:Title>
    <b:Year>2019</b:Year>
    <b:LCID>en-GB</b:LCID>
    <b:Author>
      <b:Author>
        <b:NameList>
          <b:Person>
            <b:Last>Weber</b:Last>
            <b:First>Karin</b:First>
          </b:Person>
          <b:Person>
            <b:Last>Mair</b:Last>
            <b:First>Judith</b:First>
          </b:Person>
        </b:NameList>
      </b:Author>
    </b:Author>
    <b:JournalName>International Journal of Event and Festival Management</b:JournalName>
    <b:Volume>10</b:Volume>
    <b:Issue>3</b:Issue>
    <b:RefOrder>12</b:RefOrder>
  </b:Source>
  <b:Source>
    <b:Tag>Bin23</b:Tag>
    <b:SourceType>ArticleInAPeriodical</b:SourceType>
    <b:Guid>{EF825360-9C30-4CD3-8978-D7DDE452E702}</b:Guid>
    <b:LCID>en-GB</b:LCID>
    <b:Title>The future of tourism: Bridging the labor gap, enhancing customer experience</b:Title>
    <b:Year>2023</b:Year>
    <b:Author>
      <b:Author>
        <b:NameList>
          <b:Person>
            <b:Last>Binggeli</b:Last>
            <b:First>Urs</b:First>
          </b:Person>
          <b:Person>
            <b:Last>Chen</b:Last>
            <b:First>Zi</b:First>
          </b:Person>
          <b:Person>
            <b:Last>Kopke</b:Last>
            <b:First>Steffen</b:First>
          </b:Person>
          <b:Person>
            <b:Last>Yu</b:Last>
            <b:First>Jackey</b:First>
          </b:Person>
        </b:NameList>
      </b:Author>
    </b:Author>
    <b:PeriodicalTitle>McKinsey &amp; Company</b:PeriodicalTitle>
    <b:RefOrder>13</b:RefOrder>
  </b:Source>
  <b:Source>
    <b:Tag>Tem21</b:Tag>
    <b:SourceType>JournalArticle</b:SourceType>
    <b:Guid>{F8F29006-8E9B-4611-A582-8F6C1981E15E}</b:Guid>
    <b:Title>Data Collection: Welcome to the Experience Economy.</b:Title>
    <b:Year>2021</b:Year>
    <b:LCID>en-GB</b:LCID>
    <b:Author>
      <b:Author>
        <b:NameList>
          <b:Person>
            <b:Last>Temkin</b:Last>
            <b:First>B.</b:First>
          </b:Person>
        </b:NameList>
      </b:Author>
    </b:Author>
    <b:JournalName>In The Machine Age of Customer Insight</b:JournalName>
    <b:RefOrder>14</b:RefOrder>
  </b:Source>
  <b:Source>
    <b:Tag>Sin23</b:Tag>
    <b:SourceType>JournalArticle</b:SourceType>
    <b:Guid>{04557BF1-9E7C-4990-8E47-5AE2CA0063E9}</b:Guid>
    <b:Title>The Journal of Convention and Event Tourism: A retrospective analysis using bibliometrics</b:Title>
    <b:Year>2023</b:Year>
    <b:LCID>en-GB</b:LCID>
    <b:Author>
      <b:Author>
        <b:NameList>
          <b:Person>
            <b:Last>Singh</b:Last>
            <b:First>R.</b:First>
          </b:Person>
          <b:Person>
            <b:Last>PS</b:Last>
            <b:First>S.</b:First>
          </b:Person>
          <b:Person>
            <b:Last>Bashir</b:Last>
            <b:First>A.</b:First>
          </b:Person>
        </b:NameList>
      </b:Author>
    </b:Author>
    <b:JournalName>In Journal of Convention &amp; Event Tourism</b:JournalName>
    <b:Volume>24</b:Volume>
    <b:Issue>1</b:Issue>
    <b:RefOrder>15</b:RefOrder>
  </b:Source>
  <b:Source>
    <b:Tag>Lei21</b:Tag>
    <b:SourceType>JournalArticle</b:SourceType>
    <b:Guid>{4F5602DB-9DF9-4727-A7F7-0A4A05E913E9}</b:Guid>
    <b:Title>Training for event volunteers: factors influencing event managers' resource allocation decision-making</b:Title>
    <b:Year>2021</b:Year>
    <b:LCID>en-GB</b:LCID>
    <b:Author>
      <b:Author>
        <b:NameList>
          <b:Person>
            <b:Last>Leigh</b:Last>
            <b:First>J.</b:First>
          </b:Person>
          <b:Person>
            <b:Last>Cairncross</b:Last>
            <b:First>G.</b:First>
          </b:Person>
          <b:Person>
            <b:Last>Lamont</b:Last>
            <b:First>M.,</b:First>
          </b:Person>
        </b:NameList>
      </b:Author>
    </b:Author>
    <b:JournalName>International Journal of Event and Festival Management</b:JournalName>
    <b:Volume>12</b:Volume>
    <b:Issue>1</b:Issue>
    <b:RefOrder>16</b:RefOrder>
  </b:Source>
  <b:Source>
    <b:Tag>Yeu21</b:Tag>
    <b:SourceType>JournalArticle</b:SourceType>
    <b:Guid>{D5D7F5EC-3169-4616-8A24-CB7D00C42BD5}</b:Guid>
    <b:Title>The ‘long tail’ of event management research: evidence from the field’s main journals.</b:Title>
    <b:Year>2021</b:Year>
    <b:LCID>en-GB</b:LCID>
    <b:Author>
      <b:Author>
        <b:NameList>
          <b:Person>
            <b:Last>Yeung</b:Last>
            <b:First>E</b:First>
          </b:Person>
          <b:Person>
            <b:Last>Thomas</b:Last>
            <b:First>R</b:First>
          </b:Person>
        </b:NameList>
      </b:Author>
    </b:Author>
    <b:JournalName>Journal of Policy Research in Tourism, Leisure and Events</b:JournalName>
    <b:RefOrder>17</b:RefOrder>
  </b:Source>
  <b:Source>
    <b:Tag>Dra21</b:Tag>
    <b:SourceType>JournalArticle</b:SourceType>
    <b:Guid>{92E1BCBF-AD36-4779-95AE-9F09B76D1CEB}</b:Guid>
    <b:LCID>en-GB</b:LCID>
    <b:Author>
      <b:Author>
        <b:NameList>
          <b:Person>
            <b:Last>Draper</b:Last>
            <b:First>J.</b:First>
          </b:Person>
          <b:Person>
            <b:Last>Liu</b:Last>
            <b:First>Y.</b:First>
          </b:Person>
          <b:Person>
            <b:Last>Young</b:Last>
            <b:First>L</b:First>
          </b:Person>
        </b:NameList>
      </b:Author>
    </b:Author>
    <b:Title>Research methods, data collection, and data analysis in meetings, expositions, events, and conventions journals</b:Title>
    <b:JournalName>In Journal of Convention &amp; Event Tourism</b:JournalName>
    <b:Year>2021</b:Year>
    <b:Volume>22</b:Volume>
    <b:Issue>5</b:Issue>
    <b:RefOrder>18</b:RefOrder>
  </b:Source>
  <b:Source>
    <b:Tag>Chr23</b:Tag>
    <b:SourceType>JournalArticle</b:SourceType>
    <b:Guid>{8A2533E1-3C3B-4B6C-9423-E43EAF63042B}</b:Guid>
    <b:LCID>en-GB</b:LCID>
    <b:Author>
      <b:Author>
        <b:NameList>
          <b:Person>
            <b:Last>Christofle</b:Last>
            <b:First>S.</b:First>
          </b:Person>
          <b:Person>
            <b:Last>Fournier</b:Last>
            <b:First>C.</b:First>
          </b:Person>
        </b:NameList>
      </b:Author>
    </b:Author>
    <b:Title>International event tourism and urban changes: Trajectories of global convention cities (1995–2020). </b:Title>
    <b:JournalName> Journal of Convention &amp; Event Tourism</b:JournalName>
    <b:Year>2023</b:Year>
    <b:Volume>24</b:Volume>
    <b:Issue>2</b:Issue>
    <b:RefOrder>19</b:RefOrder>
  </b:Source>
  <b:Source>
    <b:Tag>Ser21</b:Tag>
    <b:SourceType>JournalArticle</b:SourceType>
    <b:Guid>{5A6CF136-5F76-4E1E-BF57-A6FDBDAFF75B}</b:Guid>
    <b:LCID>en-GB</b:LCID>
    <b:Author>
      <b:Author>
        <b:NameList>
          <b:Person>
            <b:Last>Seraphin</b:Last>
            <b:First>H.</b:First>
          </b:Person>
        </b:NameList>
      </b:Author>
    </b:Author>
    <b:Title>COVID-19: An opportunity to review existing grounded theories in event studies</b:Title>
    <b:JournalName>In Journal of Convention &amp; Event Tourism</b:JournalName>
    <b:Year>2021</b:Year>
    <b:Volume>22</b:Volume>
    <b:Issue>1</b:Issue>
    <b:RefOrder>20</b:RefOrder>
  </b:Source>
</b:Sources>
</file>

<file path=customXml/itemProps1.xml><?xml version="1.0" encoding="utf-8"?>
<ds:datastoreItem xmlns:ds="http://schemas.openxmlformats.org/officeDocument/2006/customXml" ds:itemID="{BD5A0F38-5089-4794-804C-246CCB3A23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3496</Words>
  <Characters>19930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Rotaru</dc:creator>
  <cp:keywords/>
  <dc:description/>
  <cp:lastModifiedBy>Andrea Rotaru</cp:lastModifiedBy>
  <cp:revision>2</cp:revision>
  <dcterms:created xsi:type="dcterms:W3CDTF">2024-05-09T09:39:00Z</dcterms:created>
  <dcterms:modified xsi:type="dcterms:W3CDTF">2024-05-09T09:39:00Z</dcterms:modified>
</cp:coreProperties>
</file>