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47B94" w14:textId="0B5FE357" w:rsidR="002126B0" w:rsidRDefault="1F3495E4" w:rsidP="24CEE590">
      <w:pPr>
        <w:spacing w:line="360" w:lineRule="auto"/>
        <w:jc w:val="center"/>
        <w:rPr>
          <w:rFonts w:ascii="Arial" w:eastAsia="Arial" w:hAnsi="Arial" w:cs="Arial"/>
          <w:color w:val="000000" w:themeColor="text1"/>
          <w:sz w:val="32"/>
          <w:szCs w:val="32"/>
        </w:rPr>
      </w:pPr>
      <w:r>
        <w:rPr>
          <w:noProof/>
        </w:rPr>
        <w:drawing>
          <wp:inline distT="0" distB="0" distL="0" distR="0" wp14:anchorId="7DE276D2" wp14:editId="304EA5CB">
            <wp:extent cx="2971800" cy="1485900"/>
            <wp:effectExtent l="0" t="0" r="0" b="0"/>
            <wp:docPr id="10104832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83200" name="Picture 1010483200"/>
                    <pic:cNvPicPr/>
                  </pic:nvPicPr>
                  <pic:blipFill>
                    <a:blip r:embed="rId6">
                      <a:extLst>
                        <a:ext uri="{28A0092B-C50C-407E-A947-70E740481C1C}">
                          <a14:useLocalDpi xmlns:a14="http://schemas.microsoft.com/office/drawing/2010/main"/>
                        </a:ext>
                      </a:extLst>
                    </a:blip>
                    <a:stretch>
                      <a:fillRect/>
                    </a:stretch>
                  </pic:blipFill>
                  <pic:spPr>
                    <a:xfrm>
                      <a:off x="0" y="0"/>
                      <a:ext cx="2971800" cy="1485900"/>
                    </a:xfrm>
                    <a:prstGeom prst="rect">
                      <a:avLst/>
                    </a:prstGeom>
                  </pic:spPr>
                </pic:pic>
              </a:graphicData>
            </a:graphic>
          </wp:inline>
        </w:drawing>
      </w:r>
    </w:p>
    <w:p w14:paraId="625E9790" w14:textId="0B2989E5" w:rsidR="002126B0" w:rsidRDefault="1F3495E4" w:rsidP="24CEE590">
      <w:pPr>
        <w:spacing w:line="360" w:lineRule="auto"/>
        <w:jc w:val="center"/>
        <w:rPr>
          <w:rFonts w:ascii="Arial" w:eastAsia="Arial" w:hAnsi="Arial" w:cs="Arial"/>
          <w:color w:val="000000" w:themeColor="text1"/>
          <w:sz w:val="32"/>
          <w:szCs w:val="32"/>
        </w:rPr>
      </w:pPr>
      <w:r w:rsidRPr="24CEE590">
        <w:rPr>
          <w:rFonts w:ascii="Arial" w:eastAsia="Arial" w:hAnsi="Arial" w:cs="Arial"/>
          <w:b/>
          <w:bCs/>
          <w:color w:val="000000" w:themeColor="text1"/>
          <w:sz w:val="32"/>
          <w:szCs w:val="32"/>
        </w:rPr>
        <w:t>Programme name: Master of Business Administration</w:t>
      </w:r>
    </w:p>
    <w:p w14:paraId="2D3CCE64" w14:textId="282180B9" w:rsidR="002126B0" w:rsidRDefault="1F3495E4" w:rsidP="24CEE590">
      <w:pPr>
        <w:spacing w:line="360" w:lineRule="auto"/>
        <w:jc w:val="center"/>
        <w:rPr>
          <w:rFonts w:ascii="Arial" w:eastAsia="Arial" w:hAnsi="Arial" w:cs="Arial"/>
          <w:color w:val="000000" w:themeColor="text1"/>
          <w:sz w:val="32"/>
          <w:szCs w:val="32"/>
        </w:rPr>
      </w:pPr>
      <w:r w:rsidRPr="24CEE590">
        <w:rPr>
          <w:rFonts w:ascii="Arial" w:eastAsia="Arial" w:hAnsi="Arial" w:cs="Arial"/>
          <w:b/>
          <w:bCs/>
          <w:color w:val="000000" w:themeColor="text1"/>
          <w:sz w:val="32"/>
          <w:szCs w:val="32"/>
        </w:rPr>
        <w:t>Name and code of the module:</w:t>
      </w:r>
      <w:r w:rsidR="008D6AC2">
        <w:rPr>
          <w:rFonts w:ascii="Arial" w:eastAsia="Arial" w:hAnsi="Arial" w:cs="Arial"/>
          <w:b/>
          <w:bCs/>
          <w:color w:val="000000" w:themeColor="text1"/>
          <w:sz w:val="32"/>
          <w:szCs w:val="32"/>
        </w:rPr>
        <w:t xml:space="preserve"> Financial Management (</w:t>
      </w:r>
      <w:r w:rsidR="008D6AC2" w:rsidRPr="008D6AC2">
        <w:rPr>
          <w:rFonts w:ascii="Arial" w:eastAsia="Arial" w:hAnsi="Arial" w:cs="Arial"/>
          <w:b/>
          <w:bCs/>
          <w:color w:val="000000" w:themeColor="text1"/>
          <w:sz w:val="32"/>
          <w:szCs w:val="32"/>
        </w:rPr>
        <w:t>LCMB7002</w:t>
      </w:r>
      <w:r w:rsidR="008D6AC2">
        <w:rPr>
          <w:rFonts w:ascii="Arial" w:eastAsia="Arial" w:hAnsi="Arial" w:cs="Arial"/>
          <w:b/>
          <w:bCs/>
          <w:color w:val="000000" w:themeColor="text1"/>
          <w:sz w:val="32"/>
          <w:szCs w:val="32"/>
        </w:rPr>
        <w:t>)</w:t>
      </w:r>
    </w:p>
    <w:p w14:paraId="70C14FD0" w14:textId="151C7EE0" w:rsidR="002126B0" w:rsidRPr="003A1E62" w:rsidRDefault="1F3495E4" w:rsidP="003A1E62">
      <w:pPr>
        <w:spacing w:line="360" w:lineRule="auto"/>
        <w:jc w:val="center"/>
        <w:rPr>
          <w:rFonts w:ascii="Arial" w:eastAsia="Arial" w:hAnsi="Arial" w:cs="Arial"/>
          <w:b/>
          <w:bCs/>
          <w:color w:val="000000" w:themeColor="text1"/>
          <w:sz w:val="32"/>
          <w:szCs w:val="32"/>
        </w:rPr>
      </w:pPr>
      <w:r w:rsidRPr="24CEE590">
        <w:rPr>
          <w:rFonts w:ascii="Arial" w:eastAsia="Arial" w:hAnsi="Arial" w:cs="Arial"/>
          <w:b/>
          <w:bCs/>
          <w:color w:val="000000" w:themeColor="text1"/>
          <w:sz w:val="32"/>
          <w:szCs w:val="32"/>
        </w:rPr>
        <w:t>Title of submission:</w:t>
      </w:r>
      <w:r w:rsidR="003A1E62">
        <w:rPr>
          <w:rFonts w:ascii="Arial" w:eastAsia="Arial" w:hAnsi="Arial" w:cs="Arial"/>
          <w:b/>
          <w:bCs/>
          <w:color w:val="000000" w:themeColor="text1"/>
          <w:sz w:val="32"/>
          <w:szCs w:val="32"/>
        </w:rPr>
        <w:t xml:space="preserve"> </w:t>
      </w:r>
      <w:r w:rsidR="008D6AC2" w:rsidRPr="008D6AC2">
        <w:rPr>
          <w:rFonts w:ascii="Arial" w:eastAsia="Arial" w:hAnsi="Arial" w:cs="Arial"/>
          <w:b/>
          <w:bCs/>
          <w:color w:val="000000" w:themeColor="text1"/>
          <w:sz w:val="32"/>
          <w:szCs w:val="32"/>
        </w:rPr>
        <w:t>Financial performance and</w:t>
      </w:r>
      <w:r w:rsidR="003A1E62">
        <w:rPr>
          <w:rFonts w:ascii="Arial" w:eastAsia="Arial" w:hAnsi="Arial" w:cs="Arial"/>
          <w:b/>
          <w:bCs/>
          <w:color w:val="000000" w:themeColor="text1"/>
          <w:sz w:val="32"/>
          <w:szCs w:val="32"/>
        </w:rPr>
        <w:t xml:space="preserve"> </w:t>
      </w:r>
      <w:r w:rsidR="008D6AC2" w:rsidRPr="008D6AC2">
        <w:rPr>
          <w:rFonts w:ascii="Arial" w:eastAsia="Arial" w:hAnsi="Arial" w:cs="Arial"/>
          <w:b/>
          <w:bCs/>
          <w:color w:val="000000" w:themeColor="text1"/>
          <w:sz w:val="32"/>
          <w:szCs w:val="32"/>
        </w:rPr>
        <w:t>management</w:t>
      </w:r>
    </w:p>
    <w:p w14:paraId="3D617629" w14:textId="4D1FDB58" w:rsidR="002126B0" w:rsidRDefault="1F3495E4" w:rsidP="24CEE590">
      <w:pPr>
        <w:spacing w:line="360" w:lineRule="auto"/>
        <w:jc w:val="center"/>
        <w:rPr>
          <w:rFonts w:ascii="Arial" w:eastAsia="Arial" w:hAnsi="Arial" w:cs="Arial"/>
          <w:color w:val="000000" w:themeColor="text1"/>
          <w:sz w:val="32"/>
          <w:szCs w:val="32"/>
        </w:rPr>
      </w:pPr>
      <w:r w:rsidRPr="24CEE590">
        <w:rPr>
          <w:rFonts w:ascii="Arial" w:eastAsia="Arial" w:hAnsi="Arial" w:cs="Arial"/>
          <w:b/>
          <w:bCs/>
          <w:color w:val="000000" w:themeColor="text1"/>
          <w:sz w:val="32"/>
          <w:szCs w:val="32"/>
        </w:rPr>
        <w:t xml:space="preserve">Lecturer’s name: </w:t>
      </w:r>
      <w:r w:rsidR="003A1E62" w:rsidRPr="003A1E62">
        <w:rPr>
          <w:rFonts w:ascii="Arial" w:eastAsia="Arial" w:hAnsi="Arial" w:cs="Arial"/>
          <w:b/>
          <w:bCs/>
          <w:color w:val="000000" w:themeColor="text1"/>
          <w:sz w:val="32"/>
          <w:szCs w:val="32"/>
        </w:rPr>
        <w:t>Dr Md Kalam</w:t>
      </w:r>
    </w:p>
    <w:p w14:paraId="0E42CCC3" w14:textId="3421C6D3" w:rsidR="002126B0" w:rsidRDefault="1F3495E4" w:rsidP="24CEE590">
      <w:pPr>
        <w:spacing w:line="360" w:lineRule="auto"/>
        <w:jc w:val="center"/>
        <w:rPr>
          <w:rFonts w:ascii="Arial" w:eastAsia="Arial" w:hAnsi="Arial" w:cs="Arial"/>
          <w:color w:val="000000" w:themeColor="text1"/>
          <w:sz w:val="32"/>
          <w:szCs w:val="32"/>
        </w:rPr>
      </w:pPr>
      <w:r w:rsidRPr="24CEE590">
        <w:rPr>
          <w:rFonts w:ascii="Arial" w:eastAsia="Arial" w:hAnsi="Arial" w:cs="Arial"/>
          <w:b/>
          <w:bCs/>
          <w:color w:val="000000" w:themeColor="text1"/>
          <w:sz w:val="32"/>
          <w:szCs w:val="32"/>
        </w:rPr>
        <w:t>Name and ID of the student:</w:t>
      </w:r>
      <w:r w:rsidR="008D6AC2">
        <w:rPr>
          <w:rFonts w:ascii="Arial" w:eastAsia="Arial" w:hAnsi="Arial" w:cs="Arial"/>
          <w:b/>
          <w:bCs/>
          <w:color w:val="000000" w:themeColor="text1"/>
          <w:sz w:val="32"/>
          <w:szCs w:val="32"/>
        </w:rPr>
        <w:t xml:space="preserve"> Mohamed Habis </w:t>
      </w:r>
      <w:proofErr w:type="spellStart"/>
      <w:r w:rsidR="008D6AC2">
        <w:rPr>
          <w:rFonts w:ascii="Arial" w:eastAsia="Arial" w:hAnsi="Arial" w:cs="Arial"/>
          <w:b/>
          <w:bCs/>
          <w:color w:val="000000" w:themeColor="text1"/>
          <w:sz w:val="32"/>
          <w:szCs w:val="32"/>
        </w:rPr>
        <w:t>Pakkir</w:t>
      </w:r>
      <w:proofErr w:type="spellEnd"/>
      <w:r w:rsidR="008D6AC2">
        <w:rPr>
          <w:rFonts w:ascii="Arial" w:eastAsia="Arial" w:hAnsi="Arial" w:cs="Arial"/>
          <w:b/>
          <w:bCs/>
          <w:color w:val="000000" w:themeColor="text1"/>
          <w:sz w:val="32"/>
          <w:szCs w:val="32"/>
        </w:rPr>
        <w:t xml:space="preserve"> Mohamed</w:t>
      </w:r>
      <w:r w:rsidR="003A1E62">
        <w:rPr>
          <w:rFonts w:ascii="Arial" w:eastAsia="Arial" w:hAnsi="Arial" w:cs="Arial"/>
          <w:b/>
          <w:bCs/>
          <w:color w:val="000000" w:themeColor="text1"/>
          <w:sz w:val="32"/>
          <w:szCs w:val="32"/>
        </w:rPr>
        <w:t xml:space="preserve"> (</w:t>
      </w:r>
      <w:r w:rsidR="003A1E62" w:rsidRPr="00E62D91">
        <w:rPr>
          <w:rFonts w:ascii="Arial" w:eastAsia="Arial" w:hAnsi="Arial" w:cs="Arial"/>
          <w:b/>
          <w:bCs/>
          <w:color w:val="000000" w:themeColor="text1"/>
          <w:sz w:val="32"/>
          <w:szCs w:val="32"/>
        </w:rPr>
        <w:t>2539916</w:t>
      </w:r>
      <w:r w:rsidR="003A1E62">
        <w:rPr>
          <w:rFonts w:ascii="Arial" w:eastAsia="Arial" w:hAnsi="Arial" w:cs="Arial"/>
          <w:b/>
          <w:bCs/>
          <w:color w:val="000000" w:themeColor="text1"/>
          <w:sz w:val="32"/>
          <w:szCs w:val="32"/>
        </w:rPr>
        <w:t>)</w:t>
      </w:r>
    </w:p>
    <w:p w14:paraId="351D80B4" w14:textId="4AF20B15" w:rsidR="002126B0" w:rsidRDefault="1F3495E4" w:rsidP="24CEE590">
      <w:pPr>
        <w:spacing w:line="360" w:lineRule="auto"/>
        <w:jc w:val="center"/>
        <w:rPr>
          <w:rFonts w:ascii="Arial" w:eastAsia="Arial" w:hAnsi="Arial" w:cs="Arial"/>
          <w:color w:val="000000" w:themeColor="text1"/>
          <w:sz w:val="32"/>
          <w:szCs w:val="32"/>
        </w:rPr>
      </w:pPr>
      <w:r w:rsidRPr="24CEE590">
        <w:rPr>
          <w:rFonts w:ascii="Arial" w:eastAsia="Arial" w:hAnsi="Arial" w:cs="Arial"/>
          <w:b/>
          <w:bCs/>
          <w:color w:val="000000" w:themeColor="text1"/>
          <w:sz w:val="32"/>
          <w:szCs w:val="32"/>
        </w:rPr>
        <w:t xml:space="preserve">Word count: </w:t>
      </w:r>
      <w:r w:rsidR="6F10A55F" w:rsidRPr="24CEE590">
        <w:rPr>
          <w:rFonts w:ascii="Arial" w:eastAsia="Arial" w:hAnsi="Arial" w:cs="Arial"/>
          <w:b/>
          <w:bCs/>
          <w:color w:val="000000" w:themeColor="text1"/>
          <w:sz w:val="32"/>
          <w:szCs w:val="32"/>
        </w:rPr>
        <w:t>5</w:t>
      </w:r>
      <w:r w:rsidR="008D6AC2">
        <w:rPr>
          <w:rFonts w:ascii="Arial" w:eastAsia="Arial" w:hAnsi="Arial" w:cs="Arial"/>
          <w:b/>
          <w:bCs/>
          <w:color w:val="000000" w:themeColor="text1"/>
          <w:sz w:val="32"/>
          <w:szCs w:val="32"/>
        </w:rPr>
        <w:t>323</w:t>
      </w:r>
    </w:p>
    <w:p w14:paraId="2D8C0990" w14:textId="7A81976F" w:rsidR="002126B0" w:rsidRDefault="1F3495E4" w:rsidP="24CEE590">
      <w:pPr>
        <w:spacing w:line="360" w:lineRule="auto"/>
        <w:jc w:val="center"/>
        <w:rPr>
          <w:rFonts w:ascii="Arial" w:eastAsia="Arial" w:hAnsi="Arial" w:cs="Arial"/>
          <w:color w:val="000000" w:themeColor="text1"/>
          <w:sz w:val="32"/>
          <w:szCs w:val="32"/>
        </w:rPr>
      </w:pPr>
      <w:r w:rsidRPr="24CEE590">
        <w:rPr>
          <w:rFonts w:ascii="Arial" w:eastAsia="Arial" w:hAnsi="Arial" w:cs="Arial"/>
          <w:b/>
          <w:bCs/>
          <w:color w:val="000000" w:themeColor="text1"/>
          <w:sz w:val="32"/>
          <w:szCs w:val="32"/>
        </w:rPr>
        <w:t>Submission date:</w:t>
      </w:r>
      <w:r w:rsidR="008D6AC2">
        <w:rPr>
          <w:rFonts w:ascii="Arial" w:eastAsia="Arial" w:hAnsi="Arial" w:cs="Arial"/>
          <w:b/>
          <w:bCs/>
          <w:color w:val="000000" w:themeColor="text1"/>
          <w:sz w:val="32"/>
          <w:szCs w:val="32"/>
        </w:rPr>
        <w:t>13/08/2026</w:t>
      </w:r>
    </w:p>
    <w:p w14:paraId="194A992F" w14:textId="0E648238" w:rsidR="002126B0" w:rsidRDefault="002126B0" w:rsidP="24CEE590"/>
    <w:p w14:paraId="2066D6B4" w14:textId="55455F80" w:rsidR="002126B0" w:rsidRDefault="00000000" w:rsidP="24CEE590">
      <w:pPr>
        <w:spacing w:line="360" w:lineRule="auto"/>
      </w:pPr>
      <w:r>
        <w:br w:type="page"/>
      </w:r>
    </w:p>
    <w:sdt>
      <w:sdtPr>
        <w:id w:val="1530334456"/>
        <w:docPartObj>
          <w:docPartGallery w:val="Table of Contents"/>
          <w:docPartUnique/>
        </w:docPartObj>
      </w:sdtPr>
      <w:sdtContent>
        <w:p w14:paraId="1B6D915A" w14:textId="64CE896E" w:rsidR="002126B0" w:rsidRDefault="00000000" w:rsidP="24CEE590">
          <w:pPr>
            <w:pStyle w:val="TOC1"/>
            <w:tabs>
              <w:tab w:val="right" w:leader="dot" w:pos="9360"/>
            </w:tabs>
            <w:rPr>
              <w:noProof/>
            </w:rPr>
          </w:pPr>
          <w:r>
            <w:fldChar w:fldCharType="begin"/>
          </w:r>
          <w:r>
            <w:instrText>TOC \o "1-9" \z \u \h</w:instrText>
          </w:r>
          <w:r>
            <w:fldChar w:fldCharType="separate"/>
          </w:r>
          <w:hyperlink w:anchor="_Toc1775375290" w:history="1">
            <w:r w:rsidR="24CEE590" w:rsidRPr="24CEE590">
              <w:rPr>
                <w:rStyle w:val="Hyperlink"/>
                <w:noProof/>
              </w:rPr>
              <w:t>1.Introduction:</w:t>
            </w:r>
            <w:r>
              <w:rPr>
                <w:noProof/>
              </w:rPr>
              <w:tab/>
            </w:r>
            <w:r>
              <w:rPr>
                <w:noProof/>
              </w:rPr>
              <w:fldChar w:fldCharType="begin"/>
            </w:r>
            <w:r>
              <w:rPr>
                <w:noProof/>
              </w:rPr>
              <w:instrText>PAGEREF _Toc1775375290 \h</w:instrText>
            </w:r>
            <w:r>
              <w:rPr>
                <w:noProof/>
              </w:rPr>
            </w:r>
            <w:r>
              <w:rPr>
                <w:noProof/>
              </w:rPr>
              <w:fldChar w:fldCharType="separate"/>
            </w:r>
            <w:r w:rsidR="00153D1E">
              <w:rPr>
                <w:noProof/>
              </w:rPr>
              <w:t>5</w:t>
            </w:r>
            <w:r>
              <w:rPr>
                <w:noProof/>
              </w:rPr>
              <w:fldChar w:fldCharType="end"/>
            </w:r>
          </w:hyperlink>
        </w:p>
        <w:p w14:paraId="762A29FB" w14:textId="564A439D" w:rsidR="002126B0" w:rsidRDefault="24CEE590" w:rsidP="24CEE590">
          <w:pPr>
            <w:pStyle w:val="TOC1"/>
            <w:tabs>
              <w:tab w:val="right" w:leader="dot" w:pos="9360"/>
            </w:tabs>
            <w:rPr>
              <w:noProof/>
            </w:rPr>
          </w:pPr>
          <w:hyperlink w:anchor="_Toc1841369502" w:history="1">
            <w:r w:rsidRPr="24CEE590">
              <w:rPr>
                <w:rStyle w:val="Hyperlink"/>
                <w:noProof/>
              </w:rPr>
              <w:t>2. Financial Health Check:</w:t>
            </w:r>
            <w:r w:rsidR="00000000">
              <w:rPr>
                <w:noProof/>
              </w:rPr>
              <w:tab/>
            </w:r>
            <w:r w:rsidR="00000000">
              <w:rPr>
                <w:noProof/>
              </w:rPr>
              <w:fldChar w:fldCharType="begin"/>
            </w:r>
            <w:r w:rsidR="00000000">
              <w:rPr>
                <w:noProof/>
              </w:rPr>
              <w:instrText>PAGEREF _Toc1841369502 \h</w:instrText>
            </w:r>
            <w:r w:rsidR="00000000">
              <w:rPr>
                <w:noProof/>
              </w:rPr>
            </w:r>
            <w:r w:rsidR="00000000">
              <w:rPr>
                <w:noProof/>
              </w:rPr>
              <w:fldChar w:fldCharType="separate"/>
            </w:r>
            <w:r w:rsidR="00153D1E">
              <w:rPr>
                <w:noProof/>
              </w:rPr>
              <w:t>5</w:t>
            </w:r>
            <w:r w:rsidR="00000000">
              <w:rPr>
                <w:noProof/>
              </w:rPr>
              <w:fldChar w:fldCharType="end"/>
            </w:r>
          </w:hyperlink>
        </w:p>
        <w:p w14:paraId="737AC265" w14:textId="2C2B101A" w:rsidR="002126B0" w:rsidRDefault="24CEE590" w:rsidP="24CEE590">
          <w:pPr>
            <w:pStyle w:val="TOC2"/>
            <w:tabs>
              <w:tab w:val="right" w:leader="dot" w:pos="9360"/>
            </w:tabs>
            <w:rPr>
              <w:noProof/>
            </w:rPr>
          </w:pPr>
          <w:hyperlink w:anchor="_Toc1541971581" w:history="1">
            <w:r w:rsidRPr="24CEE590">
              <w:rPr>
                <w:rStyle w:val="Hyperlink"/>
                <w:noProof/>
              </w:rPr>
              <w:t>2.1 Overview of Hilton's Financial Performance:</w:t>
            </w:r>
            <w:r w:rsidR="00000000">
              <w:rPr>
                <w:noProof/>
              </w:rPr>
              <w:tab/>
            </w:r>
            <w:r w:rsidR="00000000">
              <w:rPr>
                <w:noProof/>
              </w:rPr>
              <w:fldChar w:fldCharType="begin"/>
            </w:r>
            <w:r w:rsidR="00000000">
              <w:rPr>
                <w:noProof/>
              </w:rPr>
              <w:instrText>PAGEREF _Toc1541971581 \h</w:instrText>
            </w:r>
            <w:r w:rsidR="00000000">
              <w:rPr>
                <w:noProof/>
              </w:rPr>
            </w:r>
            <w:r w:rsidR="00000000">
              <w:rPr>
                <w:noProof/>
              </w:rPr>
              <w:fldChar w:fldCharType="separate"/>
            </w:r>
            <w:r w:rsidR="00153D1E">
              <w:rPr>
                <w:noProof/>
              </w:rPr>
              <w:t>5</w:t>
            </w:r>
            <w:r w:rsidR="00000000">
              <w:rPr>
                <w:noProof/>
              </w:rPr>
              <w:fldChar w:fldCharType="end"/>
            </w:r>
          </w:hyperlink>
        </w:p>
        <w:p w14:paraId="4607658D" w14:textId="340F650F" w:rsidR="002126B0" w:rsidRDefault="24CEE590" w:rsidP="24CEE590">
          <w:pPr>
            <w:pStyle w:val="TOC2"/>
            <w:tabs>
              <w:tab w:val="right" w:leader="dot" w:pos="9360"/>
            </w:tabs>
            <w:rPr>
              <w:noProof/>
            </w:rPr>
          </w:pPr>
          <w:hyperlink w:anchor="_Toc1722777481" w:history="1">
            <w:r w:rsidRPr="24CEE590">
              <w:rPr>
                <w:rStyle w:val="Hyperlink"/>
                <w:noProof/>
              </w:rPr>
              <w:t>2.2 Profitability analysis:</w:t>
            </w:r>
            <w:r w:rsidR="00000000">
              <w:rPr>
                <w:noProof/>
              </w:rPr>
              <w:tab/>
            </w:r>
            <w:r w:rsidR="00000000">
              <w:rPr>
                <w:noProof/>
              </w:rPr>
              <w:fldChar w:fldCharType="begin"/>
            </w:r>
            <w:r w:rsidR="00000000">
              <w:rPr>
                <w:noProof/>
              </w:rPr>
              <w:instrText>PAGEREF _Toc1722777481 \h</w:instrText>
            </w:r>
            <w:r w:rsidR="00000000">
              <w:rPr>
                <w:noProof/>
              </w:rPr>
            </w:r>
            <w:r w:rsidR="00000000">
              <w:rPr>
                <w:noProof/>
              </w:rPr>
              <w:fldChar w:fldCharType="separate"/>
            </w:r>
            <w:r w:rsidR="00153D1E">
              <w:rPr>
                <w:noProof/>
              </w:rPr>
              <w:t>5</w:t>
            </w:r>
            <w:r w:rsidR="00000000">
              <w:rPr>
                <w:noProof/>
              </w:rPr>
              <w:fldChar w:fldCharType="end"/>
            </w:r>
          </w:hyperlink>
        </w:p>
        <w:p w14:paraId="622E376B" w14:textId="4393EED3" w:rsidR="002126B0" w:rsidRDefault="24CEE590" w:rsidP="24CEE590">
          <w:pPr>
            <w:pStyle w:val="TOC2"/>
            <w:tabs>
              <w:tab w:val="right" w:leader="dot" w:pos="9360"/>
            </w:tabs>
            <w:rPr>
              <w:noProof/>
            </w:rPr>
          </w:pPr>
          <w:hyperlink w:anchor="_Toc184318849" w:history="1">
            <w:r w:rsidRPr="24CEE590">
              <w:rPr>
                <w:rStyle w:val="Hyperlink"/>
                <w:noProof/>
              </w:rPr>
              <w:t>2.3 Liquidity analysis</w:t>
            </w:r>
            <w:r w:rsidR="00000000">
              <w:rPr>
                <w:noProof/>
              </w:rPr>
              <w:tab/>
            </w:r>
            <w:r w:rsidR="00000000">
              <w:rPr>
                <w:noProof/>
              </w:rPr>
              <w:fldChar w:fldCharType="begin"/>
            </w:r>
            <w:r w:rsidR="00000000">
              <w:rPr>
                <w:noProof/>
              </w:rPr>
              <w:instrText>PAGEREF _Toc184318849 \h</w:instrText>
            </w:r>
            <w:r w:rsidR="00000000">
              <w:rPr>
                <w:noProof/>
              </w:rPr>
            </w:r>
            <w:r w:rsidR="00000000">
              <w:rPr>
                <w:noProof/>
              </w:rPr>
              <w:fldChar w:fldCharType="separate"/>
            </w:r>
            <w:r w:rsidR="00153D1E">
              <w:rPr>
                <w:noProof/>
              </w:rPr>
              <w:t>6</w:t>
            </w:r>
            <w:r w:rsidR="00000000">
              <w:rPr>
                <w:noProof/>
              </w:rPr>
              <w:fldChar w:fldCharType="end"/>
            </w:r>
          </w:hyperlink>
        </w:p>
        <w:p w14:paraId="3BFD6BBA" w14:textId="1CFB91B5" w:rsidR="002126B0" w:rsidRDefault="24CEE590" w:rsidP="24CEE590">
          <w:pPr>
            <w:pStyle w:val="TOC2"/>
            <w:tabs>
              <w:tab w:val="right" w:leader="dot" w:pos="9360"/>
            </w:tabs>
            <w:rPr>
              <w:noProof/>
            </w:rPr>
          </w:pPr>
          <w:hyperlink w:anchor="_Toc1030889184" w:history="1">
            <w:r w:rsidRPr="24CEE590">
              <w:rPr>
                <w:rStyle w:val="Hyperlink"/>
                <w:noProof/>
              </w:rPr>
              <w:t>2.4 Efficiency/activity analysis:</w:t>
            </w:r>
            <w:r w:rsidR="00000000">
              <w:rPr>
                <w:noProof/>
              </w:rPr>
              <w:tab/>
            </w:r>
            <w:r w:rsidR="00000000">
              <w:rPr>
                <w:noProof/>
              </w:rPr>
              <w:fldChar w:fldCharType="begin"/>
            </w:r>
            <w:r w:rsidR="00000000">
              <w:rPr>
                <w:noProof/>
              </w:rPr>
              <w:instrText>PAGEREF _Toc1030889184 \h</w:instrText>
            </w:r>
            <w:r w:rsidR="00000000">
              <w:rPr>
                <w:noProof/>
              </w:rPr>
            </w:r>
            <w:r w:rsidR="00000000">
              <w:rPr>
                <w:noProof/>
              </w:rPr>
              <w:fldChar w:fldCharType="separate"/>
            </w:r>
            <w:r w:rsidR="00153D1E">
              <w:rPr>
                <w:noProof/>
              </w:rPr>
              <w:t>7</w:t>
            </w:r>
            <w:r w:rsidR="00000000">
              <w:rPr>
                <w:noProof/>
              </w:rPr>
              <w:fldChar w:fldCharType="end"/>
            </w:r>
          </w:hyperlink>
        </w:p>
        <w:p w14:paraId="280F2793" w14:textId="4B853BE7" w:rsidR="002126B0" w:rsidRDefault="24CEE590" w:rsidP="24CEE590">
          <w:pPr>
            <w:pStyle w:val="TOC2"/>
            <w:tabs>
              <w:tab w:val="right" w:leader="dot" w:pos="9360"/>
            </w:tabs>
            <w:rPr>
              <w:noProof/>
            </w:rPr>
          </w:pPr>
          <w:hyperlink w:anchor="_Toc2146204377" w:history="1">
            <w:r w:rsidRPr="24CEE590">
              <w:rPr>
                <w:rStyle w:val="Hyperlink"/>
                <w:noProof/>
              </w:rPr>
              <w:t>2.5 Gearing and financial risk:</w:t>
            </w:r>
            <w:r w:rsidR="00000000">
              <w:rPr>
                <w:noProof/>
              </w:rPr>
              <w:tab/>
            </w:r>
            <w:r w:rsidR="00000000">
              <w:rPr>
                <w:noProof/>
              </w:rPr>
              <w:fldChar w:fldCharType="begin"/>
            </w:r>
            <w:r w:rsidR="00000000">
              <w:rPr>
                <w:noProof/>
              </w:rPr>
              <w:instrText>PAGEREF _Toc2146204377 \h</w:instrText>
            </w:r>
            <w:r w:rsidR="00000000">
              <w:rPr>
                <w:noProof/>
              </w:rPr>
            </w:r>
            <w:r w:rsidR="00000000">
              <w:rPr>
                <w:noProof/>
              </w:rPr>
              <w:fldChar w:fldCharType="separate"/>
            </w:r>
            <w:r w:rsidR="00153D1E">
              <w:rPr>
                <w:noProof/>
              </w:rPr>
              <w:t>8</w:t>
            </w:r>
            <w:r w:rsidR="00000000">
              <w:rPr>
                <w:noProof/>
              </w:rPr>
              <w:fldChar w:fldCharType="end"/>
            </w:r>
          </w:hyperlink>
        </w:p>
        <w:p w14:paraId="2A15CA20" w14:textId="01361E76" w:rsidR="002126B0" w:rsidRDefault="24CEE590" w:rsidP="24CEE590">
          <w:pPr>
            <w:pStyle w:val="TOC2"/>
            <w:tabs>
              <w:tab w:val="right" w:leader="dot" w:pos="9360"/>
            </w:tabs>
            <w:rPr>
              <w:noProof/>
            </w:rPr>
          </w:pPr>
          <w:hyperlink w:anchor="_Toc963203395" w:history="1">
            <w:r w:rsidRPr="24CEE590">
              <w:rPr>
                <w:rStyle w:val="Hyperlink"/>
                <w:noProof/>
              </w:rPr>
              <w:t>2.6 Investment/market performance:</w:t>
            </w:r>
            <w:r w:rsidR="00000000">
              <w:rPr>
                <w:noProof/>
              </w:rPr>
              <w:tab/>
            </w:r>
            <w:r w:rsidR="00000000">
              <w:rPr>
                <w:noProof/>
              </w:rPr>
              <w:fldChar w:fldCharType="begin"/>
            </w:r>
            <w:r w:rsidR="00000000">
              <w:rPr>
                <w:noProof/>
              </w:rPr>
              <w:instrText>PAGEREF _Toc963203395 \h</w:instrText>
            </w:r>
            <w:r w:rsidR="00000000">
              <w:rPr>
                <w:noProof/>
              </w:rPr>
            </w:r>
            <w:r w:rsidR="00000000">
              <w:rPr>
                <w:noProof/>
              </w:rPr>
              <w:fldChar w:fldCharType="separate"/>
            </w:r>
            <w:r w:rsidR="00153D1E">
              <w:rPr>
                <w:noProof/>
              </w:rPr>
              <w:t>9</w:t>
            </w:r>
            <w:r w:rsidR="00000000">
              <w:rPr>
                <w:noProof/>
              </w:rPr>
              <w:fldChar w:fldCharType="end"/>
            </w:r>
          </w:hyperlink>
        </w:p>
        <w:p w14:paraId="6DB4F9D3" w14:textId="0FE6ACE6" w:rsidR="002126B0" w:rsidRDefault="24CEE590" w:rsidP="24CEE590">
          <w:pPr>
            <w:pStyle w:val="TOC2"/>
            <w:tabs>
              <w:tab w:val="right" w:leader="dot" w:pos="9360"/>
            </w:tabs>
            <w:rPr>
              <w:noProof/>
            </w:rPr>
          </w:pPr>
          <w:hyperlink w:anchor="_Toc2089550624" w:history="1">
            <w:r w:rsidRPr="24CEE590">
              <w:rPr>
                <w:rStyle w:val="Hyperlink"/>
                <w:noProof/>
              </w:rPr>
              <w:t>2.7 Cash-flow analysis:</w:t>
            </w:r>
            <w:r w:rsidR="00000000">
              <w:rPr>
                <w:noProof/>
              </w:rPr>
              <w:tab/>
            </w:r>
            <w:r w:rsidR="00000000">
              <w:rPr>
                <w:noProof/>
              </w:rPr>
              <w:fldChar w:fldCharType="begin"/>
            </w:r>
            <w:r w:rsidR="00000000">
              <w:rPr>
                <w:noProof/>
              </w:rPr>
              <w:instrText>PAGEREF _Toc2089550624 \h</w:instrText>
            </w:r>
            <w:r w:rsidR="00000000">
              <w:rPr>
                <w:noProof/>
              </w:rPr>
            </w:r>
            <w:r w:rsidR="00000000">
              <w:rPr>
                <w:noProof/>
              </w:rPr>
              <w:fldChar w:fldCharType="separate"/>
            </w:r>
            <w:r w:rsidR="00153D1E">
              <w:rPr>
                <w:noProof/>
              </w:rPr>
              <w:t>10</w:t>
            </w:r>
            <w:r w:rsidR="00000000">
              <w:rPr>
                <w:noProof/>
              </w:rPr>
              <w:fldChar w:fldCharType="end"/>
            </w:r>
          </w:hyperlink>
        </w:p>
        <w:p w14:paraId="122ED00E" w14:textId="3DDC5BFE" w:rsidR="002126B0" w:rsidRDefault="24CEE590" w:rsidP="24CEE590">
          <w:pPr>
            <w:pStyle w:val="TOC2"/>
            <w:tabs>
              <w:tab w:val="right" w:leader="dot" w:pos="9360"/>
            </w:tabs>
            <w:rPr>
              <w:noProof/>
            </w:rPr>
          </w:pPr>
          <w:hyperlink w:anchor="_Toc1277138486" w:history="1">
            <w:r w:rsidRPr="24CEE590">
              <w:rPr>
                <w:rStyle w:val="Hyperlink"/>
                <w:noProof/>
              </w:rPr>
              <w:t>2.8 Industry liquidity benchmarking:</w:t>
            </w:r>
            <w:r w:rsidR="00000000">
              <w:rPr>
                <w:noProof/>
              </w:rPr>
              <w:tab/>
            </w:r>
            <w:r w:rsidR="00000000">
              <w:rPr>
                <w:noProof/>
              </w:rPr>
              <w:fldChar w:fldCharType="begin"/>
            </w:r>
            <w:r w:rsidR="00000000">
              <w:rPr>
                <w:noProof/>
              </w:rPr>
              <w:instrText>PAGEREF _Toc1277138486 \h</w:instrText>
            </w:r>
            <w:r w:rsidR="00000000">
              <w:rPr>
                <w:noProof/>
              </w:rPr>
            </w:r>
            <w:r w:rsidR="00000000">
              <w:rPr>
                <w:noProof/>
              </w:rPr>
              <w:fldChar w:fldCharType="separate"/>
            </w:r>
            <w:r w:rsidR="00153D1E">
              <w:rPr>
                <w:noProof/>
              </w:rPr>
              <w:t>10</w:t>
            </w:r>
            <w:r w:rsidR="00000000">
              <w:rPr>
                <w:noProof/>
              </w:rPr>
              <w:fldChar w:fldCharType="end"/>
            </w:r>
          </w:hyperlink>
        </w:p>
        <w:p w14:paraId="20F059FA" w14:textId="68C657D6" w:rsidR="002126B0" w:rsidRDefault="24CEE590" w:rsidP="24CEE590">
          <w:pPr>
            <w:pStyle w:val="TOC2"/>
            <w:tabs>
              <w:tab w:val="right" w:leader="dot" w:pos="9360"/>
            </w:tabs>
            <w:rPr>
              <w:noProof/>
            </w:rPr>
          </w:pPr>
          <w:hyperlink w:anchor="_Toc1863690679" w:history="1">
            <w:r w:rsidRPr="24CEE590">
              <w:rPr>
                <w:rStyle w:val="Hyperlink"/>
                <w:noProof/>
              </w:rPr>
              <w:t>2.9 Overall Financial Health: Strengths and Threats</w:t>
            </w:r>
            <w:r w:rsidR="00000000">
              <w:rPr>
                <w:noProof/>
              </w:rPr>
              <w:tab/>
            </w:r>
            <w:r w:rsidR="00000000">
              <w:rPr>
                <w:noProof/>
              </w:rPr>
              <w:fldChar w:fldCharType="begin"/>
            </w:r>
            <w:r w:rsidR="00000000">
              <w:rPr>
                <w:noProof/>
              </w:rPr>
              <w:instrText>PAGEREF _Toc1863690679 \h</w:instrText>
            </w:r>
            <w:r w:rsidR="00000000">
              <w:rPr>
                <w:noProof/>
              </w:rPr>
            </w:r>
            <w:r w:rsidR="00000000">
              <w:rPr>
                <w:noProof/>
              </w:rPr>
              <w:fldChar w:fldCharType="separate"/>
            </w:r>
            <w:r w:rsidR="00153D1E">
              <w:rPr>
                <w:noProof/>
              </w:rPr>
              <w:t>11</w:t>
            </w:r>
            <w:r w:rsidR="00000000">
              <w:rPr>
                <w:noProof/>
              </w:rPr>
              <w:fldChar w:fldCharType="end"/>
            </w:r>
          </w:hyperlink>
        </w:p>
        <w:p w14:paraId="452FC56F" w14:textId="79687D52" w:rsidR="002126B0" w:rsidRDefault="24CEE590" w:rsidP="24CEE590">
          <w:pPr>
            <w:pStyle w:val="TOC1"/>
            <w:tabs>
              <w:tab w:val="right" w:leader="dot" w:pos="9360"/>
            </w:tabs>
            <w:rPr>
              <w:noProof/>
            </w:rPr>
          </w:pPr>
          <w:hyperlink w:anchor="_Toc1864537592" w:history="1">
            <w:r w:rsidRPr="24CEE590">
              <w:rPr>
                <w:rStyle w:val="Hyperlink"/>
                <w:noProof/>
              </w:rPr>
              <w:t>3. Working Capital Management Analysis:</w:t>
            </w:r>
            <w:r w:rsidR="00000000">
              <w:rPr>
                <w:noProof/>
              </w:rPr>
              <w:tab/>
            </w:r>
            <w:r w:rsidR="00000000">
              <w:rPr>
                <w:noProof/>
              </w:rPr>
              <w:fldChar w:fldCharType="begin"/>
            </w:r>
            <w:r w:rsidR="00000000">
              <w:rPr>
                <w:noProof/>
              </w:rPr>
              <w:instrText>PAGEREF _Toc1864537592 \h</w:instrText>
            </w:r>
            <w:r w:rsidR="00000000">
              <w:rPr>
                <w:noProof/>
              </w:rPr>
            </w:r>
            <w:r w:rsidR="00000000">
              <w:rPr>
                <w:noProof/>
              </w:rPr>
              <w:fldChar w:fldCharType="separate"/>
            </w:r>
            <w:r w:rsidR="00153D1E">
              <w:rPr>
                <w:noProof/>
              </w:rPr>
              <w:t>11</w:t>
            </w:r>
            <w:r w:rsidR="00000000">
              <w:rPr>
                <w:noProof/>
              </w:rPr>
              <w:fldChar w:fldCharType="end"/>
            </w:r>
          </w:hyperlink>
        </w:p>
        <w:p w14:paraId="17968921" w14:textId="710F78D6" w:rsidR="002126B0" w:rsidRDefault="24CEE590" w:rsidP="24CEE590">
          <w:pPr>
            <w:pStyle w:val="TOC2"/>
            <w:tabs>
              <w:tab w:val="right" w:leader="dot" w:pos="9360"/>
            </w:tabs>
            <w:rPr>
              <w:noProof/>
            </w:rPr>
          </w:pPr>
          <w:hyperlink w:anchor="_Toc152765295" w:history="1">
            <w:r w:rsidRPr="24CEE590">
              <w:rPr>
                <w:rStyle w:val="Hyperlink"/>
                <w:noProof/>
              </w:rPr>
              <w:t>3.1 Working capital position:</w:t>
            </w:r>
            <w:r w:rsidR="00000000">
              <w:rPr>
                <w:noProof/>
              </w:rPr>
              <w:tab/>
            </w:r>
            <w:r w:rsidR="00000000">
              <w:rPr>
                <w:noProof/>
              </w:rPr>
              <w:fldChar w:fldCharType="begin"/>
            </w:r>
            <w:r w:rsidR="00000000">
              <w:rPr>
                <w:noProof/>
              </w:rPr>
              <w:instrText>PAGEREF _Toc152765295 \h</w:instrText>
            </w:r>
            <w:r w:rsidR="00000000">
              <w:rPr>
                <w:noProof/>
              </w:rPr>
            </w:r>
            <w:r w:rsidR="00000000">
              <w:rPr>
                <w:noProof/>
              </w:rPr>
              <w:fldChar w:fldCharType="separate"/>
            </w:r>
            <w:r w:rsidR="00153D1E">
              <w:rPr>
                <w:noProof/>
              </w:rPr>
              <w:t>11</w:t>
            </w:r>
            <w:r w:rsidR="00000000">
              <w:rPr>
                <w:noProof/>
              </w:rPr>
              <w:fldChar w:fldCharType="end"/>
            </w:r>
          </w:hyperlink>
        </w:p>
        <w:p w14:paraId="1B46B07A" w14:textId="2AAB1AA8" w:rsidR="002126B0" w:rsidRDefault="24CEE590" w:rsidP="24CEE590">
          <w:pPr>
            <w:pStyle w:val="TOC2"/>
            <w:tabs>
              <w:tab w:val="right" w:leader="dot" w:pos="9360"/>
            </w:tabs>
            <w:rPr>
              <w:noProof/>
            </w:rPr>
          </w:pPr>
          <w:hyperlink w:anchor="_Toc1144091684" w:history="1">
            <w:r w:rsidRPr="24CEE590">
              <w:rPr>
                <w:rStyle w:val="Hyperlink"/>
                <w:noProof/>
              </w:rPr>
              <w:t>3.2 Cash operating cycle:</w:t>
            </w:r>
            <w:r w:rsidR="00000000">
              <w:rPr>
                <w:noProof/>
              </w:rPr>
              <w:tab/>
            </w:r>
            <w:r w:rsidR="00000000">
              <w:rPr>
                <w:noProof/>
              </w:rPr>
              <w:fldChar w:fldCharType="begin"/>
            </w:r>
            <w:r w:rsidR="00000000">
              <w:rPr>
                <w:noProof/>
              </w:rPr>
              <w:instrText>PAGEREF _Toc1144091684 \h</w:instrText>
            </w:r>
            <w:r w:rsidR="00000000">
              <w:rPr>
                <w:noProof/>
              </w:rPr>
            </w:r>
            <w:r w:rsidR="00000000">
              <w:rPr>
                <w:noProof/>
              </w:rPr>
              <w:fldChar w:fldCharType="separate"/>
            </w:r>
            <w:r w:rsidR="00153D1E">
              <w:rPr>
                <w:noProof/>
              </w:rPr>
              <w:t>11</w:t>
            </w:r>
            <w:r w:rsidR="00000000">
              <w:rPr>
                <w:noProof/>
              </w:rPr>
              <w:fldChar w:fldCharType="end"/>
            </w:r>
          </w:hyperlink>
        </w:p>
        <w:p w14:paraId="1046A133" w14:textId="6C23F078" w:rsidR="002126B0" w:rsidRDefault="24CEE590" w:rsidP="24CEE590">
          <w:pPr>
            <w:pStyle w:val="TOC2"/>
            <w:tabs>
              <w:tab w:val="right" w:leader="dot" w:pos="9360"/>
            </w:tabs>
            <w:rPr>
              <w:noProof/>
            </w:rPr>
          </w:pPr>
          <w:hyperlink w:anchor="_Toc480111447" w:history="1">
            <w:r w:rsidRPr="24CEE590">
              <w:rPr>
                <w:rStyle w:val="Hyperlink"/>
                <w:noProof/>
              </w:rPr>
              <w:t>3.3 Working capital problems:</w:t>
            </w:r>
            <w:r w:rsidR="00000000">
              <w:rPr>
                <w:noProof/>
              </w:rPr>
              <w:tab/>
            </w:r>
            <w:r w:rsidR="00000000">
              <w:rPr>
                <w:noProof/>
              </w:rPr>
              <w:fldChar w:fldCharType="begin"/>
            </w:r>
            <w:r w:rsidR="00000000">
              <w:rPr>
                <w:noProof/>
              </w:rPr>
              <w:instrText>PAGEREF _Toc480111447 \h</w:instrText>
            </w:r>
            <w:r w:rsidR="00000000">
              <w:rPr>
                <w:noProof/>
              </w:rPr>
            </w:r>
            <w:r w:rsidR="00000000">
              <w:rPr>
                <w:noProof/>
              </w:rPr>
              <w:fldChar w:fldCharType="separate"/>
            </w:r>
            <w:r w:rsidR="00153D1E">
              <w:rPr>
                <w:noProof/>
              </w:rPr>
              <w:t>12</w:t>
            </w:r>
            <w:r w:rsidR="00000000">
              <w:rPr>
                <w:noProof/>
              </w:rPr>
              <w:fldChar w:fldCharType="end"/>
            </w:r>
          </w:hyperlink>
        </w:p>
        <w:p w14:paraId="38D475A1" w14:textId="3197FA17" w:rsidR="002126B0" w:rsidRDefault="24CEE590" w:rsidP="24CEE590">
          <w:pPr>
            <w:pStyle w:val="TOC2"/>
            <w:tabs>
              <w:tab w:val="right" w:leader="dot" w:pos="9360"/>
            </w:tabs>
            <w:rPr>
              <w:noProof/>
            </w:rPr>
          </w:pPr>
          <w:hyperlink w:anchor="_Toc1363810736" w:history="1">
            <w:r w:rsidRPr="24CEE590">
              <w:rPr>
                <w:rStyle w:val="Hyperlink"/>
                <w:noProof/>
              </w:rPr>
              <w:t>3.4 Strategies to improve liquidity:</w:t>
            </w:r>
            <w:r w:rsidR="00000000">
              <w:rPr>
                <w:noProof/>
              </w:rPr>
              <w:tab/>
            </w:r>
            <w:r w:rsidR="00000000">
              <w:rPr>
                <w:noProof/>
              </w:rPr>
              <w:fldChar w:fldCharType="begin"/>
            </w:r>
            <w:r w:rsidR="00000000">
              <w:rPr>
                <w:noProof/>
              </w:rPr>
              <w:instrText>PAGEREF _Toc1363810736 \h</w:instrText>
            </w:r>
            <w:r w:rsidR="00000000">
              <w:rPr>
                <w:noProof/>
              </w:rPr>
            </w:r>
            <w:r w:rsidR="00000000">
              <w:rPr>
                <w:noProof/>
              </w:rPr>
              <w:fldChar w:fldCharType="separate"/>
            </w:r>
            <w:r w:rsidR="00153D1E">
              <w:rPr>
                <w:noProof/>
              </w:rPr>
              <w:t>13</w:t>
            </w:r>
            <w:r w:rsidR="00000000">
              <w:rPr>
                <w:noProof/>
              </w:rPr>
              <w:fldChar w:fldCharType="end"/>
            </w:r>
          </w:hyperlink>
        </w:p>
        <w:p w14:paraId="46DE5E22" w14:textId="7E0918D2" w:rsidR="002126B0" w:rsidRDefault="24CEE590" w:rsidP="24CEE590">
          <w:pPr>
            <w:pStyle w:val="TOC2"/>
            <w:tabs>
              <w:tab w:val="right" w:leader="dot" w:pos="9360"/>
            </w:tabs>
            <w:rPr>
              <w:noProof/>
            </w:rPr>
          </w:pPr>
          <w:hyperlink w:anchor="_Toc1481819438" w:history="1">
            <w:r w:rsidRPr="24CEE590">
              <w:rPr>
                <w:rStyle w:val="Hyperlink"/>
                <w:noProof/>
              </w:rPr>
              <w:t>3.5 Short-term versus long-term financing:</w:t>
            </w:r>
            <w:r w:rsidR="00000000">
              <w:rPr>
                <w:noProof/>
              </w:rPr>
              <w:tab/>
            </w:r>
            <w:r w:rsidR="00000000">
              <w:rPr>
                <w:noProof/>
              </w:rPr>
              <w:fldChar w:fldCharType="begin"/>
            </w:r>
            <w:r w:rsidR="00000000">
              <w:rPr>
                <w:noProof/>
              </w:rPr>
              <w:instrText>PAGEREF _Toc1481819438 \h</w:instrText>
            </w:r>
            <w:r w:rsidR="00000000">
              <w:rPr>
                <w:noProof/>
              </w:rPr>
            </w:r>
            <w:r w:rsidR="00000000">
              <w:rPr>
                <w:noProof/>
              </w:rPr>
              <w:fldChar w:fldCharType="separate"/>
            </w:r>
            <w:r w:rsidR="00153D1E">
              <w:rPr>
                <w:noProof/>
              </w:rPr>
              <w:t>13</w:t>
            </w:r>
            <w:r w:rsidR="00000000">
              <w:rPr>
                <w:noProof/>
              </w:rPr>
              <w:fldChar w:fldCharType="end"/>
            </w:r>
          </w:hyperlink>
        </w:p>
        <w:p w14:paraId="6F948CEC" w14:textId="3F1A065E" w:rsidR="002126B0" w:rsidRDefault="24CEE590" w:rsidP="24CEE590">
          <w:pPr>
            <w:pStyle w:val="TOC1"/>
            <w:tabs>
              <w:tab w:val="right" w:leader="dot" w:pos="9360"/>
            </w:tabs>
            <w:rPr>
              <w:noProof/>
            </w:rPr>
          </w:pPr>
          <w:hyperlink w:anchor="_Toc162272580" w:history="1">
            <w:r w:rsidRPr="24CEE590">
              <w:rPr>
                <w:rStyle w:val="Hyperlink"/>
                <w:noProof/>
              </w:rPr>
              <w:t>4. Strategic Financial Restructuring Plan:</w:t>
            </w:r>
            <w:r w:rsidR="00000000">
              <w:rPr>
                <w:noProof/>
              </w:rPr>
              <w:tab/>
            </w:r>
            <w:r w:rsidR="00000000">
              <w:rPr>
                <w:noProof/>
              </w:rPr>
              <w:fldChar w:fldCharType="begin"/>
            </w:r>
            <w:r w:rsidR="00000000">
              <w:rPr>
                <w:noProof/>
              </w:rPr>
              <w:instrText>PAGEREF _Toc162272580 \h</w:instrText>
            </w:r>
            <w:r w:rsidR="00000000">
              <w:rPr>
                <w:noProof/>
              </w:rPr>
            </w:r>
            <w:r w:rsidR="00000000">
              <w:rPr>
                <w:noProof/>
              </w:rPr>
              <w:fldChar w:fldCharType="separate"/>
            </w:r>
            <w:r w:rsidR="00153D1E">
              <w:rPr>
                <w:noProof/>
              </w:rPr>
              <w:t>14</w:t>
            </w:r>
            <w:r w:rsidR="00000000">
              <w:rPr>
                <w:noProof/>
              </w:rPr>
              <w:fldChar w:fldCharType="end"/>
            </w:r>
          </w:hyperlink>
        </w:p>
        <w:p w14:paraId="5A5B7290" w14:textId="79011C5C" w:rsidR="002126B0" w:rsidRDefault="24CEE590" w:rsidP="24CEE590">
          <w:pPr>
            <w:pStyle w:val="TOC2"/>
            <w:tabs>
              <w:tab w:val="right" w:leader="dot" w:pos="9360"/>
            </w:tabs>
            <w:rPr>
              <w:noProof/>
            </w:rPr>
          </w:pPr>
          <w:hyperlink w:anchor="_Toc632987206" w:history="1">
            <w:r w:rsidRPr="24CEE590">
              <w:rPr>
                <w:rStyle w:val="Hyperlink"/>
                <w:noProof/>
              </w:rPr>
              <w:t>4.1 Need for financial restructuring:</w:t>
            </w:r>
            <w:r w:rsidR="00000000">
              <w:rPr>
                <w:noProof/>
              </w:rPr>
              <w:tab/>
            </w:r>
            <w:r w:rsidR="00000000">
              <w:rPr>
                <w:noProof/>
              </w:rPr>
              <w:fldChar w:fldCharType="begin"/>
            </w:r>
            <w:r w:rsidR="00000000">
              <w:rPr>
                <w:noProof/>
              </w:rPr>
              <w:instrText>PAGEREF _Toc632987206 \h</w:instrText>
            </w:r>
            <w:r w:rsidR="00000000">
              <w:rPr>
                <w:noProof/>
              </w:rPr>
            </w:r>
            <w:r w:rsidR="00000000">
              <w:rPr>
                <w:noProof/>
              </w:rPr>
              <w:fldChar w:fldCharType="separate"/>
            </w:r>
            <w:r w:rsidR="00153D1E">
              <w:rPr>
                <w:noProof/>
              </w:rPr>
              <w:t>14</w:t>
            </w:r>
            <w:r w:rsidR="00000000">
              <w:rPr>
                <w:noProof/>
              </w:rPr>
              <w:fldChar w:fldCharType="end"/>
            </w:r>
          </w:hyperlink>
        </w:p>
        <w:p w14:paraId="354436F8" w14:textId="3EDF347C" w:rsidR="002126B0" w:rsidRDefault="24CEE590" w:rsidP="24CEE590">
          <w:pPr>
            <w:pStyle w:val="TOC2"/>
            <w:tabs>
              <w:tab w:val="right" w:leader="dot" w:pos="9360"/>
            </w:tabs>
            <w:rPr>
              <w:noProof/>
            </w:rPr>
          </w:pPr>
          <w:hyperlink w:anchor="_Toc856164806" w:history="1">
            <w:r w:rsidRPr="24CEE590">
              <w:rPr>
                <w:rStyle w:val="Hyperlink"/>
                <w:noProof/>
              </w:rPr>
              <w:t>4.2 Financial restructuring options:</w:t>
            </w:r>
            <w:r w:rsidR="00000000">
              <w:rPr>
                <w:noProof/>
              </w:rPr>
              <w:tab/>
            </w:r>
            <w:r w:rsidR="00000000">
              <w:rPr>
                <w:noProof/>
              </w:rPr>
              <w:fldChar w:fldCharType="begin"/>
            </w:r>
            <w:r w:rsidR="00000000">
              <w:rPr>
                <w:noProof/>
              </w:rPr>
              <w:instrText>PAGEREF _Toc856164806 \h</w:instrText>
            </w:r>
            <w:r w:rsidR="00000000">
              <w:rPr>
                <w:noProof/>
              </w:rPr>
            </w:r>
            <w:r w:rsidR="00000000">
              <w:rPr>
                <w:noProof/>
              </w:rPr>
              <w:fldChar w:fldCharType="separate"/>
            </w:r>
            <w:r w:rsidR="00153D1E">
              <w:rPr>
                <w:noProof/>
              </w:rPr>
              <w:t>14</w:t>
            </w:r>
            <w:r w:rsidR="00000000">
              <w:rPr>
                <w:noProof/>
              </w:rPr>
              <w:fldChar w:fldCharType="end"/>
            </w:r>
          </w:hyperlink>
        </w:p>
        <w:p w14:paraId="61E147A2" w14:textId="0963BA13" w:rsidR="002126B0" w:rsidRDefault="24CEE590" w:rsidP="24CEE590">
          <w:pPr>
            <w:pStyle w:val="TOC2"/>
            <w:tabs>
              <w:tab w:val="right" w:leader="dot" w:pos="9360"/>
            </w:tabs>
            <w:rPr>
              <w:noProof/>
            </w:rPr>
          </w:pPr>
          <w:hyperlink w:anchor="_Toc1126929313" w:history="1">
            <w:r w:rsidRPr="24CEE590">
              <w:rPr>
                <w:rStyle w:val="Hyperlink"/>
                <w:noProof/>
              </w:rPr>
              <w:t>4.3 Impact on shareholder value:</w:t>
            </w:r>
            <w:r w:rsidR="00000000">
              <w:rPr>
                <w:noProof/>
              </w:rPr>
              <w:tab/>
            </w:r>
            <w:r w:rsidR="00000000">
              <w:rPr>
                <w:noProof/>
              </w:rPr>
              <w:fldChar w:fldCharType="begin"/>
            </w:r>
            <w:r w:rsidR="00000000">
              <w:rPr>
                <w:noProof/>
              </w:rPr>
              <w:instrText>PAGEREF _Toc1126929313 \h</w:instrText>
            </w:r>
            <w:r w:rsidR="00000000">
              <w:rPr>
                <w:noProof/>
              </w:rPr>
            </w:r>
            <w:r w:rsidR="00000000">
              <w:rPr>
                <w:noProof/>
              </w:rPr>
              <w:fldChar w:fldCharType="separate"/>
            </w:r>
            <w:r w:rsidR="00153D1E">
              <w:rPr>
                <w:noProof/>
              </w:rPr>
              <w:t>15</w:t>
            </w:r>
            <w:r w:rsidR="00000000">
              <w:rPr>
                <w:noProof/>
              </w:rPr>
              <w:fldChar w:fldCharType="end"/>
            </w:r>
          </w:hyperlink>
        </w:p>
        <w:p w14:paraId="029F8EF4" w14:textId="18959841" w:rsidR="002126B0" w:rsidRDefault="24CEE590" w:rsidP="24CEE590">
          <w:pPr>
            <w:pStyle w:val="TOC2"/>
            <w:tabs>
              <w:tab w:val="right" w:leader="dot" w:pos="9360"/>
            </w:tabs>
            <w:rPr>
              <w:noProof/>
            </w:rPr>
          </w:pPr>
          <w:hyperlink w:anchor="_Toc2129797813" w:history="1">
            <w:r w:rsidRPr="24CEE590">
              <w:rPr>
                <w:rStyle w:val="Hyperlink"/>
                <w:noProof/>
              </w:rPr>
              <w:t>4.4 Impact on Debt Structure and Financial Flexibility:</w:t>
            </w:r>
            <w:r w:rsidR="00000000">
              <w:rPr>
                <w:noProof/>
              </w:rPr>
              <w:tab/>
            </w:r>
            <w:r w:rsidR="00000000">
              <w:rPr>
                <w:noProof/>
              </w:rPr>
              <w:fldChar w:fldCharType="begin"/>
            </w:r>
            <w:r w:rsidR="00000000">
              <w:rPr>
                <w:noProof/>
              </w:rPr>
              <w:instrText>PAGEREF _Toc2129797813 \h</w:instrText>
            </w:r>
            <w:r w:rsidR="00000000">
              <w:rPr>
                <w:noProof/>
              </w:rPr>
            </w:r>
            <w:r w:rsidR="00000000">
              <w:rPr>
                <w:noProof/>
              </w:rPr>
              <w:fldChar w:fldCharType="separate"/>
            </w:r>
            <w:r w:rsidR="00153D1E">
              <w:rPr>
                <w:noProof/>
              </w:rPr>
              <w:t>15</w:t>
            </w:r>
            <w:r w:rsidR="00000000">
              <w:rPr>
                <w:noProof/>
              </w:rPr>
              <w:fldChar w:fldCharType="end"/>
            </w:r>
          </w:hyperlink>
        </w:p>
        <w:p w14:paraId="0C2E432A" w14:textId="1DB5CBAC" w:rsidR="002126B0" w:rsidRDefault="24CEE590" w:rsidP="24CEE590">
          <w:pPr>
            <w:pStyle w:val="TOC2"/>
            <w:tabs>
              <w:tab w:val="right" w:leader="dot" w:pos="9360"/>
            </w:tabs>
            <w:rPr>
              <w:noProof/>
            </w:rPr>
          </w:pPr>
          <w:hyperlink w:anchor="_Toc606994982" w:history="1">
            <w:r w:rsidRPr="24CEE590">
              <w:rPr>
                <w:rStyle w:val="Hyperlink"/>
                <w:noProof/>
              </w:rPr>
              <w:t>4.5 International and ethical considerations:</w:t>
            </w:r>
            <w:r w:rsidR="00000000">
              <w:rPr>
                <w:noProof/>
              </w:rPr>
              <w:tab/>
            </w:r>
            <w:r w:rsidR="00000000">
              <w:rPr>
                <w:noProof/>
              </w:rPr>
              <w:fldChar w:fldCharType="begin"/>
            </w:r>
            <w:r w:rsidR="00000000">
              <w:rPr>
                <w:noProof/>
              </w:rPr>
              <w:instrText>PAGEREF _Toc606994982 \h</w:instrText>
            </w:r>
            <w:r w:rsidR="00000000">
              <w:rPr>
                <w:noProof/>
              </w:rPr>
            </w:r>
            <w:r w:rsidR="00000000">
              <w:rPr>
                <w:noProof/>
              </w:rPr>
              <w:fldChar w:fldCharType="separate"/>
            </w:r>
            <w:r w:rsidR="00153D1E">
              <w:rPr>
                <w:noProof/>
              </w:rPr>
              <w:t>15</w:t>
            </w:r>
            <w:r w:rsidR="00000000">
              <w:rPr>
                <w:noProof/>
              </w:rPr>
              <w:fldChar w:fldCharType="end"/>
            </w:r>
          </w:hyperlink>
        </w:p>
        <w:p w14:paraId="6F73D8BB" w14:textId="06521CAB" w:rsidR="002126B0" w:rsidRDefault="24CEE590" w:rsidP="24CEE590">
          <w:pPr>
            <w:pStyle w:val="TOC2"/>
            <w:tabs>
              <w:tab w:val="right" w:leader="dot" w:pos="9360"/>
            </w:tabs>
            <w:rPr>
              <w:noProof/>
            </w:rPr>
          </w:pPr>
          <w:hyperlink w:anchor="_Toc954970077" w:history="1">
            <w:r w:rsidRPr="24CEE590">
              <w:rPr>
                <w:rStyle w:val="Hyperlink"/>
                <w:noProof/>
              </w:rPr>
              <w:t>4.6 Recommended restructuring strategy:</w:t>
            </w:r>
            <w:r w:rsidR="00000000">
              <w:rPr>
                <w:noProof/>
              </w:rPr>
              <w:tab/>
            </w:r>
            <w:r w:rsidR="00000000">
              <w:rPr>
                <w:noProof/>
              </w:rPr>
              <w:fldChar w:fldCharType="begin"/>
            </w:r>
            <w:r w:rsidR="00000000">
              <w:rPr>
                <w:noProof/>
              </w:rPr>
              <w:instrText>PAGEREF _Toc954970077 \h</w:instrText>
            </w:r>
            <w:r w:rsidR="00000000">
              <w:rPr>
                <w:noProof/>
              </w:rPr>
            </w:r>
            <w:r w:rsidR="00000000">
              <w:rPr>
                <w:noProof/>
              </w:rPr>
              <w:fldChar w:fldCharType="separate"/>
            </w:r>
            <w:r w:rsidR="00153D1E">
              <w:rPr>
                <w:noProof/>
              </w:rPr>
              <w:t>16</w:t>
            </w:r>
            <w:r w:rsidR="00000000">
              <w:rPr>
                <w:noProof/>
              </w:rPr>
              <w:fldChar w:fldCharType="end"/>
            </w:r>
          </w:hyperlink>
        </w:p>
        <w:p w14:paraId="40292A0F" w14:textId="22A0F2F9" w:rsidR="002126B0" w:rsidRDefault="24CEE590" w:rsidP="24CEE590">
          <w:pPr>
            <w:pStyle w:val="TOC1"/>
            <w:tabs>
              <w:tab w:val="right" w:leader="dot" w:pos="9360"/>
            </w:tabs>
            <w:rPr>
              <w:noProof/>
            </w:rPr>
          </w:pPr>
          <w:hyperlink w:anchor="_Toc62443747" w:history="1">
            <w:r w:rsidRPr="24CEE590">
              <w:rPr>
                <w:rStyle w:val="Hyperlink"/>
                <w:noProof/>
              </w:rPr>
              <w:t>5.Investment Appraisal and Capital Budgeting:</w:t>
            </w:r>
            <w:r w:rsidR="00000000">
              <w:rPr>
                <w:noProof/>
              </w:rPr>
              <w:tab/>
            </w:r>
            <w:r w:rsidR="00000000">
              <w:rPr>
                <w:noProof/>
              </w:rPr>
              <w:fldChar w:fldCharType="begin"/>
            </w:r>
            <w:r w:rsidR="00000000">
              <w:rPr>
                <w:noProof/>
              </w:rPr>
              <w:instrText>PAGEREF _Toc62443747 \h</w:instrText>
            </w:r>
            <w:r w:rsidR="00000000">
              <w:rPr>
                <w:noProof/>
              </w:rPr>
            </w:r>
            <w:r w:rsidR="00000000">
              <w:rPr>
                <w:noProof/>
              </w:rPr>
              <w:fldChar w:fldCharType="separate"/>
            </w:r>
            <w:r w:rsidR="00153D1E">
              <w:rPr>
                <w:noProof/>
              </w:rPr>
              <w:t>16</w:t>
            </w:r>
            <w:r w:rsidR="00000000">
              <w:rPr>
                <w:noProof/>
              </w:rPr>
              <w:fldChar w:fldCharType="end"/>
            </w:r>
          </w:hyperlink>
        </w:p>
        <w:p w14:paraId="34B12FF5" w14:textId="6C65DCB7" w:rsidR="002126B0" w:rsidRDefault="24CEE590" w:rsidP="24CEE590">
          <w:pPr>
            <w:pStyle w:val="TOC2"/>
            <w:tabs>
              <w:tab w:val="right" w:leader="dot" w:pos="9360"/>
            </w:tabs>
            <w:rPr>
              <w:noProof/>
            </w:rPr>
          </w:pPr>
          <w:hyperlink w:anchor="_Toc391060914" w:history="1">
            <w:r w:rsidRPr="24CEE590">
              <w:rPr>
                <w:rStyle w:val="Hyperlink"/>
                <w:noProof/>
              </w:rPr>
              <w:t>5.1 Investment appraisal overview:</w:t>
            </w:r>
            <w:r w:rsidR="00000000">
              <w:rPr>
                <w:noProof/>
              </w:rPr>
              <w:tab/>
            </w:r>
            <w:r w:rsidR="00000000">
              <w:rPr>
                <w:noProof/>
              </w:rPr>
              <w:fldChar w:fldCharType="begin"/>
            </w:r>
            <w:r w:rsidR="00000000">
              <w:rPr>
                <w:noProof/>
              </w:rPr>
              <w:instrText>PAGEREF _Toc391060914 \h</w:instrText>
            </w:r>
            <w:r w:rsidR="00000000">
              <w:rPr>
                <w:noProof/>
              </w:rPr>
            </w:r>
            <w:r w:rsidR="00000000">
              <w:rPr>
                <w:noProof/>
              </w:rPr>
              <w:fldChar w:fldCharType="separate"/>
            </w:r>
            <w:r w:rsidR="00153D1E">
              <w:rPr>
                <w:noProof/>
              </w:rPr>
              <w:t>16</w:t>
            </w:r>
            <w:r w:rsidR="00000000">
              <w:rPr>
                <w:noProof/>
              </w:rPr>
              <w:fldChar w:fldCharType="end"/>
            </w:r>
          </w:hyperlink>
        </w:p>
        <w:p w14:paraId="07A6EFE6" w14:textId="1075DB3B" w:rsidR="002126B0" w:rsidRDefault="24CEE590" w:rsidP="24CEE590">
          <w:pPr>
            <w:pStyle w:val="TOC2"/>
            <w:tabs>
              <w:tab w:val="right" w:leader="dot" w:pos="9360"/>
            </w:tabs>
            <w:rPr>
              <w:noProof/>
            </w:rPr>
          </w:pPr>
          <w:hyperlink w:anchor="_Toc1440767385" w:history="1">
            <w:r w:rsidRPr="24CEE590">
              <w:rPr>
                <w:rStyle w:val="Hyperlink"/>
                <w:noProof/>
              </w:rPr>
              <w:t>5.2 Project information and assumptions:</w:t>
            </w:r>
            <w:r w:rsidR="00000000">
              <w:rPr>
                <w:noProof/>
              </w:rPr>
              <w:tab/>
            </w:r>
            <w:r w:rsidR="00000000">
              <w:rPr>
                <w:noProof/>
              </w:rPr>
              <w:fldChar w:fldCharType="begin"/>
            </w:r>
            <w:r w:rsidR="00000000">
              <w:rPr>
                <w:noProof/>
              </w:rPr>
              <w:instrText>PAGEREF _Toc1440767385 \h</w:instrText>
            </w:r>
            <w:r w:rsidR="00000000">
              <w:rPr>
                <w:noProof/>
              </w:rPr>
            </w:r>
            <w:r w:rsidR="00000000">
              <w:rPr>
                <w:noProof/>
              </w:rPr>
              <w:fldChar w:fldCharType="separate"/>
            </w:r>
            <w:r w:rsidR="00153D1E">
              <w:rPr>
                <w:noProof/>
              </w:rPr>
              <w:t>16</w:t>
            </w:r>
            <w:r w:rsidR="00000000">
              <w:rPr>
                <w:noProof/>
              </w:rPr>
              <w:fldChar w:fldCharType="end"/>
            </w:r>
          </w:hyperlink>
        </w:p>
        <w:p w14:paraId="3D1367DF" w14:textId="3B3B9BCE" w:rsidR="002126B0" w:rsidRDefault="24CEE590" w:rsidP="24CEE590">
          <w:pPr>
            <w:pStyle w:val="TOC2"/>
            <w:tabs>
              <w:tab w:val="right" w:leader="dot" w:pos="9360"/>
            </w:tabs>
            <w:rPr>
              <w:noProof/>
            </w:rPr>
          </w:pPr>
          <w:hyperlink w:anchor="_Toc1764398580" w:history="1">
            <w:r w:rsidRPr="24CEE590">
              <w:rPr>
                <w:rStyle w:val="Hyperlink"/>
                <w:noProof/>
              </w:rPr>
              <w:t>5.3 Payback Period (PBP):</w:t>
            </w:r>
            <w:r w:rsidR="00000000">
              <w:rPr>
                <w:noProof/>
              </w:rPr>
              <w:tab/>
            </w:r>
            <w:r w:rsidR="00000000">
              <w:rPr>
                <w:noProof/>
              </w:rPr>
              <w:fldChar w:fldCharType="begin"/>
            </w:r>
            <w:r w:rsidR="00000000">
              <w:rPr>
                <w:noProof/>
              </w:rPr>
              <w:instrText>PAGEREF _Toc1764398580 \h</w:instrText>
            </w:r>
            <w:r w:rsidR="00000000">
              <w:rPr>
                <w:noProof/>
              </w:rPr>
            </w:r>
            <w:r w:rsidR="00000000">
              <w:rPr>
                <w:noProof/>
              </w:rPr>
              <w:fldChar w:fldCharType="separate"/>
            </w:r>
            <w:r w:rsidR="00153D1E">
              <w:rPr>
                <w:noProof/>
              </w:rPr>
              <w:t>16</w:t>
            </w:r>
            <w:r w:rsidR="00000000">
              <w:rPr>
                <w:noProof/>
              </w:rPr>
              <w:fldChar w:fldCharType="end"/>
            </w:r>
          </w:hyperlink>
        </w:p>
        <w:p w14:paraId="490B1F25" w14:textId="4554A500" w:rsidR="002126B0" w:rsidRDefault="24CEE590" w:rsidP="24CEE590">
          <w:pPr>
            <w:pStyle w:val="TOC2"/>
            <w:tabs>
              <w:tab w:val="right" w:leader="dot" w:pos="9360"/>
            </w:tabs>
            <w:rPr>
              <w:noProof/>
            </w:rPr>
          </w:pPr>
          <w:hyperlink w:anchor="_Toc1983508440" w:history="1">
            <w:r w:rsidRPr="24CEE590">
              <w:rPr>
                <w:rStyle w:val="Hyperlink"/>
                <w:noProof/>
              </w:rPr>
              <w:t>5.4 Accounting Rate of Return (ARR):</w:t>
            </w:r>
            <w:r w:rsidR="00000000">
              <w:rPr>
                <w:noProof/>
              </w:rPr>
              <w:tab/>
            </w:r>
            <w:r w:rsidR="00000000">
              <w:rPr>
                <w:noProof/>
              </w:rPr>
              <w:fldChar w:fldCharType="begin"/>
            </w:r>
            <w:r w:rsidR="00000000">
              <w:rPr>
                <w:noProof/>
              </w:rPr>
              <w:instrText>PAGEREF _Toc1983508440 \h</w:instrText>
            </w:r>
            <w:r w:rsidR="00000000">
              <w:rPr>
                <w:noProof/>
              </w:rPr>
            </w:r>
            <w:r w:rsidR="00000000">
              <w:rPr>
                <w:noProof/>
              </w:rPr>
              <w:fldChar w:fldCharType="separate"/>
            </w:r>
            <w:r w:rsidR="00153D1E">
              <w:rPr>
                <w:noProof/>
              </w:rPr>
              <w:t>17</w:t>
            </w:r>
            <w:r w:rsidR="00000000">
              <w:rPr>
                <w:noProof/>
              </w:rPr>
              <w:fldChar w:fldCharType="end"/>
            </w:r>
          </w:hyperlink>
        </w:p>
        <w:p w14:paraId="2563C52E" w14:textId="750C9B45" w:rsidR="002126B0" w:rsidRDefault="24CEE590" w:rsidP="24CEE590">
          <w:pPr>
            <w:pStyle w:val="TOC2"/>
            <w:tabs>
              <w:tab w:val="right" w:leader="dot" w:pos="9360"/>
            </w:tabs>
            <w:rPr>
              <w:noProof/>
            </w:rPr>
          </w:pPr>
          <w:hyperlink w:anchor="_Toc400270661" w:history="1">
            <w:r w:rsidRPr="24CEE590">
              <w:rPr>
                <w:rStyle w:val="Hyperlink"/>
                <w:noProof/>
              </w:rPr>
              <w:t>5.5 Net Present Value (NPV):</w:t>
            </w:r>
            <w:r w:rsidR="00000000">
              <w:rPr>
                <w:noProof/>
              </w:rPr>
              <w:tab/>
            </w:r>
            <w:r w:rsidR="00000000">
              <w:rPr>
                <w:noProof/>
              </w:rPr>
              <w:fldChar w:fldCharType="begin"/>
            </w:r>
            <w:r w:rsidR="00000000">
              <w:rPr>
                <w:noProof/>
              </w:rPr>
              <w:instrText>PAGEREF _Toc400270661 \h</w:instrText>
            </w:r>
            <w:r w:rsidR="00000000">
              <w:rPr>
                <w:noProof/>
              </w:rPr>
            </w:r>
            <w:r w:rsidR="00000000">
              <w:rPr>
                <w:noProof/>
              </w:rPr>
              <w:fldChar w:fldCharType="separate"/>
            </w:r>
            <w:r w:rsidR="00153D1E">
              <w:rPr>
                <w:noProof/>
              </w:rPr>
              <w:t>18</w:t>
            </w:r>
            <w:r w:rsidR="00000000">
              <w:rPr>
                <w:noProof/>
              </w:rPr>
              <w:fldChar w:fldCharType="end"/>
            </w:r>
          </w:hyperlink>
        </w:p>
        <w:p w14:paraId="28A87202" w14:textId="3F65450B" w:rsidR="002126B0" w:rsidRDefault="24CEE590" w:rsidP="24CEE590">
          <w:pPr>
            <w:pStyle w:val="TOC2"/>
            <w:tabs>
              <w:tab w:val="right" w:leader="dot" w:pos="9360"/>
            </w:tabs>
            <w:rPr>
              <w:noProof/>
            </w:rPr>
          </w:pPr>
          <w:hyperlink w:anchor="_Toc167652901" w:history="1">
            <w:r w:rsidRPr="24CEE590">
              <w:rPr>
                <w:rStyle w:val="Hyperlink"/>
                <w:noProof/>
              </w:rPr>
              <w:t>5.6 Profitability Index (PI):</w:t>
            </w:r>
            <w:r w:rsidR="00000000">
              <w:rPr>
                <w:noProof/>
              </w:rPr>
              <w:tab/>
            </w:r>
            <w:r w:rsidR="00000000">
              <w:rPr>
                <w:noProof/>
              </w:rPr>
              <w:fldChar w:fldCharType="begin"/>
            </w:r>
            <w:r w:rsidR="00000000">
              <w:rPr>
                <w:noProof/>
              </w:rPr>
              <w:instrText>PAGEREF _Toc167652901 \h</w:instrText>
            </w:r>
            <w:r w:rsidR="00000000">
              <w:rPr>
                <w:noProof/>
              </w:rPr>
            </w:r>
            <w:r w:rsidR="00000000">
              <w:rPr>
                <w:noProof/>
              </w:rPr>
              <w:fldChar w:fldCharType="separate"/>
            </w:r>
            <w:r w:rsidR="00153D1E">
              <w:rPr>
                <w:noProof/>
              </w:rPr>
              <w:t>19</w:t>
            </w:r>
            <w:r w:rsidR="00000000">
              <w:rPr>
                <w:noProof/>
              </w:rPr>
              <w:fldChar w:fldCharType="end"/>
            </w:r>
          </w:hyperlink>
        </w:p>
        <w:p w14:paraId="51258B50" w14:textId="0BD22DE7" w:rsidR="002126B0" w:rsidRDefault="24CEE590" w:rsidP="24CEE590">
          <w:pPr>
            <w:pStyle w:val="TOC2"/>
            <w:tabs>
              <w:tab w:val="right" w:leader="dot" w:pos="9360"/>
            </w:tabs>
            <w:rPr>
              <w:noProof/>
            </w:rPr>
          </w:pPr>
          <w:hyperlink w:anchor="_Toc1581920108" w:history="1">
            <w:r w:rsidRPr="24CEE590">
              <w:rPr>
                <w:rStyle w:val="Hyperlink"/>
                <w:noProof/>
              </w:rPr>
              <w:t>5.7 Internal Rate of Return (IRR):</w:t>
            </w:r>
            <w:r w:rsidR="00000000">
              <w:rPr>
                <w:noProof/>
              </w:rPr>
              <w:tab/>
            </w:r>
            <w:r w:rsidR="00000000">
              <w:rPr>
                <w:noProof/>
              </w:rPr>
              <w:fldChar w:fldCharType="begin"/>
            </w:r>
            <w:r w:rsidR="00000000">
              <w:rPr>
                <w:noProof/>
              </w:rPr>
              <w:instrText>PAGEREF _Toc1581920108 \h</w:instrText>
            </w:r>
            <w:r w:rsidR="00000000">
              <w:rPr>
                <w:noProof/>
              </w:rPr>
            </w:r>
            <w:r w:rsidR="00000000">
              <w:rPr>
                <w:noProof/>
              </w:rPr>
              <w:fldChar w:fldCharType="separate"/>
            </w:r>
            <w:r w:rsidR="00153D1E">
              <w:rPr>
                <w:noProof/>
              </w:rPr>
              <w:t>20</w:t>
            </w:r>
            <w:r w:rsidR="00000000">
              <w:rPr>
                <w:noProof/>
              </w:rPr>
              <w:fldChar w:fldCharType="end"/>
            </w:r>
          </w:hyperlink>
        </w:p>
        <w:p w14:paraId="3E49AF14" w14:textId="696BEDE0" w:rsidR="002126B0" w:rsidRDefault="24CEE590" w:rsidP="24CEE590">
          <w:pPr>
            <w:pStyle w:val="TOC2"/>
            <w:tabs>
              <w:tab w:val="right" w:leader="dot" w:pos="9360"/>
            </w:tabs>
            <w:rPr>
              <w:noProof/>
            </w:rPr>
          </w:pPr>
          <w:hyperlink w:anchor="_Toc517201916" w:history="1">
            <w:r w:rsidRPr="24CEE590">
              <w:rPr>
                <w:rStyle w:val="Hyperlink"/>
                <w:noProof/>
              </w:rPr>
              <w:t>5.8 Overall project recommendation:</w:t>
            </w:r>
            <w:r w:rsidR="00000000">
              <w:rPr>
                <w:noProof/>
              </w:rPr>
              <w:tab/>
            </w:r>
            <w:r w:rsidR="00000000">
              <w:rPr>
                <w:noProof/>
              </w:rPr>
              <w:fldChar w:fldCharType="begin"/>
            </w:r>
            <w:r w:rsidR="00000000">
              <w:rPr>
                <w:noProof/>
              </w:rPr>
              <w:instrText>PAGEREF _Toc517201916 \h</w:instrText>
            </w:r>
            <w:r w:rsidR="00000000">
              <w:rPr>
                <w:noProof/>
              </w:rPr>
            </w:r>
            <w:r w:rsidR="00000000">
              <w:rPr>
                <w:noProof/>
              </w:rPr>
              <w:fldChar w:fldCharType="separate"/>
            </w:r>
            <w:r w:rsidR="00153D1E">
              <w:rPr>
                <w:noProof/>
              </w:rPr>
              <w:t>21</w:t>
            </w:r>
            <w:r w:rsidR="00000000">
              <w:rPr>
                <w:noProof/>
              </w:rPr>
              <w:fldChar w:fldCharType="end"/>
            </w:r>
          </w:hyperlink>
        </w:p>
        <w:p w14:paraId="7EDCA990" w14:textId="3952A03C" w:rsidR="002126B0" w:rsidRDefault="24CEE590" w:rsidP="24CEE590">
          <w:pPr>
            <w:pStyle w:val="TOC2"/>
            <w:tabs>
              <w:tab w:val="right" w:leader="dot" w:pos="9360"/>
            </w:tabs>
            <w:rPr>
              <w:noProof/>
            </w:rPr>
          </w:pPr>
          <w:hyperlink w:anchor="_Toc1004561290" w:history="1">
            <w:r w:rsidRPr="24CEE590">
              <w:rPr>
                <w:rStyle w:val="Hyperlink"/>
                <w:noProof/>
              </w:rPr>
              <w:t>5.9 non-financial risks:</w:t>
            </w:r>
            <w:r w:rsidR="00000000">
              <w:rPr>
                <w:noProof/>
              </w:rPr>
              <w:tab/>
            </w:r>
            <w:r w:rsidR="00000000">
              <w:rPr>
                <w:noProof/>
              </w:rPr>
              <w:fldChar w:fldCharType="begin"/>
            </w:r>
            <w:r w:rsidR="00000000">
              <w:rPr>
                <w:noProof/>
              </w:rPr>
              <w:instrText>PAGEREF _Toc1004561290 \h</w:instrText>
            </w:r>
            <w:r w:rsidR="00000000">
              <w:rPr>
                <w:noProof/>
              </w:rPr>
            </w:r>
            <w:r w:rsidR="00000000">
              <w:rPr>
                <w:noProof/>
              </w:rPr>
              <w:fldChar w:fldCharType="separate"/>
            </w:r>
            <w:r w:rsidR="00153D1E">
              <w:rPr>
                <w:noProof/>
              </w:rPr>
              <w:t>21</w:t>
            </w:r>
            <w:r w:rsidR="00000000">
              <w:rPr>
                <w:noProof/>
              </w:rPr>
              <w:fldChar w:fldCharType="end"/>
            </w:r>
          </w:hyperlink>
        </w:p>
        <w:p w14:paraId="0A61E29E" w14:textId="6AF413D8" w:rsidR="002126B0" w:rsidRDefault="24CEE590" w:rsidP="24CEE590">
          <w:pPr>
            <w:pStyle w:val="TOC2"/>
            <w:tabs>
              <w:tab w:val="right" w:leader="dot" w:pos="9360"/>
            </w:tabs>
            <w:rPr>
              <w:noProof/>
            </w:rPr>
          </w:pPr>
          <w:hyperlink w:anchor="_Toc987631364" w:history="1">
            <w:r w:rsidRPr="24CEE590">
              <w:rPr>
                <w:rStyle w:val="Hyperlink"/>
                <w:noProof/>
              </w:rPr>
              <w:t>5.10 Capital rationing: £100 million investment limit:</w:t>
            </w:r>
            <w:r w:rsidR="00000000">
              <w:rPr>
                <w:noProof/>
              </w:rPr>
              <w:tab/>
            </w:r>
            <w:r w:rsidR="00000000">
              <w:rPr>
                <w:noProof/>
              </w:rPr>
              <w:fldChar w:fldCharType="begin"/>
            </w:r>
            <w:r w:rsidR="00000000">
              <w:rPr>
                <w:noProof/>
              </w:rPr>
              <w:instrText>PAGEREF _Toc987631364 \h</w:instrText>
            </w:r>
            <w:r w:rsidR="00000000">
              <w:rPr>
                <w:noProof/>
              </w:rPr>
            </w:r>
            <w:r w:rsidR="00000000">
              <w:rPr>
                <w:noProof/>
              </w:rPr>
              <w:fldChar w:fldCharType="separate"/>
            </w:r>
            <w:r w:rsidR="00153D1E">
              <w:rPr>
                <w:noProof/>
              </w:rPr>
              <w:t>21</w:t>
            </w:r>
            <w:r w:rsidR="00000000">
              <w:rPr>
                <w:noProof/>
              </w:rPr>
              <w:fldChar w:fldCharType="end"/>
            </w:r>
          </w:hyperlink>
        </w:p>
        <w:p w14:paraId="61476586" w14:textId="10B98720" w:rsidR="002126B0" w:rsidRDefault="24CEE590" w:rsidP="24CEE590">
          <w:pPr>
            <w:pStyle w:val="TOC1"/>
            <w:tabs>
              <w:tab w:val="right" w:leader="dot" w:pos="9360"/>
            </w:tabs>
            <w:rPr>
              <w:noProof/>
            </w:rPr>
          </w:pPr>
          <w:hyperlink w:anchor="_Toc1342079602" w:history="1">
            <w:r w:rsidRPr="24CEE590">
              <w:rPr>
                <w:rStyle w:val="Hyperlink"/>
                <w:noProof/>
              </w:rPr>
              <w:t>6. Critical Reflection on AI Usage:</w:t>
            </w:r>
            <w:r w:rsidR="00000000">
              <w:rPr>
                <w:noProof/>
              </w:rPr>
              <w:tab/>
            </w:r>
            <w:r w:rsidR="00000000">
              <w:rPr>
                <w:noProof/>
              </w:rPr>
              <w:fldChar w:fldCharType="begin"/>
            </w:r>
            <w:r w:rsidR="00000000">
              <w:rPr>
                <w:noProof/>
              </w:rPr>
              <w:instrText>PAGEREF _Toc1342079602 \h</w:instrText>
            </w:r>
            <w:r w:rsidR="00000000">
              <w:rPr>
                <w:noProof/>
              </w:rPr>
            </w:r>
            <w:r w:rsidR="00000000">
              <w:rPr>
                <w:noProof/>
              </w:rPr>
              <w:fldChar w:fldCharType="separate"/>
            </w:r>
            <w:r w:rsidR="00153D1E">
              <w:rPr>
                <w:noProof/>
              </w:rPr>
              <w:t>22</w:t>
            </w:r>
            <w:r w:rsidR="00000000">
              <w:rPr>
                <w:noProof/>
              </w:rPr>
              <w:fldChar w:fldCharType="end"/>
            </w:r>
          </w:hyperlink>
        </w:p>
        <w:p w14:paraId="706C260B" w14:textId="601448AB" w:rsidR="002126B0" w:rsidRDefault="24CEE590" w:rsidP="24CEE590">
          <w:pPr>
            <w:pStyle w:val="TOC2"/>
            <w:tabs>
              <w:tab w:val="right" w:leader="dot" w:pos="9360"/>
            </w:tabs>
            <w:rPr>
              <w:noProof/>
            </w:rPr>
          </w:pPr>
          <w:hyperlink w:anchor="_Toc706754417" w:history="1">
            <w:r w:rsidRPr="24CEE590">
              <w:rPr>
                <w:rStyle w:val="Hyperlink"/>
                <w:noProof/>
              </w:rPr>
              <w:t>6.1 AI Tool Disclosure:</w:t>
            </w:r>
            <w:r w:rsidR="00000000">
              <w:rPr>
                <w:noProof/>
              </w:rPr>
              <w:tab/>
            </w:r>
            <w:r w:rsidR="00000000">
              <w:rPr>
                <w:noProof/>
              </w:rPr>
              <w:fldChar w:fldCharType="begin"/>
            </w:r>
            <w:r w:rsidR="00000000">
              <w:rPr>
                <w:noProof/>
              </w:rPr>
              <w:instrText>PAGEREF _Toc706754417 \h</w:instrText>
            </w:r>
            <w:r w:rsidR="00000000">
              <w:rPr>
                <w:noProof/>
              </w:rPr>
            </w:r>
            <w:r w:rsidR="00000000">
              <w:rPr>
                <w:noProof/>
              </w:rPr>
              <w:fldChar w:fldCharType="separate"/>
            </w:r>
            <w:r w:rsidR="00153D1E">
              <w:rPr>
                <w:noProof/>
              </w:rPr>
              <w:t>22</w:t>
            </w:r>
            <w:r w:rsidR="00000000">
              <w:rPr>
                <w:noProof/>
              </w:rPr>
              <w:fldChar w:fldCharType="end"/>
            </w:r>
          </w:hyperlink>
        </w:p>
        <w:p w14:paraId="35C07766" w14:textId="16340478" w:rsidR="002126B0" w:rsidRDefault="24CEE590" w:rsidP="24CEE590">
          <w:pPr>
            <w:pStyle w:val="TOC2"/>
            <w:tabs>
              <w:tab w:val="right" w:leader="dot" w:pos="9360"/>
            </w:tabs>
            <w:rPr>
              <w:noProof/>
            </w:rPr>
          </w:pPr>
          <w:hyperlink w:anchor="_Toc1502513052" w:history="1">
            <w:r w:rsidRPr="24CEE590">
              <w:rPr>
                <w:rStyle w:val="Hyperlink"/>
                <w:noProof/>
              </w:rPr>
              <w:t>6.2 Critical Evaluation of AI Output:</w:t>
            </w:r>
            <w:r w:rsidR="00000000">
              <w:rPr>
                <w:noProof/>
              </w:rPr>
              <w:tab/>
            </w:r>
            <w:r w:rsidR="00000000">
              <w:rPr>
                <w:noProof/>
              </w:rPr>
              <w:fldChar w:fldCharType="begin"/>
            </w:r>
            <w:r w:rsidR="00000000">
              <w:rPr>
                <w:noProof/>
              </w:rPr>
              <w:instrText>PAGEREF _Toc1502513052 \h</w:instrText>
            </w:r>
            <w:r w:rsidR="00000000">
              <w:rPr>
                <w:noProof/>
              </w:rPr>
            </w:r>
            <w:r w:rsidR="00000000">
              <w:rPr>
                <w:noProof/>
              </w:rPr>
              <w:fldChar w:fldCharType="separate"/>
            </w:r>
            <w:r w:rsidR="00153D1E">
              <w:rPr>
                <w:noProof/>
              </w:rPr>
              <w:t>22</w:t>
            </w:r>
            <w:r w:rsidR="00000000">
              <w:rPr>
                <w:noProof/>
              </w:rPr>
              <w:fldChar w:fldCharType="end"/>
            </w:r>
          </w:hyperlink>
        </w:p>
        <w:p w14:paraId="7C2CD4FA" w14:textId="164773AC" w:rsidR="002126B0" w:rsidRDefault="24CEE590" w:rsidP="24CEE590">
          <w:pPr>
            <w:pStyle w:val="TOC2"/>
            <w:tabs>
              <w:tab w:val="right" w:leader="dot" w:pos="9360"/>
            </w:tabs>
            <w:rPr>
              <w:noProof/>
            </w:rPr>
          </w:pPr>
          <w:hyperlink w:anchor="_Toc361202890" w:history="1">
            <w:r w:rsidRPr="24CEE590">
              <w:rPr>
                <w:rStyle w:val="Hyperlink"/>
                <w:noProof/>
              </w:rPr>
              <w:t>6.3 My Contribution to the Assignment:</w:t>
            </w:r>
            <w:r w:rsidR="00000000">
              <w:rPr>
                <w:noProof/>
              </w:rPr>
              <w:tab/>
            </w:r>
            <w:r w:rsidR="00000000">
              <w:rPr>
                <w:noProof/>
              </w:rPr>
              <w:fldChar w:fldCharType="begin"/>
            </w:r>
            <w:r w:rsidR="00000000">
              <w:rPr>
                <w:noProof/>
              </w:rPr>
              <w:instrText>PAGEREF _Toc361202890 \h</w:instrText>
            </w:r>
            <w:r w:rsidR="00000000">
              <w:rPr>
                <w:noProof/>
              </w:rPr>
            </w:r>
            <w:r w:rsidR="00000000">
              <w:rPr>
                <w:noProof/>
              </w:rPr>
              <w:fldChar w:fldCharType="separate"/>
            </w:r>
            <w:r w:rsidR="00153D1E">
              <w:rPr>
                <w:noProof/>
              </w:rPr>
              <w:t>23</w:t>
            </w:r>
            <w:r w:rsidR="00000000">
              <w:rPr>
                <w:noProof/>
              </w:rPr>
              <w:fldChar w:fldCharType="end"/>
            </w:r>
          </w:hyperlink>
        </w:p>
        <w:p w14:paraId="4B358DE7" w14:textId="5033A793" w:rsidR="002126B0" w:rsidRDefault="24CEE590" w:rsidP="24CEE590">
          <w:pPr>
            <w:pStyle w:val="TOC2"/>
            <w:tabs>
              <w:tab w:val="right" w:leader="dot" w:pos="9360"/>
            </w:tabs>
            <w:rPr>
              <w:noProof/>
            </w:rPr>
          </w:pPr>
          <w:hyperlink w:anchor="_Toc1728015756" w:history="1">
            <w:r w:rsidRPr="24CEE590">
              <w:rPr>
                <w:rStyle w:val="Hyperlink"/>
                <w:noProof/>
              </w:rPr>
              <w:t>6.4 Ethical and Professional Reflection:</w:t>
            </w:r>
            <w:r w:rsidR="00000000">
              <w:rPr>
                <w:noProof/>
              </w:rPr>
              <w:tab/>
            </w:r>
            <w:r w:rsidR="00000000">
              <w:rPr>
                <w:noProof/>
              </w:rPr>
              <w:fldChar w:fldCharType="begin"/>
            </w:r>
            <w:r w:rsidR="00000000">
              <w:rPr>
                <w:noProof/>
              </w:rPr>
              <w:instrText>PAGEREF _Toc1728015756 \h</w:instrText>
            </w:r>
            <w:r w:rsidR="00000000">
              <w:rPr>
                <w:noProof/>
              </w:rPr>
            </w:r>
            <w:r w:rsidR="00000000">
              <w:rPr>
                <w:noProof/>
              </w:rPr>
              <w:fldChar w:fldCharType="separate"/>
            </w:r>
            <w:r w:rsidR="00153D1E">
              <w:rPr>
                <w:noProof/>
              </w:rPr>
              <w:t>23</w:t>
            </w:r>
            <w:r w:rsidR="00000000">
              <w:rPr>
                <w:noProof/>
              </w:rPr>
              <w:fldChar w:fldCharType="end"/>
            </w:r>
          </w:hyperlink>
        </w:p>
        <w:p w14:paraId="285C1EAA" w14:textId="06308399" w:rsidR="002126B0" w:rsidRDefault="24CEE590" w:rsidP="24CEE590">
          <w:pPr>
            <w:pStyle w:val="TOC1"/>
            <w:tabs>
              <w:tab w:val="right" w:leader="dot" w:pos="9360"/>
            </w:tabs>
            <w:rPr>
              <w:noProof/>
            </w:rPr>
          </w:pPr>
          <w:hyperlink w:anchor="_Toc1580155476" w:history="1">
            <w:r w:rsidRPr="24CEE590">
              <w:rPr>
                <w:rStyle w:val="Hyperlink"/>
                <w:noProof/>
              </w:rPr>
              <w:t>Conclusion:</w:t>
            </w:r>
            <w:r w:rsidR="00000000">
              <w:rPr>
                <w:noProof/>
              </w:rPr>
              <w:tab/>
            </w:r>
            <w:r w:rsidR="00000000">
              <w:rPr>
                <w:noProof/>
              </w:rPr>
              <w:fldChar w:fldCharType="begin"/>
            </w:r>
            <w:r w:rsidR="00000000">
              <w:rPr>
                <w:noProof/>
              </w:rPr>
              <w:instrText>PAGEREF _Toc1580155476 \h</w:instrText>
            </w:r>
            <w:r w:rsidR="00000000">
              <w:rPr>
                <w:noProof/>
              </w:rPr>
            </w:r>
            <w:r w:rsidR="00000000">
              <w:rPr>
                <w:noProof/>
              </w:rPr>
              <w:fldChar w:fldCharType="separate"/>
            </w:r>
            <w:r w:rsidR="00153D1E">
              <w:rPr>
                <w:noProof/>
              </w:rPr>
              <w:t>24</w:t>
            </w:r>
            <w:r w:rsidR="00000000">
              <w:rPr>
                <w:noProof/>
              </w:rPr>
              <w:fldChar w:fldCharType="end"/>
            </w:r>
          </w:hyperlink>
        </w:p>
        <w:p w14:paraId="361DF1C7" w14:textId="569E5744" w:rsidR="002126B0" w:rsidRDefault="24CEE590" w:rsidP="24CEE590">
          <w:pPr>
            <w:pStyle w:val="TOC1"/>
            <w:tabs>
              <w:tab w:val="right" w:leader="dot" w:pos="9360"/>
            </w:tabs>
            <w:rPr>
              <w:noProof/>
            </w:rPr>
          </w:pPr>
          <w:hyperlink w:anchor="_Toc1353045079" w:history="1">
            <w:r w:rsidRPr="24CEE590">
              <w:rPr>
                <w:rStyle w:val="Hyperlink"/>
                <w:noProof/>
              </w:rPr>
              <w:t>References:</w:t>
            </w:r>
            <w:r w:rsidR="00000000">
              <w:rPr>
                <w:noProof/>
              </w:rPr>
              <w:tab/>
            </w:r>
            <w:r w:rsidR="00000000">
              <w:rPr>
                <w:noProof/>
              </w:rPr>
              <w:fldChar w:fldCharType="begin"/>
            </w:r>
            <w:r w:rsidR="00000000">
              <w:rPr>
                <w:noProof/>
              </w:rPr>
              <w:instrText>PAGEREF _Toc1353045079 \h</w:instrText>
            </w:r>
            <w:r w:rsidR="00000000">
              <w:rPr>
                <w:noProof/>
              </w:rPr>
            </w:r>
            <w:r w:rsidR="00000000">
              <w:rPr>
                <w:noProof/>
              </w:rPr>
              <w:fldChar w:fldCharType="separate"/>
            </w:r>
            <w:r w:rsidR="00153D1E">
              <w:rPr>
                <w:noProof/>
              </w:rPr>
              <w:t>25</w:t>
            </w:r>
            <w:r w:rsidR="00000000">
              <w:rPr>
                <w:noProof/>
              </w:rPr>
              <w:fldChar w:fldCharType="end"/>
            </w:r>
          </w:hyperlink>
        </w:p>
        <w:p w14:paraId="738A00D9" w14:textId="2C60A745" w:rsidR="002126B0" w:rsidRDefault="00000000" w:rsidP="24CEE590">
          <w:pPr>
            <w:spacing w:line="360" w:lineRule="auto"/>
          </w:pPr>
          <w:r>
            <w:fldChar w:fldCharType="end"/>
          </w:r>
        </w:p>
      </w:sdtContent>
    </w:sdt>
    <w:p w14:paraId="12481D9E" w14:textId="05E89649" w:rsidR="002126B0" w:rsidRDefault="002126B0" w:rsidP="24CEE590">
      <w:pPr>
        <w:pStyle w:val="Heading1"/>
        <w:spacing w:line="360" w:lineRule="auto"/>
        <w:jc w:val="both"/>
        <w:rPr>
          <w:rFonts w:asciiTheme="minorHAnsi" w:eastAsiaTheme="minorEastAsia" w:hAnsiTheme="minorHAnsi" w:cstheme="minorBidi"/>
          <w:b/>
          <w:bCs/>
          <w:color w:val="auto"/>
          <w:sz w:val="24"/>
          <w:szCs w:val="24"/>
        </w:rPr>
      </w:pPr>
    </w:p>
    <w:p w14:paraId="6F2B4C31" w14:textId="3A10082E" w:rsidR="002126B0" w:rsidRDefault="00000000" w:rsidP="24CEE590">
      <w:pPr>
        <w:spacing w:line="360" w:lineRule="auto"/>
      </w:pPr>
      <w:r>
        <w:br w:type="page"/>
      </w:r>
    </w:p>
    <w:p w14:paraId="15210CB0" w14:textId="37236B8C" w:rsidR="002126B0" w:rsidRDefault="619AC225" w:rsidP="24CEE590">
      <w:pPr>
        <w:jc w:val="center"/>
        <w:rPr>
          <w:b/>
          <w:bCs/>
        </w:rPr>
      </w:pPr>
      <w:r w:rsidRPr="24CEE590">
        <w:rPr>
          <w:b/>
          <w:bCs/>
        </w:rPr>
        <w:lastRenderedPageBreak/>
        <w:t>Executive summary</w:t>
      </w:r>
    </w:p>
    <w:p w14:paraId="3E57DE08" w14:textId="77777777" w:rsidR="00907E29" w:rsidRPr="00907E29" w:rsidRDefault="00907E29" w:rsidP="00907E29">
      <w:pPr>
        <w:spacing w:line="360" w:lineRule="auto"/>
        <w:jc w:val="both"/>
        <w:rPr>
          <w:rFonts w:ascii="Arial" w:eastAsia="Arial" w:hAnsi="Arial" w:cs="Arial"/>
          <w:lang w:val="en-IN"/>
        </w:rPr>
      </w:pPr>
      <w:r w:rsidRPr="00907E29">
        <w:rPr>
          <w:rFonts w:ascii="Arial" w:eastAsia="Arial" w:hAnsi="Arial" w:cs="Arial"/>
          <w:lang w:val="en-IN"/>
        </w:rPr>
        <w:t>This assignment evaluates Hilton Worldwide Holdings Inc.'s financial situation and investment position between 2021 and 2025. Hilton's revenue climbed significantly to $12.039 billion in 2025, along with higher operating profitability and asset utilization. However, declining liquidity, negative working capital, and rising financial leverage generate serious financial hazards. Therefore, cash-flow performance, liquidity management, and financial restructuring decisions like debt refinancing and maturity management are considered in the study. The investment appraisal procedure also employed Payback Period, ARR, NPV, PI, and IRR.</w:t>
      </w:r>
      <w:r w:rsidRPr="00907E29">
        <w:rPr>
          <w:rFonts w:ascii="Arial" w:eastAsia="Arial" w:hAnsi="Arial" w:cs="Arial"/>
        </w:rPr>
        <w:t xml:space="preserve"> </w:t>
      </w:r>
      <w:r w:rsidRPr="00907E29">
        <w:rPr>
          <w:rFonts w:ascii="Arial" w:eastAsia="Arial" w:hAnsi="Arial" w:cs="Arial"/>
          <w:lang w:val="en-IN"/>
        </w:rPr>
        <w:t>The results show that Project C has the largest total returns and a positive net present value, making it the best investment. All things considered, Hilton's capacity to be financially adaptable and make wise investments will still determine its future success.</w:t>
      </w:r>
    </w:p>
    <w:p w14:paraId="61E79D56" w14:textId="4BED9D51" w:rsidR="002126B0" w:rsidRDefault="00000000" w:rsidP="00907E29">
      <w:pPr>
        <w:spacing w:line="360" w:lineRule="auto"/>
        <w:jc w:val="both"/>
      </w:pPr>
      <w:r>
        <w:br w:type="page"/>
      </w:r>
    </w:p>
    <w:p w14:paraId="46E87626" w14:textId="27A15113" w:rsidR="002126B0" w:rsidRDefault="4BA34261" w:rsidP="24CEE590">
      <w:pPr>
        <w:pStyle w:val="Heading1"/>
        <w:spacing w:line="360" w:lineRule="auto"/>
        <w:jc w:val="both"/>
        <w:rPr>
          <w:rFonts w:asciiTheme="minorHAnsi" w:eastAsiaTheme="minorEastAsia" w:hAnsiTheme="minorHAnsi" w:cstheme="minorBidi"/>
          <w:b/>
          <w:bCs/>
          <w:color w:val="auto"/>
          <w:sz w:val="24"/>
          <w:szCs w:val="24"/>
        </w:rPr>
      </w:pPr>
      <w:bookmarkStart w:id="0" w:name="_Toc1775375290"/>
      <w:r w:rsidRPr="24CEE590">
        <w:rPr>
          <w:rFonts w:asciiTheme="minorHAnsi" w:eastAsiaTheme="minorEastAsia" w:hAnsiTheme="minorHAnsi" w:cstheme="minorBidi"/>
          <w:b/>
          <w:bCs/>
          <w:color w:val="auto"/>
          <w:sz w:val="24"/>
          <w:szCs w:val="24"/>
        </w:rPr>
        <w:lastRenderedPageBreak/>
        <w:t>1.Introduction:</w:t>
      </w:r>
      <w:bookmarkEnd w:id="0"/>
    </w:p>
    <w:p w14:paraId="1760C295" w14:textId="77777777" w:rsidR="00907E29" w:rsidRPr="00907E29" w:rsidRDefault="00907E29" w:rsidP="00907E29">
      <w:pPr>
        <w:spacing w:line="360" w:lineRule="auto"/>
        <w:rPr>
          <w:rFonts w:ascii="Arial" w:eastAsia="Arial" w:hAnsi="Arial" w:cs="Arial"/>
          <w:lang w:val="en-IN"/>
        </w:rPr>
      </w:pPr>
      <w:r w:rsidRPr="00907E29">
        <w:rPr>
          <w:rFonts w:ascii="Arial" w:eastAsia="Arial" w:hAnsi="Arial" w:cs="Arial"/>
          <w:lang w:val="en-IN"/>
        </w:rPr>
        <w:t>Financial analysis serves as a basis for evaluating an organization's profitability, liquidity, efficiency, and long-term financial sustainability. This assignment examines Hilton Worldwide Holdings Inc. using financial data from 2021 to 2025. The research evaluates profitability, liquidity, asset efficiency, gearing, investment performance, and cash-flow creation to identify Hilton's primary financial benefits and drawbacks. Hilton's sales increased dramatically during the past few years, but its net profitability has varied. The assignment examines the requirements for working capital management and financial reorganization prior to assessing three potential investment projects. These projects are compared using PBP, ARR, NPV, PI, and IRR, and the final investment recommendation considers a capital cap of £100 million.</w:t>
      </w:r>
    </w:p>
    <w:p w14:paraId="59666F12" w14:textId="450F3B8C" w:rsidR="002126B0" w:rsidRDefault="4F28B439" w:rsidP="24CEE590">
      <w:pPr>
        <w:pStyle w:val="Heading1"/>
        <w:spacing w:line="360" w:lineRule="auto"/>
        <w:jc w:val="both"/>
        <w:rPr>
          <w:rFonts w:asciiTheme="minorHAnsi" w:eastAsiaTheme="minorEastAsia" w:hAnsiTheme="minorHAnsi" w:cstheme="minorBidi"/>
          <w:b/>
          <w:bCs/>
          <w:color w:val="auto"/>
          <w:sz w:val="24"/>
          <w:szCs w:val="24"/>
        </w:rPr>
      </w:pPr>
      <w:bookmarkStart w:id="1" w:name="_Toc1841369502"/>
      <w:r w:rsidRPr="24CEE590">
        <w:rPr>
          <w:rFonts w:asciiTheme="minorHAnsi" w:eastAsiaTheme="minorEastAsia" w:hAnsiTheme="minorHAnsi" w:cstheme="minorBidi"/>
          <w:b/>
          <w:bCs/>
          <w:color w:val="auto"/>
          <w:sz w:val="24"/>
          <w:szCs w:val="24"/>
        </w:rPr>
        <w:t>2. Financial Health Check:</w:t>
      </w:r>
      <w:bookmarkEnd w:id="1"/>
    </w:p>
    <w:p w14:paraId="11E14207" w14:textId="2C641A8A" w:rsidR="002126B0" w:rsidRDefault="6EAF4768" w:rsidP="24CEE590">
      <w:pPr>
        <w:pStyle w:val="Heading2"/>
        <w:spacing w:line="360" w:lineRule="auto"/>
        <w:jc w:val="both"/>
        <w:rPr>
          <w:rFonts w:asciiTheme="minorHAnsi" w:eastAsiaTheme="minorEastAsia" w:hAnsiTheme="minorHAnsi" w:cstheme="minorBidi"/>
          <w:b/>
          <w:bCs/>
          <w:color w:val="auto"/>
          <w:sz w:val="24"/>
          <w:szCs w:val="24"/>
        </w:rPr>
      </w:pPr>
      <w:bookmarkStart w:id="2" w:name="_Toc1541971581"/>
      <w:r w:rsidRPr="24CEE590">
        <w:rPr>
          <w:rFonts w:asciiTheme="minorHAnsi" w:eastAsiaTheme="minorEastAsia" w:hAnsiTheme="minorHAnsi" w:cstheme="minorBidi"/>
          <w:b/>
          <w:bCs/>
          <w:color w:val="auto"/>
          <w:sz w:val="24"/>
          <w:szCs w:val="24"/>
        </w:rPr>
        <w:t>2.1 Overview of Hilton's Financial Performance:</w:t>
      </w:r>
      <w:bookmarkEnd w:id="2"/>
    </w:p>
    <w:p w14:paraId="4DEDAF4E" w14:textId="5454B810" w:rsidR="002126B0" w:rsidRDefault="6A5E3CF0" w:rsidP="494AC144">
      <w:pPr>
        <w:spacing w:line="360" w:lineRule="auto"/>
        <w:jc w:val="both"/>
      </w:pPr>
      <w:r w:rsidRPr="494AC144">
        <w:rPr>
          <w:rFonts w:ascii="Arial" w:eastAsia="Arial" w:hAnsi="Arial" w:cs="Arial"/>
        </w:rPr>
        <w:t>Between 2021 and 2025, Hilton Worldwide Holdings Inc. showed significant growth and financial recovery. After rising from $5.788 billion in 2021 to $8.773 billion in 2022 and $10.235 billion in 2023, total revenue reached $11.174 billion in 2024 and $12.039 billion in 2025</w:t>
      </w:r>
      <w:r w:rsidR="11E3AAC8" w:rsidRPr="494AC144">
        <w:rPr>
          <w:rFonts w:ascii="Arial" w:eastAsia="Arial" w:hAnsi="Arial" w:cs="Arial"/>
        </w:rPr>
        <w:t xml:space="preserve"> (Hilton Worldwide Holdings Inc., 2024; Hilton Worldwide Holdings Inc., 2026)</w:t>
      </w:r>
      <w:r w:rsidRPr="494AC144">
        <w:rPr>
          <w:rFonts w:ascii="Arial" w:eastAsia="Arial" w:hAnsi="Arial" w:cs="Arial"/>
        </w:rPr>
        <w:t>.</w:t>
      </w:r>
      <w:r w:rsidR="2C9161DF" w:rsidRPr="494AC144">
        <w:rPr>
          <w:rFonts w:ascii="Arial" w:eastAsia="Arial" w:hAnsi="Arial" w:cs="Arial"/>
        </w:rPr>
        <w:t xml:space="preserve"> Stronger demand and ongoing growth of Hilton's international hospitality activities are indicated by this steady revenue growth. Net income, which rose from $1.151 billion in 2023 to $1.539 billion in 2024 but fell to $1.461 billion in 2025, did not, however, continuously keep up with revenue growth. Consequently, additional ratio analysis is needed to evaluate Hilton's underlying financial performance.</w:t>
      </w:r>
    </w:p>
    <w:p w14:paraId="006CBD24" w14:textId="263659BB" w:rsidR="002126B0" w:rsidRDefault="23F4467B" w:rsidP="24CEE590">
      <w:pPr>
        <w:pStyle w:val="Heading2"/>
        <w:spacing w:line="360" w:lineRule="auto"/>
        <w:jc w:val="both"/>
        <w:rPr>
          <w:rFonts w:asciiTheme="minorHAnsi" w:eastAsiaTheme="minorEastAsia" w:hAnsiTheme="minorHAnsi" w:cstheme="minorBidi"/>
          <w:b/>
          <w:bCs/>
          <w:color w:val="auto"/>
          <w:sz w:val="24"/>
          <w:szCs w:val="24"/>
        </w:rPr>
      </w:pPr>
      <w:bookmarkStart w:id="3" w:name="_Toc1722777481"/>
      <w:r w:rsidRPr="24CEE590">
        <w:rPr>
          <w:rFonts w:asciiTheme="minorHAnsi" w:eastAsiaTheme="minorEastAsia" w:hAnsiTheme="minorHAnsi" w:cstheme="minorBidi"/>
          <w:b/>
          <w:bCs/>
          <w:color w:val="auto"/>
          <w:sz w:val="24"/>
          <w:szCs w:val="24"/>
        </w:rPr>
        <w:t>2.2 Profitability analysis:</w:t>
      </w:r>
      <w:bookmarkEnd w:id="3"/>
    </w:p>
    <w:p w14:paraId="6EE400ED" w14:textId="78A9801F" w:rsidR="002126B0" w:rsidRDefault="10E377D3" w:rsidP="494AC144">
      <w:pPr>
        <w:spacing w:line="360" w:lineRule="auto"/>
        <w:jc w:val="both"/>
      </w:pPr>
      <w:r w:rsidRPr="494AC144">
        <w:rPr>
          <w:rFonts w:ascii="Arial" w:eastAsia="Arial" w:hAnsi="Arial" w:cs="Arial"/>
        </w:rPr>
        <w:t xml:space="preserve">Although performance varied throughout the course of the five years, Hilton's profitability significantly increased after the disruption brought on by the COVID-19 epidemic. Due to the robust recovery in travel demand and increased hotel operational activity, the operating profit margin rose from roughly 17.45% in 2021 to 23.87% in 2022. After that, the margin declined to 21.74% in 2023 and 21.21% in 2024 before rising to 22.37% in </w:t>
      </w:r>
      <w:r w:rsidRPr="494AC144">
        <w:rPr>
          <w:rFonts w:ascii="Arial" w:eastAsia="Arial" w:hAnsi="Arial" w:cs="Arial"/>
        </w:rPr>
        <w:lastRenderedPageBreak/>
        <w:t>2025. This suggests that despite shifts in operating expenses and market conditions, Hilton was able to convert revenue into operating profit rather successfully.</w:t>
      </w:r>
    </w:p>
    <w:p w14:paraId="2C078E63" w14:textId="56E241DB" w:rsidR="002126B0" w:rsidRDefault="10E377D3" w:rsidP="494AC144">
      <w:pPr>
        <w:spacing w:line="360" w:lineRule="auto"/>
        <w:jc w:val="both"/>
      </w:pPr>
      <w:r>
        <w:t xml:space="preserve">The tendency for net profit margin was similar but more erratic. Prior to declining to 11.25% in 2023, it rose from 7.03% in 2021 to 14.33% in 2022. Following that, the gap increased to 13.77% in 2024 before falling to 12.14% in 2025. Hilton's net income increased from $407 million in 2021 to $1.257 billion in 2022, indicating a robust rebound following the epidemic. But before rising to $1.539 billion in 2024 and $1.461 billion in 2025, net income dropped to $1.151 billion in 2023 </w:t>
      </w:r>
      <w:r w:rsidRPr="494AC144">
        <w:rPr>
          <w:rFonts w:ascii="Arial" w:eastAsia="Arial" w:hAnsi="Arial" w:cs="Arial"/>
        </w:rPr>
        <w:t>(Hilton Worldwide Holdings Inc., 2024; Hilton Worldwide Holdings Inc., 2026)</w:t>
      </w:r>
      <w:r>
        <w:t>.</w:t>
      </w:r>
    </w:p>
    <w:p w14:paraId="72EFB261" w14:textId="77777777" w:rsidR="004379DF" w:rsidRPr="004379DF" w:rsidRDefault="004379DF" w:rsidP="004379DF">
      <w:pPr>
        <w:spacing w:line="360" w:lineRule="auto"/>
        <w:jc w:val="both"/>
        <w:rPr>
          <w:rFonts w:ascii="Arial" w:eastAsia="Arial" w:hAnsi="Arial" w:cs="Arial"/>
          <w:lang w:val="en-IN"/>
        </w:rPr>
      </w:pPr>
      <w:r w:rsidRPr="004379DF">
        <w:rPr>
          <w:rFonts w:ascii="Arial" w:eastAsia="Arial" w:hAnsi="Arial" w:cs="Arial"/>
          <w:lang w:val="en-IN"/>
        </w:rPr>
        <w:t>Although the drop in net margin in 2025 calls for more research, Hilton's profitability was generally much stronger following 2021. Despite sustained sales and operating-income growth in 2025, higher interest and income tax expenses put pressure on net income (Hilton Worldwide Holdings Inc., 2026).</w:t>
      </w:r>
    </w:p>
    <w:tbl>
      <w:tblPr>
        <w:tblStyle w:val="TableGrid"/>
        <w:tblW w:w="0" w:type="auto"/>
        <w:jc w:val="center"/>
        <w:tblLook w:val="06A0" w:firstRow="1" w:lastRow="0" w:firstColumn="1" w:lastColumn="0" w:noHBand="1" w:noVBand="1"/>
      </w:tblPr>
      <w:tblGrid>
        <w:gridCol w:w="1557"/>
        <w:gridCol w:w="1559"/>
        <w:gridCol w:w="1559"/>
        <w:gridCol w:w="1559"/>
        <w:gridCol w:w="1558"/>
        <w:gridCol w:w="1558"/>
      </w:tblGrid>
      <w:tr w:rsidR="494AC144" w14:paraId="5CB9C34B" w14:textId="77777777" w:rsidTr="494AC144">
        <w:trPr>
          <w:trHeight w:val="300"/>
          <w:jc w:val="center"/>
        </w:trPr>
        <w:tc>
          <w:tcPr>
            <w:tcW w:w="1560" w:type="dxa"/>
          </w:tcPr>
          <w:p w14:paraId="6241A239" w14:textId="60BF519B" w:rsidR="494AC144" w:rsidRDefault="494AC144" w:rsidP="494AC144">
            <w:pPr>
              <w:spacing w:line="360" w:lineRule="auto"/>
              <w:jc w:val="center"/>
            </w:pPr>
            <w:r w:rsidRPr="494AC144">
              <w:rPr>
                <w:b/>
                <w:bCs/>
              </w:rPr>
              <w:t>Year</w:t>
            </w:r>
          </w:p>
        </w:tc>
        <w:tc>
          <w:tcPr>
            <w:tcW w:w="1560" w:type="dxa"/>
          </w:tcPr>
          <w:p w14:paraId="2AACBF10" w14:textId="7EE4750B" w:rsidR="494AC144" w:rsidRDefault="494AC144" w:rsidP="494AC144">
            <w:pPr>
              <w:spacing w:line="360" w:lineRule="auto"/>
              <w:jc w:val="center"/>
            </w:pPr>
            <w:r w:rsidRPr="494AC144">
              <w:rPr>
                <w:b/>
                <w:bCs/>
              </w:rPr>
              <w:t>Revenue ($m)</w:t>
            </w:r>
          </w:p>
        </w:tc>
        <w:tc>
          <w:tcPr>
            <w:tcW w:w="1560" w:type="dxa"/>
          </w:tcPr>
          <w:p w14:paraId="271F9C21" w14:textId="3C5E8FB5" w:rsidR="494AC144" w:rsidRDefault="494AC144" w:rsidP="494AC144">
            <w:pPr>
              <w:spacing w:line="360" w:lineRule="auto"/>
              <w:jc w:val="center"/>
            </w:pPr>
            <w:r w:rsidRPr="494AC144">
              <w:rPr>
                <w:b/>
                <w:bCs/>
              </w:rPr>
              <w:t>Operating income ($m)</w:t>
            </w:r>
          </w:p>
        </w:tc>
        <w:tc>
          <w:tcPr>
            <w:tcW w:w="1560" w:type="dxa"/>
          </w:tcPr>
          <w:p w14:paraId="63352556" w14:textId="2DECB73B" w:rsidR="494AC144" w:rsidRDefault="494AC144" w:rsidP="494AC144">
            <w:pPr>
              <w:spacing w:line="360" w:lineRule="auto"/>
              <w:jc w:val="center"/>
            </w:pPr>
            <w:r w:rsidRPr="494AC144">
              <w:rPr>
                <w:b/>
                <w:bCs/>
              </w:rPr>
              <w:t>Operating margin</w:t>
            </w:r>
          </w:p>
        </w:tc>
        <w:tc>
          <w:tcPr>
            <w:tcW w:w="1560" w:type="dxa"/>
          </w:tcPr>
          <w:p w14:paraId="028378C9" w14:textId="7FC255A2" w:rsidR="494AC144" w:rsidRDefault="494AC144" w:rsidP="494AC144">
            <w:pPr>
              <w:spacing w:line="360" w:lineRule="auto"/>
              <w:jc w:val="center"/>
            </w:pPr>
            <w:r w:rsidRPr="494AC144">
              <w:rPr>
                <w:b/>
                <w:bCs/>
              </w:rPr>
              <w:t>Net income ($m)</w:t>
            </w:r>
          </w:p>
        </w:tc>
        <w:tc>
          <w:tcPr>
            <w:tcW w:w="1560" w:type="dxa"/>
          </w:tcPr>
          <w:p w14:paraId="1C358123" w14:textId="28EF74B5" w:rsidR="494AC144" w:rsidRDefault="494AC144" w:rsidP="494AC144">
            <w:pPr>
              <w:spacing w:line="360" w:lineRule="auto"/>
              <w:jc w:val="center"/>
            </w:pPr>
            <w:r w:rsidRPr="494AC144">
              <w:rPr>
                <w:b/>
                <w:bCs/>
              </w:rPr>
              <w:t>Net profit margin</w:t>
            </w:r>
          </w:p>
        </w:tc>
      </w:tr>
      <w:tr w:rsidR="494AC144" w14:paraId="1289DFEA" w14:textId="77777777" w:rsidTr="494AC144">
        <w:trPr>
          <w:trHeight w:val="300"/>
          <w:jc w:val="center"/>
        </w:trPr>
        <w:tc>
          <w:tcPr>
            <w:tcW w:w="1560" w:type="dxa"/>
          </w:tcPr>
          <w:p w14:paraId="7D3A8CAC" w14:textId="4189CE37" w:rsidR="494AC144" w:rsidRDefault="494AC144" w:rsidP="494AC144">
            <w:pPr>
              <w:spacing w:line="360" w:lineRule="auto"/>
              <w:jc w:val="center"/>
            </w:pPr>
            <w:r>
              <w:t>2021</w:t>
            </w:r>
          </w:p>
        </w:tc>
        <w:tc>
          <w:tcPr>
            <w:tcW w:w="1560" w:type="dxa"/>
          </w:tcPr>
          <w:p w14:paraId="022AF7BB" w14:textId="135451DB" w:rsidR="494AC144" w:rsidRDefault="494AC144" w:rsidP="494AC144">
            <w:pPr>
              <w:spacing w:line="360" w:lineRule="auto"/>
              <w:jc w:val="center"/>
            </w:pPr>
            <w:r>
              <w:t>5,788</w:t>
            </w:r>
          </w:p>
        </w:tc>
        <w:tc>
          <w:tcPr>
            <w:tcW w:w="1560" w:type="dxa"/>
          </w:tcPr>
          <w:p w14:paraId="0D44A594" w14:textId="4D0A6F9E" w:rsidR="494AC144" w:rsidRDefault="494AC144" w:rsidP="494AC144">
            <w:pPr>
              <w:spacing w:line="360" w:lineRule="auto"/>
              <w:jc w:val="center"/>
            </w:pPr>
            <w:r>
              <w:t>1,010</w:t>
            </w:r>
          </w:p>
        </w:tc>
        <w:tc>
          <w:tcPr>
            <w:tcW w:w="1560" w:type="dxa"/>
          </w:tcPr>
          <w:p w14:paraId="7E0A9588" w14:textId="1AD8416F" w:rsidR="494AC144" w:rsidRDefault="494AC144" w:rsidP="494AC144">
            <w:pPr>
              <w:spacing w:line="360" w:lineRule="auto"/>
              <w:jc w:val="center"/>
            </w:pPr>
            <w:r w:rsidRPr="494AC144">
              <w:rPr>
                <w:b/>
                <w:bCs/>
              </w:rPr>
              <w:t>17.45%</w:t>
            </w:r>
          </w:p>
        </w:tc>
        <w:tc>
          <w:tcPr>
            <w:tcW w:w="1560" w:type="dxa"/>
          </w:tcPr>
          <w:p w14:paraId="27AB210B" w14:textId="03C81627" w:rsidR="494AC144" w:rsidRDefault="494AC144" w:rsidP="494AC144">
            <w:pPr>
              <w:spacing w:line="360" w:lineRule="auto"/>
              <w:jc w:val="center"/>
            </w:pPr>
            <w:r>
              <w:t>407</w:t>
            </w:r>
          </w:p>
        </w:tc>
        <w:tc>
          <w:tcPr>
            <w:tcW w:w="1560" w:type="dxa"/>
          </w:tcPr>
          <w:p w14:paraId="0B06183D" w14:textId="28B7FCAF" w:rsidR="494AC144" w:rsidRDefault="494AC144" w:rsidP="494AC144">
            <w:pPr>
              <w:spacing w:line="360" w:lineRule="auto"/>
              <w:jc w:val="center"/>
            </w:pPr>
            <w:r w:rsidRPr="494AC144">
              <w:rPr>
                <w:b/>
                <w:bCs/>
              </w:rPr>
              <w:t>7.03%</w:t>
            </w:r>
          </w:p>
        </w:tc>
      </w:tr>
      <w:tr w:rsidR="494AC144" w14:paraId="5C208114" w14:textId="77777777" w:rsidTr="494AC144">
        <w:trPr>
          <w:trHeight w:val="300"/>
          <w:jc w:val="center"/>
        </w:trPr>
        <w:tc>
          <w:tcPr>
            <w:tcW w:w="1560" w:type="dxa"/>
          </w:tcPr>
          <w:p w14:paraId="101478AD" w14:textId="61AA812E" w:rsidR="494AC144" w:rsidRDefault="494AC144" w:rsidP="494AC144">
            <w:pPr>
              <w:spacing w:line="360" w:lineRule="auto"/>
              <w:jc w:val="center"/>
            </w:pPr>
            <w:r>
              <w:t>2022</w:t>
            </w:r>
          </w:p>
        </w:tc>
        <w:tc>
          <w:tcPr>
            <w:tcW w:w="1560" w:type="dxa"/>
          </w:tcPr>
          <w:p w14:paraId="7525F68C" w14:textId="7319E1F3" w:rsidR="494AC144" w:rsidRDefault="494AC144" w:rsidP="494AC144">
            <w:pPr>
              <w:spacing w:line="360" w:lineRule="auto"/>
              <w:jc w:val="center"/>
            </w:pPr>
            <w:r>
              <w:t>8,773</w:t>
            </w:r>
          </w:p>
        </w:tc>
        <w:tc>
          <w:tcPr>
            <w:tcW w:w="1560" w:type="dxa"/>
          </w:tcPr>
          <w:p w14:paraId="038CAFE1" w14:textId="7B36C3D6" w:rsidR="494AC144" w:rsidRDefault="494AC144" w:rsidP="494AC144">
            <w:pPr>
              <w:spacing w:line="360" w:lineRule="auto"/>
              <w:jc w:val="center"/>
            </w:pPr>
            <w:r>
              <w:t>2,094</w:t>
            </w:r>
          </w:p>
        </w:tc>
        <w:tc>
          <w:tcPr>
            <w:tcW w:w="1560" w:type="dxa"/>
          </w:tcPr>
          <w:p w14:paraId="267728F7" w14:textId="6D38A171" w:rsidR="494AC144" w:rsidRDefault="494AC144" w:rsidP="494AC144">
            <w:pPr>
              <w:spacing w:line="360" w:lineRule="auto"/>
              <w:jc w:val="center"/>
            </w:pPr>
            <w:r w:rsidRPr="494AC144">
              <w:rPr>
                <w:b/>
                <w:bCs/>
              </w:rPr>
              <w:t>23.87%</w:t>
            </w:r>
          </w:p>
        </w:tc>
        <w:tc>
          <w:tcPr>
            <w:tcW w:w="1560" w:type="dxa"/>
          </w:tcPr>
          <w:p w14:paraId="2323A027" w14:textId="0EA4BFB7" w:rsidR="494AC144" w:rsidRDefault="494AC144" w:rsidP="494AC144">
            <w:pPr>
              <w:spacing w:line="360" w:lineRule="auto"/>
              <w:jc w:val="center"/>
            </w:pPr>
            <w:r>
              <w:t>1,257</w:t>
            </w:r>
          </w:p>
        </w:tc>
        <w:tc>
          <w:tcPr>
            <w:tcW w:w="1560" w:type="dxa"/>
          </w:tcPr>
          <w:p w14:paraId="03645ED7" w14:textId="02A2798B" w:rsidR="494AC144" w:rsidRDefault="494AC144" w:rsidP="494AC144">
            <w:pPr>
              <w:spacing w:line="360" w:lineRule="auto"/>
              <w:jc w:val="center"/>
            </w:pPr>
            <w:r w:rsidRPr="494AC144">
              <w:rPr>
                <w:b/>
                <w:bCs/>
              </w:rPr>
              <w:t>14.33%</w:t>
            </w:r>
          </w:p>
        </w:tc>
      </w:tr>
      <w:tr w:rsidR="494AC144" w14:paraId="1CBE0DCC" w14:textId="77777777" w:rsidTr="494AC144">
        <w:trPr>
          <w:trHeight w:val="300"/>
          <w:jc w:val="center"/>
        </w:trPr>
        <w:tc>
          <w:tcPr>
            <w:tcW w:w="1560" w:type="dxa"/>
          </w:tcPr>
          <w:p w14:paraId="0477DFEB" w14:textId="1C3A5105" w:rsidR="494AC144" w:rsidRDefault="494AC144" w:rsidP="494AC144">
            <w:pPr>
              <w:spacing w:line="360" w:lineRule="auto"/>
              <w:jc w:val="center"/>
            </w:pPr>
            <w:r>
              <w:t>2023</w:t>
            </w:r>
          </w:p>
        </w:tc>
        <w:tc>
          <w:tcPr>
            <w:tcW w:w="1560" w:type="dxa"/>
          </w:tcPr>
          <w:p w14:paraId="175B0146" w14:textId="4B9316AA" w:rsidR="494AC144" w:rsidRDefault="494AC144" w:rsidP="494AC144">
            <w:pPr>
              <w:spacing w:line="360" w:lineRule="auto"/>
              <w:jc w:val="center"/>
            </w:pPr>
            <w:r>
              <w:t>10,235</w:t>
            </w:r>
          </w:p>
        </w:tc>
        <w:tc>
          <w:tcPr>
            <w:tcW w:w="1560" w:type="dxa"/>
          </w:tcPr>
          <w:p w14:paraId="2B6F34C3" w14:textId="4E9985A6" w:rsidR="494AC144" w:rsidRDefault="494AC144" w:rsidP="494AC144">
            <w:pPr>
              <w:spacing w:line="360" w:lineRule="auto"/>
              <w:jc w:val="center"/>
            </w:pPr>
            <w:r>
              <w:t>2,225</w:t>
            </w:r>
          </w:p>
        </w:tc>
        <w:tc>
          <w:tcPr>
            <w:tcW w:w="1560" w:type="dxa"/>
          </w:tcPr>
          <w:p w14:paraId="7C1910E7" w14:textId="29D4E23E" w:rsidR="494AC144" w:rsidRDefault="494AC144" w:rsidP="494AC144">
            <w:pPr>
              <w:spacing w:line="360" w:lineRule="auto"/>
              <w:jc w:val="center"/>
            </w:pPr>
            <w:r w:rsidRPr="494AC144">
              <w:rPr>
                <w:b/>
                <w:bCs/>
              </w:rPr>
              <w:t>21.74%</w:t>
            </w:r>
          </w:p>
        </w:tc>
        <w:tc>
          <w:tcPr>
            <w:tcW w:w="1560" w:type="dxa"/>
          </w:tcPr>
          <w:p w14:paraId="7D7386D1" w14:textId="72038117" w:rsidR="494AC144" w:rsidRDefault="494AC144" w:rsidP="494AC144">
            <w:pPr>
              <w:spacing w:line="360" w:lineRule="auto"/>
              <w:jc w:val="center"/>
            </w:pPr>
            <w:r>
              <w:t>1,151</w:t>
            </w:r>
          </w:p>
        </w:tc>
        <w:tc>
          <w:tcPr>
            <w:tcW w:w="1560" w:type="dxa"/>
          </w:tcPr>
          <w:p w14:paraId="6F70476A" w14:textId="7A57D79B" w:rsidR="494AC144" w:rsidRDefault="494AC144" w:rsidP="494AC144">
            <w:pPr>
              <w:spacing w:line="360" w:lineRule="auto"/>
              <w:jc w:val="center"/>
            </w:pPr>
            <w:r w:rsidRPr="494AC144">
              <w:rPr>
                <w:b/>
                <w:bCs/>
              </w:rPr>
              <w:t>11.25%</w:t>
            </w:r>
          </w:p>
        </w:tc>
      </w:tr>
      <w:tr w:rsidR="494AC144" w14:paraId="27057600" w14:textId="77777777" w:rsidTr="494AC144">
        <w:trPr>
          <w:trHeight w:val="300"/>
          <w:jc w:val="center"/>
        </w:trPr>
        <w:tc>
          <w:tcPr>
            <w:tcW w:w="1560" w:type="dxa"/>
          </w:tcPr>
          <w:p w14:paraId="4DB8F786" w14:textId="24EB8DAD" w:rsidR="494AC144" w:rsidRDefault="494AC144" w:rsidP="494AC144">
            <w:pPr>
              <w:spacing w:line="360" w:lineRule="auto"/>
              <w:jc w:val="center"/>
            </w:pPr>
            <w:r>
              <w:t>2024</w:t>
            </w:r>
          </w:p>
        </w:tc>
        <w:tc>
          <w:tcPr>
            <w:tcW w:w="1560" w:type="dxa"/>
          </w:tcPr>
          <w:p w14:paraId="7F902948" w14:textId="2A0CFE31" w:rsidR="494AC144" w:rsidRDefault="494AC144" w:rsidP="494AC144">
            <w:pPr>
              <w:spacing w:line="360" w:lineRule="auto"/>
              <w:jc w:val="center"/>
            </w:pPr>
            <w:r>
              <w:t>11,174</w:t>
            </w:r>
          </w:p>
        </w:tc>
        <w:tc>
          <w:tcPr>
            <w:tcW w:w="1560" w:type="dxa"/>
          </w:tcPr>
          <w:p w14:paraId="33A36579" w14:textId="3B6F291B" w:rsidR="494AC144" w:rsidRDefault="494AC144" w:rsidP="494AC144">
            <w:pPr>
              <w:spacing w:line="360" w:lineRule="auto"/>
              <w:jc w:val="center"/>
            </w:pPr>
            <w:r>
              <w:t>2,370</w:t>
            </w:r>
          </w:p>
        </w:tc>
        <w:tc>
          <w:tcPr>
            <w:tcW w:w="1560" w:type="dxa"/>
          </w:tcPr>
          <w:p w14:paraId="4D2E01BD" w14:textId="28802F95" w:rsidR="494AC144" w:rsidRDefault="494AC144" w:rsidP="494AC144">
            <w:pPr>
              <w:spacing w:line="360" w:lineRule="auto"/>
              <w:jc w:val="center"/>
            </w:pPr>
            <w:r w:rsidRPr="494AC144">
              <w:rPr>
                <w:b/>
                <w:bCs/>
              </w:rPr>
              <w:t>21.21%</w:t>
            </w:r>
          </w:p>
        </w:tc>
        <w:tc>
          <w:tcPr>
            <w:tcW w:w="1560" w:type="dxa"/>
          </w:tcPr>
          <w:p w14:paraId="7E2AEE18" w14:textId="1A275AE6" w:rsidR="494AC144" w:rsidRDefault="494AC144" w:rsidP="494AC144">
            <w:pPr>
              <w:spacing w:line="360" w:lineRule="auto"/>
              <w:jc w:val="center"/>
            </w:pPr>
            <w:r>
              <w:t>1,539</w:t>
            </w:r>
          </w:p>
        </w:tc>
        <w:tc>
          <w:tcPr>
            <w:tcW w:w="1560" w:type="dxa"/>
          </w:tcPr>
          <w:p w14:paraId="0E46BAA9" w14:textId="0A3D2E61" w:rsidR="494AC144" w:rsidRDefault="494AC144" w:rsidP="494AC144">
            <w:pPr>
              <w:spacing w:line="360" w:lineRule="auto"/>
              <w:jc w:val="center"/>
            </w:pPr>
            <w:r w:rsidRPr="494AC144">
              <w:rPr>
                <w:b/>
                <w:bCs/>
              </w:rPr>
              <w:t>13.77%</w:t>
            </w:r>
          </w:p>
        </w:tc>
      </w:tr>
      <w:tr w:rsidR="494AC144" w14:paraId="3847655D" w14:textId="77777777" w:rsidTr="494AC144">
        <w:trPr>
          <w:trHeight w:val="300"/>
          <w:jc w:val="center"/>
        </w:trPr>
        <w:tc>
          <w:tcPr>
            <w:tcW w:w="1560" w:type="dxa"/>
          </w:tcPr>
          <w:p w14:paraId="27F23BC1" w14:textId="26525BAD" w:rsidR="494AC144" w:rsidRDefault="494AC144" w:rsidP="494AC144">
            <w:pPr>
              <w:spacing w:line="360" w:lineRule="auto"/>
              <w:jc w:val="center"/>
            </w:pPr>
            <w:r>
              <w:t>2025</w:t>
            </w:r>
          </w:p>
        </w:tc>
        <w:tc>
          <w:tcPr>
            <w:tcW w:w="1560" w:type="dxa"/>
          </w:tcPr>
          <w:p w14:paraId="65AE1DF3" w14:textId="01C14370" w:rsidR="494AC144" w:rsidRDefault="494AC144" w:rsidP="494AC144">
            <w:pPr>
              <w:spacing w:line="360" w:lineRule="auto"/>
              <w:jc w:val="center"/>
            </w:pPr>
            <w:r>
              <w:t>12,039</w:t>
            </w:r>
          </w:p>
        </w:tc>
        <w:tc>
          <w:tcPr>
            <w:tcW w:w="1560" w:type="dxa"/>
          </w:tcPr>
          <w:p w14:paraId="0C5D5952" w14:textId="30560586" w:rsidR="494AC144" w:rsidRDefault="494AC144" w:rsidP="494AC144">
            <w:pPr>
              <w:spacing w:line="360" w:lineRule="auto"/>
              <w:jc w:val="center"/>
            </w:pPr>
            <w:r>
              <w:t>2,693</w:t>
            </w:r>
          </w:p>
        </w:tc>
        <w:tc>
          <w:tcPr>
            <w:tcW w:w="1560" w:type="dxa"/>
          </w:tcPr>
          <w:p w14:paraId="00383E20" w14:textId="5E6D4712" w:rsidR="494AC144" w:rsidRDefault="494AC144" w:rsidP="494AC144">
            <w:pPr>
              <w:spacing w:line="360" w:lineRule="auto"/>
              <w:jc w:val="center"/>
            </w:pPr>
            <w:r w:rsidRPr="494AC144">
              <w:rPr>
                <w:b/>
                <w:bCs/>
              </w:rPr>
              <w:t>22.37%</w:t>
            </w:r>
          </w:p>
        </w:tc>
        <w:tc>
          <w:tcPr>
            <w:tcW w:w="1560" w:type="dxa"/>
          </w:tcPr>
          <w:p w14:paraId="537B3C52" w14:textId="304E813A" w:rsidR="494AC144" w:rsidRDefault="494AC144" w:rsidP="494AC144">
            <w:pPr>
              <w:spacing w:line="360" w:lineRule="auto"/>
              <w:jc w:val="center"/>
            </w:pPr>
            <w:r>
              <w:t>1,461</w:t>
            </w:r>
          </w:p>
        </w:tc>
        <w:tc>
          <w:tcPr>
            <w:tcW w:w="1560" w:type="dxa"/>
          </w:tcPr>
          <w:p w14:paraId="60854D59" w14:textId="5C84801D" w:rsidR="494AC144" w:rsidRDefault="494AC144" w:rsidP="494AC144">
            <w:pPr>
              <w:spacing w:line="360" w:lineRule="auto"/>
              <w:jc w:val="center"/>
            </w:pPr>
            <w:r w:rsidRPr="494AC144">
              <w:rPr>
                <w:b/>
                <w:bCs/>
              </w:rPr>
              <w:t>12.14%</w:t>
            </w:r>
          </w:p>
        </w:tc>
      </w:tr>
    </w:tbl>
    <w:p w14:paraId="6FA39D74" w14:textId="138F2E0C" w:rsidR="494AC144" w:rsidRDefault="494AC144" w:rsidP="494AC144">
      <w:pPr>
        <w:spacing w:line="360" w:lineRule="auto"/>
        <w:jc w:val="both"/>
        <w:rPr>
          <w:rFonts w:ascii="Arial" w:eastAsia="Arial" w:hAnsi="Arial" w:cs="Arial"/>
        </w:rPr>
      </w:pPr>
    </w:p>
    <w:p w14:paraId="4D449CDB" w14:textId="5DFC225E" w:rsidR="0372F393" w:rsidRDefault="0372F393" w:rsidP="494AC144">
      <w:pPr>
        <w:pStyle w:val="Heading2"/>
        <w:spacing w:line="360" w:lineRule="auto"/>
        <w:jc w:val="both"/>
        <w:rPr>
          <w:rFonts w:asciiTheme="minorHAnsi" w:eastAsiaTheme="minorEastAsia" w:hAnsiTheme="minorHAnsi" w:cstheme="minorBidi"/>
          <w:b/>
          <w:bCs/>
          <w:color w:val="auto"/>
          <w:sz w:val="24"/>
          <w:szCs w:val="24"/>
        </w:rPr>
      </w:pPr>
      <w:bookmarkStart w:id="4" w:name="_Toc184318849"/>
      <w:r w:rsidRPr="24CEE590">
        <w:rPr>
          <w:rFonts w:asciiTheme="minorHAnsi" w:eastAsiaTheme="minorEastAsia" w:hAnsiTheme="minorHAnsi" w:cstheme="minorBidi"/>
          <w:b/>
          <w:bCs/>
          <w:color w:val="auto"/>
          <w:sz w:val="24"/>
          <w:szCs w:val="24"/>
        </w:rPr>
        <w:t>2.3 Liquidity analysis</w:t>
      </w:r>
      <w:bookmarkEnd w:id="4"/>
    </w:p>
    <w:p w14:paraId="457D7AE4" w14:textId="6E3A8F83" w:rsidR="494AC144" w:rsidRDefault="4D2EB177" w:rsidP="494AC144">
      <w:pPr>
        <w:spacing w:line="360" w:lineRule="auto"/>
        <w:jc w:val="both"/>
        <w:rPr>
          <w:rFonts w:ascii="Arial" w:eastAsia="Arial" w:hAnsi="Arial" w:cs="Arial"/>
        </w:rPr>
      </w:pPr>
      <w:r w:rsidRPr="494AC144">
        <w:rPr>
          <w:rFonts w:ascii="Arial" w:eastAsia="Arial" w:hAnsi="Arial" w:cs="Arial"/>
        </w:rPr>
        <w:t>Over the course of the last five years, Hilton's liquidity situation has been declining. From roughly 0.95:1 in 2021 to 0.66:1 in 2025, the current ratio decreased, showing that current liabilities were always more than current assets. Between 2022 and 2023, the ratio dropped especially dramatically, from roughly 0.85:1 to 0.70:1. After that, it remained comparatively constant in 2024 and continued to decline in 2025.</w:t>
      </w:r>
      <w:r w:rsidR="5FF068DB" w:rsidRPr="494AC144">
        <w:rPr>
          <w:rFonts w:ascii="Arial" w:eastAsia="Arial" w:hAnsi="Arial" w:cs="Arial"/>
        </w:rPr>
        <w:t xml:space="preserve">Similarly, the quick ratio decreased from approximately 0.83:1 in 2021 to 0.58:1 in 2025, suggesting that Hilton's </w:t>
      </w:r>
      <w:r w:rsidR="5FF068DB" w:rsidRPr="494AC144">
        <w:rPr>
          <w:rFonts w:ascii="Arial" w:eastAsia="Arial" w:hAnsi="Arial" w:cs="Arial"/>
        </w:rPr>
        <w:lastRenderedPageBreak/>
        <w:t>immediately liquid resources covered a progressively smaller proportion of its short-term obligations. Nevertheless, these ratios should not be interpreted in isolation. Hilton generated approximately $2.1 billion in operating cash flow in 2025, demonstrating substantial internal cash-generation capacity despite its relatively weak conventional liquidity position.</w:t>
      </w:r>
    </w:p>
    <w:p w14:paraId="2ACE4537" w14:textId="05D4CB5B" w:rsidR="7166501E" w:rsidRDefault="7166501E" w:rsidP="494AC144">
      <w:pPr>
        <w:spacing w:line="360" w:lineRule="auto"/>
        <w:jc w:val="both"/>
        <w:rPr>
          <w:rFonts w:ascii="Arial" w:eastAsia="Arial" w:hAnsi="Arial" w:cs="Arial"/>
        </w:rPr>
      </w:pPr>
      <w:r w:rsidRPr="494AC144">
        <w:rPr>
          <w:rFonts w:ascii="Arial" w:eastAsia="Arial" w:hAnsi="Arial" w:cs="Arial"/>
        </w:rPr>
        <w:t>Canina and Carvell (2008) highlight the measuring liquidity is a crucial component of financial statement analysis, especially when evaluating creditworthiness and the possibility of short-term solvency in short-term credit assessments. Static ratios might not adequately reflect short-term solvency in hospitality operations, so liquidity ratios should be understood in conjunction with operating cash flow and industry characteristics.</w:t>
      </w:r>
    </w:p>
    <w:p w14:paraId="4D6A5F25" w14:textId="77777777" w:rsidR="00907E29" w:rsidRDefault="00907E29" w:rsidP="494AC144">
      <w:pPr>
        <w:spacing w:line="360" w:lineRule="auto"/>
        <w:jc w:val="both"/>
      </w:pPr>
    </w:p>
    <w:p w14:paraId="0ADE66DE" w14:textId="0457069A" w:rsidR="049AFFAF" w:rsidRDefault="049AFFAF" w:rsidP="24CEE590">
      <w:pPr>
        <w:pStyle w:val="Heading2"/>
        <w:spacing w:line="360" w:lineRule="auto"/>
        <w:jc w:val="both"/>
        <w:rPr>
          <w:rFonts w:asciiTheme="minorHAnsi" w:eastAsiaTheme="minorEastAsia" w:hAnsiTheme="minorHAnsi" w:cstheme="minorBidi"/>
          <w:b/>
          <w:bCs/>
          <w:color w:val="auto"/>
          <w:sz w:val="24"/>
          <w:szCs w:val="24"/>
        </w:rPr>
      </w:pPr>
      <w:bookmarkStart w:id="5" w:name="_Toc1030889184"/>
      <w:r w:rsidRPr="24CEE590">
        <w:rPr>
          <w:rFonts w:asciiTheme="minorHAnsi" w:eastAsiaTheme="minorEastAsia" w:hAnsiTheme="minorHAnsi" w:cstheme="minorBidi"/>
          <w:b/>
          <w:bCs/>
          <w:color w:val="auto"/>
          <w:sz w:val="24"/>
          <w:szCs w:val="24"/>
        </w:rPr>
        <w:t>2.4 Efficiency/activity analysis:</w:t>
      </w:r>
      <w:bookmarkEnd w:id="5"/>
    </w:p>
    <w:p w14:paraId="5295DEDE" w14:textId="5D95FC39" w:rsidR="3C24A715" w:rsidRDefault="3C24A715" w:rsidP="494AC144">
      <w:pPr>
        <w:spacing w:line="360" w:lineRule="auto"/>
        <w:jc w:val="both"/>
      </w:pPr>
      <w:r w:rsidRPr="494AC144">
        <w:rPr>
          <w:rFonts w:ascii="Arial" w:eastAsia="Arial" w:hAnsi="Arial" w:cs="Arial"/>
        </w:rPr>
        <w:t>Hilton's overall asset turnover increased from 0.36 times to 0.72 times between 2021 and 2025, indicating a significant improvement in efficiency. While average total assets climbed from roughly $16.098 billion to $16.648 billion during the same period, revenue increased from $5.788 billion in 2021 to $12.039 billion in 2025 (Hilton Worldwide Holdings Inc., 2022; Hilton Worldwide Holdings Inc., 2026</w:t>
      </w:r>
      <w:r w:rsidR="004379DF" w:rsidRPr="494AC144">
        <w:rPr>
          <w:rFonts w:ascii="Arial" w:eastAsia="Arial" w:hAnsi="Arial" w:cs="Arial"/>
        </w:rPr>
        <w:t>). This</w:t>
      </w:r>
      <w:r w:rsidR="211C8F80" w:rsidRPr="494AC144">
        <w:rPr>
          <w:rFonts w:ascii="Arial" w:eastAsia="Arial" w:hAnsi="Arial" w:cs="Arial"/>
        </w:rPr>
        <w:t xml:space="preserve"> shows that for every dollar invested in Hilton's asset base, the company's revenue increased. After 2021, the improvement was especially noticeable, indicating a rebound in demand for travel and lodging abroad. This efficiency is further supported by Hilton's asset-light management and franchising approach, which allows the firm to grow its hotel network without having to own every property in its system.</w:t>
      </w:r>
    </w:p>
    <w:p w14:paraId="69531127" w14:textId="77777777" w:rsidR="004379DF" w:rsidRPr="004379DF" w:rsidRDefault="004379DF" w:rsidP="004379DF">
      <w:pPr>
        <w:spacing w:line="360" w:lineRule="auto"/>
        <w:jc w:val="both"/>
        <w:rPr>
          <w:rFonts w:ascii="Arial" w:eastAsia="Arial" w:hAnsi="Arial" w:cs="Arial"/>
          <w:lang w:val="en-IN"/>
        </w:rPr>
      </w:pPr>
      <w:r w:rsidRPr="004379DF">
        <w:rPr>
          <w:rFonts w:ascii="Arial" w:eastAsia="Arial" w:hAnsi="Arial" w:cs="Arial"/>
          <w:lang w:val="en-IN"/>
        </w:rPr>
        <w:t>Consequently, a major efficiency strength is the tendency of rising asset turnover. However, asset utilization should be assessed alongside profitability since increased revenue generation does not always translate into improved net earnings.</w:t>
      </w:r>
    </w:p>
    <w:p w14:paraId="5E2C7B29" w14:textId="77777777" w:rsidR="00907E29" w:rsidRDefault="00907E29" w:rsidP="494AC144">
      <w:pPr>
        <w:spacing w:line="360" w:lineRule="auto"/>
        <w:jc w:val="both"/>
        <w:rPr>
          <w:rFonts w:ascii="Arial" w:eastAsia="Arial" w:hAnsi="Arial" w:cs="Arial"/>
        </w:rPr>
      </w:pPr>
    </w:p>
    <w:p w14:paraId="6F81F302" w14:textId="77777777" w:rsidR="00907E29" w:rsidRDefault="00907E29" w:rsidP="494AC144">
      <w:pPr>
        <w:spacing w:line="360" w:lineRule="auto"/>
        <w:jc w:val="both"/>
        <w:rPr>
          <w:rFonts w:ascii="Arial" w:eastAsia="Arial" w:hAnsi="Arial" w:cs="Arial"/>
        </w:rPr>
      </w:pPr>
    </w:p>
    <w:p w14:paraId="330F3F62" w14:textId="77777777" w:rsidR="00907E29" w:rsidRDefault="00907E29" w:rsidP="494AC144">
      <w:pPr>
        <w:spacing w:line="360" w:lineRule="auto"/>
        <w:jc w:val="both"/>
      </w:pPr>
    </w:p>
    <w:p w14:paraId="0EB19417" w14:textId="08DE3BC8" w:rsidR="494AC144" w:rsidRDefault="211C8F80" w:rsidP="494AC144">
      <w:pPr>
        <w:spacing w:line="360" w:lineRule="auto"/>
        <w:jc w:val="center"/>
        <w:rPr>
          <w:rFonts w:ascii="Arial" w:eastAsia="Arial" w:hAnsi="Arial" w:cs="Arial"/>
          <w:b/>
          <w:bCs/>
        </w:rPr>
      </w:pPr>
      <w:r w:rsidRPr="494AC144">
        <w:rPr>
          <w:rFonts w:ascii="Arial" w:eastAsia="Arial" w:hAnsi="Arial" w:cs="Arial"/>
          <w:b/>
          <w:bCs/>
        </w:rPr>
        <w:lastRenderedPageBreak/>
        <w:t>Total Asset Turnover = Revenue ÷ Average Total Assets</w:t>
      </w:r>
    </w:p>
    <w:tbl>
      <w:tblPr>
        <w:tblStyle w:val="TableGrid"/>
        <w:tblW w:w="0" w:type="auto"/>
        <w:jc w:val="center"/>
        <w:tblLook w:val="06A0" w:firstRow="1" w:lastRow="0" w:firstColumn="1" w:lastColumn="0" w:noHBand="1" w:noVBand="1"/>
      </w:tblPr>
      <w:tblGrid>
        <w:gridCol w:w="1870"/>
        <w:gridCol w:w="1870"/>
        <w:gridCol w:w="1870"/>
        <w:gridCol w:w="1870"/>
        <w:gridCol w:w="1870"/>
      </w:tblGrid>
      <w:tr w:rsidR="494AC144" w14:paraId="3BB91E68" w14:textId="77777777" w:rsidTr="494AC144">
        <w:trPr>
          <w:trHeight w:val="300"/>
          <w:jc w:val="center"/>
        </w:trPr>
        <w:tc>
          <w:tcPr>
            <w:tcW w:w="1872" w:type="dxa"/>
          </w:tcPr>
          <w:p w14:paraId="6B8114BA" w14:textId="4D59C674" w:rsidR="494AC144" w:rsidRDefault="494AC144" w:rsidP="494AC144">
            <w:pPr>
              <w:spacing w:line="360" w:lineRule="auto"/>
              <w:jc w:val="center"/>
            </w:pPr>
            <w:r w:rsidRPr="494AC144">
              <w:rPr>
                <w:b/>
                <w:bCs/>
              </w:rPr>
              <w:t>Year</w:t>
            </w:r>
          </w:p>
        </w:tc>
        <w:tc>
          <w:tcPr>
            <w:tcW w:w="1872" w:type="dxa"/>
          </w:tcPr>
          <w:p w14:paraId="20D6B946" w14:textId="5E5434C8" w:rsidR="494AC144" w:rsidRDefault="494AC144" w:rsidP="494AC144">
            <w:pPr>
              <w:spacing w:line="360" w:lineRule="auto"/>
              <w:jc w:val="center"/>
            </w:pPr>
            <w:r w:rsidRPr="494AC144">
              <w:rPr>
                <w:b/>
                <w:bCs/>
              </w:rPr>
              <w:t>Revenue ($m)</w:t>
            </w:r>
          </w:p>
        </w:tc>
        <w:tc>
          <w:tcPr>
            <w:tcW w:w="1872" w:type="dxa"/>
          </w:tcPr>
          <w:p w14:paraId="465D565C" w14:textId="5A349C5A" w:rsidR="494AC144" w:rsidRDefault="494AC144" w:rsidP="494AC144">
            <w:pPr>
              <w:spacing w:line="360" w:lineRule="auto"/>
              <w:jc w:val="center"/>
            </w:pPr>
            <w:r w:rsidRPr="494AC144">
              <w:rPr>
                <w:b/>
                <w:bCs/>
              </w:rPr>
              <w:t>Total assets ($m)</w:t>
            </w:r>
          </w:p>
        </w:tc>
        <w:tc>
          <w:tcPr>
            <w:tcW w:w="1872" w:type="dxa"/>
          </w:tcPr>
          <w:p w14:paraId="72195193" w14:textId="12DE56F3" w:rsidR="494AC144" w:rsidRDefault="494AC144" w:rsidP="494AC144">
            <w:pPr>
              <w:spacing w:line="360" w:lineRule="auto"/>
              <w:jc w:val="center"/>
            </w:pPr>
            <w:r w:rsidRPr="494AC144">
              <w:rPr>
                <w:b/>
                <w:bCs/>
              </w:rPr>
              <w:t>Average total assets ($m)</w:t>
            </w:r>
          </w:p>
        </w:tc>
        <w:tc>
          <w:tcPr>
            <w:tcW w:w="1872" w:type="dxa"/>
          </w:tcPr>
          <w:p w14:paraId="62106BBB" w14:textId="49316D6B" w:rsidR="494AC144" w:rsidRDefault="494AC144" w:rsidP="494AC144">
            <w:pPr>
              <w:spacing w:line="360" w:lineRule="auto"/>
              <w:jc w:val="center"/>
            </w:pPr>
            <w:r w:rsidRPr="494AC144">
              <w:rPr>
                <w:b/>
                <w:bCs/>
              </w:rPr>
              <w:t>Asset turnover (times)</w:t>
            </w:r>
          </w:p>
        </w:tc>
      </w:tr>
      <w:tr w:rsidR="494AC144" w14:paraId="355CED14" w14:textId="77777777" w:rsidTr="494AC144">
        <w:trPr>
          <w:trHeight w:val="300"/>
          <w:jc w:val="center"/>
        </w:trPr>
        <w:tc>
          <w:tcPr>
            <w:tcW w:w="1872" w:type="dxa"/>
          </w:tcPr>
          <w:p w14:paraId="358B5037" w14:textId="6E29D7D3" w:rsidR="494AC144" w:rsidRDefault="494AC144" w:rsidP="494AC144">
            <w:pPr>
              <w:spacing w:line="360" w:lineRule="auto"/>
              <w:jc w:val="center"/>
            </w:pPr>
            <w:r>
              <w:t>2021</w:t>
            </w:r>
          </w:p>
        </w:tc>
        <w:tc>
          <w:tcPr>
            <w:tcW w:w="1872" w:type="dxa"/>
          </w:tcPr>
          <w:p w14:paraId="3CEB1D6E" w14:textId="095CA59E" w:rsidR="494AC144" w:rsidRDefault="494AC144" w:rsidP="494AC144">
            <w:pPr>
              <w:spacing w:line="360" w:lineRule="auto"/>
              <w:jc w:val="center"/>
            </w:pPr>
            <w:r>
              <w:t>5,788</w:t>
            </w:r>
          </w:p>
        </w:tc>
        <w:tc>
          <w:tcPr>
            <w:tcW w:w="1872" w:type="dxa"/>
          </w:tcPr>
          <w:p w14:paraId="16C25D6D" w14:textId="3935E5BD" w:rsidR="494AC144" w:rsidRDefault="494AC144" w:rsidP="494AC144">
            <w:pPr>
              <w:spacing w:line="360" w:lineRule="auto"/>
              <w:jc w:val="center"/>
            </w:pPr>
            <w:r>
              <w:t>15,441</w:t>
            </w:r>
          </w:p>
        </w:tc>
        <w:tc>
          <w:tcPr>
            <w:tcW w:w="1872" w:type="dxa"/>
          </w:tcPr>
          <w:p w14:paraId="6003BA75" w14:textId="68D19C86" w:rsidR="494AC144" w:rsidRDefault="494AC144" w:rsidP="494AC144">
            <w:pPr>
              <w:spacing w:line="360" w:lineRule="auto"/>
              <w:jc w:val="center"/>
            </w:pPr>
            <w:r>
              <w:t>16,098</w:t>
            </w:r>
          </w:p>
        </w:tc>
        <w:tc>
          <w:tcPr>
            <w:tcW w:w="1872" w:type="dxa"/>
          </w:tcPr>
          <w:p w14:paraId="1346E7A0" w14:textId="3647BD5E" w:rsidR="494AC144" w:rsidRDefault="494AC144" w:rsidP="494AC144">
            <w:pPr>
              <w:spacing w:line="360" w:lineRule="auto"/>
              <w:jc w:val="center"/>
            </w:pPr>
            <w:r w:rsidRPr="494AC144">
              <w:rPr>
                <w:b/>
                <w:bCs/>
              </w:rPr>
              <w:t>0.36</w:t>
            </w:r>
          </w:p>
        </w:tc>
      </w:tr>
      <w:tr w:rsidR="494AC144" w14:paraId="2D5AD2D0" w14:textId="77777777" w:rsidTr="494AC144">
        <w:trPr>
          <w:trHeight w:val="300"/>
          <w:jc w:val="center"/>
        </w:trPr>
        <w:tc>
          <w:tcPr>
            <w:tcW w:w="1872" w:type="dxa"/>
          </w:tcPr>
          <w:p w14:paraId="7446199C" w14:textId="161CFB30" w:rsidR="494AC144" w:rsidRDefault="494AC144" w:rsidP="494AC144">
            <w:pPr>
              <w:spacing w:line="360" w:lineRule="auto"/>
              <w:jc w:val="center"/>
            </w:pPr>
            <w:r>
              <w:t>2022</w:t>
            </w:r>
          </w:p>
        </w:tc>
        <w:tc>
          <w:tcPr>
            <w:tcW w:w="1872" w:type="dxa"/>
          </w:tcPr>
          <w:p w14:paraId="1975EF73" w14:textId="521C2265" w:rsidR="494AC144" w:rsidRDefault="494AC144" w:rsidP="494AC144">
            <w:pPr>
              <w:spacing w:line="360" w:lineRule="auto"/>
              <w:jc w:val="center"/>
            </w:pPr>
            <w:r>
              <w:t>8,773</w:t>
            </w:r>
          </w:p>
        </w:tc>
        <w:tc>
          <w:tcPr>
            <w:tcW w:w="1872" w:type="dxa"/>
          </w:tcPr>
          <w:p w14:paraId="4F0AC6DC" w14:textId="5F68F648" w:rsidR="494AC144" w:rsidRDefault="494AC144" w:rsidP="494AC144">
            <w:pPr>
              <w:spacing w:line="360" w:lineRule="auto"/>
              <w:jc w:val="center"/>
            </w:pPr>
            <w:r>
              <w:t>15,512</w:t>
            </w:r>
          </w:p>
        </w:tc>
        <w:tc>
          <w:tcPr>
            <w:tcW w:w="1872" w:type="dxa"/>
          </w:tcPr>
          <w:p w14:paraId="643B822D" w14:textId="2339A999" w:rsidR="494AC144" w:rsidRDefault="494AC144" w:rsidP="494AC144">
            <w:pPr>
              <w:spacing w:line="360" w:lineRule="auto"/>
              <w:jc w:val="center"/>
            </w:pPr>
            <w:r>
              <w:t>15,477</w:t>
            </w:r>
          </w:p>
        </w:tc>
        <w:tc>
          <w:tcPr>
            <w:tcW w:w="1872" w:type="dxa"/>
          </w:tcPr>
          <w:p w14:paraId="51391345" w14:textId="0EC597BD" w:rsidR="494AC144" w:rsidRDefault="494AC144" w:rsidP="494AC144">
            <w:pPr>
              <w:spacing w:line="360" w:lineRule="auto"/>
              <w:jc w:val="center"/>
            </w:pPr>
            <w:r w:rsidRPr="494AC144">
              <w:rPr>
                <w:b/>
                <w:bCs/>
              </w:rPr>
              <w:t>0.57</w:t>
            </w:r>
          </w:p>
        </w:tc>
      </w:tr>
      <w:tr w:rsidR="494AC144" w14:paraId="51D075C7" w14:textId="77777777" w:rsidTr="494AC144">
        <w:trPr>
          <w:trHeight w:val="300"/>
          <w:jc w:val="center"/>
        </w:trPr>
        <w:tc>
          <w:tcPr>
            <w:tcW w:w="1872" w:type="dxa"/>
          </w:tcPr>
          <w:p w14:paraId="1D3F81BE" w14:textId="26C6BF3D" w:rsidR="494AC144" w:rsidRDefault="494AC144" w:rsidP="494AC144">
            <w:pPr>
              <w:spacing w:line="360" w:lineRule="auto"/>
              <w:jc w:val="center"/>
            </w:pPr>
            <w:r>
              <w:t>2023</w:t>
            </w:r>
          </w:p>
        </w:tc>
        <w:tc>
          <w:tcPr>
            <w:tcW w:w="1872" w:type="dxa"/>
          </w:tcPr>
          <w:p w14:paraId="57BDCD88" w14:textId="78B42808" w:rsidR="494AC144" w:rsidRDefault="494AC144" w:rsidP="494AC144">
            <w:pPr>
              <w:spacing w:line="360" w:lineRule="auto"/>
              <w:jc w:val="center"/>
            </w:pPr>
            <w:r>
              <w:t>10,235</w:t>
            </w:r>
          </w:p>
        </w:tc>
        <w:tc>
          <w:tcPr>
            <w:tcW w:w="1872" w:type="dxa"/>
          </w:tcPr>
          <w:p w14:paraId="58DDA09C" w14:textId="0813F0B4" w:rsidR="494AC144" w:rsidRDefault="494AC144" w:rsidP="494AC144">
            <w:pPr>
              <w:spacing w:line="360" w:lineRule="auto"/>
              <w:jc w:val="center"/>
            </w:pPr>
            <w:r>
              <w:t>15,401</w:t>
            </w:r>
          </w:p>
        </w:tc>
        <w:tc>
          <w:tcPr>
            <w:tcW w:w="1872" w:type="dxa"/>
          </w:tcPr>
          <w:p w14:paraId="2F8537CF" w14:textId="1C3D9C53" w:rsidR="494AC144" w:rsidRDefault="494AC144" w:rsidP="494AC144">
            <w:pPr>
              <w:spacing w:line="360" w:lineRule="auto"/>
              <w:jc w:val="center"/>
            </w:pPr>
            <w:r>
              <w:t>15,457</w:t>
            </w:r>
          </w:p>
        </w:tc>
        <w:tc>
          <w:tcPr>
            <w:tcW w:w="1872" w:type="dxa"/>
          </w:tcPr>
          <w:p w14:paraId="101B7669" w14:textId="047F3A0A" w:rsidR="494AC144" w:rsidRDefault="494AC144" w:rsidP="494AC144">
            <w:pPr>
              <w:spacing w:line="360" w:lineRule="auto"/>
              <w:jc w:val="center"/>
            </w:pPr>
            <w:r w:rsidRPr="494AC144">
              <w:rPr>
                <w:b/>
                <w:bCs/>
              </w:rPr>
              <w:t>0.66</w:t>
            </w:r>
          </w:p>
        </w:tc>
      </w:tr>
      <w:tr w:rsidR="494AC144" w14:paraId="1C65FCCF" w14:textId="77777777" w:rsidTr="494AC144">
        <w:trPr>
          <w:trHeight w:val="300"/>
          <w:jc w:val="center"/>
        </w:trPr>
        <w:tc>
          <w:tcPr>
            <w:tcW w:w="1872" w:type="dxa"/>
          </w:tcPr>
          <w:p w14:paraId="3662B6AD" w14:textId="0F1FC149" w:rsidR="494AC144" w:rsidRDefault="494AC144" w:rsidP="494AC144">
            <w:pPr>
              <w:spacing w:line="360" w:lineRule="auto"/>
              <w:jc w:val="center"/>
            </w:pPr>
            <w:r>
              <w:t>2024</w:t>
            </w:r>
          </w:p>
        </w:tc>
        <w:tc>
          <w:tcPr>
            <w:tcW w:w="1872" w:type="dxa"/>
          </w:tcPr>
          <w:p w14:paraId="364FD1B3" w14:textId="4B3078EA" w:rsidR="494AC144" w:rsidRDefault="494AC144" w:rsidP="494AC144">
            <w:pPr>
              <w:spacing w:line="360" w:lineRule="auto"/>
              <w:jc w:val="center"/>
            </w:pPr>
            <w:r>
              <w:t>11,174</w:t>
            </w:r>
          </w:p>
        </w:tc>
        <w:tc>
          <w:tcPr>
            <w:tcW w:w="1872" w:type="dxa"/>
          </w:tcPr>
          <w:p w14:paraId="73DE1D34" w14:textId="4E3F956E" w:rsidR="494AC144" w:rsidRDefault="494AC144" w:rsidP="494AC144">
            <w:pPr>
              <w:spacing w:line="360" w:lineRule="auto"/>
              <w:jc w:val="center"/>
            </w:pPr>
            <w:r>
              <w:t>16,522</w:t>
            </w:r>
          </w:p>
        </w:tc>
        <w:tc>
          <w:tcPr>
            <w:tcW w:w="1872" w:type="dxa"/>
          </w:tcPr>
          <w:p w14:paraId="3CD8E3B3" w14:textId="1FE9AEF9" w:rsidR="494AC144" w:rsidRDefault="494AC144" w:rsidP="494AC144">
            <w:pPr>
              <w:spacing w:line="360" w:lineRule="auto"/>
              <w:jc w:val="center"/>
            </w:pPr>
            <w:r>
              <w:t>15,962</w:t>
            </w:r>
          </w:p>
        </w:tc>
        <w:tc>
          <w:tcPr>
            <w:tcW w:w="1872" w:type="dxa"/>
          </w:tcPr>
          <w:p w14:paraId="30A68096" w14:textId="7D37ECA1" w:rsidR="494AC144" w:rsidRDefault="494AC144" w:rsidP="494AC144">
            <w:pPr>
              <w:spacing w:line="360" w:lineRule="auto"/>
              <w:jc w:val="center"/>
            </w:pPr>
            <w:r w:rsidRPr="494AC144">
              <w:rPr>
                <w:b/>
                <w:bCs/>
              </w:rPr>
              <w:t>0.70</w:t>
            </w:r>
          </w:p>
        </w:tc>
      </w:tr>
      <w:tr w:rsidR="494AC144" w14:paraId="2DDEFE93" w14:textId="77777777" w:rsidTr="494AC144">
        <w:trPr>
          <w:trHeight w:val="300"/>
          <w:jc w:val="center"/>
        </w:trPr>
        <w:tc>
          <w:tcPr>
            <w:tcW w:w="1872" w:type="dxa"/>
          </w:tcPr>
          <w:p w14:paraId="09F72487" w14:textId="180CD489" w:rsidR="494AC144" w:rsidRDefault="494AC144" w:rsidP="494AC144">
            <w:pPr>
              <w:spacing w:line="360" w:lineRule="auto"/>
              <w:jc w:val="center"/>
            </w:pPr>
            <w:r>
              <w:t>2025</w:t>
            </w:r>
          </w:p>
        </w:tc>
        <w:tc>
          <w:tcPr>
            <w:tcW w:w="1872" w:type="dxa"/>
          </w:tcPr>
          <w:p w14:paraId="7EFE6EC1" w14:textId="5D2A20AB" w:rsidR="494AC144" w:rsidRDefault="494AC144" w:rsidP="494AC144">
            <w:pPr>
              <w:spacing w:line="360" w:lineRule="auto"/>
              <w:jc w:val="center"/>
            </w:pPr>
            <w:r>
              <w:t>12,039</w:t>
            </w:r>
          </w:p>
        </w:tc>
        <w:tc>
          <w:tcPr>
            <w:tcW w:w="1872" w:type="dxa"/>
          </w:tcPr>
          <w:p w14:paraId="08B186E0" w14:textId="50617C53" w:rsidR="494AC144" w:rsidRDefault="494AC144" w:rsidP="494AC144">
            <w:pPr>
              <w:spacing w:line="360" w:lineRule="auto"/>
              <w:jc w:val="center"/>
            </w:pPr>
            <w:r>
              <w:t>16,774</w:t>
            </w:r>
          </w:p>
        </w:tc>
        <w:tc>
          <w:tcPr>
            <w:tcW w:w="1872" w:type="dxa"/>
          </w:tcPr>
          <w:p w14:paraId="7B4B6540" w14:textId="0D35329D" w:rsidR="494AC144" w:rsidRDefault="494AC144" w:rsidP="494AC144">
            <w:pPr>
              <w:spacing w:line="360" w:lineRule="auto"/>
              <w:jc w:val="center"/>
            </w:pPr>
            <w:r>
              <w:t>16,648</w:t>
            </w:r>
          </w:p>
        </w:tc>
        <w:tc>
          <w:tcPr>
            <w:tcW w:w="1872" w:type="dxa"/>
          </w:tcPr>
          <w:p w14:paraId="08B2633B" w14:textId="6D431D30" w:rsidR="494AC144" w:rsidRDefault="494AC144" w:rsidP="494AC144">
            <w:pPr>
              <w:spacing w:line="360" w:lineRule="auto"/>
              <w:jc w:val="center"/>
            </w:pPr>
            <w:r w:rsidRPr="494AC144">
              <w:rPr>
                <w:b/>
                <w:bCs/>
              </w:rPr>
              <w:t>0.72</w:t>
            </w:r>
          </w:p>
        </w:tc>
      </w:tr>
    </w:tbl>
    <w:p w14:paraId="57514946" w14:textId="01C6AC72" w:rsidR="494AC144" w:rsidRDefault="494AC144" w:rsidP="494AC144">
      <w:pPr>
        <w:pStyle w:val="Heading2"/>
        <w:spacing w:line="360" w:lineRule="auto"/>
        <w:rPr>
          <w:rFonts w:asciiTheme="minorHAnsi" w:eastAsiaTheme="minorEastAsia" w:hAnsiTheme="minorHAnsi" w:cstheme="minorBidi"/>
          <w:b/>
          <w:bCs/>
          <w:color w:val="auto"/>
          <w:sz w:val="24"/>
          <w:szCs w:val="24"/>
        </w:rPr>
      </w:pPr>
    </w:p>
    <w:p w14:paraId="07E59DF5" w14:textId="0C51AAD6" w:rsidR="1A634C17" w:rsidRDefault="1A634C17" w:rsidP="494AC144">
      <w:pPr>
        <w:pStyle w:val="Heading2"/>
        <w:spacing w:line="360" w:lineRule="auto"/>
        <w:rPr>
          <w:rFonts w:asciiTheme="minorHAnsi" w:eastAsiaTheme="minorEastAsia" w:hAnsiTheme="minorHAnsi" w:cstheme="minorBidi"/>
          <w:b/>
          <w:bCs/>
          <w:color w:val="auto"/>
          <w:sz w:val="24"/>
          <w:szCs w:val="24"/>
        </w:rPr>
      </w:pPr>
      <w:bookmarkStart w:id="6" w:name="_Toc2146204377"/>
      <w:r w:rsidRPr="24CEE590">
        <w:rPr>
          <w:rFonts w:asciiTheme="minorHAnsi" w:eastAsiaTheme="minorEastAsia" w:hAnsiTheme="minorHAnsi" w:cstheme="minorBidi"/>
          <w:b/>
          <w:bCs/>
          <w:color w:val="auto"/>
          <w:sz w:val="24"/>
          <w:szCs w:val="24"/>
        </w:rPr>
        <w:t>2.5 Gearing and financial risk:</w:t>
      </w:r>
      <w:bookmarkEnd w:id="6"/>
    </w:p>
    <w:p w14:paraId="099E5F83" w14:textId="7A3657DD" w:rsidR="24CEE590" w:rsidRPr="004379DF" w:rsidRDefault="33228DAC" w:rsidP="24CEE590">
      <w:pPr>
        <w:spacing w:line="360" w:lineRule="auto"/>
        <w:jc w:val="both"/>
      </w:pPr>
      <w:r w:rsidRPr="24CEE590">
        <w:rPr>
          <w:rFonts w:ascii="Arial" w:eastAsia="Arial" w:hAnsi="Arial" w:cs="Arial"/>
        </w:rPr>
        <w:t xml:space="preserve">Hilton's gearing situation shows that between 2024 and </w:t>
      </w:r>
      <w:r w:rsidR="004379DF" w:rsidRPr="24CEE590">
        <w:rPr>
          <w:rFonts w:ascii="Arial" w:eastAsia="Arial" w:hAnsi="Arial" w:cs="Arial"/>
        </w:rPr>
        <w:t>2025;</w:t>
      </w:r>
      <w:r w:rsidRPr="24CEE590">
        <w:rPr>
          <w:rFonts w:ascii="Arial" w:eastAsia="Arial" w:hAnsi="Arial" w:cs="Arial"/>
        </w:rPr>
        <w:t xml:space="preserve"> its financial leverage will increase. Net debt went from $9.860 billion to $11.489 billion, while long-term debt, including current maturities, increased from $11.151 billion to $12.363 billion. As a result, the net debt-to-Adjusted EBITDA ratio rose from 2.9 to 3.1 times, suggesting a higher dependence on debt in comparison to operating profits (Hilton Worldwide Holdings Inc., 2026). Additionally, the long-term debt-to-net-income ratio rose from 7.2 to 8.5 times, indicating that debt grew in importance in relation to reported earnings.</w:t>
      </w:r>
      <w:r w:rsidR="1270F6D1" w:rsidRPr="24CEE590">
        <w:rPr>
          <w:rFonts w:ascii="Arial" w:eastAsia="Arial" w:hAnsi="Arial" w:cs="Arial"/>
        </w:rPr>
        <w:t xml:space="preserve"> Because more leverage can decrease financial flexibility and increase exposure to interest payments, this constitutes an elevated financial risk. Research indicates that the hospitality sector has comparatively high levels of borrowing and financial risk, making this issue especially pertinent (Lee and Jang, 2015).</w:t>
      </w:r>
    </w:p>
    <w:p w14:paraId="080BB1FD" w14:textId="77777777" w:rsidR="004379DF" w:rsidRPr="004379DF" w:rsidRDefault="004379DF" w:rsidP="004379DF">
      <w:pPr>
        <w:spacing w:line="360" w:lineRule="auto"/>
        <w:jc w:val="both"/>
        <w:rPr>
          <w:rFonts w:ascii="Arial" w:eastAsia="Arial" w:hAnsi="Arial" w:cs="Arial"/>
          <w:lang w:val="en-IN"/>
        </w:rPr>
      </w:pPr>
      <w:r w:rsidRPr="004379DF">
        <w:rPr>
          <w:rFonts w:ascii="Arial" w:eastAsia="Arial" w:hAnsi="Arial" w:cs="Arial"/>
          <w:lang w:val="en-IN"/>
        </w:rPr>
        <w:t>Cash flow, which demonstrates how well a company is doing financially and how well it can pay its debts, is an essential part of business financing. By examining cash flow accounts, stakeholders can understand how cash flows are generated and used over a certain time period.</w:t>
      </w:r>
    </w:p>
    <w:p w14:paraId="7D93AB50" w14:textId="57E3E479" w:rsidR="494AC144" w:rsidRDefault="494AC144" w:rsidP="494AC144">
      <w:pPr>
        <w:spacing w:line="360" w:lineRule="auto"/>
        <w:jc w:val="both"/>
        <w:rPr>
          <w:rFonts w:ascii="Arial" w:eastAsia="Arial" w:hAnsi="Arial" w:cs="Arial"/>
        </w:rPr>
      </w:pPr>
    </w:p>
    <w:p w14:paraId="4EE0A617" w14:textId="77777777" w:rsidR="004379DF" w:rsidRDefault="004379DF" w:rsidP="494AC144">
      <w:pPr>
        <w:spacing w:line="360" w:lineRule="auto"/>
        <w:jc w:val="both"/>
        <w:rPr>
          <w:rFonts w:ascii="Arial" w:eastAsia="Arial" w:hAnsi="Arial" w:cs="Arial"/>
        </w:rPr>
      </w:pPr>
    </w:p>
    <w:tbl>
      <w:tblPr>
        <w:tblStyle w:val="TableGrid"/>
        <w:tblW w:w="0" w:type="auto"/>
        <w:jc w:val="center"/>
        <w:tblLook w:val="06A0" w:firstRow="1" w:lastRow="0" w:firstColumn="1" w:lastColumn="0" w:noHBand="1" w:noVBand="1"/>
      </w:tblPr>
      <w:tblGrid>
        <w:gridCol w:w="2337"/>
        <w:gridCol w:w="2338"/>
        <w:gridCol w:w="2338"/>
        <w:gridCol w:w="2337"/>
      </w:tblGrid>
      <w:tr w:rsidR="494AC144" w14:paraId="348B643C" w14:textId="77777777" w:rsidTr="494AC144">
        <w:trPr>
          <w:trHeight w:val="300"/>
          <w:jc w:val="center"/>
        </w:trPr>
        <w:tc>
          <w:tcPr>
            <w:tcW w:w="2340" w:type="dxa"/>
          </w:tcPr>
          <w:p w14:paraId="591FCCB7" w14:textId="46CC2676" w:rsidR="494AC144" w:rsidRDefault="494AC144" w:rsidP="494AC144">
            <w:pPr>
              <w:spacing w:line="360" w:lineRule="auto"/>
              <w:jc w:val="center"/>
            </w:pPr>
            <w:r w:rsidRPr="494AC144">
              <w:rPr>
                <w:b/>
                <w:bCs/>
              </w:rPr>
              <w:lastRenderedPageBreak/>
              <w:t>Measure</w:t>
            </w:r>
          </w:p>
        </w:tc>
        <w:tc>
          <w:tcPr>
            <w:tcW w:w="2340" w:type="dxa"/>
          </w:tcPr>
          <w:p w14:paraId="472460B9" w14:textId="4EAA36D2" w:rsidR="494AC144" w:rsidRDefault="494AC144" w:rsidP="494AC144">
            <w:pPr>
              <w:spacing w:line="360" w:lineRule="auto"/>
              <w:jc w:val="center"/>
            </w:pPr>
            <w:r w:rsidRPr="494AC144">
              <w:rPr>
                <w:b/>
                <w:bCs/>
              </w:rPr>
              <w:t>2024</w:t>
            </w:r>
          </w:p>
        </w:tc>
        <w:tc>
          <w:tcPr>
            <w:tcW w:w="2340" w:type="dxa"/>
          </w:tcPr>
          <w:p w14:paraId="1B25C7D9" w14:textId="1020B106" w:rsidR="494AC144" w:rsidRDefault="494AC144" w:rsidP="494AC144">
            <w:pPr>
              <w:spacing w:line="360" w:lineRule="auto"/>
              <w:jc w:val="center"/>
            </w:pPr>
            <w:r w:rsidRPr="494AC144">
              <w:rPr>
                <w:b/>
                <w:bCs/>
              </w:rPr>
              <w:t>2025</w:t>
            </w:r>
          </w:p>
        </w:tc>
        <w:tc>
          <w:tcPr>
            <w:tcW w:w="2340" w:type="dxa"/>
          </w:tcPr>
          <w:p w14:paraId="502793E5" w14:textId="1D425ABB" w:rsidR="494AC144" w:rsidRDefault="494AC144" w:rsidP="494AC144">
            <w:pPr>
              <w:spacing w:line="360" w:lineRule="auto"/>
              <w:jc w:val="center"/>
            </w:pPr>
            <w:r w:rsidRPr="494AC144">
              <w:rPr>
                <w:b/>
                <w:bCs/>
              </w:rPr>
              <w:t>Change</w:t>
            </w:r>
          </w:p>
        </w:tc>
      </w:tr>
      <w:tr w:rsidR="494AC144" w14:paraId="19540460" w14:textId="77777777" w:rsidTr="494AC144">
        <w:trPr>
          <w:trHeight w:val="300"/>
          <w:jc w:val="center"/>
        </w:trPr>
        <w:tc>
          <w:tcPr>
            <w:tcW w:w="2340" w:type="dxa"/>
          </w:tcPr>
          <w:p w14:paraId="09D7EE77" w14:textId="55E92AF8" w:rsidR="494AC144" w:rsidRDefault="494AC144" w:rsidP="494AC144">
            <w:pPr>
              <w:spacing w:line="360" w:lineRule="auto"/>
              <w:jc w:val="center"/>
            </w:pPr>
            <w:r>
              <w:t>Long-term debt, including current maturities</w:t>
            </w:r>
          </w:p>
        </w:tc>
        <w:tc>
          <w:tcPr>
            <w:tcW w:w="2340" w:type="dxa"/>
          </w:tcPr>
          <w:p w14:paraId="15EC1C65" w14:textId="1BBF7AFF" w:rsidR="494AC144" w:rsidRDefault="494AC144" w:rsidP="494AC144">
            <w:pPr>
              <w:spacing w:line="360" w:lineRule="auto"/>
              <w:jc w:val="center"/>
            </w:pPr>
            <w:r>
              <w:t>$11.151bn</w:t>
            </w:r>
          </w:p>
        </w:tc>
        <w:tc>
          <w:tcPr>
            <w:tcW w:w="2340" w:type="dxa"/>
          </w:tcPr>
          <w:p w14:paraId="11C10037" w14:textId="3367263C" w:rsidR="494AC144" w:rsidRDefault="494AC144" w:rsidP="494AC144">
            <w:pPr>
              <w:spacing w:line="360" w:lineRule="auto"/>
              <w:jc w:val="center"/>
            </w:pPr>
            <w:r>
              <w:t>$12.363bn</w:t>
            </w:r>
          </w:p>
        </w:tc>
        <w:tc>
          <w:tcPr>
            <w:tcW w:w="2340" w:type="dxa"/>
          </w:tcPr>
          <w:p w14:paraId="1D696515" w14:textId="36515C8A" w:rsidR="494AC144" w:rsidRDefault="494AC144" w:rsidP="494AC144">
            <w:pPr>
              <w:spacing w:line="360" w:lineRule="auto"/>
              <w:jc w:val="center"/>
            </w:pPr>
            <w:r>
              <w:t>Increased</w:t>
            </w:r>
          </w:p>
        </w:tc>
      </w:tr>
      <w:tr w:rsidR="494AC144" w14:paraId="02B419CD" w14:textId="77777777" w:rsidTr="494AC144">
        <w:trPr>
          <w:trHeight w:val="300"/>
          <w:jc w:val="center"/>
        </w:trPr>
        <w:tc>
          <w:tcPr>
            <w:tcW w:w="2340" w:type="dxa"/>
          </w:tcPr>
          <w:p w14:paraId="0A259500" w14:textId="44164843" w:rsidR="494AC144" w:rsidRDefault="494AC144" w:rsidP="494AC144">
            <w:pPr>
              <w:spacing w:line="360" w:lineRule="auto"/>
              <w:jc w:val="center"/>
            </w:pPr>
            <w:r>
              <w:t>Net debt</w:t>
            </w:r>
          </w:p>
        </w:tc>
        <w:tc>
          <w:tcPr>
            <w:tcW w:w="2340" w:type="dxa"/>
          </w:tcPr>
          <w:p w14:paraId="31D1D37C" w14:textId="670946C8" w:rsidR="494AC144" w:rsidRDefault="494AC144" w:rsidP="494AC144">
            <w:pPr>
              <w:spacing w:line="360" w:lineRule="auto"/>
              <w:jc w:val="center"/>
            </w:pPr>
            <w:r>
              <w:t>$9.860bn</w:t>
            </w:r>
          </w:p>
        </w:tc>
        <w:tc>
          <w:tcPr>
            <w:tcW w:w="2340" w:type="dxa"/>
          </w:tcPr>
          <w:p w14:paraId="555FB6E0" w14:textId="3FECD045" w:rsidR="494AC144" w:rsidRDefault="494AC144" w:rsidP="494AC144">
            <w:pPr>
              <w:spacing w:line="360" w:lineRule="auto"/>
              <w:jc w:val="center"/>
            </w:pPr>
            <w:r>
              <w:t>$11.489bn</w:t>
            </w:r>
          </w:p>
        </w:tc>
        <w:tc>
          <w:tcPr>
            <w:tcW w:w="2340" w:type="dxa"/>
          </w:tcPr>
          <w:p w14:paraId="13A8C794" w14:textId="54AE6562" w:rsidR="494AC144" w:rsidRDefault="494AC144" w:rsidP="494AC144">
            <w:pPr>
              <w:spacing w:line="360" w:lineRule="auto"/>
              <w:jc w:val="center"/>
            </w:pPr>
            <w:r>
              <w:t>Increased</w:t>
            </w:r>
          </w:p>
        </w:tc>
      </w:tr>
      <w:tr w:rsidR="494AC144" w14:paraId="39412674" w14:textId="77777777" w:rsidTr="494AC144">
        <w:trPr>
          <w:trHeight w:val="300"/>
          <w:jc w:val="center"/>
        </w:trPr>
        <w:tc>
          <w:tcPr>
            <w:tcW w:w="2340" w:type="dxa"/>
          </w:tcPr>
          <w:p w14:paraId="6661826A" w14:textId="7F8FF5C5" w:rsidR="494AC144" w:rsidRDefault="494AC144" w:rsidP="494AC144">
            <w:pPr>
              <w:spacing w:line="360" w:lineRule="auto"/>
              <w:jc w:val="center"/>
            </w:pPr>
            <w:r>
              <w:t>Net debt / Adjusted EBITDA</w:t>
            </w:r>
          </w:p>
        </w:tc>
        <w:tc>
          <w:tcPr>
            <w:tcW w:w="2340" w:type="dxa"/>
          </w:tcPr>
          <w:p w14:paraId="62A0C3A2" w14:textId="15E7DA0C" w:rsidR="494AC144" w:rsidRDefault="494AC144" w:rsidP="494AC144">
            <w:pPr>
              <w:spacing w:line="360" w:lineRule="auto"/>
              <w:jc w:val="center"/>
            </w:pPr>
            <w:r>
              <w:t>2.9×</w:t>
            </w:r>
          </w:p>
        </w:tc>
        <w:tc>
          <w:tcPr>
            <w:tcW w:w="2340" w:type="dxa"/>
          </w:tcPr>
          <w:p w14:paraId="5A5852A3" w14:textId="33747BAB" w:rsidR="494AC144" w:rsidRDefault="494AC144" w:rsidP="494AC144">
            <w:pPr>
              <w:spacing w:line="360" w:lineRule="auto"/>
              <w:jc w:val="center"/>
            </w:pPr>
            <w:r>
              <w:t>3.1×</w:t>
            </w:r>
          </w:p>
        </w:tc>
        <w:tc>
          <w:tcPr>
            <w:tcW w:w="2340" w:type="dxa"/>
          </w:tcPr>
          <w:p w14:paraId="0F902968" w14:textId="0CDD70F1" w:rsidR="494AC144" w:rsidRDefault="494AC144" w:rsidP="494AC144">
            <w:pPr>
              <w:spacing w:line="360" w:lineRule="auto"/>
              <w:jc w:val="center"/>
            </w:pPr>
            <w:r>
              <w:t>Increased</w:t>
            </w:r>
          </w:p>
        </w:tc>
      </w:tr>
      <w:tr w:rsidR="494AC144" w14:paraId="5D19E625" w14:textId="77777777" w:rsidTr="494AC144">
        <w:trPr>
          <w:trHeight w:val="300"/>
          <w:jc w:val="center"/>
        </w:trPr>
        <w:tc>
          <w:tcPr>
            <w:tcW w:w="2340" w:type="dxa"/>
          </w:tcPr>
          <w:p w14:paraId="15C1075B" w14:textId="6BD0F6BD" w:rsidR="494AC144" w:rsidRDefault="494AC144" w:rsidP="494AC144">
            <w:pPr>
              <w:spacing w:line="360" w:lineRule="auto"/>
              <w:jc w:val="center"/>
            </w:pPr>
            <w:r>
              <w:t>Long-term debt / Net income</w:t>
            </w:r>
          </w:p>
        </w:tc>
        <w:tc>
          <w:tcPr>
            <w:tcW w:w="2340" w:type="dxa"/>
          </w:tcPr>
          <w:p w14:paraId="458C08B6" w14:textId="1A4CE3BA" w:rsidR="494AC144" w:rsidRDefault="494AC144" w:rsidP="494AC144">
            <w:pPr>
              <w:spacing w:line="360" w:lineRule="auto"/>
              <w:jc w:val="center"/>
            </w:pPr>
            <w:r>
              <w:t>7.2×</w:t>
            </w:r>
          </w:p>
        </w:tc>
        <w:tc>
          <w:tcPr>
            <w:tcW w:w="2340" w:type="dxa"/>
          </w:tcPr>
          <w:p w14:paraId="613A8951" w14:textId="2313FC20" w:rsidR="494AC144" w:rsidRDefault="494AC144" w:rsidP="494AC144">
            <w:pPr>
              <w:spacing w:line="360" w:lineRule="auto"/>
              <w:jc w:val="center"/>
            </w:pPr>
            <w:r>
              <w:t>8.5×</w:t>
            </w:r>
          </w:p>
        </w:tc>
        <w:tc>
          <w:tcPr>
            <w:tcW w:w="2340" w:type="dxa"/>
          </w:tcPr>
          <w:p w14:paraId="5F00643F" w14:textId="09D38CA5" w:rsidR="494AC144" w:rsidRDefault="494AC144" w:rsidP="494AC144">
            <w:pPr>
              <w:spacing w:line="360" w:lineRule="auto"/>
              <w:jc w:val="center"/>
            </w:pPr>
            <w:r>
              <w:t>Increased</w:t>
            </w:r>
          </w:p>
        </w:tc>
      </w:tr>
    </w:tbl>
    <w:p w14:paraId="1109B72A" w14:textId="77777777" w:rsidR="004379DF" w:rsidRDefault="004379DF" w:rsidP="494AC144">
      <w:pPr>
        <w:spacing w:line="360" w:lineRule="auto"/>
        <w:jc w:val="both"/>
        <w:rPr>
          <w:rFonts w:ascii="Arial" w:eastAsia="Arial" w:hAnsi="Arial" w:cs="Arial"/>
          <w:b/>
          <w:bCs/>
        </w:rPr>
      </w:pPr>
    </w:p>
    <w:p w14:paraId="0CDA5E7D" w14:textId="3CC48D97" w:rsidR="004379DF" w:rsidRPr="004379DF" w:rsidRDefault="32A936FA" w:rsidP="494AC144">
      <w:pPr>
        <w:spacing w:line="360" w:lineRule="auto"/>
        <w:jc w:val="both"/>
        <w:rPr>
          <w:rFonts w:ascii="Arial" w:eastAsia="Arial" w:hAnsi="Arial" w:cs="Arial"/>
        </w:rPr>
      </w:pPr>
      <w:r w:rsidRPr="494AC144">
        <w:rPr>
          <w:rFonts w:ascii="Arial" w:eastAsia="Arial" w:hAnsi="Arial" w:cs="Arial"/>
          <w:b/>
          <w:bCs/>
        </w:rPr>
        <w:t>Source:</w:t>
      </w:r>
      <w:r w:rsidRPr="494AC144">
        <w:rPr>
          <w:rFonts w:ascii="Arial" w:eastAsia="Arial" w:hAnsi="Arial" w:cs="Arial"/>
        </w:rPr>
        <w:t xml:space="preserve"> Compiled by the author based on Hilton Worldwide Holdings Inc. (2026).</w:t>
      </w:r>
    </w:p>
    <w:p w14:paraId="222070B8" w14:textId="4B8E4C3B" w:rsidR="2CEEE23E" w:rsidRDefault="2CEEE23E" w:rsidP="494AC144">
      <w:pPr>
        <w:pStyle w:val="Heading2"/>
        <w:spacing w:line="360" w:lineRule="auto"/>
        <w:jc w:val="both"/>
        <w:rPr>
          <w:rFonts w:asciiTheme="minorHAnsi" w:eastAsiaTheme="minorEastAsia" w:hAnsiTheme="minorHAnsi" w:cstheme="minorBidi"/>
          <w:b/>
          <w:bCs/>
          <w:color w:val="auto"/>
          <w:sz w:val="24"/>
          <w:szCs w:val="24"/>
        </w:rPr>
      </w:pPr>
      <w:bookmarkStart w:id="7" w:name="_Toc963203395"/>
      <w:r w:rsidRPr="24CEE590">
        <w:rPr>
          <w:rFonts w:asciiTheme="minorHAnsi" w:eastAsiaTheme="minorEastAsia" w:hAnsiTheme="minorHAnsi" w:cstheme="minorBidi"/>
          <w:b/>
          <w:bCs/>
          <w:color w:val="auto"/>
          <w:sz w:val="24"/>
          <w:szCs w:val="24"/>
        </w:rPr>
        <w:t>2.6 Investment/market performance:</w:t>
      </w:r>
      <w:bookmarkEnd w:id="7"/>
    </w:p>
    <w:p w14:paraId="1D56516F" w14:textId="1290CAE8" w:rsidR="3E8D2FCA" w:rsidRDefault="3E8D2FCA" w:rsidP="494AC144">
      <w:pPr>
        <w:spacing w:after="0" w:line="360" w:lineRule="auto"/>
        <w:jc w:val="both"/>
      </w:pPr>
      <w:r w:rsidRPr="494AC144">
        <w:rPr>
          <w:rFonts w:ascii="Arial" w:eastAsia="Arial" w:hAnsi="Arial" w:cs="Arial"/>
        </w:rPr>
        <w:t xml:space="preserve">Earnings per share (EPS), which shows the earnings attributable to each common share, can be used to evaluate Hilton's investment success. Hilton's diluted earnings per share rose significantly from $1.70 in 2021 to $4.67 in 2022, then to $4.65 in 2023 and $6.61 in 2024. Diluted EPS decreased marginally to $6.43 in </w:t>
      </w:r>
      <w:r w:rsidR="004379DF" w:rsidRPr="494AC144">
        <w:rPr>
          <w:rFonts w:ascii="Arial" w:eastAsia="Arial" w:hAnsi="Arial" w:cs="Arial"/>
        </w:rPr>
        <w:t>2025;</w:t>
      </w:r>
      <w:r w:rsidRPr="494AC144">
        <w:rPr>
          <w:rFonts w:ascii="Arial" w:eastAsia="Arial" w:hAnsi="Arial" w:cs="Arial"/>
        </w:rPr>
        <w:t xml:space="preserve"> </w:t>
      </w:r>
      <w:r w:rsidR="004379DF" w:rsidRPr="494AC144">
        <w:rPr>
          <w:rFonts w:ascii="Arial" w:eastAsia="Arial" w:hAnsi="Arial" w:cs="Arial"/>
        </w:rPr>
        <w:t>however,</w:t>
      </w:r>
      <w:r w:rsidRPr="494AC144">
        <w:rPr>
          <w:rFonts w:ascii="Arial" w:eastAsia="Arial" w:hAnsi="Arial" w:cs="Arial"/>
        </w:rPr>
        <w:t xml:space="preserve"> it was still significantly higher than in 2021 </w:t>
      </w:r>
      <w:r w:rsidR="3BC73C8A" w:rsidRPr="494AC144">
        <w:rPr>
          <w:rFonts w:ascii="Arial" w:eastAsia="Arial" w:hAnsi="Arial" w:cs="Arial"/>
        </w:rPr>
        <w:t>(Hilton Worldwide Holdings Inc., 2026)</w:t>
      </w:r>
      <w:r w:rsidR="31CB26A8" w:rsidRPr="494AC144">
        <w:rPr>
          <w:rFonts w:ascii="Arial" w:eastAsia="Arial" w:hAnsi="Arial" w:cs="Arial"/>
        </w:rPr>
        <w:t>.</w:t>
      </w:r>
      <w:r w:rsidR="5CA1DBBA" w:rsidRPr="494AC144">
        <w:rPr>
          <w:rFonts w:ascii="Arial" w:eastAsia="Arial" w:hAnsi="Arial" w:cs="Arial"/>
        </w:rPr>
        <w:t xml:space="preserve"> This overall improvement suggests that, in the wake of global travel demand recovery, stockholders will generate better earnings. Additionally, Hilton has returned cash to shareholders through share repurchases and dividends; according to its 2025 results, the total amount of capital returned to shareholders, including dividends and repurchases, was almost $3.3 billion.</w:t>
      </w:r>
    </w:p>
    <w:p w14:paraId="27AA3A88" w14:textId="0221B514" w:rsidR="31CB26A8" w:rsidRDefault="31CB26A8" w:rsidP="494AC144">
      <w:pPr>
        <w:spacing w:line="360" w:lineRule="auto"/>
        <w:jc w:val="both"/>
      </w:pPr>
      <w:r w:rsidRPr="494AC144">
        <w:rPr>
          <w:rFonts w:ascii="Arial" w:eastAsia="Arial" w:hAnsi="Arial" w:cs="Arial"/>
        </w:rPr>
        <w:t xml:space="preserve">Ferson (2010) explains that </w:t>
      </w:r>
      <w:r w:rsidR="2CEEE23E" w:rsidRPr="494AC144">
        <w:rPr>
          <w:rFonts w:ascii="Arial" w:eastAsia="Arial" w:hAnsi="Arial" w:cs="Arial"/>
        </w:rPr>
        <w:t xml:space="preserve">There are now established and growing volumes of research on hedge funds, bond funds, pension funds, and a variety of other investment vehicles; the early study on investment performance focused on stock funds.  </w:t>
      </w:r>
    </w:p>
    <w:p w14:paraId="5A4CDCE7" w14:textId="7705799C" w:rsidR="494AC144" w:rsidRDefault="494AC144" w:rsidP="494AC144">
      <w:pPr>
        <w:spacing w:line="360" w:lineRule="auto"/>
        <w:jc w:val="both"/>
        <w:rPr>
          <w:rFonts w:ascii="Arial" w:eastAsia="Arial" w:hAnsi="Arial" w:cs="Arial"/>
        </w:rPr>
      </w:pPr>
    </w:p>
    <w:p w14:paraId="5D322AA1" w14:textId="553C8F86" w:rsidR="494AC144" w:rsidRDefault="494AC144" w:rsidP="494AC144">
      <w:pPr>
        <w:spacing w:line="360" w:lineRule="auto"/>
        <w:jc w:val="both"/>
        <w:rPr>
          <w:rFonts w:ascii="Arial" w:eastAsia="Arial" w:hAnsi="Arial" w:cs="Arial"/>
        </w:rPr>
      </w:pPr>
    </w:p>
    <w:p w14:paraId="64CDDA4D" w14:textId="02F605C5" w:rsidR="494AC144" w:rsidRDefault="494AC144" w:rsidP="494AC144">
      <w:pPr>
        <w:spacing w:line="360" w:lineRule="auto"/>
        <w:jc w:val="both"/>
        <w:rPr>
          <w:rFonts w:ascii="Arial" w:eastAsia="Arial" w:hAnsi="Arial" w:cs="Arial"/>
        </w:rPr>
      </w:pPr>
    </w:p>
    <w:p w14:paraId="33EA608D" w14:textId="4B95DB31" w:rsidR="1E3CA926" w:rsidRDefault="1E3CA926" w:rsidP="24CEE590">
      <w:pPr>
        <w:pStyle w:val="Heading2"/>
        <w:spacing w:line="360" w:lineRule="auto"/>
        <w:rPr>
          <w:rFonts w:ascii="Arial" w:eastAsia="Arial" w:hAnsi="Arial" w:cs="Arial"/>
          <w:color w:val="auto"/>
          <w:sz w:val="24"/>
          <w:szCs w:val="24"/>
        </w:rPr>
      </w:pPr>
      <w:bookmarkStart w:id="8" w:name="_Toc2089550624"/>
      <w:r w:rsidRPr="24CEE590">
        <w:rPr>
          <w:rFonts w:ascii="Arial" w:eastAsia="Arial" w:hAnsi="Arial" w:cs="Arial"/>
          <w:b/>
          <w:bCs/>
          <w:color w:val="auto"/>
          <w:sz w:val="24"/>
          <w:szCs w:val="24"/>
        </w:rPr>
        <w:lastRenderedPageBreak/>
        <w:t>2.7 Cash-flow analysis:</w:t>
      </w:r>
      <w:bookmarkEnd w:id="8"/>
    </w:p>
    <w:p w14:paraId="626F4852" w14:textId="1FCC7AAE" w:rsidR="1E3CA926" w:rsidRDefault="1E3CA926" w:rsidP="494AC144">
      <w:pPr>
        <w:spacing w:line="360" w:lineRule="auto"/>
        <w:jc w:val="both"/>
      </w:pPr>
      <w:r w:rsidRPr="494AC144">
        <w:rPr>
          <w:rFonts w:ascii="Arial" w:eastAsia="Arial" w:hAnsi="Arial" w:cs="Arial"/>
          <w:color w:val="000000" w:themeColor="text1"/>
        </w:rPr>
        <w:t xml:space="preserve">A crucial component of business finances is cash flow, which shows how well the business is doing financially and how well it can pay its debts. Stakeholders can comprehend how cash flows are produced and consumed over a specific time period by looking at cash flow statements (Renaldo et al., 2024). Although significant cash losses from financing activities continue to have an impact on Hilton's total liquidity, the company's cash-flow position shows a strong capacity to generate cash. From $2.013 billion in 2024 to $2.129 billion in 2025, net cash generated from operational activities grew by around 5.8%. This suggests that despite the rise in financial responsibilities, Hilton was still able to make a significant amount of money from its main business. On the other hand, cash used for investing operations decreased from $446 million in 2024 to $190 million in 2025, indicating a decrease in net investment outflows over the course of the year. Nevertheless, $2.348 billion was spent on finance activities in 2025, mostly due to capital returns and payments associated with borrowing </w:t>
      </w:r>
      <w:r w:rsidRPr="494AC144">
        <w:rPr>
          <w:rFonts w:ascii="Arial" w:eastAsia="Arial" w:hAnsi="Arial" w:cs="Arial"/>
        </w:rPr>
        <w:t>(Hilton Worldwide Holdings Inc., 2026)</w:t>
      </w:r>
      <w:r w:rsidRPr="494AC144">
        <w:rPr>
          <w:rFonts w:ascii="Arial" w:eastAsia="Arial" w:hAnsi="Arial" w:cs="Arial"/>
          <w:color w:val="000000" w:themeColor="text1"/>
        </w:rPr>
        <w:t>.</w:t>
      </w:r>
    </w:p>
    <w:p w14:paraId="046244AE" w14:textId="62BDA2E7" w:rsidR="7050140E" w:rsidRDefault="7050140E" w:rsidP="24CEE590">
      <w:pPr>
        <w:pStyle w:val="Heading2"/>
        <w:spacing w:line="360" w:lineRule="auto"/>
        <w:rPr>
          <w:rFonts w:asciiTheme="minorHAnsi" w:eastAsiaTheme="minorEastAsia" w:hAnsiTheme="minorHAnsi" w:cstheme="minorBidi"/>
          <w:b/>
          <w:bCs/>
          <w:color w:val="auto"/>
          <w:sz w:val="24"/>
          <w:szCs w:val="24"/>
        </w:rPr>
      </w:pPr>
      <w:bookmarkStart w:id="9" w:name="_Toc1277138486"/>
      <w:r w:rsidRPr="24CEE590">
        <w:rPr>
          <w:rFonts w:asciiTheme="minorHAnsi" w:eastAsiaTheme="minorEastAsia" w:hAnsiTheme="minorHAnsi" w:cstheme="minorBidi"/>
          <w:b/>
          <w:bCs/>
          <w:color w:val="auto"/>
          <w:sz w:val="24"/>
          <w:szCs w:val="24"/>
        </w:rPr>
        <w:t>2.8 Industry liquidity benchmarking:</w:t>
      </w:r>
      <w:bookmarkEnd w:id="9"/>
    </w:p>
    <w:p w14:paraId="277CFCA3" w14:textId="6BABB1F4" w:rsidR="3ED8166C" w:rsidRDefault="3ED8166C" w:rsidP="494AC144">
      <w:pPr>
        <w:spacing w:line="360" w:lineRule="auto"/>
        <w:jc w:val="both"/>
      </w:pPr>
      <w:r w:rsidRPr="494AC144">
        <w:rPr>
          <w:rFonts w:ascii="Arial" w:eastAsia="Arial" w:hAnsi="Arial" w:cs="Arial"/>
        </w:rPr>
        <w:t>To give more insight, Hilton's liquidity situation might be contrasted with that of significant international hotel chains. In 2025, Hilton reported a current ratio of roughly 0.66:1, meaning that current liabilities were higher than current assets. When compared to traditional liquidity expectations, this seems really modest. However, a comparison with industry peers reveals that large, asset-light hotel corporations frequently have low current ratios. For instance, IHG reported current assets of $2.049 billion versus current liabilities of $2.100 billion, or roughly 0.98:1, compared to Marriott's 2025 current ratio of roughly 0.50:1 (Marriott International, 2026; IHG, 2026).</w:t>
      </w:r>
      <w:r w:rsidR="35E96FEA" w:rsidRPr="494AC144">
        <w:rPr>
          <w:rFonts w:ascii="Arial" w:eastAsia="Arial" w:hAnsi="Arial" w:cs="Arial"/>
        </w:rPr>
        <w:t xml:space="preserve"> Hilton's liquidity is therefore better than Marriott's but worse than IHG's, indicating potential for increased short-term financial resilience.</w:t>
      </w:r>
    </w:p>
    <w:p w14:paraId="7B96F3DF" w14:textId="467F28C3" w:rsidR="494AC144" w:rsidRDefault="494AC144" w:rsidP="494AC144">
      <w:pPr>
        <w:spacing w:line="360" w:lineRule="auto"/>
        <w:jc w:val="both"/>
        <w:rPr>
          <w:rFonts w:ascii="Arial" w:eastAsia="Arial" w:hAnsi="Arial" w:cs="Arial"/>
        </w:rPr>
      </w:pPr>
    </w:p>
    <w:p w14:paraId="0E53BBA3" w14:textId="5AF2C465" w:rsidR="4197E350" w:rsidRDefault="4197E350" w:rsidP="494AC144">
      <w:pPr>
        <w:pStyle w:val="Heading2"/>
        <w:spacing w:line="360" w:lineRule="auto"/>
        <w:jc w:val="both"/>
        <w:rPr>
          <w:rFonts w:asciiTheme="minorHAnsi" w:eastAsiaTheme="minorEastAsia" w:hAnsiTheme="minorHAnsi" w:cstheme="minorBidi"/>
          <w:b/>
          <w:bCs/>
          <w:color w:val="auto"/>
          <w:sz w:val="24"/>
          <w:szCs w:val="24"/>
        </w:rPr>
      </w:pPr>
      <w:bookmarkStart w:id="10" w:name="_Toc1863690679"/>
      <w:r w:rsidRPr="24CEE590">
        <w:rPr>
          <w:rFonts w:asciiTheme="minorHAnsi" w:eastAsiaTheme="minorEastAsia" w:hAnsiTheme="minorHAnsi" w:cstheme="minorBidi"/>
          <w:b/>
          <w:bCs/>
          <w:color w:val="auto"/>
          <w:sz w:val="24"/>
          <w:szCs w:val="24"/>
        </w:rPr>
        <w:lastRenderedPageBreak/>
        <w:t>2.9 Overall Financial Health: Strengths and Threats</w:t>
      </w:r>
      <w:bookmarkEnd w:id="10"/>
    </w:p>
    <w:p w14:paraId="7D2D2D62" w14:textId="77777777" w:rsidR="004379DF" w:rsidRDefault="004379DF" w:rsidP="004379DF">
      <w:pPr>
        <w:spacing w:line="360" w:lineRule="auto"/>
        <w:jc w:val="both"/>
      </w:pPr>
      <w:bookmarkStart w:id="11" w:name="_Toc1864537592"/>
      <w:r w:rsidRPr="494AC144">
        <w:rPr>
          <w:rFonts w:ascii="Arial" w:eastAsia="Arial" w:hAnsi="Arial" w:cs="Arial"/>
        </w:rPr>
        <w:t>Hilton's consistent revenue growth, increased profitability, effective asset use, and significant operational cash creation all show the company's sound financial standing. However, there may be both immediate and long-term hazards due to decreasing liquidity ratios and increasing financial leverage. Therefore, in order to maintain financial flexibility and resilience, Hilton needs control debt while maintaining effective cash-flow management.</w:t>
      </w:r>
    </w:p>
    <w:p w14:paraId="70C49467" w14:textId="75D77B0F" w:rsidR="412CA966" w:rsidRDefault="412CA966" w:rsidP="24CEE590">
      <w:pPr>
        <w:pStyle w:val="Heading1"/>
        <w:spacing w:line="360" w:lineRule="auto"/>
        <w:jc w:val="both"/>
        <w:rPr>
          <w:rFonts w:asciiTheme="minorHAnsi" w:eastAsiaTheme="minorEastAsia" w:hAnsiTheme="minorHAnsi" w:cstheme="minorBidi"/>
          <w:b/>
          <w:bCs/>
          <w:color w:val="auto"/>
          <w:sz w:val="24"/>
          <w:szCs w:val="24"/>
        </w:rPr>
      </w:pPr>
      <w:r w:rsidRPr="24CEE590">
        <w:rPr>
          <w:rFonts w:asciiTheme="minorHAnsi" w:eastAsiaTheme="minorEastAsia" w:hAnsiTheme="minorHAnsi" w:cstheme="minorBidi"/>
          <w:b/>
          <w:bCs/>
          <w:color w:val="auto"/>
          <w:sz w:val="24"/>
          <w:szCs w:val="24"/>
        </w:rPr>
        <w:t>3. Working Capital Management Analysis:</w:t>
      </w:r>
      <w:bookmarkEnd w:id="11"/>
    </w:p>
    <w:p w14:paraId="008755A3" w14:textId="05A397C5" w:rsidR="423589C0" w:rsidRDefault="423589C0" w:rsidP="24CEE590">
      <w:pPr>
        <w:pStyle w:val="Heading2"/>
        <w:spacing w:line="360" w:lineRule="auto"/>
        <w:jc w:val="both"/>
        <w:rPr>
          <w:rFonts w:asciiTheme="minorHAnsi" w:eastAsiaTheme="minorEastAsia" w:hAnsiTheme="minorHAnsi" w:cstheme="minorBidi"/>
          <w:b/>
          <w:bCs/>
          <w:color w:val="auto"/>
          <w:sz w:val="24"/>
          <w:szCs w:val="24"/>
        </w:rPr>
      </w:pPr>
      <w:bookmarkStart w:id="12" w:name="_Toc152765295"/>
      <w:r w:rsidRPr="24CEE590">
        <w:rPr>
          <w:rFonts w:asciiTheme="minorHAnsi" w:eastAsiaTheme="minorEastAsia" w:hAnsiTheme="minorHAnsi" w:cstheme="minorBidi"/>
          <w:b/>
          <w:bCs/>
          <w:color w:val="auto"/>
          <w:sz w:val="24"/>
          <w:szCs w:val="24"/>
        </w:rPr>
        <w:t>3.1 Working capital position:</w:t>
      </w:r>
      <w:bookmarkEnd w:id="12"/>
    </w:p>
    <w:p w14:paraId="766C46E3" w14:textId="77777777" w:rsidR="004379DF" w:rsidRPr="004379DF" w:rsidRDefault="004379DF" w:rsidP="004379DF">
      <w:pPr>
        <w:spacing w:line="360" w:lineRule="auto"/>
        <w:jc w:val="both"/>
        <w:rPr>
          <w:rFonts w:ascii="Arial" w:eastAsia="Arial" w:hAnsi="Arial" w:cs="Arial"/>
          <w:lang w:val="en-IN"/>
        </w:rPr>
      </w:pPr>
      <w:r w:rsidRPr="004379DF">
        <w:rPr>
          <w:rFonts w:ascii="Arial" w:eastAsia="Arial" w:hAnsi="Arial" w:cs="Arial"/>
          <w:lang w:val="en-IN"/>
        </w:rPr>
        <w:t>According to Nwankwo and Osho (2010), this approach suggests that the company's working capital situation will be in optimal balance and that it generates moderate expected profitability, which leads to moderate risk. Hilton's working capital position demonstrates continuous short-term liquidity pressure because its current liabilities exceed its current assets. In 2025, Hilton reported current assets of $2.996 billion and current liabilities of around $4.508 billion, indicating a $1.512 billion shortfall in working capital (Hilton Worldwide Holdings Inc., 2026).</w:t>
      </w:r>
    </w:p>
    <w:p w14:paraId="18BD658A" w14:textId="77777777" w:rsidR="004379DF" w:rsidRPr="004379DF" w:rsidRDefault="004379DF" w:rsidP="004379DF">
      <w:pPr>
        <w:spacing w:line="360" w:lineRule="auto"/>
        <w:jc w:val="both"/>
        <w:rPr>
          <w:rFonts w:ascii="Arial" w:eastAsia="Arial" w:hAnsi="Arial" w:cs="Arial"/>
          <w:lang w:val="en-IN"/>
        </w:rPr>
      </w:pPr>
      <w:r w:rsidRPr="004379DF">
        <w:rPr>
          <w:rFonts w:ascii="Arial" w:eastAsia="Arial" w:hAnsi="Arial" w:cs="Arial"/>
          <w:lang w:val="en-IN"/>
        </w:rPr>
        <w:t>Although negative working capital could seem concerning, Hilton's operating cash creation and business plan should be taken into account. The company's management and franchising operations produce regular fee-based income that reduce its reliance on maintaining large inventory or other traditional working-capital assets. Nonetheless, effective cash-flow forecasting and short-term financial management are still essential to Hilton's capacity to make timely debt payments given the discrepancy between present assets and obligations.</w:t>
      </w:r>
    </w:p>
    <w:p w14:paraId="21DC0E6A" w14:textId="25E29279" w:rsidR="1B80166D" w:rsidRDefault="1B80166D" w:rsidP="494AC144">
      <w:pPr>
        <w:pStyle w:val="Heading2"/>
        <w:spacing w:line="360" w:lineRule="auto"/>
        <w:jc w:val="both"/>
        <w:rPr>
          <w:rFonts w:asciiTheme="minorHAnsi" w:eastAsiaTheme="minorEastAsia" w:hAnsiTheme="minorHAnsi" w:cstheme="minorBidi"/>
          <w:b/>
          <w:bCs/>
          <w:color w:val="auto"/>
          <w:sz w:val="24"/>
          <w:szCs w:val="24"/>
        </w:rPr>
      </w:pPr>
      <w:bookmarkStart w:id="13" w:name="_Toc1144091684"/>
      <w:r w:rsidRPr="24CEE590">
        <w:rPr>
          <w:rFonts w:asciiTheme="minorHAnsi" w:eastAsiaTheme="minorEastAsia" w:hAnsiTheme="minorHAnsi" w:cstheme="minorBidi"/>
          <w:b/>
          <w:bCs/>
          <w:color w:val="auto"/>
          <w:sz w:val="24"/>
          <w:szCs w:val="24"/>
        </w:rPr>
        <w:t>3.2 Cash operating cycle:</w:t>
      </w:r>
      <w:bookmarkEnd w:id="13"/>
    </w:p>
    <w:p w14:paraId="7FB67425" w14:textId="77777777" w:rsidR="004379DF" w:rsidRPr="004379DF" w:rsidRDefault="004379DF" w:rsidP="004379DF">
      <w:pPr>
        <w:spacing w:line="360" w:lineRule="auto"/>
        <w:jc w:val="both"/>
        <w:rPr>
          <w:rFonts w:ascii="Arial" w:eastAsia="Arial" w:hAnsi="Arial" w:cs="Arial"/>
          <w:lang w:val="en-IN"/>
        </w:rPr>
      </w:pPr>
      <w:r w:rsidRPr="004379DF">
        <w:rPr>
          <w:rFonts w:ascii="Arial" w:eastAsia="Arial" w:hAnsi="Arial" w:cs="Arial"/>
          <w:lang w:val="en-IN"/>
        </w:rPr>
        <w:t xml:space="preserve">Hilton's cash operating cycle should be seen differently than that of a manufacturing company because it mostly works thru hotel management and franchising agreements and does not hold significant inventories. Hilton had $918 million in cash and cash equivalents and $1.690 billion in accounts receivable, according to its 2025 financial </w:t>
      </w:r>
      <w:r w:rsidRPr="004379DF">
        <w:rPr>
          <w:rFonts w:ascii="Arial" w:eastAsia="Arial" w:hAnsi="Arial" w:cs="Arial"/>
          <w:lang w:val="en-IN"/>
        </w:rPr>
        <w:lastRenderedPageBreak/>
        <w:t>statements. Because accounts receivable fluctuated throughout the year, the corporation consumed $99 million in operating cash flow.</w:t>
      </w:r>
    </w:p>
    <w:p w14:paraId="30A3572C" w14:textId="77777777" w:rsidR="008C04E2" w:rsidRDefault="008C04E2" w:rsidP="24CEE590">
      <w:pPr>
        <w:pStyle w:val="Heading2"/>
        <w:spacing w:line="360" w:lineRule="auto"/>
        <w:rPr>
          <w:rFonts w:ascii="Arial" w:eastAsia="Arial" w:hAnsi="Arial" w:cs="Arial"/>
          <w:color w:val="auto"/>
          <w:sz w:val="24"/>
          <w:szCs w:val="24"/>
        </w:rPr>
      </w:pPr>
      <w:bookmarkStart w:id="14" w:name="_Toc480111447"/>
      <w:r w:rsidRPr="008C04E2">
        <w:rPr>
          <w:rFonts w:ascii="Arial" w:eastAsia="Arial" w:hAnsi="Arial" w:cs="Arial"/>
          <w:color w:val="auto"/>
          <w:sz w:val="24"/>
          <w:szCs w:val="24"/>
        </w:rPr>
        <w:t xml:space="preserve">According to Jalal and </w:t>
      </w:r>
      <w:proofErr w:type="spellStart"/>
      <w:r w:rsidRPr="008C04E2">
        <w:rPr>
          <w:rFonts w:ascii="Arial" w:eastAsia="Arial" w:hAnsi="Arial" w:cs="Arial"/>
          <w:color w:val="auto"/>
          <w:sz w:val="24"/>
          <w:szCs w:val="24"/>
        </w:rPr>
        <w:t>Khaksari</w:t>
      </w:r>
      <w:proofErr w:type="spellEnd"/>
      <w:r w:rsidRPr="008C04E2">
        <w:rPr>
          <w:rFonts w:ascii="Arial" w:eastAsia="Arial" w:hAnsi="Arial" w:cs="Arial"/>
          <w:color w:val="auto"/>
          <w:sz w:val="24"/>
          <w:szCs w:val="24"/>
        </w:rPr>
        <w:t xml:space="preserve"> (2020), a cash cycle is defined as the inventory cycle plus the receivable and payable cycles. To calculate the inventory cycle, divide the average inventory by the cost of goods sold. The receivable cycle is calculated as the average accounts receivable divided by sales. The payable cycle is calculated by dividing the average payable by the cost of products supplied. The Operating Cycle is the sum number of the Receivable Cycle and Inventory Cycle. Hilton should give timely receivables collection, accurate cash-flow forecasting, and effective supplier payment management top priority in order to maintain liquidity and financial flexibility.</w:t>
      </w:r>
    </w:p>
    <w:p w14:paraId="00B8156F" w14:textId="55517286" w:rsidR="437BDF58" w:rsidRDefault="437BDF58" w:rsidP="24CEE590">
      <w:pPr>
        <w:pStyle w:val="Heading2"/>
        <w:spacing w:line="360" w:lineRule="auto"/>
        <w:rPr>
          <w:rFonts w:asciiTheme="minorHAnsi" w:eastAsiaTheme="minorEastAsia" w:hAnsiTheme="minorHAnsi" w:cstheme="minorBidi"/>
          <w:b/>
          <w:bCs/>
          <w:color w:val="auto"/>
          <w:sz w:val="24"/>
          <w:szCs w:val="24"/>
        </w:rPr>
      </w:pPr>
      <w:r w:rsidRPr="24CEE590">
        <w:rPr>
          <w:rFonts w:asciiTheme="minorHAnsi" w:eastAsiaTheme="minorEastAsia" w:hAnsiTheme="minorHAnsi" w:cstheme="minorBidi"/>
          <w:b/>
          <w:bCs/>
          <w:color w:val="auto"/>
          <w:sz w:val="24"/>
          <w:szCs w:val="24"/>
        </w:rPr>
        <w:t>3.3 Working capital problems:</w:t>
      </w:r>
      <w:bookmarkEnd w:id="14"/>
    </w:p>
    <w:p w14:paraId="465C8D5C" w14:textId="01B6CC46" w:rsidR="494AC144" w:rsidRDefault="25CF12C9" w:rsidP="494AC144">
      <w:pPr>
        <w:spacing w:line="360" w:lineRule="auto"/>
        <w:jc w:val="both"/>
        <w:rPr>
          <w:rFonts w:ascii="Arial" w:eastAsia="Arial" w:hAnsi="Arial" w:cs="Arial"/>
        </w:rPr>
      </w:pPr>
      <w:r w:rsidRPr="494AC144">
        <w:rPr>
          <w:rFonts w:ascii="Arial" w:eastAsia="Arial" w:hAnsi="Arial" w:cs="Arial"/>
        </w:rPr>
        <w:t xml:space="preserve">Nwankwo and Osho (2010) argue that the </w:t>
      </w:r>
      <w:r w:rsidR="2162C1A9" w:rsidRPr="494AC144">
        <w:t>determining the ideal level of investment in each component of current assets, such as inventory, receivables, cash, and other short-term investments, is a difficulty in working capital management.</w:t>
      </w:r>
      <w:r w:rsidR="0298F3A3" w:rsidRPr="494AC144">
        <w:rPr>
          <w:rFonts w:ascii="Arial" w:eastAsia="Arial" w:hAnsi="Arial" w:cs="Arial"/>
        </w:rPr>
        <w:t xml:space="preserve"> The disparity between Hilton's current assets and short-term obligations presents a number of working-capital issues. With current assets of $2.996 billion and current liabilities of roughly $4.508 billion in 2025, working capital was negative by about $1.512 billion</w:t>
      </w:r>
      <w:r w:rsidR="51F65B49" w:rsidRPr="494AC144">
        <w:rPr>
          <w:rFonts w:ascii="Arial" w:eastAsia="Arial" w:hAnsi="Arial" w:cs="Arial"/>
        </w:rPr>
        <w:t xml:space="preserve"> (Hilton Worldwide Holdings Inc., 2026)</w:t>
      </w:r>
      <w:r w:rsidR="0298F3A3" w:rsidRPr="494AC144">
        <w:rPr>
          <w:rFonts w:ascii="Arial" w:eastAsia="Arial" w:hAnsi="Arial" w:cs="Arial"/>
        </w:rPr>
        <w:t>.</w:t>
      </w:r>
    </w:p>
    <w:p w14:paraId="787D8CEE" w14:textId="1ECDD904" w:rsidR="2CF27C54" w:rsidRDefault="2CF27C54" w:rsidP="494AC144">
      <w:pPr>
        <w:spacing w:line="360" w:lineRule="auto"/>
        <w:jc w:val="both"/>
        <w:rPr>
          <w:rFonts w:ascii="Arial" w:eastAsia="Arial" w:hAnsi="Arial" w:cs="Arial"/>
        </w:rPr>
      </w:pPr>
      <w:r w:rsidRPr="494AC144">
        <w:rPr>
          <w:rFonts w:ascii="Arial" w:eastAsia="Arial" w:hAnsi="Arial" w:cs="Arial"/>
        </w:rPr>
        <w:t>Because the corporation has fewer current assets available to satisfy immediate liabilities, this scenario makes efficient cash management even more crucial. Another issue is accounts receivable, which accounted for a sizeable amount of Hilton's current assets and reached $1.690 billion in 2025. Throughout the year, changes in receivables also consumed $99 million in operational cash. Nonetheless, Hilton's operating activities produced $2.129 billion, which is a significant source of liquidity. Maintaining adequate cash while managing receivables and short-term obligations is therefore the fundamental difficulty.</w:t>
      </w:r>
    </w:p>
    <w:p w14:paraId="621DF1A3" w14:textId="77777777" w:rsidR="008C04E2" w:rsidRDefault="008C04E2" w:rsidP="494AC144">
      <w:pPr>
        <w:spacing w:line="360" w:lineRule="auto"/>
        <w:jc w:val="both"/>
      </w:pPr>
    </w:p>
    <w:p w14:paraId="302FC20D" w14:textId="25507F2F" w:rsidR="2EA96DD0" w:rsidRDefault="2EA96DD0" w:rsidP="24CEE590">
      <w:pPr>
        <w:pStyle w:val="Heading2"/>
        <w:spacing w:line="360" w:lineRule="auto"/>
        <w:rPr>
          <w:rFonts w:asciiTheme="minorHAnsi" w:eastAsiaTheme="minorEastAsia" w:hAnsiTheme="minorHAnsi" w:cstheme="minorBidi"/>
          <w:b/>
          <w:bCs/>
          <w:color w:val="auto"/>
          <w:sz w:val="24"/>
          <w:szCs w:val="24"/>
        </w:rPr>
      </w:pPr>
      <w:bookmarkStart w:id="15" w:name="_Toc1363810736"/>
      <w:r w:rsidRPr="24CEE590">
        <w:rPr>
          <w:rFonts w:asciiTheme="minorHAnsi" w:eastAsiaTheme="minorEastAsia" w:hAnsiTheme="minorHAnsi" w:cstheme="minorBidi"/>
          <w:b/>
          <w:bCs/>
          <w:color w:val="auto"/>
          <w:sz w:val="24"/>
          <w:szCs w:val="24"/>
        </w:rPr>
        <w:lastRenderedPageBreak/>
        <w:t>3.4 Strategies to improve liquidity:</w:t>
      </w:r>
      <w:bookmarkEnd w:id="15"/>
    </w:p>
    <w:p w14:paraId="420E18B1" w14:textId="2568612B" w:rsidR="2EA96DD0" w:rsidRDefault="2EA96DD0" w:rsidP="494AC144">
      <w:pPr>
        <w:spacing w:line="360" w:lineRule="auto"/>
        <w:jc w:val="both"/>
      </w:pPr>
      <w:r w:rsidRPr="494AC144">
        <w:t>During times of restricted cash flow, this tactic can improve liquidity by offering rapid access to funds without incurring new debt</w:t>
      </w:r>
      <w:r w:rsidRPr="494AC144">
        <w:rPr>
          <w:rFonts w:ascii="Arial" w:eastAsia="Arial" w:hAnsi="Arial" w:cs="Arial"/>
        </w:rPr>
        <w:t xml:space="preserve"> (Barnabas and Oloyede, 2024)</w:t>
      </w:r>
      <w:r w:rsidRPr="494AC144">
        <w:t>.</w:t>
      </w:r>
      <w:r w:rsidR="2FABE618" w:rsidRPr="494AC144">
        <w:t xml:space="preserve"> By enhancing cash-flow management, speeding up receivables collection, and preserving adequate access to outside funding, Hilton may increase its liquidity. Hilton had $1.690 billion in accounts receivable in 2025 compared to $918 million in cash and cash equivalents, suggesting that efficient receivables management could boost short-term financial availability </w:t>
      </w:r>
      <w:r w:rsidR="2FABE618" w:rsidRPr="494AC144">
        <w:rPr>
          <w:rFonts w:ascii="Arial" w:eastAsia="Arial" w:hAnsi="Arial" w:cs="Arial"/>
        </w:rPr>
        <w:t>(Hilton Worldwide Holdings Inc., 2026)</w:t>
      </w:r>
      <w:r w:rsidR="2FABE618" w:rsidRPr="494AC144">
        <w:t>.</w:t>
      </w:r>
      <w:r w:rsidR="7BDB4704" w:rsidRPr="494AC144">
        <w:rPr>
          <w:rFonts w:ascii="Arial" w:eastAsia="Arial" w:hAnsi="Arial" w:cs="Arial"/>
        </w:rPr>
        <w:t xml:space="preserve"> </w:t>
      </w:r>
    </w:p>
    <w:p w14:paraId="523A6A33" w14:textId="77777777" w:rsidR="008C04E2" w:rsidRPr="008C04E2" w:rsidRDefault="008C04E2" w:rsidP="008C04E2">
      <w:pPr>
        <w:pStyle w:val="Heading2"/>
        <w:spacing w:line="360" w:lineRule="auto"/>
        <w:jc w:val="both"/>
        <w:rPr>
          <w:rFonts w:ascii="Arial" w:eastAsia="Arial" w:hAnsi="Arial" w:cs="Arial"/>
          <w:color w:val="000000" w:themeColor="text1"/>
          <w:sz w:val="24"/>
          <w:szCs w:val="24"/>
          <w:lang w:val="en-IN"/>
        </w:rPr>
      </w:pPr>
      <w:bookmarkStart w:id="16" w:name="_Toc1481819438"/>
      <w:r w:rsidRPr="008C04E2">
        <w:rPr>
          <w:rFonts w:ascii="Arial" w:eastAsia="Arial" w:hAnsi="Arial" w:cs="Arial"/>
          <w:color w:val="000000" w:themeColor="text1"/>
          <w:sz w:val="24"/>
          <w:szCs w:val="24"/>
          <w:lang w:val="en-IN"/>
        </w:rPr>
        <w:t>Therefore, the organization should monitor collection periods, tighten credit-control measures, and use accurate short-term cash-flow forecasts to identify possible funding deficits. Additionally, Hilton may preserve liquidity by prioritizing essential capital expenditures and closely regulating discretionary cash disbursements as short-term financial restrictions increase. Additionally, maintaining unused borrowing capacity provides an essential liquidity buffer. Hilton reported that its revolving credit facility has no outstanding debt and $1.894 billion in available capacity at the end of 2025.</w:t>
      </w:r>
    </w:p>
    <w:p w14:paraId="3E2A4B98" w14:textId="385DD3B1" w:rsidR="5154B187" w:rsidRDefault="5154B187" w:rsidP="494AC144">
      <w:pPr>
        <w:pStyle w:val="Heading2"/>
        <w:spacing w:line="360" w:lineRule="auto"/>
        <w:jc w:val="both"/>
        <w:rPr>
          <w:rFonts w:asciiTheme="minorHAnsi" w:eastAsiaTheme="minorEastAsia" w:hAnsiTheme="minorHAnsi" w:cstheme="minorBidi"/>
          <w:b/>
          <w:bCs/>
          <w:color w:val="auto"/>
          <w:sz w:val="24"/>
          <w:szCs w:val="24"/>
        </w:rPr>
      </w:pPr>
      <w:r w:rsidRPr="24CEE590">
        <w:rPr>
          <w:rFonts w:asciiTheme="minorHAnsi" w:eastAsiaTheme="minorEastAsia" w:hAnsiTheme="minorHAnsi" w:cstheme="minorBidi"/>
          <w:b/>
          <w:bCs/>
          <w:color w:val="auto"/>
          <w:sz w:val="24"/>
          <w:szCs w:val="24"/>
        </w:rPr>
        <w:t>3.5 Short-term versus long-term financing:</w:t>
      </w:r>
      <w:bookmarkEnd w:id="16"/>
    </w:p>
    <w:p w14:paraId="220BEE48" w14:textId="6603DF12" w:rsidR="686F2EED" w:rsidRDefault="686F2EED" w:rsidP="494AC144">
      <w:pPr>
        <w:spacing w:line="360" w:lineRule="auto"/>
        <w:jc w:val="both"/>
      </w:pPr>
      <w:r w:rsidRPr="494AC144">
        <w:rPr>
          <w:rFonts w:ascii="Arial" w:eastAsia="Arial" w:hAnsi="Arial" w:cs="Arial"/>
        </w:rPr>
        <w:t xml:space="preserve">Hilton should have a balanced finance strategy that mixes longer-term debt with short-term liquidity capabilities. Revolving credit and other short-term financing options might offer flexibility for unforeseen cash-flow constraints and working capital needs. </w:t>
      </w:r>
    </w:p>
    <w:p w14:paraId="7ADE6476" w14:textId="11B4B1D7" w:rsidR="686F2EED" w:rsidRDefault="686F2EED" w:rsidP="494AC144">
      <w:pPr>
        <w:spacing w:line="360" w:lineRule="auto"/>
        <w:jc w:val="both"/>
      </w:pPr>
      <w:r w:rsidRPr="494AC144">
        <w:rPr>
          <w:rFonts w:ascii="Arial" w:eastAsia="Arial" w:hAnsi="Arial" w:cs="Arial"/>
        </w:rPr>
        <w:t xml:space="preserve">Refinancing and interest-rate concerns, however, may rise if short-term borrowing is used excessively. Because long-term financing offers more repayment certainty, it is better suited for funding significant investments and refinancing current debt. According to Hilton's 2025 annual report, the company's revolving credit facility had $1.894 billion of available capacity, while its total debt was roughly $12.5 </w:t>
      </w:r>
      <w:r w:rsidR="00FD3DF3" w:rsidRPr="494AC144">
        <w:rPr>
          <w:rFonts w:ascii="Arial" w:eastAsia="Arial" w:hAnsi="Arial" w:cs="Arial"/>
        </w:rPr>
        <w:t>billion. Hilton</w:t>
      </w:r>
      <w:r w:rsidRPr="494AC144">
        <w:rPr>
          <w:rFonts w:ascii="Arial" w:eastAsia="Arial" w:hAnsi="Arial" w:cs="Arial"/>
        </w:rPr>
        <w:t xml:space="preserve"> should thus </w:t>
      </w:r>
      <w:r w:rsidR="00FD3DF3" w:rsidRPr="494AC144">
        <w:rPr>
          <w:rFonts w:ascii="Arial" w:eastAsia="Arial" w:hAnsi="Arial" w:cs="Arial"/>
        </w:rPr>
        <w:t>prioritize</w:t>
      </w:r>
      <w:r w:rsidRPr="494AC144">
        <w:rPr>
          <w:rFonts w:ascii="Arial" w:eastAsia="Arial" w:hAnsi="Arial" w:cs="Arial"/>
        </w:rPr>
        <w:t xml:space="preserve"> long-term finance for significant and strategic capital needs while using existing short-term resources sparingly.</w:t>
      </w:r>
    </w:p>
    <w:p w14:paraId="5AFA2D79" w14:textId="2BAF1377" w:rsidR="5EB0361B" w:rsidRDefault="5EB0361B" w:rsidP="24CEE590">
      <w:pPr>
        <w:pStyle w:val="Heading1"/>
        <w:spacing w:line="360" w:lineRule="auto"/>
        <w:rPr>
          <w:rFonts w:asciiTheme="minorHAnsi" w:eastAsiaTheme="minorEastAsia" w:hAnsiTheme="minorHAnsi" w:cstheme="minorBidi"/>
          <w:b/>
          <w:bCs/>
          <w:color w:val="auto"/>
          <w:sz w:val="24"/>
          <w:szCs w:val="24"/>
        </w:rPr>
      </w:pPr>
      <w:bookmarkStart w:id="17" w:name="_Toc162272580"/>
      <w:r w:rsidRPr="24CEE590">
        <w:rPr>
          <w:rFonts w:asciiTheme="minorHAnsi" w:eastAsiaTheme="minorEastAsia" w:hAnsiTheme="minorHAnsi" w:cstheme="minorBidi"/>
          <w:b/>
          <w:bCs/>
          <w:color w:val="auto"/>
          <w:sz w:val="24"/>
          <w:szCs w:val="24"/>
        </w:rPr>
        <w:lastRenderedPageBreak/>
        <w:t>4. Strategic Financial Restructuring Plan:</w:t>
      </w:r>
      <w:bookmarkEnd w:id="17"/>
    </w:p>
    <w:p w14:paraId="79223CE3" w14:textId="770FA9D6" w:rsidR="5EB0361B" w:rsidRDefault="5EB0361B" w:rsidP="24CEE590">
      <w:pPr>
        <w:pStyle w:val="Heading2"/>
        <w:spacing w:line="360" w:lineRule="auto"/>
        <w:rPr>
          <w:rFonts w:asciiTheme="minorHAnsi" w:eastAsiaTheme="minorEastAsia" w:hAnsiTheme="minorHAnsi" w:cstheme="minorBidi"/>
          <w:b/>
          <w:bCs/>
          <w:color w:val="auto"/>
          <w:sz w:val="24"/>
          <w:szCs w:val="24"/>
        </w:rPr>
      </w:pPr>
      <w:bookmarkStart w:id="18" w:name="_Toc632987206"/>
      <w:r w:rsidRPr="24CEE590">
        <w:rPr>
          <w:rFonts w:asciiTheme="minorHAnsi" w:eastAsiaTheme="minorEastAsia" w:hAnsiTheme="minorHAnsi" w:cstheme="minorBidi"/>
          <w:b/>
          <w:bCs/>
          <w:color w:val="auto"/>
          <w:sz w:val="24"/>
          <w:szCs w:val="24"/>
        </w:rPr>
        <w:t>4.1 Need for financial restructuring:</w:t>
      </w:r>
      <w:bookmarkEnd w:id="18"/>
    </w:p>
    <w:p w14:paraId="741C8C9C" w14:textId="2FB17AA6" w:rsidR="6CD392C5" w:rsidRDefault="6CD392C5" w:rsidP="494AC144">
      <w:pPr>
        <w:spacing w:line="360" w:lineRule="auto"/>
        <w:jc w:val="both"/>
      </w:pPr>
      <w:r w:rsidRPr="494AC144">
        <w:rPr>
          <w:rFonts w:ascii="Arial" w:eastAsia="Arial" w:hAnsi="Arial" w:cs="Arial"/>
        </w:rPr>
        <w:t>Koh et al. (2015) examine financial restructuring is the process of recapitalising debt, whereas portfolio restructuring is the process of refocusing on the company's primary operations thru horizontal integration and disposal. Hilton should take it into consideration in order to improve its financial flexibility and control the risks related to its significant debt obligations. Hilton's total debt at the end of 2025 was around $12.5 billion, and after 2026, anticipated debt maturities and interest payments were projected to come to almost $14.9 billion.</w:t>
      </w:r>
    </w:p>
    <w:p w14:paraId="1F26E15A" w14:textId="5D2F786C" w:rsidR="1467B2C3" w:rsidRDefault="1467B2C3" w:rsidP="494AC144">
      <w:pPr>
        <w:spacing w:line="360" w:lineRule="auto"/>
        <w:jc w:val="both"/>
      </w:pPr>
      <w:r w:rsidRPr="494AC144">
        <w:rPr>
          <w:rFonts w:ascii="Arial" w:eastAsia="Arial" w:hAnsi="Arial" w:cs="Arial"/>
        </w:rPr>
        <w:t>Hilton claimed to have adequate liquidity and access to debt markets, but its rising indebtedness and comparatively low current ratio highlight how crucial it is to keep a sustainable finance structure. Therefore, rather than implementing a significant balance-sheet restructuring, restructuring could concentrate on refinancing specific debt, extending maturities, and controlling interest expenses.</w:t>
      </w:r>
    </w:p>
    <w:p w14:paraId="51251910" w14:textId="4F9B5311" w:rsidR="1DA67979" w:rsidRDefault="1DA67979" w:rsidP="24CEE590">
      <w:pPr>
        <w:pStyle w:val="Heading2"/>
        <w:spacing w:line="360" w:lineRule="auto"/>
        <w:rPr>
          <w:rFonts w:asciiTheme="minorHAnsi" w:eastAsiaTheme="minorEastAsia" w:hAnsiTheme="minorHAnsi" w:cstheme="minorBidi"/>
          <w:b/>
          <w:bCs/>
          <w:color w:val="auto"/>
          <w:sz w:val="24"/>
          <w:szCs w:val="24"/>
        </w:rPr>
      </w:pPr>
      <w:bookmarkStart w:id="19" w:name="_Toc856164806"/>
      <w:r w:rsidRPr="24CEE590">
        <w:rPr>
          <w:rFonts w:asciiTheme="minorHAnsi" w:eastAsiaTheme="minorEastAsia" w:hAnsiTheme="minorHAnsi" w:cstheme="minorBidi"/>
          <w:b/>
          <w:bCs/>
          <w:color w:val="auto"/>
          <w:sz w:val="24"/>
          <w:szCs w:val="24"/>
        </w:rPr>
        <w:t>4.2 Financial restructuring options:</w:t>
      </w:r>
      <w:bookmarkEnd w:id="19"/>
    </w:p>
    <w:p w14:paraId="2581F08C" w14:textId="3EAC5CFA" w:rsidR="2335B6EC" w:rsidRDefault="2335B6EC" w:rsidP="494AC144">
      <w:pPr>
        <w:spacing w:line="360" w:lineRule="auto"/>
        <w:jc w:val="both"/>
      </w:pPr>
      <w:r w:rsidRPr="494AC144">
        <w:rPr>
          <w:rFonts w:ascii="Arial" w:eastAsia="Arial" w:hAnsi="Arial" w:cs="Arial"/>
        </w:rPr>
        <w:t xml:space="preserve">Hilton can strengthen its capital structure and maintain operational flexibility by taking into account a number of financial restructuring options. One possible strategy is debt refinancing, which enables the business to swap out current loans for ones with longer maturities or more advantageous interest rates. </w:t>
      </w:r>
    </w:p>
    <w:p w14:paraId="538BE03C" w14:textId="4754376C" w:rsidR="2335B6EC" w:rsidRDefault="2335B6EC" w:rsidP="494AC144">
      <w:pPr>
        <w:spacing w:line="360" w:lineRule="auto"/>
        <w:jc w:val="both"/>
      </w:pPr>
      <w:r w:rsidRPr="494AC144">
        <w:rPr>
          <w:rFonts w:ascii="Arial" w:eastAsia="Arial" w:hAnsi="Arial" w:cs="Arial"/>
        </w:rPr>
        <w:t xml:space="preserve">Hilton has already stated that it has access to debt markets and may, if necessary, extend the maturities of current </w:t>
      </w:r>
      <w:r w:rsidR="00FD3DF3" w:rsidRPr="494AC144">
        <w:rPr>
          <w:rFonts w:ascii="Arial" w:eastAsia="Arial" w:hAnsi="Arial" w:cs="Arial"/>
        </w:rPr>
        <w:t>loans. Thus</w:t>
      </w:r>
      <w:r w:rsidRPr="494AC144">
        <w:rPr>
          <w:rFonts w:ascii="Arial" w:eastAsia="Arial" w:hAnsi="Arial" w:cs="Arial"/>
        </w:rPr>
        <w:t xml:space="preserve">, in sales performance equations, asset tangibility is a natural tool for debt </w:t>
      </w:r>
      <w:r w:rsidR="742E30FD" w:rsidRPr="494AC144">
        <w:rPr>
          <w:rFonts w:ascii="Arial" w:eastAsia="Arial" w:hAnsi="Arial" w:cs="Arial"/>
        </w:rPr>
        <w:t>financing (Campello, 2006)</w:t>
      </w:r>
      <w:r w:rsidRPr="494AC144">
        <w:rPr>
          <w:rFonts w:ascii="Arial" w:eastAsia="Arial" w:hAnsi="Arial" w:cs="Arial"/>
        </w:rPr>
        <w:t>.</w:t>
      </w:r>
    </w:p>
    <w:p w14:paraId="016E441B" w14:textId="7577C353" w:rsidR="52A8E821" w:rsidRDefault="52A8E821" w:rsidP="494AC144">
      <w:pPr>
        <w:spacing w:line="360" w:lineRule="auto"/>
        <w:jc w:val="both"/>
      </w:pPr>
      <w:r w:rsidRPr="494AC144">
        <w:rPr>
          <w:rFonts w:ascii="Arial" w:eastAsia="Arial" w:hAnsi="Arial" w:cs="Arial"/>
        </w:rPr>
        <w:t>According to Abínzano et al. (2009) loan</w:t>
      </w:r>
      <w:r w:rsidR="0429B6D6" w:rsidRPr="494AC144">
        <w:rPr>
          <w:rFonts w:ascii="Arial" w:eastAsia="Arial" w:hAnsi="Arial" w:cs="Arial"/>
        </w:rPr>
        <w:t xml:space="preserve"> maturity restructuring is a second method that involves extending some loan obligations in order to lower repayment concentrations in specific years. According to scholarly study, changing the age of debt can be a crucial part of corporate restructuring since it might lessen the immediate need to pay off debt.</w:t>
      </w:r>
      <w:r w:rsidR="2DAEEC20" w:rsidRPr="494AC144">
        <w:rPr>
          <w:rFonts w:ascii="Arial" w:eastAsia="Arial" w:hAnsi="Arial" w:cs="Arial"/>
        </w:rPr>
        <w:t xml:space="preserve"> In order to raise money for debt reduction, </w:t>
      </w:r>
    </w:p>
    <w:p w14:paraId="3D8DD1CF" w14:textId="776ACE48" w:rsidR="2DAEEC20" w:rsidRDefault="2DAEEC20" w:rsidP="494AC144">
      <w:pPr>
        <w:spacing w:line="360" w:lineRule="auto"/>
        <w:jc w:val="both"/>
      </w:pPr>
      <w:r w:rsidRPr="494AC144">
        <w:rPr>
          <w:rFonts w:ascii="Arial" w:eastAsia="Arial" w:hAnsi="Arial" w:cs="Arial"/>
        </w:rPr>
        <w:lastRenderedPageBreak/>
        <w:t>A targeted refinancing and maturity-extension strategy, backed by rigorous cash allocation, would be the best course of action given Hilton's significant debt position. By the end of 2025, Hilton reported about $12.5 billion in debt and $1.894 billion in revolving-credit capacity, giving it flexibility to manage its finance needs (Hilton Worldwide Holdings Inc., 2026).</w:t>
      </w:r>
    </w:p>
    <w:p w14:paraId="51F1A2F1" w14:textId="6BC3E437" w:rsidR="225CE001" w:rsidRDefault="225CE001" w:rsidP="24CEE590">
      <w:pPr>
        <w:pStyle w:val="Heading2"/>
        <w:spacing w:line="360" w:lineRule="auto"/>
        <w:jc w:val="both"/>
        <w:rPr>
          <w:rFonts w:asciiTheme="minorHAnsi" w:eastAsiaTheme="minorEastAsia" w:hAnsiTheme="minorHAnsi" w:cstheme="minorBidi"/>
          <w:b/>
          <w:bCs/>
          <w:color w:val="auto"/>
          <w:sz w:val="24"/>
          <w:szCs w:val="24"/>
        </w:rPr>
      </w:pPr>
      <w:bookmarkStart w:id="20" w:name="_Toc1126929313"/>
      <w:r w:rsidRPr="24CEE590">
        <w:rPr>
          <w:rFonts w:asciiTheme="minorHAnsi" w:eastAsiaTheme="minorEastAsia" w:hAnsiTheme="minorHAnsi" w:cstheme="minorBidi"/>
          <w:b/>
          <w:bCs/>
          <w:color w:val="auto"/>
          <w:sz w:val="24"/>
          <w:szCs w:val="24"/>
        </w:rPr>
        <w:t>4.3 Impact on shareholder value:</w:t>
      </w:r>
      <w:bookmarkEnd w:id="20"/>
    </w:p>
    <w:p w14:paraId="10B9D992" w14:textId="77FD1155" w:rsidR="494AC144" w:rsidRDefault="225CE001" w:rsidP="494AC144">
      <w:pPr>
        <w:spacing w:line="360" w:lineRule="auto"/>
        <w:jc w:val="both"/>
      </w:pPr>
      <w:r w:rsidRPr="494AC144">
        <w:t xml:space="preserve">By cutting financing costs, decreasing the risk of refinancing, and increasing the predictability of future cash flows, financial restructuring may have an impact on Hilton's shareholder </w:t>
      </w:r>
      <w:r w:rsidR="00FD3DF3" w:rsidRPr="494AC144">
        <w:t>value. Short</w:t>
      </w:r>
      <w:r w:rsidRPr="494AC144">
        <w:t xml:space="preserve">-term shareholder returns could be weakened though, if dividends or share repurchases are cut in order to save money. Hilton demonstrated the significance of striking a balance between financial flexibility and shareholder distributions in 2025 by returning over $3.3 billion to shareholders through dividends and share repurchases. </w:t>
      </w:r>
    </w:p>
    <w:p w14:paraId="5B58C878" w14:textId="526E9521" w:rsidR="29853989" w:rsidRDefault="29853989" w:rsidP="24CEE590">
      <w:pPr>
        <w:pStyle w:val="Heading2"/>
        <w:spacing w:line="360" w:lineRule="auto"/>
        <w:jc w:val="both"/>
        <w:rPr>
          <w:rFonts w:asciiTheme="minorHAnsi" w:eastAsiaTheme="minorEastAsia" w:hAnsiTheme="minorHAnsi" w:cstheme="minorBidi"/>
          <w:b/>
          <w:bCs/>
          <w:color w:val="auto"/>
          <w:sz w:val="24"/>
          <w:szCs w:val="24"/>
        </w:rPr>
      </w:pPr>
      <w:bookmarkStart w:id="21" w:name="_Toc2129797813"/>
      <w:r w:rsidRPr="24CEE590">
        <w:rPr>
          <w:rFonts w:asciiTheme="minorHAnsi" w:eastAsiaTheme="minorEastAsia" w:hAnsiTheme="minorHAnsi" w:cstheme="minorBidi"/>
          <w:b/>
          <w:bCs/>
          <w:color w:val="auto"/>
          <w:sz w:val="24"/>
          <w:szCs w:val="24"/>
        </w:rPr>
        <w:t>4.4 Impact on Debt Structure and Financial Flexibility:</w:t>
      </w:r>
      <w:bookmarkEnd w:id="21"/>
    </w:p>
    <w:p w14:paraId="1C1D291F" w14:textId="13D7984A" w:rsidR="30C06C8F" w:rsidRDefault="30C06C8F" w:rsidP="494AC144">
      <w:pPr>
        <w:spacing w:line="360" w:lineRule="auto"/>
        <w:jc w:val="both"/>
      </w:pPr>
      <w:r w:rsidRPr="494AC144">
        <w:rPr>
          <w:rFonts w:ascii="Arial" w:eastAsia="Arial" w:hAnsi="Arial" w:cs="Arial"/>
        </w:rPr>
        <w:t>By extending maturities, lowering the concentration of refinancing, and coordinating repayments with anticipated operating cash flows, financial restructuring could enhance Hilton's debt structure. By doing this, borrowing capacity for upcoming investments and unforeseen financial strains would be preserved. By the end of 2025, Hilton had about $12.5 billion in total debt and $1.894 billion in revolving credit capacity (Hilton Worldwide Holdings Inc., 2026).</w:t>
      </w:r>
    </w:p>
    <w:p w14:paraId="5F309BA8" w14:textId="68866487" w:rsidR="4D8A0175" w:rsidRDefault="4D8A0175" w:rsidP="24CEE590">
      <w:pPr>
        <w:pStyle w:val="Heading2"/>
        <w:spacing w:line="360" w:lineRule="auto"/>
        <w:jc w:val="both"/>
        <w:rPr>
          <w:rFonts w:asciiTheme="minorHAnsi" w:eastAsiaTheme="minorEastAsia" w:hAnsiTheme="minorHAnsi" w:cstheme="minorBidi"/>
          <w:b/>
          <w:bCs/>
          <w:color w:val="auto"/>
          <w:sz w:val="24"/>
          <w:szCs w:val="24"/>
        </w:rPr>
      </w:pPr>
      <w:bookmarkStart w:id="22" w:name="_Toc606994982"/>
      <w:r w:rsidRPr="24CEE590">
        <w:rPr>
          <w:rFonts w:asciiTheme="minorHAnsi" w:eastAsiaTheme="minorEastAsia" w:hAnsiTheme="minorHAnsi" w:cstheme="minorBidi"/>
          <w:b/>
          <w:bCs/>
          <w:color w:val="auto"/>
          <w:sz w:val="24"/>
          <w:szCs w:val="24"/>
        </w:rPr>
        <w:t>4.5 International and ethical considerations:</w:t>
      </w:r>
      <w:bookmarkEnd w:id="22"/>
    </w:p>
    <w:p w14:paraId="640BBF9F" w14:textId="55462627" w:rsidR="4D8A0175" w:rsidRDefault="4D8A0175" w:rsidP="494AC144">
      <w:pPr>
        <w:spacing w:line="360" w:lineRule="auto"/>
        <w:jc w:val="both"/>
      </w:pPr>
      <w:r w:rsidRPr="494AC144">
        <w:rPr>
          <w:rFonts w:ascii="Arial" w:eastAsia="Arial" w:hAnsi="Arial" w:cs="Arial"/>
        </w:rPr>
        <w:t>Due of its global operations, Hilton is subject to currency volatility, geopolitical unpredictability, disparate regulatory needs, and market-specific economic situations. Because Hilton recognises the dangers involved in conducting business outside of the United States, its ongoing worldwide expansion necessitates rigorous financial planning and risk management (Hilton Worldwide Holdings Inc., 2026). Therefore, in order to promote sustainable long-term value creation, restructuring decisions should strike a balance between shareholder profits, employe welfare, supplier standards, human rights, and environmental obligations.</w:t>
      </w:r>
    </w:p>
    <w:p w14:paraId="3CB6CB43" w14:textId="22BDC7F8" w:rsidR="43FA2085" w:rsidRDefault="43FA2085" w:rsidP="24CEE590">
      <w:pPr>
        <w:pStyle w:val="Heading2"/>
        <w:spacing w:line="360" w:lineRule="auto"/>
        <w:jc w:val="both"/>
        <w:rPr>
          <w:rFonts w:asciiTheme="minorHAnsi" w:eastAsiaTheme="minorEastAsia" w:hAnsiTheme="minorHAnsi" w:cstheme="minorBidi"/>
          <w:b/>
          <w:bCs/>
          <w:color w:val="auto"/>
          <w:sz w:val="24"/>
          <w:szCs w:val="24"/>
        </w:rPr>
      </w:pPr>
      <w:bookmarkStart w:id="23" w:name="_Toc954970077"/>
      <w:r w:rsidRPr="24CEE590">
        <w:rPr>
          <w:rFonts w:asciiTheme="minorHAnsi" w:eastAsiaTheme="minorEastAsia" w:hAnsiTheme="minorHAnsi" w:cstheme="minorBidi"/>
          <w:b/>
          <w:bCs/>
          <w:color w:val="auto"/>
          <w:sz w:val="24"/>
          <w:szCs w:val="24"/>
        </w:rPr>
        <w:lastRenderedPageBreak/>
        <w:t>4.6 Recommended restructuring strategy:</w:t>
      </w:r>
      <w:bookmarkEnd w:id="23"/>
    </w:p>
    <w:p w14:paraId="1077579F" w14:textId="0E8D458F" w:rsidR="494AC144" w:rsidRPr="00FD3DF3" w:rsidRDefault="409F5A7C" w:rsidP="494AC144">
      <w:pPr>
        <w:spacing w:line="360" w:lineRule="auto"/>
        <w:jc w:val="both"/>
      </w:pPr>
      <w:r w:rsidRPr="494AC144">
        <w:rPr>
          <w:rFonts w:ascii="Arial" w:eastAsia="Arial" w:hAnsi="Arial" w:cs="Arial"/>
        </w:rPr>
        <w:t xml:space="preserve">Instead of undergoing significant financial restructuring, Hilton could implement a targeted debt-refinancing and maturity-management approach. This strategy would preserve operational flexibility while enabling the business to spread payback deadlines, refinance certain commitments, and control interest expenses. At the end of 2025, Hilton had about $12.5 billion in debt and $1.894 billion in available revolving-credit capacity, suggesting that it has the financial flexibility to handle its </w:t>
      </w:r>
      <w:r w:rsidR="00FD3DF3" w:rsidRPr="494AC144">
        <w:rPr>
          <w:rFonts w:ascii="Arial" w:eastAsia="Arial" w:hAnsi="Arial" w:cs="Arial"/>
        </w:rPr>
        <w:t xml:space="preserve">commitments. </w:t>
      </w:r>
    </w:p>
    <w:p w14:paraId="60AF2844" w14:textId="1E9DCAB6" w:rsidR="2B90B740" w:rsidRDefault="2B90B740" w:rsidP="24CEE590">
      <w:pPr>
        <w:pStyle w:val="Heading1"/>
        <w:spacing w:line="360" w:lineRule="auto"/>
        <w:jc w:val="both"/>
        <w:rPr>
          <w:rFonts w:asciiTheme="minorHAnsi" w:eastAsiaTheme="minorEastAsia" w:hAnsiTheme="minorHAnsi" w:cstheme="minorBidi"/>
          <w:b/>
          <w:bCs/>
          <w:color w:val="auto"/>
          <w:sz w:val="24"/>
          <w:szCs w:val="24"/>
        </w:rPr>
      </w:pPr>
      <w:bookmarkStart w:id="24" w:name="_Toc62443747"/>
      <w:r w:rsidRPr="24CEE590">
        <w:rPr>
          <w:rFonts w:asciiTheme="minorHAnsi" w:eastAsiaTheme="minorEastAsia" w:hAnsiTheme="minorHAnsi" w:cstheme="minorBidi"/>
          <w:b/>
          <w:bCs/>
          <w:color w:val="auto"/>
          <w:sz w:val="24"/>
          <w:szCs w:val="24"/>
        </w:rPr>
        <w:t>5.Investment Appraisal and Capital Budgeting:</w:t>
      </w:r>
      <w:bookmarkEnd w:id="24"/>
    </w:p>
    <w:p w14:paraId="75408785" w14:textId="20E6B6C4" w:rsidR="2441368B" w:rsidRDefault="2441368B" w:rsidP="494AC144">
      <w:pPr>
        <w:pStyle w:val="Heading2"/>
        <w:spacing w:line="360" w:lineRule="auto"/>
        <w:jc w:val="both"/>
        <w:rPr>
          <w:rFonts w:asciiTheme="minorHAnsi" w:eastAsiaTheme="minorEastAsia" w:hAnsiTheme="minorHAnsi" w:cstheme="minorBidi"/>
          <w:b/>
          <w:bCs/>
          <w:color w:val="auto"/>
          <w:sz w:val="24"/>
          <w:szCs w:val="24"/>
        </w:rPr>
      </w:pPr>
      <w:bookmarkStart w:id="25" w:name="_Toc391060914"/>
      <w:r w:rsidRPr="24CEE590">
        <w:rPr>
          <w:rFonts w:asciiTheme="minorHAnsi" w:eastAsiaTheme="minorEastAsia" w:hAnsiTheme="minorHAnsi" w:cstheme="minorBidi"/>
          <w:b/>
          <w:bCs/>
          <w:color w:val="auto"/>
          <w:sz w:val="24"/>
          <w:szCs w:val="24"/>
        </w:rPr>
        <w:t>5.1 Investment appraisal overview:</w:t>
      </w:r>
      <w:bookmarkEnd w:id="25"/>
    </w:p>
    <w:p w14:paraId="69A2A699" w14:textId="7031BFC9" w:rsidR="2441368B" w:rsidRDefault="2441368B" w:rsidP="494AC144">
      <w:pPr>
        <w:spacing w:line="360" w:lineRule="auto"/>
        <w:jc w:val="both"/>
      </w:pPr>
      <w:r w:rsidRPr="494AC144">
        <w:rPr>
          <w:rFonts w:ascii="Arial" w:eastAsia="Arial" w:hAnsi="Arial" w:cs="Arial"/>
        </w:rPr>
        <w:t>Organisations can assess if suggested projects are both financially feasible and able to generate long-term value through investment analysis. Hilton can assess competing investments using methods like Payback Period, ARR, NPV, Profitability Index, and IRR. A more thorough foundation for investing decisions is provided by using many approaches (Paseda, 2020).</w:t>
      </w:r>
    </w:p>
    <w:p w14:paraId="5D927DB6" w14:textId="6F7A4511" w:rsidR="69C3E5A2" w:rsidRDefault="69C3E5A2" w:rsidP="24CEE590">
      <w:pPr>
        <w:pStyle w:val="Heading2"/>
        <w:spacing w:line="360" w:lineRule="auto"/>
        <w:jc w:val="both"/>
        <w:rPr>
          <w:rFonts w:asciiTheme="minorHAnsi" w:eastAsiaTheme="minorEastAsia" w:hAnsiTheme="minorHAnsi" w:cstheme="minorBidi"/>
          <w:b/>
          <w:bCs/>
          <w:color w:val="auto"/>
          <w:sz w:val="24"/>
          <w:szCs w:val="24"/>
        </w:rPr>
      </w:pPr>
      <w:bookmarkStart w:id="26" w:name="_Toc1440767385"/>
      <w:r w:rsidRPr="24CEE590">
        <w:rPr>
          <w:rFonts w:asciiTheme="minorHAnsi" w:eastAsiaTheme="minorEastAsia" w:hAnsiTheme="minorHAnsi" w:cstheme="minorBidi"/>
          <w:b/>
          <w:bCs/>
          <w:color w:val="auto"/>
          <w:sz w:val="24"/>
          <w:szCs w:val="24"/>
        </w:rPr>
        <w:t>5.2 Project information and assumptions:</w:t>
      </w:r>
      <w:bookmarkEnd w:id="26"/>
    </w:p>
    <w:p w14:paraId="20763D49" w14:textId="122BE769" w:rsidR="60BA081D" w:rsidRDefault="60BA081D" w:rsidP="494AC144">
      <w:pPr>
        <w:spacing w:line="360" w:lineRule="auto"/>
        <w:jc w:val="both"/>
      </w:pPr>
      <w:r w:rsidRPr="494AC144">
        <w:rPr>
          <w:rFonts w:ascii="Arial" w:eastAsia="Arial" w:hAnsi="Arial" w:cs="Arial"/>
        </w:rPr>
        <w:t>Three different projects are assessed in the investment appraisal, each of which needs a £50 million initial investment. Project B contributes £11 million yearly, while Project A produces irregular income flows of £10 million, £12 million, £14 million, £10 million, and £8 million. Project C brings in £5, £10, £20, £25, and £5 million. Five years of straight-line depreciation to zero are applied, with a discount rate of 8%. When evaluating project profitability, returns, and value creation using PBP, ARR, NPV, PI, and IRR, these presumptions offer a consistent foundation.</w:t>
      </w:r>
    </w:p>
    <w:p w14:paraId="244403F6" w14:textId="594FD6C3" w:rsidR="5D273291" w:rsidRDefault="5D273291" w:rsidP="494AC144">
      <w:pPr>
        <w:pStyle w:val="Heading2"/>
        <w:spacing w:line="360" w:lineRule="auto"/>
        <w:rPr>
          <w:rFonts w:asciiTheme="minorHAnsi" w:eastAsiaTheme="minorEastAsia" w:hAnsiTheme="minorHAnsi" w:cstheme="minorBidi"/>
          <w:b/>
          <w:bCs/>
          <w:color w:val="auto"/>
          <w:sz w:val="24"/>
          <w:szCs w:val="24"/>
        </w:rPr>
      </w:pPr>
      <w:bookmarkStart w:id="27" w:name="_Toc1764398580"/>
      <w:r w:rsidRPr="24CEE590">
        <w:rPr>
          <w:rFonts w:asciiTheme="minorHAnsi" w:eastAsiaTheme="minorEastAsia" w:hAnsiTheme="minorHAnsi" w:cstheme="minorBidi"/>
          <w:b/>
          <w:bCs/>
          <w:color w:val="auto"/>
          <w:sz w:val="24"/>
          <w:szCs w:val="24"/>
        </w:rPr>
        <w:t>5.3 Payback Period (PBP):</w:t>
      </w:r>
      <w:bookmarkEnd w:id="27"/>
    </w:p>
    <w:p w14:paraId="004958C2" w14:textId="65570386" w:rsidR="2344B944" w:rsidRDefault="2344B944" w:rsidP="494AC144">
      <w:pPr>
        <w:spacing w:line="360" w:lineRule="auto"/>
        <w:jc w:val="both"/>
      </w:pPr>
      <w:r w:rsidRPr="494AC144">
        <w:rPr>
          <w:rFonts w:ascii="Arial" w:eastAsia="Arial" w:hAnsi="Arial" w:cs="Arial"/>
        </w:rPr>
        <w:t>A payback period (PBP) is the time frame in which a project's benefits match its invested capital. An investor is typically exposed to greater risk when a project has a lengthier PBP (Ngo and Do, 2022)</w:t>
      </w:r>
    </w:p>
    <w:p w14:paraId="0EE835BC" w14:textId="0B064BE2" w:rsidR="494AC144" w:rsidRPr="00FD3DF3" w:rsidRDefault="729AE17E" w:rsidP="494AC144">
      <w:pPr>
        <w:spacing w:line="360" w:lineRule="auto"/>
        <w:jc w:val="both"/>
      </w:pPr>
      <w:r w:rsidRPr="494AC144">
        <w:rPr>
          <w:rFonts w:ascii="Arial" w:eastAsia="Arial" w:hAnsi="Arial" w:cs="Arial"/>
        </w:rPr>
        <w:t xml:space="preserve">Each of Hilton's suggested projects needs a £50 million upfront investment. With a PBP of 4.5 years, Project A recovers £46 million by the end of Year 4 and needs an additional </w:t>
      </w:r>
      <w:r w:rsidRPr="494AC144">
        <w:rPr>
          <w:rFonts w:ascii="Arial" w:eastAsia="Arial" w:hAnsi="Arial" w:cs="Arial"/>
        </w:rPr>
        <w:lastRenderedPageBreak/>
        <w:t>£4 million from the £8 million inflow from Year 5. With an annual revenue of £11 million, Project B has a payback period of roughly 4.55 years. Project C generates a PBP of 3.6 years after recovering £35 million by Year 3 and needing £15 million from the £25 million inflow in Year 4</w:t>
      </w:r>
      <w:r w:rsidR="2344B944" w:rsidRPr="494AC144">
        <w:rPr>
          <w:rFonts w:ascii="Arial" w:eastAsia="Arial" w:hAnsi="Arial" w:cs="Arial"/>
        </w:rPr>
        <w:t>.</w:t>
      </w:r>
      <w:r w:rsidR="4BC4676F" w:rsidRPr="494AC144">
        <w:rPr>
          <w:rFonts w:ascii="Arial" w:eastAsia="Arial" w:hAnsi="Arial" w:cs="Arial"/>
        </w:rPr>
        <w:t xml:space="preserve"> </w:t>
      </w:r>
    </w:p>
    <w:p w14:paraId="7F54A810" w14:textId="4DB66617" w:rsidR="4BC4676F" w:rsidRDefault="4BC4676F" w:rsidP="494AC144">
      <w:pPr>
        <w:spacing w:line="360" w:lineRule="auto"/>
        <w:jc w:val="both"/>
      </w:pPr>
      <w:r w:rsidRPr="494AC144">
        <w:rPr>
          <w:rFonts w:ascii="Arial" w:eastAsia="Arial" w:hAnsi="Arial" w:cs="Arial"/>
        </w:rPr>
        <w:t>As a result, Project C would be favoured if quick capital recovery is the main requirement because it has the shortest payback period. However, as PBP does not fully represent the economic worth of an investment, NPV, ARR, PI, and IRR should also be taken into account in the final choice.</w:t>
      </w:r>
    </w:p>
    <w:tbl>
      <w:tblPr>
        <w:tblStyle w:val="TableGrid"/>
        <w:tblW w:w="0" w:type="auto"/>
        <w:jc w:val="center"/>
        <w:tblLook w:val="06A0" w:firstRow="1" w:lastRow="0" w:firstColumn="1" w:lastColumn="0" w:noHBand="1" w:noVBand="1"/>
      </w:tblPr>
      <w:tblGrid>
        <w:gridCol w:w="1869"/>
        <w:gridCol w:w="1871"/>
        <w:gridCol w:w="1871"/>
        <w:gridCol w:w="1871"/>
        <w:gridCol w:w="1868"/>
      </w:tblGrid>
      <w:tr w:rsidR="494AC144" w14:paraId="3965ED91" w14:textId="77777777" w:rsidTr="494AC144">
        <w:trPr>
          <w:trHeight w:val="300"/>
          <w:jc w:val="center"/>
        </w:trPr>
        <w:tc>
          <w:tcPr>
            <w:tcW w:w="1872" w:type="dxa"/>
          </w:tcPr>
          <w:p w14:paraId="10D59088" w14:textId="182D6287" w:rsidR="494AC144" w:rsidRDefault="494AC144" w:rsidP="494AC144">
            <w:pPr>
              <w:spacing w:line="360" w:lineRule="auto"/>
              <w:jc w:val="center"/>
            </w:pPr>
            <w:r w:rsidRPr="494AC144">
              <w:rPr>
                <w:b/>
                <w:bCs/>
              </w:rPr>
              <w:t>Project</w:t>
            </w:r>
          </w:p>
        </w:tc>
        <w:tc>
          <w:tcPr>
            <w:tcW w:w="1872" w:type="dxa"/>
          </w:tcPr>
          <w:p w14:paraId="6F499048" w14:textId="5BFF87C1" w:rsidR="494AC144" w:rsidRDefault="494AC144" w:rsidP="494AC144">
            <w:pPr>
              <w:spacing w:line="360" w:lineRule="auto"/>
              <w:jc w:val="center"/>
            </w:pPr>
            <w:r w:rsidRPr="494AC144">
              <w:rPr>
                <w:b/>
                <w:bCs/>
              </w:rPr>
              <w:t>Cumulative cash flow before recovery</w:t>
            </w:r>
          </w:p>
        </w:tc>
        <w:tc>
          <w:tcPr>
            <w:tcW w:w="1872" w:type="dxa"/>
          </w:tcPr>
          <w:p w14:paraId="6720F305" w14:textId="660556EC" w:rsidR="494AC144" w:rsidRDefault="494AC144" w:rsidP="494AC144">
            <w:pPr>
              <w:spacing w:line="360" w:lineRule="auto"/>
              <w:jc w:val="center"/>
            </w:pPr>
            <w:r w:rsidRPr="494AC144">
              <w:rPr>
                <w:b/>
                <w:bCs/>
              </w:rPr>
              <w:t>Unrecovered amount</w:t>
            </w:r>
          </w:p>
        </w:tc>
        <w:tc>
          <w:tcPr>
            <w:tcW w:w="1872" w:type="dxa"/>
          </w:tcPr>
          <w:p w14:paraId="1B9B68CA" w14:textId="223122B3" w:rsidR="494AC144" w:rsidRDefault="494AC144" w:rsidP="494AC144">
            <w:pPr>
              <w:spacing w:line="360" w:lineRule="auto"/>
              <w:jc w:val="center"/>
            </w:pPr>
            <w:r w:rsidRPr="494AC144">
              <w:rPr>
                <w:b/>
                <w:bCs/>
              </w:rPr>
              <w:t>Fraction of final year</w:t>
            </w:r>
          </w:p>
        </w:tc>
        <w:tc>
          <w:tcPr>
            <w:tcW w:w="1872" w:type="dxa"/>
          </w:tcPr>
          <w:p w14:paraId="3DF85537" w14:textId="53790F5E" w:rsidR="494AC144" w:rsidRDefault="494AC144" w:rsidP="494AC144">
            <w:pPr>
              <w:spacing w:line="360" w:lineRule="auto"/>
              <w:jc w:val="center"/>
            </w:pPr>
            <w:r w:rsidRPr="494AC144">
              <w:rPr>
                <w:b/>
                <w:bCs/>
              </w:rPr>
              <w:t>PBP</w:t>
            </w:r>
          </w:p>
        </w:tc>
      </w:tr>
      <w:tr w:rsidR="494AC144" w14:paraId="564DFE48" w14:textId="77777777" w:rsidTr="494AC144">
        <w:trPr>
          <w:trHeight w:val="300"/>
          <w:jc w:val="center"/>
        </w:trPr>
        <w:tc>
          <w:tcPr>
            <w:tcW w:w="1872" w:type="dxa"/>
          </w:tcPr>
          <w:p w14:paraId="66A52887" w14:textId="02CCFE11" w:rsidR="494AC144" w:rsidRDefault="494AC144" w:rsidP="494AC144">
            <w:pPr>
              <w:spacing w:line="360" w:lineRule="auto"/>
              <w:jc w:val="center"/>
            </w:pPr>
            <w:r>
              <w:t>A</w:t>
            </w:r>
          </w:p>
        </w:tc>
        <w:tc>
          <w:tcPr>
            <w:tcW w:w="1872" w:type="dxa"/>
          </w:tcPr>
          <w:p w14:paraId="485EB179" w14:textId="645633A0" w:rsidR="494AC144" w:rsidRDefault="494AC144" w:rsidP="494AC144">
            <w:pPr>
              <w:spacing w:line="360" w:lineRule="auto"/>
              <w:jc w:val="center"/>
            </w:pPr>
            <w:r>
              <w:t>£46m after Year 4</w:t>
            </w:r>
          </w:p>
        </w:tc>
        <w:tc>
          <w:tcPr>
            <w:tcW w:w="1872" w:type="dxa"/>
          </w:tcPr>
          <w:p w14:paraId="13355828" w14:textId="73AE901C" w:rsidR="494AC144" w:rsidRDefault="494AC144" w:rsidP="494AC144">
            <w:pPr>
              <w:spacing w:line="360" w:lineRule="auto"/>
              <w:jc w:val="center"/>
            </w:pPr>
            <w:r>
              <w:t>£4m</w:t>
            </w:r>
          </w:p>
        </w:tc>
        <w:tc>
          <w:tcPr>
            <w:tcW w:w="1872" w:type="dxa"/>
          </w:tcPr>
          <w:p w14:paraId="03CD4EAA" w14:textId="75B3808B" w:rsidR="494AC144" w:rsidRDefault="494AC144" w:rsidP="494AC144">
            <w:pPr>
              <w:spacing w:line="360" w:lineRule="auto"/>
              <w:jc w:val="center"/>
            </w:pPr>
            <w:r>
              <w:t>£4m/£8m = 0.50</w:t>
            </w:r>
          </w:p>
        </w:tc>
        <w:tc>
          <w:tcPr>
            <w:tcW w:w="1872" w:type="dxa"/>
          </w:tcPr>
          <w:p w14:paraId="1940AB1E" w14:textId="55F2EC30" w:rsidR="494AC144" w:rsidRDefault="494AC144" w:rsidP="494AC144">
            <w:pPr>
              <w:spacing w:line="360" w:lineRule="auto"/>
              <w:jc w:val="center"/>
            </w:pPr>
            <w:r w:rsidRPr="494AC144">
              <w:rPr>
                <w:b/>
                <w:bCs/>
              </w:rPr>
              <w:t>4.50 years</w:t>
            </w:r>
          </w:p>
        </w:tc>
      </w:tr>
      <w:tr w:rsidR="494AC144" w14:paraId="547A0D92" w14:textId="77777777" w:rsidTr="494AC144">
        <w:trPr>
          <w:trHeight w:val="300"/>
          <w:jc w:val="center"/>
        </w:trPr>
        <w:tc>
          <w:tcPr>
            <w:tcW w:w="1872" w:type="dxa"/>
          </w:tcPr>
          <w:p w14:paraId="14EA8E6F" w14:textId="5CC0ADB2" w:rsidR="494AC144" w:rsidRDefault="494AC144" w:rsidP="494AC144">
            <w:pPr>
              <w:spacing w:line="360" w:lineRule="auto"/>
              <w:jc w:val="center"/>
            </w:pPr>
            <w:r>
              <w:t>B</w:t>
            </w:r>
          </w:p>
        </w:tc>
        <w:tc>
          <w:tcPr>
            <w:tcW w:w="1872" w:type="dxa"/>
          </w:tcPr>
          <w:p w14:paraId="3119ACB3" w14:textId="4E39E7FF" w:rsidR="494AC144" w:rsidRDefault="494AC144" w:rsidP="494AC144">
            <w:pPr>
              <w:spacing w:line="360" w:lineRule="auto"/>
              <w:jc w:val="center"/>
            </w:pPr>
            <w:r>
              <w:t>£44m after Year 4</w:t>
            </w:r>
          </w:p>
        </w:tc>
        <w:tc>
          <w:tcPr>
            <w:tcW w:w="1872" w:type="dxa"/>
          </w:tcPr>
          <w:p w14:paraId="65916EE4" w14:textId="16804EA6" w:rsidR="494AC144" w:rsidRDefault="494AC144" w:rsidP="494AC144">
            <w:pPr>
              <w:spacing w:line="360" w:lineRule="auto"/>
              <w:jc w:val="center"/>
            </w:pPr>
            <w:r>
              <w:t>£6m</w:t>
            </w:r>
          </w:p>
        </w:tc>
        <w:tc>
          <w:tcPr>
            <w:tcW w:w="1872" w:type="dxa"/>
          </w:tcPr>
          <w:p w14:paraId="6E2DABBA" w14:textId="176D6FCA" w:rsidR="494AC144" w:rsidRDefault="494AC144" w:rsidP="494AC144">
            <w:pPr>
              <w:spacing w:line="360" w:lineRule="auto"/>
              <w:jc w:val="center"/>
            </w:pPr>
            <w:r>
              <w:t>£6m/£11m = 0.55</w:t>
            </w:r>
          </w:p>
        </w:tc>
        <w:tc>
          <w:tcPr>
            <w:tcW w:w="1872" w:type="dxa"/>
          </w:tcPr>
          <w:p w14:paraId="565EA52B" w14:textId="452C52FB" w:rsidR="494AC144" w:rsidRDefault="494AC144" w:rsidP="494AC144">
            <w:pPr>
              <w:spacing w:line="360" w:lineRule="auto"/>
              <w:jc w:val="center"/>
            </w:pPr>
            <w:r w:rsidRPr="494AC144">
              <w:rPr>
                <w:b/>
                <w:bCs/>
              </w:rPr>
              <w:t>4.55 years</w:t>
            </w:r>
          </w:p>
        </w:tc>
      </w:tr>
      <w:tr w:rsidR="494AC144" w14:paraId="223C6142" w14:textId="77777777" w:rsidTr="494AC144">
        <w:trPr>
          <w:trHeight w:val="300"/>
          <w:jc w:val="center"/>
        </w:trPr>
        <w:tc>
          <w:tcPr>
            <w:tcW w:w="1872" w:type="dxa"/>
          </w:tcPr>
          <w:p w14:paraId="13106F9D" w14:textId="12074FA5" w:rsidR="494AC144" w:rsidRDefault="494AC144" w:rsidP="494AC144">
            <w:pPr>
              <w:spacing w:line="360" w:lineRule="auto"/>
              <w:jc w:val="center"/>
            </w:pPr>
            <w:r>
              <w:t>C</w:t>
            </w:r>
          </w:p>
        </w:tc>
        <w:tc>
          <w:tcPr>
            <w:tcW w:w="1872" w:type="dxa"/>
          </w:tcPr>
          <w:p w14:paraId="7EE20AD9" w14:textId="741EA232" w:rsidR="494AC144" w:rsidRDefault="494AC144" w:rsidP="494AC144">
            <w:pPr>
              <w:spacing w:line="360" w:lineRule="auto"/>
              <w:jc w:val="center"/>
            </w:pPr>
            <w:r>
              <w:t>£35m after Year 3</w:t>
            </w:r>
          </w:p>
        </w:tc>
        <w:tc>
          <w:tcPr>
            <w:tcW w:w="1872" w:type="dxa"/>
          </w:tcPr>
          <w:p w14:paraId="68B195A8" w14:textId="546306B4" w:rsidR="494AC144" w:rsidRDefault="494AC144" w:rsidP="494AC144">
            <w:pPr>
              <w:spacing w:line="360" w:lineRule="auto"/>
              <w:jc w:val="center"/>
            </w:pPr>
            <w:r>
              <w:t>£15m</w:t>
            </w:r>
          </w:p>
        </w:tc>
        <w:tc>
          <w:tcPr>
            <w:tcW w:w="1872" w:type="dxa"/>
          </w:tcPr>
          <w:p w14:paraId="06F09120" w14:textId="14D94169" w:rsidR="494AC144" w:rsidRDefault="494AC144" w:rsidP="494AC144">
            <w:pPr>
              <w:spacing w:line="360" w:lineRule="auto"/>
              <w:jc w:val="center"/>
            </w:pPr>
            <w:r>
              <w:t>£15m/£25m = 0.60</w:t>
            </w:r>
          </w:p>
        </w:tc>
        <w:tc>
          <w:tcPr>
            <w:tcW w:w="1872" w:type="dxa"/>
          </w:tcPr>
          <w:p w14:paraId="29F5F080" w14:textId="489E8376" w:rsidR="494AC144" w:rsidRDefault="494AC144" w:rsidP="494AC144">
            <w:pPr>
              <w:spacing w:line="360" w:lineRule="auto"/>
              <w:jc w:val="center"/>
            </w:pPr>
            <w:r w:rsidRPr="494AC144">
              <w:rPr>
                <w:b/>
                <w:bCs/>
              </w:rPr>
              <w:t>3.60 years</w:t>
            </w:r>
          </w:p>
        </w:tc>
      </w:tr>
    </w:tbl>
    <w:p w14:paraId="2A2529EF" w14:textId="77777777" w:rsidR="00FD3DF3" w:rsidRDefault="00FD3DF3" w:rsidP="494AC144">
      <w:pPr>
        <w:spacing w:line="360" w:lineRule="auto"/>
        <w:jc w:val="center"/>
        <w:rPr>
          <w:rFonts w:ascii="Arial" w:eastAsia="Arial" w:hAnsi="Arial" w:cs="Arial"/>
        </w:rPr>
      </w:pPr>
    </w:p>
    <w:p w14:paraId="1DD5C9E2" w14:textId="0B99E64F" w:rsidR="12A3BEB2" w:rsidRDefault="12A3BEB2" w:rsidP="494AC144">
      <w:pPr>
        <w:spacing w:line="360" w:lineRule="auto"/>
        <w:jc w:val="center"/>
      </w:pPr>
      <w:r w:rsidRPr="494AC144">
        <w:rPr>
          <w:rFonts w:ascii="Arial" w:eastAsia="Arial" w:hAnsi="Arial" w:cs="Arial"/>
        </w:rPr>
        <w:t>Payback Period Calculation,</w:t>
      </w:r>
      <w:r w:rsidRPr="494AC144">
        <w:rPr>
          <w:rFonts w:ascii="Arial" w:eastAsia="Arial" w:hAnsi="Arial" w:cs="Arial"/>
          <w:b/>
          <w:bCs/>
        </w:rPr>
        <w:t xml:space="preserve"> Source:</w:t>
      </w:r>
      <w:r w:rsidRPr="494AC144">
        <w:rPr>
          <w:rFonts w:ascii="Arial" w:eastAsia="Arial" w:hAnsi="Arial" w:cs="Arial"/>
        </w:rPr>
        <w:t xml:space="preserve"> Calculated by the author using the project cash flows provided in the assessment brief.</w:t>
      </w:r>
    </w:p>
    <w:p w14:paraId="0711478E" w14:textId="7399B389" w:rsidR="289515C2" w:rsidRDefault="289515C2" w:rsidP="24CEE590">
      <w:pPr>
        <w:pStyle w:val="Heading2"/>
        <w:spacing w:line="360" w:lineRule="auto"/>
        <w:jc w:val="both"/>
        <w:rPr>
          <w:rFonts w:asciiTheme="minorHAnsi" w:eastAsiaTheme="minorEastAsia" w:hAnsiTheme="minorHAnsi" w:cstheme="minorBidi"/>
          <w:b/>
          <w:bCs/>
          <w:color w:val="auto"/>
          <w:sz w:val="24"/>
          <w:szCs w:val="24"/>
        </w:rPr>
      </w:pPr>
      <w:bookmarkStart w:id="28" w:name="_Toc1983508440"/>
      <w:r w:rsidRPr="24CEE590">
        <w:rPr>
          <w:rFonts w:asciiTheme="minorHAnsi" w:eastAsiaTheme="minorEastAsia" w:hAnsiTheme="minorHAnsi" w:cstheme="minorBidi"/>
          <w:b/>
          <w:bCs/>
          <w:color w:val="auto"/>
          <w:sz w:val="24"/>
          <w:szCs w:val="24"/>
        </w:rPr>
        <w:t>5.4 Accounting Rate of Return (ARR):</w:t>
      </w:r>
      <w:bookmarkEnd w:id="28"/>
    </w:p>
    <w:p w14:paraId="423EFA3D" w14:textId="711F9748" w:rsidR="58283971" w:rsidRDefault="58283971" w:rsidP="494AC144">
      <w:pPr>
        <w:spacing w:line="360" w:lineRule="auto"/>
        <w:jc w:val="both"/>
      </w:pPr>
      <w:r w:rsidRPr="494AC144">
        <w:rPr>
          <w:rFonts w:ascii="Arial" w:eastAsia="Arial" w:hAnsi="Arial" w:cs="Arial"/>
        </w:rPr>
        <w:t>The average yearly accounting profit produced by an investment in relation to the capital invested is measured by the Accounting Rate of Return (ARR). ARR is based on accounting profit after depreciation rather than cash inflows, in contrast to the Payback Period. Even tho the approach ignores the time value of money, a greater ARR typically denotes a more appealing project.</w:t>
      </w:r>
    </w:p>
    <w:p w14:paraId="49E556EC" w14:textId="3DD50050" w:rsidR="58283971" w:rsidRDefault="58283971" w:rsidP="494AC144">
      <w:pPr>
        <w:spacing w:line="360" w:lineRule="auto"/>
        <w:jc w:val="both"/>
      </w:pPr>
      <w:r w:rsidRPr="494AC144">
        <w:rPr>
          <w:rFonts w:ascii="Arial" w:eastAsia="Arial" w:hAnsi="Arial" w:cs="Arial"/>
        </w:rPr>
        <w:t xml:space="preserve">The initial investment for the three Hilton projects is £50 million, and the straight-line depreciation over the next five years is £10 million annually. Using the initial investment </w:t>
      </w:r>
      <w:r w:rsidRPr="494AC144">
        <w:rPr>
          <w:rFonts w:ascii="Arial" w:eastAsia="Arial" w:hAnsi="Arial" w:cs="Arial"/>
        </w:rPr>
        <w:lastRenderedPageBreak/>
        <w:t>as the denominator, the resulting ARR for Projects A, B, and C is 1.6%, 2.0%, and 6.0%, respectively. As a result, Project C would be favoured using ARR since it offers the highest accounting return. However, because it overlooks cash-flow patterns and return timing, ARR shouldn't be taken into consideration on its own. As a result, the ultimate investment decision should have more support from NPV and IRR.</w:t>
      </w:r>
    </w:p>
    <w:p w14:paraId="639CE353" w14:textId="28925AB1" w:rsidR="58283971" w:rsidRDefault="58283971" w:rsidP="494AC144">
      <w:pPr>
        <w:spacing w:line="360" w:lineRule="auto"/>
        <w:jc w:val="center"/>
      </w:pPr>
      <w:r w:rsidRPr="494AC144">
        <w:rPr>
          <w:rFonts w:ascii="Arial" w:eastAsia="Arial" w:hAnsi="Arial" w:cs="Arial"/>
          <w:b/>
          <w:bCs/>
        </w:rPr>
        <w:t>Formula: ARR = Average annual accounting profit ÷ Initial investment × 100</w:t>
      </w:r>
    </w:p>
    <w:tbl>
      <w:tblPr>
        <w:tblStyle w:val="TableGrid"/>
        <w:tblW w:w="0" w:type="auto"/>
        <w:jc w:val="center"/>
        <w:tblLook w:val="06A0" w:firstRow="1" w:lastRow="0" w:firstColumn="1" w:lastColumn="0" w:noHBand="1" w:noVBand="1"/>
      </w:tblPr>
      <w:tblGrid>
        <w:gridCol w:w="1869"/>
        <w:gridCol w:w="1870"/>
        <w:gridCol w:w="1871"/>
        <w:gridCol w:w="1871"/>
        <w:gridCol w:w="1869"/>
      </w:tblGrid>
      <w:tr w:rsidR="494AC144" w14:paraId="31E7679A" w14:textId="77777777" w:rsidTr="494AC144">
        <w:trPr>
          <w:trHeight w:val="300"/>
          <w:jc w:val="center"/>
        </w:trPr>
        <w:tc>
          <w:tcPr>
            <w:tcW w:w="1872" w:type="dxa"/>
          </w:tcPr>
          <w:p w14:paraId="566D141D" w14:textId="79F69C98" w:rsidR="494AC144" w:rsidRDefault="494AC144" w:rsidP="494AC144">
            <w:pPr>
              <w:spacing w:line="360" w:lineRule="auto"/>
              <w:jc w:val="center"/>
            </w:pPr>
            <w:r w:rsidRPr="494AC144">
              <w:rPr>
                <w:b/>
                <w:bCs/>
              </w:rPr>
              <w:t>Project</w:t>
            </w:r>
          </w:p>
        </w:tc>
        <w:tc>
          <w:tcPr>
            <w:tcW w:w="1872" w:type="dxa"/>
          </w:tcPr>
          <w:p w14:paraId="0C79928F" w14:textId="606577FF" w:rsidR="494AC144" w:rsidRDefault="494AC144" w:rsidP="494AC144">
            <w:pPr>
              <w:spacing w:line="360" w:lineRule="auto"/>
              <w:jc w:val="center"/>
            </w:pPr>
            <w:r w:rsidRPr="494AC144">
              <w:rPr>
                <w:b/>
                <w:bCs/>
              </w:rPr>
              <w:t>Average annual cash flow (£m)</w:t>
            </w:r>
          </w:p>
        </w:tc>
        <w:tc>
          <w:tcPr>
            <w:tcW w:w="1872" w:type="dxa"/>
          </w:tcPr>
          <w:p w14:paraId="4D9CCE4A" w14:textId="01171DC6" w:rsidR="494AC144" w:rsidRDefault="494AC144" w:rsidP="494AC144">
            <w:pPr>
              <w:spacing w:line="360" w:lineRule="auto"/>
              <w:jc w:val="center"/>
            </w:pPr>
            <w:r w:rsidRPr="494AC144">
              <w:rPr>
                <w:b/>
                <w:bCs/>
              </w:rPr>
              <w:t>Annual depreciation (£m)</w:t>
            </w:r>
          </w:p>
        </w:tc>
        <w:tc>
          <w:tcPr>
            <w:tcW w:w="1872" w:type="dxa"/>
          </w:tcPr>
          <w:p w14:paraId="65E721B2" w14:textId="774CE912" w:rsidR="494AC144" w:rsidRDefault="494AC144" w:rsidP="494AC144">
            <w:pPr>
              <w:spacing w:line="360" w:lineRule="auto"/>
              <w:jc w:val="center"/>
            </w:pPr>
            <w:r w:rsidRPr="494AC144">
              <w:rPr>
                <w:b/>
                <w:bCs/>
              </w:rPr>
              <w:t>Average annual accounting profit (£m)</w:t>
            </w:r>
          </w:p>
        </w:tc>
        <w:tc>
          <w:tcPr>
            <w:tcW w:w="1872" w:type="dxa"/>
          </w:tcPr>
          <w:p w14:paraId="447DDE2B" w14:textId="723AA67A" w:rsidR="494AC144" w:rsidRDefault="494AC144" w:rsidP="494AC144">
            <w:pPr>
              <w:spacing w:line="360" w:lineRule="auto"/>
              <w:jc w:val="center"/>
            </w:pPr>
            <w:r w:rsidRPr="494AC144">
              <w:rPr>
                <w:b/>
                <w:bCs/>
              </w:rPr>
              <w:t>ARR</w:t>
            </w:r>
          </w:p>
        </w:tc>
      </w:tr>
      <w:tr w:rsidR="494AC144" w14:paraId="52F5473C" w14:textId="77777777" w:rsidTr="494AC144">
        <w:trPr>
          <w:trHeight w:val="300"/>
          <w:jc w:val="center"/>
        </w:trPr>
        <w:tc>
          <w:tcPr>
            <w:tcW w:w="1872" w:type="dxa"/>
          </w:tcPr>
          <w:p w14:paraId="086858A2" w14:textId="3B859DF3" w:rsidR="494AC144" w:rsidRDefault="494AC144" w:rsidP="494AC144">
            <w:pPr>
              <w:spacing w:line="360" w:lineRule="auto"/>
              <w:jc w:val="center"/>
            </w:pPr>
            <w:r w:rsidRPr="494AC144">
              <w:rPr>
                <w:b/>
                <w:bCs/>
              </w:rPr>
              <w:t>A</w:t>
            </w:r>
          </w:p>
        </w:tc>
        <w:tc>
          <w:tcPr>
            <w:tcW w:w="1872" w:type="dxa"/>
          </w:tcPr>
          <w:p w14:paraId="45E15F8A" w14:textId="2D43FA90" w:rsidR="494AC144" w:rsidRDefault="494AC144" w:rsidP="494AC144">
            <w:pPr>
              <w:spacing w:line="360" w:lineRule="auto"/>
              <w:jc w:val="center"/>
            </w:pPr>
            <w:r>
              <w:t>10.8</w:t>
            </w:r>
          </w:p>
        </w:tc>
        <w:tc>
          <w:tcPr>
            <w:tcW w:w="1872" w:type="dxa"/>
          </w:tcPr>
          <w:p w14:paraId="70093D89" w14:textId="0ED3F2F1" w:rsidR="494AC144" w:rsidRDefault="494AC144" w:rsidP="494AC144">
            <w:pPr>
              <w:spacing w:line="360" w:lineRule="auto"/>
              <w:jc w:val="center"/>
            </w:pPr>
            <w:r>
              <w:t>10.0</w:t>
            </w:r>
          </w:p>
        </w:tc>
        <w:tc>
          <w:tcPr>
            <w:tcW w:w="1872" w:type="dxa"/>
          </w:tcPr>
          <w:p w14:paraId="1E3B576F" w14:textId="08C088C8" w:rsidR="494AC144" w:rsidRDefault="494AC144" w:rsidP="494AC144">
            <w:pPr>
              <w:spacing w:line="360" w:lineRule="auto"/>
              <w:jc w:val="center"/>
            </w:pPr>
            <w:r>
              <w:t>0.8</w:t>
            </w:r>
          </w:p>
        </w:tc>
        <w:tc>
          <w:tcPr>
            <w:tcW w:w="1872" w:type="dxa"/>
          </w:tcPr>
          <w:p w14:paraId="3056E3F4" w14:textId="235AC4D6" w:rsidR="494AC144" w:rsidRDefault="494AC144" w:rsidP="494AC144">
            <w:pPr>
              <w:spacing w:line="360" w:lineRule="auto"/>
              <w:jc w:val="center"/>
            </w:pPr>
            <w:r w:rsidRPr="494AC144">
              <w:rPr>
                <w:b/>
                <w:bCs/>
              </w:rPr>
              <w:t>1.6%</w:t>
            </w:r>
          </w:p>
        </w:tc>
      </w:tr>
      <w:tr w:rsidR="494AC144" w14:paraId="742981CC" w14:textId="77777777" w:rsidTr="494AC144">
        <w:trPr>
          <w:trHeight w:val="300"/>
          <w:jc w:val="center"/>
        </w:trPr>
        <w:tc>
          <w:tcPr>
            <w:tcW w:w="1872" w:type="dxa"/>
          </w:tcPr>
          <w:p w14:paraId="5715966F" w14:textId="06DAD7B0" w:rsidR="494AC144" w:rsidRDefault="494AC144" w:rsidP="494AC144">
            <w:pPr>
              <w:spacing w:line="360" w:lineRule="auto"/>
              <w:jc w:val="center"/>
            </w:pPr>
            <w:r w:rsidRPr="494AC144">
              <w:rPr>
                <w:b/>
                <w:bCs/>
              </w:rPr>
              <w:t>B</w:t>
            </w:r>
          </w:p>
        </w:tc>
        <w:tc>
          <w:tcPr>
            <w:tcW w:w="1872" w:type="dxa"/>
          </w:tcPr>
          <w:p w14:paraId="004BEFD1" w14:textId="275773ED" w:rsidR="494AC144" w:rsidRDefault="494AC144" w:rsidP="494AC144">
            <w:pPr>
              <w:spacing w:line="360" w:lineRule="auto"/>
              <w:jc w:val="center"/>
            </w:pPr>
            <w:r>
              <w:t>11.0</w:t>
            </w:r>
          </w:p>
        </w:tc>
        <w:tc>
          <w:tcPr>
            <w:tcW w:w="1872" w:type="dxa"/>
          </w:tcPr>
          <w:p w14:paraId="4D427022" w14:textId="44CAA464" w:rsidR="494AC144" w:rsidRDefault="494AC144" w:rsidP="494AC144">
            <w:pPr>
              <w:spacing w:line="360" w:lineRule="auto"/>
              <w:jc w:val="center"/>
            </w:pPr>
            <w:r>
              <w:t>10.0</w:t>
            </w:r>
          </w:p>
        </w:tc>
        <w:tc>
          <w:tcPr>
            <w:tcW w:w="1872" w:type="dxa"/>
          </w:tcPr>
          <w:p w14:paraId="2D3DBEF0" w14:textId="4022FEC4" w:rsidR="494AC144" w:rsidRDefault="494AC144" w:rsidP="494AC144">
            <w:pPr>
              <w:spacing w:line="360" w:lineRule="auto"/>
              <w:jc w:val="center"/>
            </w:pPr>
            <w:r>
              <w:t>1.0</w:t>
            </w:r>
          </w:p>
        </w:tc>
        <w:tc>
          <w:tcPr>
            <w:tcW w:w="1872" w:type="dxa"/>
          </w:tcPr>
          <w:p w14:paraId="42A5E67B" w14:textId="796EEFA7" w:rsidR="494AC144" w:rsidRDefault="494AC144" w:rsidP="494AC144">
            <w:pPr>
              <w:spacing w:line="360" w:lineRule="auto"/>
              <w:jc w:val="center"/>
            </w:pPr>
            <w:r w:rsidRPr="494AC144">
              <w:rPr>
                <w:b/>
                <w:bCs/>
              </w:rPr>
              <w:t>2.0%</w:t>
            </w:r>
          </w:p>
        </w:tc>
      </w:tr>
      <w:tr w:rsidR="494AC144" w14:paraId="0330E459" w14:textId="77777777" w:rsidTr="494AC144">
        <w:trPr>
          <w:trHeight w:val="300"/>
          <w:jc w:val="center"/>
        </w:trPr>
        <w:tc>
          <w:tcPr>
            <w:tcW w:w="1872" w:type="dxa"/>
          </w:tcPr>
          <w:p w14:paraId="3189AD8A" w14:textId="5FCFB428" w:rsidR="494AC144" w:rsidRDefault="494AC144" w:rsidP="494AC144">
            <w:pPr>
              <w:spacing w:line="360" w:lineRule="auto"/>
              <w:jc w:val="center"/>
            </w:pPr>
            <w:r w:rsidRPr="494AC144">
              <w:rPr>
                <w:b/>
                <w:bCs/>
              </w:rPr>
              <w:t>C</w:t>
            </w:r>
          </w:p>
        </w:tc>
        <w:tc>
          <w:tcPr>
            <w:tcW w:w="1872" w:type="dxa"/>
          </w:tcPr>
          <w:p w14:paraId="791B4B0D" w14:textId="093E8799" w:rsidR="494AC144" w:rsidRDefault="494AC144" w:rsidP="494AC144">
            <w:pPr>
              <w:spacing w:line="360" w:lineRule="auto"/>
              <w:jc w:val="center"/>
            </w:pPr>
            <w:r>
              <w:t>13.0</w:t>
            </w:r>
          </w:p>
        </w:tc>
        <w:tc>
          <w:tcPr>
            <w:tcW w:w="1872" w:type="dxa"/>
          </w:tcPr>
          <w:p w14:paraId="547D93A4" w14:textId="085172F2" w:rsidR="494AC144" w:rsidRDefault="494AC144" w:rsidP="494AC144">
            <w:pPr>
              <w:spacing w:line="360" w:lineRule="auto"/>
              <w:jc w:val="center"/>
            </w:pPr>
            <w:r>
              <w:t>10.0</w:t>
            </w:r>
          </w:p>
        </w:tc>
        <w:tc>
          <w:tcPr>
            <w:tcW w:w="1872" w:type="dxa"/>
          </w:tcPr>
          <w:p w14:paraId="034AD925" w14:textId="1409FFAA" w:rsidR="494AC144" w:rsidRDefault="494AC144" w:rsidP="494AC144">
            <w:pPr>
              <w:spacing w:line="360" w:lineRule="auto"/>
              <w:jc w:val="center"/>
            </w:pPr>
            <w:r>
              <w:t>3.0</w:t>
            </w:r>
          </w:p>
        </w:tc>
        <w:tc>
          <w:tcPr>
            <w:tcW w:w="1872" w:type="dxa"/>
          </w:tcPr>
          <w:p w14:paraId="6C381D61" w14:textId="63EB0F67" w:rsidR="494AC144" w:rsidRDefault="494AC144" w:rsidP="494AC144">
            <w:pPr>
              <w:spacing w:line="360" w:lineRule="auto"/>
              <w:jc w:val="center"/>
            </w:pPr>
            <w:r w:rsidRPr="494AC144">
              <w:rPr>
                <w:b/>
                <w:bCs/>
              </w:rPr>
              <w:t>6.0%</w:t>
            </w:r>
          </w:p>
        </w:tc>
      </w:tr>
    </w:tbl>
    <w:p w14:paraId="5190C94B" w14:textId="77777777" w:rsidR="00FD3DF3" w:rsidRDefault="00FD3DF3" w:rsidP="494AC144">
      <w:pPr>
        <w:spacing w:line="360" w:lineRule="auto"/>
        <w:jc w:val="center"/>
        <w:rPr>
          <w:rFonts w:ascii="Arial" w:eastAsia="Arial" w:hAnsi="Arial" w:cs="Arial"/>
        </w:rPr>
      </w:pPr>
    </w:p>
    <w:p w14:paraId="3B128C3C" w14:textId="6EC6895E" w:rsidR="42FD3AF7" w:rsidRDefault="42FD3AF7" w:rsidP="494AC144">
      <w:pPr>
        <w:spacing w:line="360" w:lineRule="auto"/>
        <w:jc w:val="center"/>
        <w:rPr>
          <w:rFonts w:ascii="Arial" w:eastAsia="Arial" w:hAnsi="Arial" w:cs="Arial"/>
        </w:rPr>
      </w:pPr>
      <w:r w:rsidRPr="494AC144">
        <w:rPr>
          <w:rFonts w:ascii="Arial" w:eastAsia="Arial" w:hAnsi="Arial" w:cs="Arial"/>
        </w:rPr>
        <w:t>ARR Calculation,</w:t>
      </w:r>
      <w:r w:rsidRPr="494AC144">
        <w:rPr>
          <w:rFonts w:ascii="Arial" w:eastAsia="Arial" w:hAnsi="Arial" w:cs="Arial"/>
          <w:b/>
          <w:bCs/>
        </w:rPr>
        <w:t xml:space="preserve"> Source:</w:t>
      </w:r>
      <w:r w:rsidRPr="494AC144">
        <w:rPr>
          <w:rFonts w:ascii="Arial" w:eastAsia="Arial" w:hAnsi="Arial" w:cs="Arial"/>
        </w:rPr>
        <w:t xml:space="preserve"> Calculated by the author using the project cash flows provided in the assessment brief.</w:t>
      </w:r>
    </w:p>
    <w:p w14:paraId="54EB94DE" w14:textId="77777777" w:rsidR="00FD3DF3" w:rsidRDefault="00FD3DF3" w:rsidP="494AC144">
      <w:pPr>
        <w:spacing w:line="360" w:lineRule="auto"/>
        <w:jc w:val="center"/>
        <w:rPr>
          <w:rFonts w:ascii="Arial" w:eastAsia="Arial" w:hAnsi="Arial" w:cs="Arial"/>
        </w:rPr>
      </w:pPr>
    </w:p>
    <w:p w14:paraId="57509570" w14:textId="77777777" w:rsidR="00FD3DF3" w:rsidRDefault="00FD3DF3" w:rsidP="494AC144">
      <w:pPr>
        <w:spacing w:line="360" w:lineRule="auto"/>
        <w:jc w:val="center"/>
      </w:pPr>
    </w:p>
    <w:p w14:paraId="71147F57" w14:textId="2667E720" w:rsidR="72731656" w:rsidRDefault="72731656" w:rsidP="24CEE590">
      <w:pPr>
        <w:pStyle w:val="Heading2"/>
        <w:spacing w:line="360" w:lineRule="auto"/>
        <w:jc w:val="both"/>
        <w:rPr>
          <w:rFonts w:asciiTheme="minorHAnsi" w:eastAsiaTheme="minorEastAsia" w:hAnsiTheme="minorHAnsi" w:cstheme="minorBidi"/>
          <w:b/>
          <w:bCs/>
          <w:color w:val="auto"/>
          <w:sz w:val="24"/>
          <w:szCs w:val="24"/>
        </w:rPr>
      </w:pPr>
      <w:bookmarkStart w:id="29" w:name="_Toc400270661"/>
      <w:r w:rsidRPr="24CEE590">
        <w:rPr>
          <w:rFonts w:asciiTheme="minorHAnsi" w:eastAsiaTheme="minorEastAsia" w:hAnsiTheme="minorHAnsi" w:cstheme="minorBidi"/>
          <w:b/>
          <w:bCs/>
          <w:color w:val="auto"/>
          <w:sz w:val="24"/>
          <w:szCs w:val="24"/>
        </w:rPr>
        <w:t>5.5 Net Present Value (NPV):</w:t>
      </w:r>
      <w:bookmarkEnd w:id="29"/>
    </w:p>
    <w:p w14:paraId="6236C462" w14:textId="0D8C9FE7" w:rsidR="10F026E7" w:rsidRDefault="10F026E7" w:rsidP="24CEE590">
      <w:pPr>
        <w:spacing w:line="360" w:lineRule="auto"/>
        <w:jc w:val="both"/>
      </w:pPr>
      <w:r w:rsidRPr="24CEE590">
        <w:rPr>
          <w:rFonts w:ascii="Arial" w:eastAsia="Arial" w:hAnsi="Arial" w:cs="Arial"/>
        </w:rPr>
        <w:t>The net present value, or NPV, is calculated by adding together all of the future cash flows. Both inflows and outflows are discounted at a specific rate when calculating cash flows. It is computed by deducting investment expenditures or cash outflows from cash inflows</w:t>
      </w:r>
      <w:r w:rsidR="37F757DA" w:rsidRPr="24CEE590">
        <w:rPr>
          <w:rFonts w:ascii="Arial" w:eastAsia="Arial" w:hAnsi="Arial" w:cs="Arial"/>
        </w:rPr>
        <w:t xml:space="preserve"> (Shou, 2022)</w:t>
      </w:r>
      <w:r w:rsidRPr="24CEE590">
        <w:rPr>
          <w:rFonts w:ascii="Arial" w:eastAsia="Arial" w:hAnsi="Arial" w:cs="Arial"/>
        </w:rPr>
        <w:t>.</w:t>
      </w:r>
    </w:p>
    <w:p w14:paraId="6B236D65" w14:textId="0F16A625" w:rsidR="24CEE590" w:rsidRDefault="06ABF820" w:rsidP="00FD3DF3">
      <w:pPr>
        <w:spacing w:line="360" w:lineRule="auto"/>
        <w:jc w:val="both"/>
        <w:rPr>
          <w:rFonts w:ascii="Arial" w:eastAsia="Arial" w:hAnsi="Arial" w:cs="Arial"/>
        </w:rPr>
      </w:pPr>
      <w:r w:rsidRPr="24CEE590">
        <w:rPr>
          <w:rFonts w:ascii="Arial" w:eastAsia="Arial" w:hAnsi="Arial" w:cs="Arial"/>
        </w:rPr>
        <w:t>A £50 million initial investment and an 8% discount rate are used for Hilton's three proposed projects. For Project A, Project B, and Project C, the estimated net present values are -£6.55 million, -£6.08 million, and +£0.86 million, respectively. As a result, Project C would be more financially advantageous based on the NPV criterion since it is the only proposal generating a positive NPV.</w:t>
      </w:r>
    </w:p>
    <w:p w14:paraId="0127CED3" w14:textId="78EA0E9A" w:rsidR="06ABF820" w:rsidRDefault="06ABF820" w:rsidP="24CEE590">
      <w:pPr>
        <w:jc w:val="center"/>
        <w:rPr>
          <w:rFonts w:ascii="Arial" w:eastAsia="Arial" w:hAnsi="Arial" w:cs="Arial"/>
        </w:rPr>
      </w:pPr>
      <w:r w:rsidRPr="494AC144">
        <w:rPr>
          <w:rFonts w:ascii="Arial" w:eastAsia="Arial" w:hAnsi="Arial" w:cs="Arial"/>
        </w:rPr>
        <w:lastRenderedPageBreak/>
        <w:t xml:space="preserve">Formula: </w:t>
      </w:r>
      <w:r w:rsidR="1D697DD4" w:rsidRPr="24CEE590">
        <w:rPr>
          <w:rFonts w:ascii="Arial" w:eastAsia="Arial" w:hAnsi="Arial" w:cs="Arial"/>
        </w:rPr>
        <w:t xml:space="preserve"> </w:t>
      </w:r>
      <w:r w:rsidR="1D697DD4">
        <w:rPr>
          <w:noProof/>
        </w:rPr>
        <w:drawing>
          <wp:inline distT="0" distB="0" distL="0" distR="0" wp14:anchorId="454D65EB" wp14:editId="17005BA7">
            <wp:extent cx="1790792" cy="711237"/>
            <wp:effectExtent l="0" t="0" r="0" b="0"/>
            <wp:docPr id="1074454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54025" name="Picture 1074454025"/>
                    <pic:cNvPicPr/>
                  </pic:nvPicPr>
                  <pic:blipFill>
                    <a:blip r:embed="rId7">
                      <a:extLst>
                        <a:ext uri="{28A0092B-C50C-407E-A947-70E740481C1C}">
                          <a14:useLocalDpi xmlns:a14="http://schemas.microsoft.com/office/drawing/2010/main"/>
                        </a:ext>
                      </a:extLst>
                    </a:blip>
                    <a:stretch>
                      <a:fillRect/>
                    </a:stretch>
                  </pic:blipFill>
                  <pic:spPr>
                    <a:xfrm>
                      <a:off x="0" y="0"/>
                      <a:ext cx="1790792" cy="711237"/>
                    </a:xfrm>
                    <a:prstGeom prst="rect">
                      <a:avLst/>
                    </a:prstGeom>
                  </pic:spPr>
                </pic:pic>
              </a:graphicData>
            </a:graphic>
          </wp:inline>
        </w:drawing>
      </w:r>
    </w:p>
    <w:tbl>
      <w:tblPr>
        <w:tblStyle w:val="TableGrid"/>
        <w:tblW w:w="0" w:type="auto"/>
        <w:jc w:val="center"/>
        <w:tblLook w:val="06A0" w:firstRow="1" w:lastRow="0" w:firstColumn="1" w:lastColumn="0" w:noHBand="1" w:noVBand="1"/>
      </w:tblPr>
      <w:tblGrid>
        <w:gridCol w:w="1870"/>
        <w:gridCol w:w="1870"/>
        <w:gridCol w:w="1871"/>
        <w:gridCol w:w="1869"/>
        <w:gridCol w:w="1870"/>
      </w:tblGrid>
      <w:tr w:rsidR="24CEE590" w14:paraId="6148CBB6" w14:textId="77777777" w:rsidTr="24CEE590">
        <w:trPr>
          <w:trHeight w:val="300"/>
          <w:jc w:val="center"/>
        </w:trPr>
        <w:tc>
          <w:tcPr>
            <w:tcW w:w="1872" w:type="dxa"/>
          </w:tcPr>
          <w:p w14:paraId="0CAA69A9" w14:textId="3AE6980E" w:rsidR="24CEE590" w:rsidRDefault="24CEE590" w:rsidP="24CEE590">
            <w:pPr>
              <w:spacing w:line="360" w:lineRule="auto"/>
              <w:jc w:val="center"/>
            </w:pPr>
            <w:r w:rsidRPr="24CEE590">
              <w:rPr>
                <w:b/>
                <w:bCs/>
              </w:rPr>
              <w:t>Project</w:t>
            </w:r>
          </w:p>
        </w:tc>
        <w:tc>
          <w:tcPr>
            <w:tcW w:w="1872" w:type="dxa"/>
          </w:tcPr>
          <w:p w14:paraId="35628FA2" w14:textId="722F37E8" w:rsidR="24CEE590" w:rsidRDefault="24CEE590" w:rsidP="24CEE590">
            <w:pPr>
              <w:spacing w:line="360" w:lineRule="auto"/>
              <w:jc w:val="center"/>
            </w:pPr>
            <w:r w:rsidRPr="24CEE590">
              <w:rPr>
                <w:b/>
                <w:bCs/>
              </w:rPr>
              <w:t>Present value of future cash flows (£m)</w:t>
            </w:r>
          </w:p>
        </w:tc>
        <w:tc>
          <w:tcPr>
            <w:tcW w:w="1872" w:type="dxa"/>
          </w:tcPr>
          <w:p w14:paraId="245F5C27" w14:textId="5BEE162C" w:rsidR="24CEE590" w:rsidRDefault="24CEE590" w:rsidP="24CEE590">
            <w:pPr>
              <w:spacing w:line="360" w:lineRule="auto"/>
              <w:jc w:val="center"/>
            </w:pPr>
            <w:r w:rsidRPr="24CEE590">
              <w:rPr>
                <w:b/>
                <w:bCs/>
              </w:rPr>
              <w:t>Initial investment (£m)</w:t>
            </w:r>
          </w:p>
        </w:tc>
        <w:tc>
          <w:tcPr>
            <w:tcW w:w="1872" w:type="dxa"/>
          </w:tcPr>
          <w:p w14:paraId="6809FA2A" w14:textId="6155B7B3" w:rsidR="24CEE590" w:rsidRDefault="24CEE590" w:rsidP="24CEE590">
            <w:pPr>
              <w:spacing w:line="360" w:lineRule="auto"/>
              <w:jc w:val="center"/>
            </w:pPr>
            <w:r w:rsidRPr="24CEE590">
              <w:rPr>
                <w:b/>
                <w:bCs/>
              </w:rPr>
              <w:t>NPV (£m)</w:t>
            </w:r>
          </w:p>
        </w:tc>
        <w:tc>
          <w:tcPr>
            <w:tcW w:w="1872" w:type="dxa"/>
          </w:tcPr>
          <w:p w14:paraId="547B2A1B" w14:textId="6524B25F" w:rsidR="24CEE590" w:rsidRDefault="24CEE590" w:rsidP="24CEE590">
            <w:pPr>
              <w:spacing w:line="360" w:lineRule="auto"/>
              <w:jc w:val="center"/>
            </w:pPr>
            <w:r w:rsidRPr="24CEE590">
              <w:rPr>
                <w:b/>
                <w:bCs/>
              </w:rPr>
              <w:t>Decision</w:t>
            </w:r>
          </w:p>
        </w:tc>
      </w:tr>
      <w:tr w:rsidR="24CEE590" w14:paraId="29E48D14" w14:textId="77777777" w:rsidTr="24CEE590">
        <w:trPr>
          <w:trHeight w:val="300"/>
          <w:jc w:val="center"/>
        </w:trPr>
        <w:tc>
          <w:tcPr>
            <w:tcW w:w="1872" w:type="dxa"/>
          </w:tcPr>
          <w:p w14:paraId="058DF1AC" w14:textId="3ECDF9F2" w:rsidR="24CEE590" w:rsidRDefault="24CEE590" w:rsidP="24CEE590">
            <w:pPr>
              <w:spacing w:line="360" w:lineRule="auto"/>
              <w:jc w:val="center"/>
            </w:pPr>
            <w:r w:rsidRPr="24CEE590">
              <w:rPr>
                <w:b/>
                <w:bCs/>
              </w:rPr>
              <w:t>A</w:t>
            </w:r>
          </w:p>
        </w:tc>
        <w:tc>
          <w:tcPr>
            <w:tcW w:w="1872" w:type="dxa"/>
          </w:tcPr>
          <w:p w14:paraId="434D707E" w14:textId="7AC682F1" w:rsidR="24CEE590" w:rsidRDefault="24CEE590" w:rsidP="24CEE590">
            <w:pPr>
              <w:spacing w:line="360" w:lineRule="auto"/>
              <w:jc w:val="center"/>
            </w:pPr>
            <w:r>
              <w:t>43.46</w:t>
            </w:r>
          </w:p>
        </w:tc>
        <w:tc>
          <w:tcPr>
            <w:tcW w:w="1872" w:type="dxa"/>
          </w:tcPr>
          <w:p w14:paraId="1DB5D201" w14:textId="4FBD86A9" w:rsidR="24CEE590" w:rsidRDefault="24CEE590" w:rsidP="24CEE590">
            <w:pPr>
              <w:spacing w:line="360" w:lineRule="auto"/>
              <w:jc w:val="center"/>
            </w:pPr>
            <w:r>
              <w:t>50.00</w:t>
            </w:r>
          </w:p>
        </w:tc>
        <w:tc>
          <w:tcPr>
            <w:tcW w:w="1872" w:type="dxa"/>
          </w:tcPr>
          <w:p w14:paraId="0690637F" w14:textId="364E2E16" w:rsidR="24CEE590" w:rsidRDefault="24CEE590" w:rsidP="24CEE590">
            <w:pPr>
              <w:spacing w:line="360" w:lineRule="auto"/>
              <w:jc w:val="center"/>
            </w:pPr>
            <w:r w:rsidRPr="24CEE590">
              <w:rPr>
                <w:b/>
                <w:bCs/>
              </w:rPr>
              <w:t>−6.55</w:t>
            </w:r>
          </w:p>
        </w:tc>
        <w:tc>
          <w:tcPr>
            <w:tcW w:w="1872" w:type="dxa"/>
          </w:tcPr>
          <w:p w14:paraId="11F211A6" w14:textId="4B4A0383" w:rsidR="24CEE590" w:rsidRDefault="24CEE590" w:rsidP="24CEE590">
            <w:pPr>
              <w:spacing w:line="360" w:lineRule="auto"/>
              <w:jc w:val="center"/>
            </w:pPr>
            <w:r>
              <w:t>Reject</w:t>
            </w:r>
          </w:p>
        </w:tc>
      </w:tr>
      <w:tr w:rsidR="24CEE590" w14:paraId="21BF3174" w14:textId="77777777" w:rsidTr="24CEE590">
        <w:trPr>
          <w:trHeight w:val="300"/>
          <w:jc w:val="center"/>
        </w:trPr>
        <w:tc>
          <w:tcPr>
            <w:tcW w:w="1872" w:type="dxa"/>
          </w:tcPr>
          <w:p w14:paraId="00C23BBD" w14:textId="35C96027" w:rsidR="24CEE590" w:rsidRDefault="24CEE590" w:rsidP="24CEE590">
            <w:pPr>
              <w:spacing w:line="360" w:lineRule="auto"/>
              <w:jc w:val="center"/>
            </w:pPr>
            <w:r w:rsidRPr="24CEE590">
              <w:rPr>
                <w:b/>
                <w:bCs/>
              </w:rPr>
              <w:t>B</w:t>
            </w:r>
          </w:p>
        </w:tc>
        <w:tc>
          <w:tcPr>
            <w:tcW w:w="1872" w:type="dxa"/>
          </w:tcPr>
          <w:p w14:paraId="21D900FE" w14:textId="7A2F1A3F" w:rsidR="24CEE590" w:rsidRDefault="24CEE590" w:rsidP="24CEE590">
            <w:pPr>
              <w:spacing w:line="360" w:lineRule="auto"/>
              <w:jc w:val="center"/>
            </w:pPr>
            <w:r>
              <w:t>43.92</w:t>
            </w:r>
          </w:p>
        </w:tc>
        <w:tc>
          <w:tcPr>
            <w:tcW w:w="1872" w:type="dxa"/>
          </w:tcPr>
          <w:p w14:paraId="796E8789" w14:textId="114C593D" w:rsidR="24CEE590" w:rsidRDefault="24CEE590" w:rsidP="24CEE590">
            <w:pPr>
              <w:spacing w:line="360" w:lineRule="auto"/>
              <w:jc w:val="center"/>
            </w:pPr>
            <w:r>
              <w:t>50.00</w:t>
            </w:r>
          </w:p>
        </w:tc>
        <w:tc>
          <w:tcPr>
            <w:tcW w:w="1872" w:type="dxa"/>
          </w:tcPr>
          <w:p w14:paraId="6DC1F40B" w14:textId="5A3CA202" w:rsidR="24CEE590" w:rsidRDefault="24CEE590" w:rsidP="24CEE590">
            <w:pPr>
              <w:spacing w:line="360" w:lineRule="auto"/>
              <w:jc w:val="center"/>
            </w:pPr>
            <w:r w:rsidRPr="24CEE590">
              <w:rPr>
                <w:b/>
                <w:bCs/>
              </w:rPr>
              <w:t>−6.08</w:t>
            </w:r>
          </w:p>
        </w:tc>
        <w:tc>
          <w:tcPr>
            <w:tcW w:w="1872" w:type="dxa"/>
          </w:tcPr>
          <w:p w14:paraId="69A1DF2A" w14:textId="2283CC0B" w:rsidR="24CEE590" w:rsidRDefault="24CEE590" w:rsidP="24CEE590">
            <w:pPr>
              <w:spacing w:line="360" w:lineRule="auto"/>
              <w:jc w:val="center"/>
            </w:pPr>
            <w:r>
              <w:t>Reject</w:t>
            </w:r>
          </w:p>
        </w:tc>
      </w:tr>
      <w:tr w:rsidR="24CEE590" w14:paraId="01A20CE8" w14:textId="77777777" w:rsidTr="24CEE590">
        <w:trPr>
          <w:trHeight w:val="300"/>
          <w:jc w:val="center"/>
        </w:trPr>
        <w:tc>
          <w:tcPr>
            <w:tcW w:w="1872" w:type="dxa"/>
          </w:tcPr>
          <w:p w14:paraId="62883DC1" w14:textId="79630662" w:rsidR="24CEE590" w:rsidRDefault="24CEE590" w:rsidP="24CEE590">
            <w:pPr>
              <w:spacing w:line="360" w:lineRule="auto"/>
              <w:jc w:val="center"/>
            </w:pPr>
            <w:r w:rsidRPr="24CEE590">
              <w:rPr>
                <w:b/>
                <w:bCs/>
              </w:rPr>
              <w:t>C</w:t>
            </w:r>
          </w:p>
        </w:tc>
        <w:tc>
          <w:tcPr>
            <w:tcW w:w="1872" w:type="dxa"/>
          </w:tcPr>
          <w:p w14:paraId="67E8ABC5" w14:textId="5F3FFD6D" w:rsidR="24CEE590" w:rsidRDefault="24CEE590" w:rsidP="24CEE590">
            <w:pPr>
              <w:spacing w:line="360" w:lineRule="auto"/>
              <w:jc w:val="center"/>
            </w:pPr>
            <w:r>
              <w:t>50.86</w:t>
            </w:r>
          </w:p>
        </w:tc>
        <w:tc>
          <w:tcPr>
            <w:tcW w:w="1872" w:type="dxa"/>
          </w:tcPr>
          <w:p w14:paraId="232899CD" w14:textId="61D0240A" w:rsidR="24CEE590" w:rsidRDefault="24CEE590" w:rsidP="24CEE590">
            <w:pPr>
              <w:spacing w:line="360" w:lineRule="auto"/>
              <w:jc w:val="center"/>
            </w:pPr>
            <w:r>
              <w:t>50.00</w:t>
            </w:r>
          </w:p>
        </w:tc>
        <w:tc>
          <w:tcPr>
            <w:tcW w:w="1872" w:type="dxa"/>
          </w:tcPr>
          <w:p w14:paraId="45E89753" w14:textId="10CCD681" w:rsidR="24CEE590" w:rsidRDefault="24CEE590" w:rsidP="24CEE590">
            <w:pPr>
              <w:spacing w:line="360" w:lineRule="auto"/>
              <w:jc w:val="center"/>
            </w:pPr>
            <w:r w:rsidRPr="24CEE590">
              <w:rPr>
                <w:b/>
                <w:bCs/>
              </w:rPr>
              <w:t>+0.86</w:t>
            </w:r>
          </w:p>
        </w:tc>
        <w:tc>
          <w:tcPr>
            <w:tcW w:w="1872" w:type="dxa"/>
          </w:tcPr>
          <w:p w14:paraId="1DC679C0" w14:textId="39E31F32" w:rsidR="24CEE590" w:rsidRDefault="24CEE590" w:rsidP="24CEE590">
            <w:pPr>
              <w:spacing w:line="360" w:lineRule="auto"/>
              <w:jc w:val="center"/>
            </w:pPr>
            <w:r w:rsidRPr="24CEE590">
              <w:rPr>
                <w:b/>
                <w:bCs/>
              </w:rPr>
              <w:t>Accept</w:t>
            </w:r>
          </w:p>
        </w:tc>
      </w:tr>
    </w:tbl>
    <w:p w14:paraId="10AE6CCE" w14:textId="77777777" w:rsidR="00FD3DF3" w:rsidRDefault="00FD3DF3" w:rsidP="24CEE590">
      <w:pPr>
        <w:spacing w:line="360" w:lineRule="auto"/>
        <w:jc w:val="center"/>
        <w:rPr>
          <w:rFonts w:ascii="Arial" w:eastAsia="Arial" w:hAnsi="Arial" w:cs="Arial"/>
        </w:rPr>
      </w:pPr>
    </w:p>
    <w:p w14:paraId="05762F86" w14:textId="72F0886B" w:rsidR="06ABF820" w:rsidRDefault="788E7D2C" w:rsidP="24CEE590">
      <w:pPr>
        <w:spacing w:line="360" w:lineRule="auto"/>
        <w:jc w:val="center"/>
      </w:pPr>
      <w:r w:rsidRPr="24CEE590">
        <w:rPr>
          <w:rFonts w:ascii="Arial" w:eastAsia="Arial" w:hAnsi="Arial" w:cs="Arial"/>
        </w:rPr>
        <w:t xml:space="preserve">NPV Calculation, </w:t>
      </w:r>
      <w:r w:rsidRPr="24CEE590">
        <w:rPr>
          <w:rFonts w:ascii="Arial" w:eastAsia="Arial" w:hAnsi="Arial" w:cs="Arial"/>
          <w:b/>
          <w:bCs/>
        </w:rPr>
        <w:t>Source:</w:t>
      </w:r>
      <w:r w:rsidRPr="24CEE590">
        <w:rPr>
          <w:rFonts w:ascii="Arial" w:eastAsia="Arial" w:hAnsi="Arial" w:cs="Arial"/>
        </w:rPr>
        <w:t xml:space="preserve"> Calculated by the author using the project cash flows and 8% discount rate provided in the assessment brief.</w:t>
      </w:r>
    </w:p>
    <w:p w14:paraId="4E245E4E" w14:textId="73C6B932" w:rsidR="06ABF820" w:rsidRDefault="788E7D2C" w:rsidP="24CEE590">
      <w:pPr>
        <w:spacing w:line="360" w:lineRule="auto"/>
        <w:jc w:val="both"/>
      </w:pPr>
      <w:r w:rsidRPr="24CEE590">
        <w:rPr>
          <w:rFonts w:ascii="Arial" w:eastAsia="Arial" w:hAnsi="Arial" w:cs="Arial"/>
        </w:rPr>
        <w:t>The findings show why NPV offers a more solid foundation for choosing investments than PBP or ARR by themselves. When future cash flows are discounted, Projects A and B recover their capital quite slowly and are unable to cover the needed 8% return. Despite having inconsistent yearly cash flows, Project C adds financial value by generating a slight positive net present value. However, Project C is still susceptible to shifts in the discount rate or cash-flow projections because of its comparatively modest positive net present value. Therefore, before making the ultimate investment decision, Hilton should take into account the NPV result in addition to PI, IRR, risk, and capital restrictions. NPV is a key method for comparing project value, according to capital budgeting studies.</w:t>
      </w:r>
    </w:p>
    <w:p w14:paraId="675D98E6" w14:textId="6E4693CF" w:rsidR="06ABF820" w:rsidRDefault="303FF82C" w:rsidP="24CEE590">
      <w:pPr>
        <w:pStyle w:val="Heading2"/>
        <w:spacing w:line="360" w:lineRule="auto"/>
        <w:rPr>
          <w:rFonts w:asciiTheme="minorHAnsi" w:eastAsiaTheme="minorEastAsia" w:hAnsiTheme="minorHAnsi" w:cstheme="minorBidi"/>
          <w:b/>
          <w:bCs/>
          <w:color w:val="auto"/>
          <w:sz w:val="24"/>
          <w:szCs w:val="24"/>
        </w:rPr>
      </w:pPr>
      <w:bookmarkStart w:id="30" w:name="_Toc167652901"/>
      <w:r w:rsidRPr="24CEE590">
        <w:rPr>
          <w:rFonts w:asciiTheme="minorHAnsi" w:eastAsiaTheme="minorEastAsia" w:hAnsiTheme="minorHAnsi" w:cstheme="minorBidi"/>
          <w:b/>
          <w:bCs/>
          <w:color w:val="auto"/>
          <w:sz w:val="24"/>
          <w:szCs w:val="24"/>
        </w:rPr>
        <w:t>5.6 Profitability Index (PI):</w:t>
      </w:r>
      <w:bookmarkEnd w:id="30"/>
    </w:p>
    <w:p w14:paraId="0B5A61FB" w14:textId="29244132" w:rsidR="06ABF820" w:rsidRDefault="1FBAAEC7" w:rsidP="24CEE590">
      <w:pPr>
        <w:spacing w:line="360" w:lineRule="auto"/>
        <w:jc w:val="both"/>
      </w:pPr>
      <w:r w:rsidRPr="24CEE590">
        <w:rPr>
          <w:rFonts w:ascii="Arial" w:eastAsia="Arial" w:hAnsi="Arial" w:cs="Arial"/>
        </w:rPr>
        <w:t xml:space="preserve">The ratio of discounted benefits to discounted costs is known as the profitability index, or </w:t>
      </w:r>
      <w:r w:rsidR="00FD3DF3" w:rsidRPr="24CEE590">
        <w:rPr>
          <w:rFonts w:ascii="Arial" w:eastAsia="Arial" w:hAnsi="Arial" w:cs="Arial"/>
        </w:rPr>
        <w:t>PI. It</w:t>
      </w:r>
      <w:r w:rsidRPr="24CEE590">
        <w:rPr>
          <w:rFonts w:ascii="Arial" w:eastAsia="Arial" w:hAnsi="Arial" w:cs="Arial"/>
        </w:rPr>
        <w:t xml:space="preserve"> is an assessment of an investment's profitability that may be contrasted with the profitability of other comparable investments that are being considered Gurau (2012).</w:t>
      </w:r>
    </w:p>
    <w:tbl>
      <w:tblPr>
        <w:tblStyle w:val="TableGrid"/>
        <w:tblW w:w="0" w:type="auto"/>
        <w:jc w:val="center"/>
        <w:tblLook w:val="06A0" w:firstRow="1" w:lastRow="0" w:firstColumn="1" w:lastColumn="0" w:noHBand="1" w:noVBand="1"/>
      </w:tblPr>
      <w:tblGrid>
        <w:gridCol w:w="1870"/>
        <w:gridCol w:w="1870"/>
        <w:gridCol w:w="1871"/>
        <w:gridCol w:w="1869"/>
        <w:gridCol w:w="1870"/>
      </w:tblGrid>
      <w:tr w:rsidR="24CEE590" w14:paraId="36423739" w14:textId="77777777" w:rsidTr="24CEE590">
        <w:trPr>
          <w:trHeight w:val="300"/>
          <w:jc w:val="center"/>
        </w:trPr>
        <w:tc>
          <w:tcPr>
            <w:tcW w:w="1872" w:type="dxa"/>
          </w:tcPr>
          <w:p w14:paraId="7826F7C5" w14:textId="7B32CCD9" w:rsidR="24CEE590" w:rsidRDefault="24CEE590" w:rsidP="24CEE590">
            <w:pPr>
              <w:spacing w:line="360" w:lineRule="auto"/>
              <w:jc w:val="center"/>
            </w:pPr>
            <w:r w:rsidRPr="24CEE590">
              <w:rPr>
                <w:b/>
                <w:bCs/>
              </w:rPr>
              <w:t>Project</w:t>
            </w:r>
          </w:p>
        </w:tc>
        <w:tc>
          <w:tcPr>
            <w:tcW w:w="1872" w:type="dxa"/>
          </w:tcPr>
          <w:p w14:paraId="2C77C3E2" w14:textId="5DC4EC35" w:rsidR="24CEE590" w:rsidRDefault="24CEE590" w:rsidP="24CEE590">
            <w:pPr>
              <w:spacing w:line="360" w:lineRule="auto"/>
              <w:jc w:val="center"/>
            </w:pPr>
            <w:r w:rsidRPr="24CEE590">
              <w:rPr>
                <w:b/>
                <w:bCs/>
              </w:rPr>
              <w:t>PV of cash inflows (£m)</w:t>
            </w:r>
          </w:p>
        </w:tc>
        <w:tc>
          <w:tcPr>
            <w:tcW w:w="1872" w:type="dxa"/>
          </w:tcPr>
          <w:p w14:paraId="1565EA7C" w14:textId="1B585C9C" w:rsidR="24CEE590" w:rsidRDefault="24CEE590" w:rsidP="24CEE590">
            <w:pPr>
              <w:spacing w:line="360" w:lineRule="auto"/>
              <w:jc w:val="center"/>
            </w:pPr>
            <w:r w:rsidRPr="24CEE590">
              <w:rPr>
                <w:b/>
                <w:bCs/>
              </w:rPr>
              <w:t>Initial investment (£m)</w:t>
            </w:r>
          </w:p>
        </w:tc>
        <w:tc>
          <w:tcPr>
            <w:tcW w:w="1872" w:type="dxa"/>
          </w:tcPr>
          <w:p w14:paraId="59A7BC8C" w14:textId="094741FC" w:rsidR="24CEE590" w:rsidRDefault="24CEE590" w:rsidP="24CEE590">
            <w:pPr>
              <w:spacing w:line="360" w:lineRule="auto"/>
              <w:jc w:val="center"/>
            </w:pPr>
            <w:r w:rsidRPr="24CEE590">
              <w:rPr>
                <w:b/>
                <w:bCs/>
              </w:rPr>
              <w:t>PI</w:t>
            </w:r>
          </w:p>
        </w:tc>
        <w:tc>
          <w:tcPr>
            <w:tcW w:w="1872" w:type="dxa"/>
          </w:tcPr>
          <w:p w14:paraId="18FF0C6E" w14:textId="6463DD2A" w:rsidR="24CEE590" w:rsidRDefault="24CEE590" w:rsidP="24CEE590">
            <w:pPr>
              <w:spacing w:line="360" w:lineRule="auto"/>
              <w:jc w:val="center"/>
            </w:pPr>
            <w:r w:rsidRPr="24CEE590">
              <w:rPr>
                <w:b/>
                <w:bCs/>
              </w:rPr>
              <w:t>Decision</w:t>
            </w:r>
          </w:p>
        </w:tc>
      </w:tr>
      <w:tr w:rsidR="24CEE590" w14:paraId="44D139BB" w14:textId="77777777" w:rsidTr="24CEE590">
        <w:trPr>
          <w:trHeight w:val="300"/>
          <w:jc w:val="center"/>
        </w:trPr>
        <w:tc>
          <w:tcPr>
            <w:tcW w:w="1872" w:type="dxa"/>
          </w:tcPr>
          <w:p w14:paraId="4B77ED1F" w14:textId="2E6CF959" w:rsidR="24CEE590" w:rsidRDefault="24CEE590" w:rsidP="24CEE590">
            <w:pPr>
              <w:spacing w:line="360" w:lineRule="auto"/>
              <w:jc w:val="center"/>
            </w:pPr>
            <w:r>
              <w:t>A</w:t>
            </w:r>
          </w:p>
        </w:tc>
        <w:tc>
          <w:tcPr>
            <w:tcW w:w="1872" w:type="dxa"/>
          </w:tcPr>
          <w:p w14:paraId="10814770" w14:textId="6654B1D2" w:rsidR="24CEE590" w:rsidRDefault="24CEE590" w:rsidP="24CEE590">
            <w:pPr>
              <w:spacing w:line="360" w:lineRule="auto"/>
              <w:jc w:val="center"/>
            </w:pPr>
            <w:r>
              <w:t>43.45</w:t>
            </w:r>
          </w:p>
        </w:tc>
        <w:tc>
          <w:tcPr>
            <w:tcW w:w="1872" w:type="dxa"/>
          </w:tcPr>
          <w:p w14:paraId="3A1762A7" w14:textId="05CE1A9F" w:rsidR="24CEE590" w:rsidRDefault="24CEE590" w:rsidP="24CEE590">
            <w:pPr>
              <w:spacing w:line="360" w:lineRule="auto"/>
              <w:jc w:val="center"/>
            </w:pPr>
            <w:r>
              <w:t>50.00</w:t>
            </w:r>
          </w:p>
        </w:tc>
        <w:tc>
          <w:tcPr>
            <w:tcW w:w="1872" w:type="dxa"/>
          </w:tcPr>
          <w:p w14:paraId="2EB8CAA8" w14:textId="09E8862D" w:rsidR="24CEE590" w:rsidRDefault="24CEE590" w:rsidP="24CEE590">
            <w:pPr>
              <w:spacing w:line="360" w:lineRule="auto"/>
              <w:jc w:val="center"/>
            </w:pPr>
            <w:r w:rsidRPr="24CEE590">
              <w:rPr>
                <w:b/>
                <w:bCs/>
              </w:rPr>
              <w:t>0.87</w:t>
            </w:r>
          </w:p>
        </w:tc>
        <w:tc>
          <w:tcPr>
            <w:tcW w:w="1872" w:type="dxa"/>
          </w:tcPr>
          <w:p w14:paraId="0E0A5AAE" w14:textId="1111BAF7" w:rsidR="24CEE590" w:rsidRDefault="24CEE590" w:rsidP="24CEE590">
            <w:pPr>
              <w:spacing w:line="360" w:lineRule="auto"/>
              <w:jc w:val="center"/>
            </w:pPr>
            <w:r>
              <w:t>Reject</w:t>
            </w:r>
          </w:p>
        </w:tc>
      </w:tr>
      <w:tr w:rsidR="24CEE590" w14:paraId="08FCB6ED" w14:textId="77777777" w:rsidTr="24CEE590">
        <w:trPr>
          <w:trHeight w:val="300"/>
          <w:jc w:val="center"/>
        </w:trPr>
        <w:tc>
          <w:tcPr>
            <w:tcW w:w="1872" w:type="dxa"/>
          </w:tcPr>
          <w:p w14:paraId="30C330AD" w14:textId="43B244E3" w:rsidR="24CEE590" w:rsidRDefault="24CEE590" w:rsidP="24CEE590">
            <w:pPr>
              <w:spacing w:line="360" w:lineRule="auto"/>
              <w:jc w:val="center"/>
            </w:pPr>
            <w:r>
              <w:lastRenderedPageBreak/>
              <w:t>B</w:t>
            </w:r>
          </w:p>
        </w:tc>
        <w:tc>
          <w:tcPr>
            <w:tcW w:w="1872" w:type="dxa"/>
          </w:tcPr>
          <w:p w14:paraId="14641B83" w14:textId="79BA11F6" w:rsidR="24CEE590" w:rsidRDefault="24CEE590" w:rsidP="24CEE590">
            <w:pPr>
              <w:spacing w:line="360" w:lineRule="auto"/>
              <w:jc w:val="center"/>
            </w:pPr>
            <w:r>
              <w:t>43.92</w:t>
            </w:r>
          </w:p>
        </w:tc>
        <w:tc>
          <w:tcPr>
            <w:tcW w:w="1872" w:type="dxa"/>
          </w:tcPr>
          <w:p w14:paraId="56C5DAC7" w14:textId="63C76EC0" w:rsidR="24CEE590" w:rsidRDefault="24CEE590" w:rsidP="24CEE590">
            <w:pPr>
              <w:spacing w:line="360" w:lineRule="auto"/>
              <w:jc w:val="center"/>
            </w:pPr>
            <w:r>
              <w:t>50.00</w:t>
            </w:r>
          </w:p>
        </w:tc>
        <w:tc>
          <w:tcPr>
            <w:tcW w:w="1872" w:type="dxa"/>
          </w:tcPr>
          <w:p w14:paraId="73530948" w14:textId="0E50D04F" w:rsidR="24CEE590" w:rsidRDefault="24CEE590" w:rsidP="24CEE590">
            <w:pPr>
              <w:spacing w:line="360" w:lineRule="auto"/>
              <w:jc w:val="center"/>
            </w:pPr>
            <w:r w:rsidRPr="24CEE590">
              <w:rPr>
                <w:b/>
                <w:bCs/>
              </w:rPr>
              <w:t>0.88</w:t>
            </w:r>
          </w:p>
        </w:tc>
        <w:tc>
          <w:tcPr>
            <w:tcW w:w="1872" w:type="dxa"/>
          </w:tcPr>
          <w:p w14:paraId="23A130B1" w14:textId="26258B33" w:rsidR="24CEE590" w:rsidRDefault="24CEE590" w:rsidP="24CEE590">
            <w:pPr>
              <w:spacing w:line="360" w:lineRule="auto"/>
              <w:jc w:val="center"/>
            </w:pPr>
            <w:r>
              <w:t>Reject</w:t>
            </w:r>
          </w:p>
        </w:tc>
      </w:tr>
      <w:tr w:rsidR="24CEE590" w14:paraId="62D12410" w14:textId="77777777" w:rsidTr="24CEE590">
        <w:trPr>
          <w:trHeight w:val="300"/>
          <w:jc w:val="center"/>
        </w:trPr>
        <w:tc>
          <w:tcPr>
            <w:tcW w:w="1872" w:type="dxa"/>
          </w:tcPr>
          <w:p w14:paraId="562271E6" w14:textId="16A1A49D" w:rsidR="24CEE590" w:rsidRDefault="24CEE590" w:rsidP="24CEE590">
            <w:pPr>
              <w:spacing w:line="360" w:lineRule="auto"/>
              <w:jc w:val="center"/>
            </w:pPr>
            <w:r>
              <w:t>C</w:t>
            </w:r>
          </w:p>
        </w:tc>
        <w:tc>
          <w:tcPr>
            <w:tcW w:w="1872" w:type="dxa"/>
          </w:tcPr>
          <w:p w14:paraId="6FC93CEC" w14:textId="02C0AC89" w:rsidR="24CEE590" w:rsidRDefault="24CEE590" w:rsidP="24CEE590">
            <w:pPr>
              <w:spacing w:line="360" w:lineRule="auto"/>
              <w:jc w:val="center"/>
            </w:pPr>
            <w:r>
              <w:t>50.86</w:t>
            </w:r>
          </w:p>
        </w:tc>
        <w:tc>
          <w:tcPr>
            <w:tcW w:w="1872" w:type="dxa"/>
          </w:tcPr>
          <w:p w14:paraId="6F6B48CF" w14:textId="31C9E707" w:rsidR="24CEE590" w:rsidRDefault="24CEE590" w:rsidP="24CEE590">
            <w:pPr>
              <w:spacing w:line="360" w:lineRule="auto"/>
              <w:jc w:val="center"/>
            </w:pPr>
            <w:r>
              <w:t>50.00</w:t>
            </w:r>
          </w:p>
        </w:tc>
        <w:tc>
          <w:tcPr>
            <w:tcW w:w="1872" w:type="dxa"/>
          </w:tcPr>
          <w:p w14:paraId="4DE30B59" w14:textId="496840BF" w:rsidR="24CEE590" w:rsidRDefault="24CEE590" w:rsidP="24CEE590">
            <w:pPr>
              <w:spacing w:line="360" w:lineRule="auto"/>
              <w:jc w:val="center"/>
            </w:pPr>
            <w:r w:rsidRPr="24CEE590">
              <w:rPr>
                <w:b/>
                <w:bCs/>
              </w:rPr>
              <w:t>1.02</w:t>
            </w:r>
          </w:p>
        </w:tc>
        <w:tc>
          <w:tcPr>
            <w:tcW w:w="1872" w:type="dxa"/>
          </w:tcPr>
          <w:p w14:paraId="591BB6BD" w14:textId="7C93729A" w:rsidR="24CEE590" w:rsidRDefault="24CEE590" w:rsidP="24CEE590">
            <w:pPr>
              <w:spacing w:line="360" w:lineRule="auto"/>
              <w:jc w:val="center"/>
            </w:pPr>
            <w:r>
              <w:t>Accept</w:t>
            </w:r>
          </w:p>
        </w:tc>
      </w:tr>
    </w:tbl>
    <w:p w14:paraId="49C08041" w14:textId="0FD01892" w:rsidR="06ABF820" w:rsidRDefault="06ABF820" w:rsidP="24CEE590">
      <w:pPr>
        <w:spacing w:line="360" w:lineRule="auto"/>
        <w:jc w:val="both"/>
        <w:rPr>
          <w:rFonts w:ascii="Arial" w:eastAsia="Arial" w:hAnsi="Arial" w:cs="Arial"/>
        </w:rPr>
      </w:pPr>
    </w:p>
    <w:p w14:paraId="154FD0A5" w14:textId="3387CE7D" w:rsidR="06ABF820" w:rsidRDefault="0EC78A7E" w:rsidP="24CEE590">
      <w:pPr>
        <w:spacing w:line="360" w:lineRule="auto"/>
        <w:jc w:val="both"/>
      </w:pPr>
      <w:r w:rsidRPr="24CEE590">
        <w:rPr>
          <w:rFonts w:ascii="Arial" w:eastAsia="Arial" w:hAnsi="Arial" w:cs="Arial"/>
        </w:rPr>
        <w:t>With the highest PI of 1.02, Project C generates about £1.02 in present value for every £1 invested. Projects A and B do not meet the acceptance requirement since their PI values are less than 1. Project C is therefore the recommended investment, even though its comparatively tiny margin above 1 indicates little value creation. Therefore, before making a final decision, PI should be taken into account in addition to NPV and IRR.</w:t>
      </w:r>
    </w:p>
    <w:p w14:paraId="27B5F5BD" w14:textId="561ED05B" w:rsidR="06ABF820" w:rsidRDefault="51ABE300" w:rsidP="24CEE590">
      <w:pPr>
        <w:pStyle w:val="Heading2"/>
        <w:spacing w:line="360" w:lineRule="auto"/>
        <w:jc w:val="both"/>
        <w:rPr>
          <w:rFonts w:asciiTheme="minorHAnsi" w:eastAsiaTheme="minorEastAsia" w:hAnsiTheme="minorHAnsi" w:cstheme="minorBidi"/>
          <w:b/>
          <w:bCs/>
          <w:color w:val="auto"/>
          <w:sz w:val="24"/>
          <w:szCs w:val="24"/>
        </w:rPr>
      </w:pPr>
      <w:bookmarkStart w:id="31" w:name="_Toc1581920108"/>
      <w:r w:rsidRPr="24CEE590">
        <w:rPr>
          <w:rFonts w:asciiTheme="minorHAnsi" w:eastAsiaTheme="minorEastAsia" w:hAnsiTheme="minorHAnsi" w:cstheme="minorBidi"/>
          <w:b/>
          <w:bCs/>
          <w:color w:val="auto"/>
          <w:sz w:val="24"/>
          <w:szCs w:val="24"/>
        </w:rPr>
        <w:t>5.7 Internal Rate of Return (IRR):</w:t>
      </w:r>
      <w:bookmarkEnd w:id="31"/>
    </w:p>
    <w:p w14:paraId="53F5C24A" w14:textId="0C59938A" w:rsidR="06ABF820" w:rsidRDefault="7B6C29EF" w:rsidP="24CEE590">
      <w:pPr>
        <w:spacing w:line="360" w:lineRule="auto"/>
        <w:jc w:val="both"/>
      </w:pPr>
      <w:r w:rsidRPr="24CEE590">
        <w:t xml:space="preserve">The discount rate at which a project's net present value (NPV) drops to zero is known as the Internal Rate of Return (IRR). It can be compared to the necessary rate of return and offers a percentage-based indicator of the return produced by an investment. When a project's internal rate of return (IRR) surpasses the needed return, it is typically deemed financially acceptable </w:t>
      </w:r>
      <w:r w:rsidRPr="24CEE590">
        <w:rPr>
          <w:rFonts w:ascii="Arial" w:eastAsia="Arial" w:hAnsi="Arial" w:cs="Arial"/>
        </w:rPr>
        <w:t>(Laws, 2020)</w:t>
      </w:r>
      <w:r w:rsidRPr="24CEE590">
        <w:t>.</w:t>
      </w:r>
    </w:p>
    <w:p w14:paraId="064B60AB" w14:textId="77777777" w:rsidR="00FD3DF3" w:rsidRDefault="00FD3DF3" w:rsidP="24CEE590">
      <w:pPr>
        <w:spacing w:line="360" w:lineRule="auto"/>
        <w:jc w:val="both"/>
        <w:rPr>
          <w:rFonts w:ascii="Arial" w:eastAsia="Arial" w:hAnsi="Arial" w:cs="Arial"/>
        </w:rPr>
      </w:pPr>
    </w:p>
    <w:p w14:paraId="61533087" w14:textId="77777777" w:rsidR="00FD3DF3" w:rsidRDefault="00FD3DF3" w:rsidP="24CEE590">
      <w:pPr>
        <w:spacing w:line="360" w:lineRule="auto"/>
        <w:jc w:val="both"/>
        <w:rPr>
          <w:rFonts w:ascii="Arial" w:eastAsia="Arial" w:hAnsi="Arial" w:cs="Arial"/>
        </w:rPr>
      </w:pPr>
    </w:p>
    <w:p w14:paraId="039567A8" w14:textId="77777777" w:rsidR="00FD3DF3" w:rsidRDefault="00FD3DF3" w:rsidP="24CEE590">
      <w:pPr>
        <w:spacing w:line="360" w:lineRule="auto"/>
        <w:jc w:val="both"/>
        <w:rPr>
          <w:rFonts w:ascii="Arial" w:eastAsia="Arial" w:hAnsi="Arial" w:cs="Arial"/>
        </w:rPr>
      </w:pPr>
    </w:p>
    <w:p w14:paraId="3FC49660" w14:textId="4F7982A2" w:rsidR="06ABF820" w:rsidRDefault="0B9F1165" w:rsidP="24CEE590">
      <w:pPr>
        <w:spacing w:line="360" w:lineRule="auto"/>
        <w:jc w:val="both"/>
      </w:pPr>
      <w:r w:rsidRPr="24CEE590">
        <w:rPr>
          <w:rFonts w:ascii="Arial" w:eastAsia="Arial" w:hAnsi="Arial" w:cs="Arial"/>
        </w:rPr>
        <w:t>The IRRs for Projects A, B, and C are 2.72%, 3.26%, and 8.59%, respectively, based on the £50 million original investment and the cash flows mentioned in the evaluation.</w:t>
      </w:r>
    </w:p>
    <w:tbl>
      <w:tblPr>
        <w:tblStyle w:val="TableGrid"/>
        <w:tblW w:w="0" w:type="auto"/>
        <w:jc w:val="center"/>
        <w:tblLook w:val="06A0" w:firstRow="1" w:lastRow="0" w:firstColumn="1" w:lastColumn="0" w:noHBand="1" w:noVBand="1"/>
      </w:tblPr>
      <w:tblGrid>
        <w:gridCol w:w="2337"/>
        <w:gridCol w:w="2337"/>
        <w:gridCol w:w="2338"/>
        <w:gridCol w:w="2338"/>
      </w:tblGrid>
      <w:tr w:rsidR="24CEE590" w14:paraId="49B290B8" w14:textId="77777777" w:rsidTr="24CEE590">
        <w:trPr>
          <w:trHeight w:val="300"/>
          <w:jc w:val="center"/>
        </w:trPr>
        <w:tc>
          <w:tcPr>
            <w:tcW w:w="2340" w:type="dxa"/>
          </w:tcPr>
          <w:p w14:paraId="35C0D94A" w14:textId="698E1071" w:rsidR="24CEE590" w:rsidRDefault="24CEE590" w:rsidP="24CEE590">
            <w:pPr>
              <w:spacing w:line="360" w:lineRule="auto"/>
              <w:jc w:val="center"/>
            </w:pPr>
            <w:r w:rsidRPr="24CEE590">
              <w:rPr>
                <w:b/>
                <w:bCs/>
              </w:rPr>
              <w:t>Project</w:t>
            </w:r>
          </w:p>
        </w:tc>
        <w:tc>
          <w:tcPr>
            <w:tcW w:w="2340" w:type="dxa"/>
          </w:tcPr>
          <w:p w14:paraId="2189C9AD" w14:textId="41989E4D" w:rsidR="24CEE590" w:rsidRDefault="24CEE590" w:rsidP="24CEE590">
            <w:pPr>
              <w:spacing w:line="360" w:lineRule="auto"/>
              <w:jc w:val="center"/>
            </w:pPr>
            <w:r w:rsidRPr="24CEE590">
              <w:rPr>
                <w:b/>
                <w:bCs/>
              </w:rPr>
              <w:t>IRR</w:t>
            </w:r>
          </w:p>
        </w:tc>
        <w:tc>
          <w:tcPr>
            <w:tcW w:w="2340" w:type="dxa"/>
          </w:tcPr>
          <w:p w14:paraId="04AB9750" w14:textId="6F1B9809" w:rsidR="24CEE590" w:rsidRDefault="24CEE590" w:rsidP="24CEE590">
            <w:pPr>
              <w:spacing w:line="360" w:lineRule="auto"/>
              <w:jc w:val="center"/>
            </w:pPr>
            <w:r w:rsidRPr="24CEE590">
              <w:rPr>
                <w:b/>
                <w:bCs/>
              </w:rPr>
              <w:t>Required return</w:t>
            </w:r>
          </w:p>
        </w:tc>
        <w:tc>
          <w:tcPr>
            <w:tcW w:w="2340" w:type="dxa"/>
          </w:tcPr>
          <w:p w14:paraId="602B025B" w14:textId="2EF95E53" w:rsidR="24CEE590" w:rsidRDefault="24CEE590" w:rsidP="24CEE590">
            <w:pPr>
              <w:spacing w:line="360" w:lineRule="auto"/>
              <w:jc w:val="center"/>
            </w:pPr>
            <w:r w:rsidRPr="24CEE590">
              <w:rPr>
                <w:b/>
                <w:bCs/>
              </w:rPr>
              <w:t>Decision</w:t>
            </w:r>
          </w:p>
        </w:tc>
      </w:tr>
      <w:tr w:rsidR="24CEE590" w14:paraId="6969C18B" w14:textId="77777777" w:rsidTr="24CEE590">
        <w:trPr>
          <w:trHeight w:val="300"/>
          <w:jc w:val="center"/>
        </w:trPr>
        <w:tc>
          <w:tcPr>
            <w:tcW w:w="2340" w:type="dxa"/>
          </w:tcPr>
          <w:p w14:paraId="12B0EB84" w14:textId="3076EEE3" w:rsidR="24CEE590" w:rsidRDefault="24CEE590" w:rsidP="24CEE590">
            <w:pPr>
              <w:spacing w:line="360" w:lineRule="auto"/>
              <w:jc w:val="center"/>
            </w:pPr>
            <w:r>
              <w:t>A</w:t>
            </w:r>
          </w:p>
        </w:tc>
        <w:tc>
          <w:tcPr>
            <w:tcW w:w="2340" w:type="dxa"/>
          </w:tcPr>
          <w:p w14:paraId="7BF58A6D" w14:textId="79A90D32" w:rsidR="24CEE590" w:rsidRDefault="24CEE590" w:rsidP="24CEE590">
            <w:pPr>
              <w:spacing w:line="360" w:lineRule="auto"/>
              <w:jc w:val="center"/>
            </w:pPr>
            <w:r w:rsidRPr="24CEE590">
              <w:rPr>
                <w:b/>
                <w:bCs/>
              </w:rPr>
              <w:t>2.72%</w:t>
            </w:r>
          </w:p>
        </w:tc>
        <w:tc>
          <w:tcPr>
            <w:tcW w:w="2340" w:type="dxa"/>
          </w:tcPr>
          <w:p w14:paraId="6D971F02" w14:textId="5F48D55C" w:rsidR="24CEE590" w:rsidRDefault="24CEE590" w:rsidP="24CEE590">
            <w:pPr>
              <w:spacing w:line="360" w:lineRule="auto"/>
              <w:jc w:val="center"/>
            </w:pPr>
            <w:r>
              <w:t>8%</w:t>
            </w:r>
          </w:p>
        </w:tc>
        <w:tc>
          <w:tcPr>
            <w:tcW w:w="2340" w:type="dxa"/>
          </w:tcPr>
          <w:p w14:paraId="60F0F3E0" w14:textId="269863A2" w:rsidR="24CEE590" w:rsidRDefault="24CEE590" w:rsidP="24CEE590">
            <w:pPr>
              <w:spacing w:line="360" w:lineRule="auto"/>
              <w:jc w:val="center"/>
            </w:pPr>
            <w:r>
              <w:t>Reject</w:t>
            </w:r>
          </w:p>
        </w:tc>
      </w:tr>
      <w:tr w:rsidR="24CEE590" w14:paraId="7A753841" w14:textId="77777777" w:rsidTr="24CEE590">
        <w:trPr>
          <w:trHeight w:val="300"/>
          <w:jc w:val="center"/>
        </w:trPr>
        <w:tc>
          <w:tcPr>
            <w:tcW w:w="2340" w:type="dxa"/>
          </w:tcPr>
          <w:p w14:paraId="7EB9EB2A" w14:textId="18A43127" w:rsidR="24CEE590" w:rsidRDefault="24CEE590" w:rsidP="24CEE590">
            <w:pPr>
              <w:spacing w:line="360" w:lineRule="auto"/>
              <w:jc w:val="center"/>
            </w:pPr>
            <w:r>
              <w:t>B</w:t>
            </w:r>
          </w:p>
        </w:tc>
        <w:tc>
          <w:tcPr>
            <w:tcW w:w="2340" w:type="dxa"/>
          </w:tcPr>
          <w:p w14:paraId="319E8930" w14:textId="0BE0E45C" w:rsidR="24CEE590" w:rsidRDefault="24CEE590" w:rsidP="24CEE590">
            <w:pPr>
              <w:spacing w:line="360" w:lineRule="auto"/>
              <w:jc w:val="center"/>
            </w:pPr>
            <w:r w:rsidRPr="24CEE590">
              <w:rPr>
                <w:b/>
                <w:bCs/>
              </w:rPr>
              <w:t>3.26%</w:t>
            </w:r>
          </w:p>
        </w:tc>
        <w:tc>
          <w:tcPr>
            <w:tcW w:w="2340" w:type="dxa"/>
          </w:tcPr>
          <w:p w14:paraId="778BD466" w14:textId="6CAEFF43" w:rsidR="24CEE590" w:rsidRDefault="24CEE590" w:rsidP="24CEE590">
            <w:pPr>
              <w:spacing w:line="360" w:lineRule="auto"/>
              <w:jc w:val="center"/>
            </w:pPr>
            <w:r>
              <w:t>8%</w:t>
            </w:r>
          </w:p>
        </w:tc>
        <w:tc>
          <w:tcPr>
            <w:tcW w:w="2340" w:type="dxa"/>
          </w:tcPr>
          <w:p w14:paraId="7FD52B0E" w14:textId="1A8DD53A" w:rsidR="24CEE590" w:rsidRDefault="24CEE590" w:rsidP="24CEE590">
            <w:pPr>
              <w:spacing w:line="360" w:lineRule="auto"/>
              <w:jc w:val="center"/>
            </w:pPr>
            <w:r>
              <w:t>Reject</w:t>
            </w:r>
          </w:p>
        </w:tc>
      </w:tr>
      <w:tr w:rsidR="24CEE590" w14:paraId="432ECD9D" w14:textId="77777777" w:rsidTr="24CEE590">
        <w:trPr>
          <w:trHeight w:val="300"/>
          <w:jc w:val="center"/>
        </w:trPr>
        <w:tc>
          <w:tcPr>
            <w:tcW w:w="2340" w:type="dxa"/>
          </w:tcPr>
          <w:p w14:paraId="44A7B81E" w14:textId="6B63782A" w:rsidR="24CEE590" w:rsidRDefault="24CEE590" w:rsidP="24CEE590">
            <w:pPr>
              <w:spacing w:line="360" w:lineRule="auto"/>
              <w:jc w:val="center"/>
            </w:pPr>
            <w:r>
              <w:t>C</w:t>
            </w:r>
          </w:p>
        </w:tc>
        <w:tc>
          <w:tcPr>
            <w:tcW w:w="2340" w:type="dxa"/>
          </w:tcPr>
          <w:p w14:paraId="68A12BAD" w14:textId="3453CD2F" w:rsidR="24CEE590" w:rsidRDefault="24CEE590" w:rsidP="24CEE590">
            <w:pPr>
              <w:spacing w:line="360" w:lineRule="auto"/>
              <w:jc w:val="center"/>
            </w:pPr>
            <w:r w:rsidRPr="24CEE590">
              <w:rPr>
                <w:b/>
                <w:bCs/>
              </w:rPr>
              <w:t>8.59%</w:t>
            </w:r>
          </w:p>
        </w:tc>
        <w:tc>
          <w:tcPr>
            <w:tcW w:w="2340" w:type="dxa"/>
          </w:tcPr>
          <w:p w14:paraId="6E18D1A7" w14:textId="529BA41F" w:rsidR="24CEE590" w:rsidRDefault="24CEE590" w:rsidP="24CEE590">
            <w:pPr>
              <w:spacing w:line="360" w:lineRule="auto"/>
              <w:jc w:val="center"/>
            </w:pPr>
            <w:r>
              <w:t>8%</w:t>
            </w:r>
          </w:p>
        </w:tc>
        <w:tc>
          <w:tcPr>
            <w:tcW w:w="2340" w:type="dxa"/>
          </w:tcPr>
          <w:p w14:paraId="6BEAD725" w14:textId="7DF91FC2" w:rsidR="24CEE590" w:rsidRDefault="24CEE590" w:rsidP="24CEE590">
            <w:pPr>
              <w:spacing w:line="360" w:lineRule="auto"/>
              <w:jc w:val="center"/>
            </w:pPr>
            <w:r w:rsidRPr="24CEE590">
              <w:rPr>
                <w:b/>
                <w:bCs/>
              </w:rPr>
              <w:t>Accept</w:t>
            </w:r>
          </w:p>
        </w:tc>
      </w:tr>
    </w:tbl>
    <w:p w14:paraId="0EB1FDEF" w14:textId="77777777" w:rsidR="00FD3DF3" w:rsidRDefault="00FD3DF3" w:rsidP="24CEE590">
      <w:pPr>
        <w:spacing w:line="360" w:lineRule="auto"/>
        <w:jc w:val="center"/>
        <w:rPr>
          <w:rFonts w:ascii="Arial" w:eastAsia="Arial" w:hAnsi="Arial" w:cs="Arial"/>
          <w:b/>
          <w:bCs/>
        </w:rPr>
      </w:pPr>
    </w:p>
    <w:p w14:paraId="7D4DBDB8" w14:textId="15B6539A" w:rsidR="06ABF820" w:rsidRDefault="5BB5F91D" w:rsidP="24CEE590">
      <w:pPr>
        <w:spacing w:line="360" w:lineRule="auto"/>
        <w:jc w:val="center"/>
      </w:pPr>
      <w:r w:rsidRPr="24CEE590">
        <w:rPr>
          <w:rFonts w:ascii="Arial" w:eastAsia="Arial" w:hAnsi="Arial" w:cs="Arial"/>
          <w:b/>
          <w:bCs/>
        </w:rPr>
        <w:t>Source:</w:t>
      </w:r>
      <w:r w:rsidRPr="24CEE590">
        <w:rPr>
          <w:rFonts w:ascii="Arial" w:eastAsia="Arial" w:hAnsi="Arial" w:cs="Arial"/>
        </w:rPr>
        <w:t xml:space="preserve"> Calculated by the author using the project cash flows provided in the assessment brief.</w:t>
      </w:r>
    </w:p>
    <w:p w14:paraId="758199BA" w14:textId="5D677C22" w:rsidR="06ABF820" w:rsidRPr="00FD3DF3" w:rsidRDefault="5BB5F91D" w:rsidP="24CEE590">
      <w:pPr>
        <w:spacing w:line="360" w:lineRule="auto"/>
        <w:jc w:val="both"/>
      </w:pPr>
      <w:r w:rsidRPr="24CEE590">
        <w:rPr>
          <w:rFonts w:ascii="Arial" w:eastAsia="Arial" w:hAnsi="Arial" w:cs="Arial"/>
        </w:rPr>
        <w:lastRenderedPageBreak/>
        <w:t>Project C's selection is supported by the fact that it is the only proposal that exceeds the required return of 8%. Projects A and B do not meet the IRR acceptance criterion since they are below the threshold. However, since anomalous cash-flow patterns can yield deceptive findings and NPV offers a more robust absolute measure of value creation, IRR shouldn't be taken into consideration on its own. Therefore, before making a final investment choice, Hilton should consider IRR in addition to NPV, PI, and other project risks.</w:t>
      </w:r>
    </w:p>
    <w:p w14:paraId="0D0DAB27" w14:textId="4088EC05" w:rsidR="06ABF820" w:rsidRDefault="5BD1177A" w:rsidP="24CEE590">
      <w:pPr>
        <w:pStyle w:val="Heading2"/>
        <w:spacing w:line="360" w:lineRule="auto"/>
        <w:jc w:val="both"/>
        <w:rPr>
          <w:rFonts w:asciiTheme="minorHAnsi" w:eastAsiaTheme="minorEastAsia" w:hAnsiTheme="minorHAnsi" w:cstheme="minorBidi"/>
          <w:b/>
          <w:bCs/>
          <w:color w:val="auto"/>
          <w:sz w:val="24"/>
          <w:szCs w:val="24"/>
        </w:rPr>
      </w:pPr>
      <w:bookmarkStart w:id="32" w:name="_Toc517201916"/>
      <w:r w:rsidRPr="24CEE590">
        <w:rPr>
          <w:rFonts w:asciiTheme="minorHAnsi" w:eastAsiaTheme="minorEastAsia" w:hAnsiTheme="minorHAnsi" w:cstheme="minorBidi"/>
          <w:b/>
          <w:bCs/>
          <w:color w:val="auto"/>
          <w:sz w:val="24"/>
          <w:szCs w:val="24"/>
        </w:rPr>
        <w:t>5.8 Overall project recommendation:</w:t>
      </w:r>
      <w:bookmarkEnd w:id="32"/>
    </w:p>
    <w:p w14:paraId="4304E0B5" w14:textId="5CB242E8" w:rsidR="06ABF820" w:rsidRDefault="5BD1177A" w:rsidP="24CEE590">
      <w:pPr>
        <w:spacing w:line="360" w:lineRule="auto"/>
        <w:jc w:val="both"/>
      </w:pPr>
      <w:r w:rsidRPr="24CEE590">
        <w:rPr>
          <w:rFonts w:ascii="Arial" w:eastAsia="Arial" w:hAnsi="Arial" w:cs="Arial"/>
        </w:rPr>
        <w:t xml:space="preserve">Project C is Hilton's best alternative, according </w:t>
      </w:r>
      <w:r w:rsidR="09733225" w:rsidRPr="24CEE590">
        <w:rPr>
          <w:rFonts w:ascii="Arial" w:eastAsia="Arial" w:hAnsi="Arial" w:cs="Arial"/>
        </w:rPr>
        <w:t>to</w:t>
      </w:r>
      <w:r w:rsidRPr="24CEE590">
        <w:rPr>
          <w:rFonts w:ascii="Arial" w:eastAsia="Arial" w:hAnsi="Arial" w:cs="Arial"/>
        </w:rPr>
        <w:t xml:space="preserve"> the results of the investment appraisal. It had the highest ARR of 6.0%, the shortest payback period of 3.6 years, a positive NPV of about £0.86 million, a PI of 1.02, and an IRR of almost 8.59%. Projects A and B, on the other hand, generated negative NPVs and IRRs that fell short of the necessary 8% return. Since Project C is the only proposal that satisfies the primary value-creation requirements, it ought to be chosen. </w:t>
      </w:r>
    </w:p>
    <w:p w14:paraId="6925B2B4" w14:textId="01F5ECB0" w:rsidR="06ABF820" w:rsidRDefault="69CBD751" w:rsidP="24CEE590">
      <w:pPr>
        <w:pStyle w:val="Heading2"/>
        <w:rPr>
          <w:rFonts w:asciiTheme="minorHAnsi" w:eastAsiaTheme="minorEastAsia" w:hAnsiTheme="minorHAnsi" w:cstheme="minorBidi"/>
          <w:b/>
          <w:bCs/>
          <w:color w:val="auto"/>
          <w:sz w:val="24"/>
          <w:szCs w:val="24"/>
        </w:rPr>
      </w:pPr>
      <w:bookmarkStart w:id="33" w:name="_Toc1004561290"/>
      <w:r w:rsidRPr="24CEE590">
        <w:rPr>
          <w:rFonts w:asciiTheme="minorHAnsi" w:eastAsiaTheme="minorEastAsia" w:hAnsiTheme="minorHAnsi" w:cstheme="minorBidi"/>
          <w:b/>
          <w:bCs/>
          <w:color w:val="auto"/>
          <w:sz w:val="24"/>
          <w:szCs w:val="24"/>
        </w:rPr>
        <w:t>5.9 non-financial risks:</w:t>
      </w:r>
      <w:bookmarkEnd w:id="33"/>
    </w:p>
    <w:p w14:paraId="044A190D" w14:textId="360E17AD" w:rsidR="06ABF820" w:rsidRDefault="69CBD751" w:rsidP="24CEE590">
      <w:pPr>
        <w:spacing w:line="360" w:lineRule="auto"/>
        <w:jc w:val="both"/>
      </w:pPr>
      <w:r w:rsidRPr="24CEE590">
        <w:rPr>
          <w:rFonts w:ascii="Arial" w:eastAsia="Arial" w:hAnsi="Arial" w:cs="Arial"/>
        </w:rPr>
        <w:t>Hilton should take non-financial risks into account before implementing Project C, even if it yields the best financial outcomes. Customer preference shifts, operational disruptions, technological difficulties, legal restrictions, and environmental demands are a few of these. Investments in the hospitality industry are especially vulnerable to shifts in external operating conditions and demand. To attain the anticipated benefits, Project C might also need efficient administration of workers, suppliers, and service quality. Thus, before making the investment, Hilton should perform a suitable risk assessment and sensitivity analysis.</w:t>
      </w:r>
    </w:p>
    <w:p w14:paraId="54938989" w14:textId="5887E255" w:rsidR="06ABF820" w:rsidRDefault="0848BCE4" w:rsidP="24CEE590">
      <w:pPr>
        <w:pStyle w:val="Heading2"/>
        <w:spacing w:line="360" w:lineRule="auto"/>
        <w:jc w:val="both"/>
        <w:rPr>
          <w:rFonts w:asciiTheme="minorHAnsi" w:eastAsiaTheme="minorEastAsia" w:hAnsiTheme="minorHAnsi" w:cstheme="minorBidi"/>
          <w:b/>
          <w:bCs/>
          <w:color w:val="auto"/>
          <w:sz w:val="24"/>
          <w:szCs w:val="24"/>
        </w:rPr>
      </w:pPr>
      <w:bookmarkStart w:id="34" w:name="_Toc987631364"/>
      <w:r w:rsidRPr="24CEE590">
        <w:rPr>
          <w:rFonts w:asciiTheme="minorHAnsi" w:eastAsiaTheme="minorEastAsia" w:hAnsiTheme="minorHAnsi" w:cstheme="minorBidi"/>
          <w:b/>
          <w:bCs/>
          <w:color w:val="auto"/>
          <w:sz w:val="24"/>
          <w:szCs w:val="24"/>
        </w:rPr>
        <w:t>5.10 Capital rationing: £100 million investment limit:</w:t>
      </w:r>
      <w:bookmarkEnd w:id="34"/>
    </w:p>
    <w:p w14:paraId="4EC328A9" w14:textId="3AAECEF6" w:rsidR="06ABF820" w:rsidRDefault="5F98AF73" w:rsidP="24CEE590">
      <w:pPr>
        <w:spacing w:line="360" w:lineRule="auto"/>
        <w:jc w:val="both"/>
      </w:pPr>
      <w:r w:rsidRPr="24CEE590">
        <w:rPr>
          <w:rFonts w:ascii="Arial" w:eastAsia="Arial" w:hAnsi="Arial" w:cs="Arial"/>
        </w:rPr>
        <w:t xml:space="preserve">Hilton must choose projects when investment dollars are scarce due to capital rationing. Hilton can finance up to two projects, each costing £50 million, with a maximum budget of £100 million. Projects A and B have negative net present values (NPVs), but only Project C has a positive NPV. Therefore, even though the budget would allow for two projects, choosing Project C alone would be more cost-effective because allocating more money to Projects A or B would lower the overall value. Investment choices should be </w:t>
      </w:r>
      <w:r w:rsidRPr="24CEE590">
        <w:rPr>
          <w:rFonts w:ascii="Arial" w:eastAsia="Arial" w:hAnsi="Arial" w:cs="Arial"/>
        </w:rPr>
        <w:lastRenderedPageBreak/>
        <w:t>made with the goal of maximizing overall net present value (NPV) while staying within the allocated budget when capital is limited.</w:t>
      </w:r>
    </w:p>
    <w:p w14:paraId="21C3C7A1" w14:textId="6AD4A2F2" w:rsidR="06ABF820" w:rsidRDefault="5F98AF73" w:rsidP="24CEE590">
      <w:pPr>
        <w:spacing w:line="360" w:lineRule="auto"/>
        <w:jc w:val="both"/>
      </w:pPr>
      <w:r w:rsidRPr="24CEE590">
        <w:rPr>
          <w:rFonts w:ascii="Arial" w:eastAsia="Arial" w:hAnsi="Arial" w:cs="Arial"/>
        </w:rPr>
        <w:t>Rather than investing in a project with a negative net present value, Hilton should invest £50 million in Project C and keep the remaining £50 million.</w:t>
      </w:r>
    </w:p>
    <w:p w14:paraId="015F5891" w14:textId="497E2D0F" w:rsidR="06ABF820" w:rsidRDefault="41281D15" w:rsidP="24CEE590">
      <w:pPr>
        <w:pStyle w:val="Heading1"/>
        <w:spacing w:line="360" w:lineRule="auto"/>
        <w:rPr>
          <w:rFonts w:asciiTheme="minorHAnsi" w:eastAsiaTheme="minorEastAsia" w:hAnsiTheme="minorHAnsi" w:cstheme="minorBidi"/>
          <w:b/>
          <w:bCs/>
          <w:color w:val="auto"/>
          <w:sz w:val="24"/>
          <w:szCs w:val="24"/>
        </w:rPr>
      </w:pPr>
      <w:bookmarkStart w:id="35" w:name="_Toc1342079602"/>
      <w:r w:rsidRPr="24CEE590">
        <w:rPr>
          <w:rFonts w:asciiTheme="minorHAnsi" w:eastAsiaTheme="minorEastAsia" w:hAnsiTheme="minorHAnsi" w:cstheme="minorBidi"/>
          <w:b/>
          <w:bCs/>
          <w:color w:val="auto"/>
          <w:sz w:val="24"/>
          <w:szCs w:val="24"/>
        </w:rPr>
        <w:t>6. Critical Reflection on AI Usage:</w:t>
      </w:r>
      <w:bookmarkEnd w:id="35"/>
    </w:p>
    <w:p w14:paraId="5D63D809" w14:textId="6005E928" w:rsidR="06ABF820" w:rsidRDefault="6A46108B" w:rsidP="24CEE590">
      <w:pPr>
        <w:pStyle w:val="Heading2"/>
        <w:rPr>
          <w:rFonts w:asciiTheme="minorHAnsi" w:eastAsiaTheme="minorEastAsia" w:hAnsiTheme="minorHAnsi" w:cstheme="minorBidi"/>
          <w:b/>
          <w:bCs/>
          <w:color w:val="auto"/>
          <w:sz w:val="24"/>
          <w:szCs w:val="24"/>
        </w:rPr>
      </w:pPr>
      <w:bookmarkStart w:id="36" w:name="_Toc706754417"/>
      <w:r w:rsidRPr="24CEE590">
        <w:rPr>
          <w:rFonts w:asciiTheme="minorHAnsi" w:eastAsiaTheme="minorEastAsia" w:hAnsiTheme="minorHAnsi" w:cstheme="minorBidi"/>
          <w:b/>
          <w:bCs/>
          <w:color w:val="auto"/>
          <w:sz w:val="24"/>
          <w:szCs w:val="24"/>
        </w:rPr>
        <w:t>6.1 AI Tool Disclosure:</w:t>
      </w:r>
      <w:bookmarkEnd w:id="36"/>
    </w:p>
    <w:p w14:paraId="7C9CB7BB" w14:textId="4B1F1A1C" w:rsidR="06ABF820" w:rsidRDefault="16EC6E6E" w:rsidP="24CEE590">
      <w:pPr>
        <w:spacing w:line="360" w:lineRule="auto"/>
        <w:jc w:val="both"/>
      </w:pPr>
      <w:r w:rsidRPr="24CEE590">
        <w:rPr>
          <w:rFonts w:ascii="Arial" w:eastAsia="Arial" w:hAnsi="Arial" w:cs="Arial"/>
        </w:rPr>
        <w:t>During the preparation of this assignment, artificial intelligence was utilised as a supporting tool for idea generation, investigation, and review. It helped identify pertinent financial ideas, recommended suitable analytical methods, and clarified how financial ratios and investment assessment methodologies should be interpreted. Additionally, it was utilised to pinpoint areas that needed additional confirmation in comparison to scholarly literature and yearly reports from Hilton Worldwide Holdings Inc. Before being included in the study, financial data, computations, and scholarly references were verified against relevant sources; the outputs were not regarded as automatically accurate.</w:t>
      </w:r>
    </w:p>
    <w:p w14:paraId="36ED1D0D" w14:textId="4123F917" w:rsidR="06ABF820" w:rsidRDefault="16EC6E6E" w:rsidP="24CEE590">
      <w:pPr>
        <w:spacing w:line="360" w:lineRule="auto"/>
        <w:jc w:val="both"/>
      </w:pPr>
      <w:r w:rsidRPr="24CEE590">
        <w:rPr>
          <w:rFonts w:ascii="Arial" w:eastAsia="Arial" w:hAnsi="Arial" w:cs="Arial"/>
        </w:rPr>
        <w:t>Therefore, rather than taking the role of autonomous judgement, artificial intelligence was meant to enhance the process of learning and study. This method acknowledges the value of openness when using AI in academic work and reflects recommendations that students should explicitly state how these tools aided in their evaluation.</w:t>
      </w:r>
    </w:p>
    <w:p w14:paraId="09BB700D" w14:textId="767C9536" w:rsidR="06ABF820" w:rsidRDefault="16EC6E6E" w:rsidP="24CEE590">
      <w:pPr>
        <w:pStyle w:val="Heading2"/>
        <w:spacing w:line="360" w:lineRule="auto"/>
        <w:rPr>
          <w:rFonts w:asciiTheme="minorHAnsi" w:eastAsiaTheme="minorEastAsia" w:hAnsiTheme="minorHAnsi" w:cstheme="minorBidi"/>
          <w:b/>
          <w:bCs/>
          <w:color w:val="auto"/>
          <w:sz w:val="24"/>
          <w:szCs w:val="24"/>
        </w:rPr>
      </w:pPr>
      <w:bookmarkStart w:id="37" w:name="_Toc1502513052"/>
      <w:r w:rsidRPr="24CEE590">
        <w:rPr>
          <w:rFonts w:asciiTheme="minorHAnsi" w:eastAsiaTheme="minorEastAsia" w:hAnsiTheme="minorHAnsi" w:cstheme="minorBidi"/>
          <w:b/>
          <w:bCs/>
          <w:color w:val="auto"/>
          <w:sz w:val="24"/>
          <w:szCs w:val="24"/>
        </w:rPr>
        <w:t>6.2 Critical Evaluation of AI Output:</w:t>
      </w:r>
      <w:bookmarkEnd w:id="37"/>
    </w:p>
    <w:p w14:paraId="35A297BD" w14:textId="3DBDB4D1" w:rsidR="06ABF820" w:rsidRPr="008D6AC2" w:rsidRDefault="16EC6E6E" w:rsidP="24CEE590">
      <w:pPr>
        <w:spacing w:line="360" w:lineRule="auto"/>
        <w:jc w:val="both"/>
      </w:pPr>
      <w:r w:rsidRPr="24CEE590">
        <w:rPr>
          <w:rFonts w:ascii="Arial" w:eastAsia="Arial" w:hAnsi="Arial" w:cs="Arial"/>
        </w:rPr>
        <w:t xml:space="preserve">Artificial intelligence was a helpful tool, but its results needed to be carefully considered. Its capacity to arrange financial data and offer potential interpretations of profitability, liquidity, gearing, and investment assessment outcomes was one of its main advantages. This made it easier to find connections between various financial indices. Nevertheless, without verification, the outputs were not taken to be trustworthy. Because AI-generated data may contain errors, improper references, or unsubstantiated conclusions, financial statistics, ratio calculations, and references had to be verified against Hilton's annual reports and reliable academic sources. </w:t>
      </w:r>
    </w:p>
    <w:p w14:paraId="2A4E75C9" w14:textId="5C13D19C" w:rsidR="06ABF820" w:rsidRDefault="16EC6E6E" w:rsidP="24CEE590">
      <w:pPr>
        <w:spacing w:line="360" w:lineRule="auto"/>
        <w:jc w:val="both"/>
      </w:pPr>
      <w:r w:rsidRPr="24CEE590">
        <w:rPr>
          <w:rFonts w:ascii="Arial" w:eastAsia="Arial" w:hAnsi="Arial" w:cs="Arial"/>
        </w:rPr>
        <w:lastRenderedPageBreak/>
        <w:t>As a result, AI was not regarded as an authoritative source but rather as a supportive resource. In order to ascertain whether proposed interpretations were pertinent to Hilton's financial situation, the final study required independent judgement. My understanding of the need to balance AI efficiency with source verification, critical thinking, and academic accountability has increased because of this exercise.</w:t>
      </w:r>
    </w:p>
    <w:p w14:paraId="08BAD5CC" w14:textId="30847EAB" w:rsidR="06ABF820" w:rsidRDefault="1DFFF4CC" w:rsidP="24CEE590">
      <w:pPr>
        <w:pStyle w:val="Heading2"/>
        <w:spacing w:line="360" w:lineRule="auto"/>
        <w:jc w:val="both"/>
        <w:rPr>
          <w:rFonts w:asciiTheme="minorHAnsi" w:eastAsiaTheme="minorEastAsia" w:hAnsiTheme="minorHAnsi" w:cstheme="minorBidi"/>
          <w:b/>
          <w:bCs/>
          <w:color w:val="auto"/>
          <w:sz w:val="24"/>
          <w:szCs w:val="24"/>
        </w:rPr>
      </w:pPr>
      <w:bookmarkStart w:id="38" w:name="_Toc361202890"/>
      <w:r w:rsidRPr="24CEE590">
        <w:rPr>
          <w:rFonts w:asciiTheme="minorHAnsi" w:eastAsiaTheme="minorEastAsia" w:hAnsiTheme="minorHAnsi" w:cstheme="minorBidi"/>
          <w:b/>
          <w:bCs/>
          <w:color w:val="auto"/>
          <w:sz w:val="24"/>
          <w:szCs w:val="24"/>
        </w:rPr>
        <w:t>6.3 My Contribution to the Assignment:</w:t>
      </w:r>
      <w:bookmarkEnd w:id="38"/>
    </w:p>
    <w:p w14:paraId="1195650B" w14:textId="1828E430" w:rsidR="06ABF820" w:rsidRDefault="1DFFF4CC" w:rsidP="24CEE590">
      <w:pPr>
        <w:spacing w:line="360" w:lineRule="auto"/>
        <w:jc w:val="both"/>
      </w:pPr>
      <w:r w:rsidRPr="24CEE590">
        <w:rPr>
          <w:rFonts w:ascii="Arial" w:eastAsia="Arial" w:hAnsi="Arial" w:cs="Arial"/>
        </w:rPr>
        <w:t>To complete the assignment, I conducted research on Hilton Worldwide Holdings Inc., looked over its financial accounts, and used financial management strategies to analyze the data. I was in charge of choosing pertinent financial information, comparing numbers to corporate reports, and comprehending the significance of the computed ratios. Instead of depending only on numerical statistics, I also assessed Hilton's profitability, liquidity, efficiency, gearing, cash flows, and investment potential. To identify the best project, the investment appraisal portion requires independent computation and comparison of Payback Period, ARR, NPV, PI, and IRR.</w:t>
      </w:r>
    </w:p>
    <w:p w14:paraId="439F4197" w14:textId="31CE9D67" w:rsidR="06ABF820" w:rsidRDefault="1DFFF4CC" w:rsidP="24CEE590">
      <w:pPr>
        <w:spacing w:line="360" w:lineRule="auto"/>
        <w:jc w:val="both"/>
      </w:pPr>
      <w:r w:rsidRPr="24CEE590">
        <w:rPr>
          <w:rFonts w:ascii="Arial" w:eastAsia="Arial" w:hAnsi="Arial" w:cs="Arial"/>
        </w:rPr>
        <w:t xml:space="preserve">AI support helped me generate concepts and pinpoint areas that needed more research, but I was still in charge of verifying the facts and determining which arguments were valid. Because I had to challenge proposed interpretations and contrast them with data from reliable sources, this process improved my comprehension of financial analysis. </w:t>
      </w:r>
    </w:p>
    <w:p w14:paraId="0FF10C1B" w14:textId="72048120" w:rsidR="06ABF820" w:rsidRDefault="1DFFF4CC" w:rsidP="24CEE590">
      <w:pPr>
        <w:pStyle w:val="Heading2"/>
        <w:spacing w:line="360" w:lineRule="auto"/>
        <w:jc w:val="both"/>
        <w:rPr>
          <w:rFonts w:asciiTheme="minorHAnsi" w:eastAsiaTheme="minorEastAsia" w:hAnsiTheme="minorHAnsi" w:cstheme="minorBidi"/>
          <w:b/>
          <w:bCs/>
          <w:color w:val="auto"/>
          <w:sz w:val="24"/>
          <w:szCs w:val="24"/>
        </w:rPr>
      </w:pPr>
      <w:bookmarkStart w:id="39" w:name="_Toc1728015756"/>
      <w:r w:rsidRPr="24CEE590">
        <w:rPr>
          <w:rFonts w:asciiTheme="minorHAnsi" w:eastAsiaTheme="minorEastAsia" w:hAnsiTheme="minorHAnsi" w:cstheme="minorBidi"/>
          <w:b/>
          <w:bCs/>
          <w:color w:val="auto"/>
          <w:sz w:val="24"/>
          <w:szCs w:val="24"/>
        </w:rPr>
        <w:t>6.4 Ethical and Professional Reflection:</w:t>
      </w:r>
      <w:bookmarkEnd w:id="39"/>
    </w:p>
    <w:p w14:paraId="330BD17E" w14:textId="6CFCFE41" w:rsidR="06ABF820" w:rsidRPr="008D6AC2" w:rsidRDefault="679D5F37" w:rsidP="24CEE590">
      <w:pPr>
        <w:spacing w:line="360" w:lineRule="auto"/>
        <w:jc w:val="both"/>
      </w:pPr>
      <w:r w:rsidRPr="24CEE590">
        <w:rPr>
          <w:rFonts w:ascii="Arial" w:eastAsia="Arial" w:hAnsi="Arial" w:cs="Arial"/>
        </w:rPr>
        <w:t>There are significant ethical and professional issues with artificial intelligence in academic work. Academic integrity is a serious issue, especially when AI-generated content is presented as an individual's original work. Universities stress that while appropriate use of AI relies on the particular assessment of needs, improper use may constitute academic misconduct.</w:t>
      </w:r>
    </w:p>
    <w:p w14:paraId="6AEB75C6" w14:textId="20B19CA3" w:rsidR="06ABF820" w:rsidRDefault="679D5F37" w:rsidP="24CEE590">
      <w:pPr>
        <w:spacing w:line="360" w:lineRule="auto"/>
        <w:jc w:val="both"/>
        <w:rPr>
          <w:rFonts w:ascii="Arial" w:eastAsia="Arial" w:hAnsi="Arial" w:cs="Arial"/>
        </w:rPr>
      </w:pPr>
      <w:r w:rsidRPr="24CEE590">
        <w:rPr>
          <w:rFonts w:ascii="Arial" w:eastAsia="Arial" w:hAnsi="Arial" w:cs="Arial"/>
        </w:rPr>
        <w:t xml:space="preserve">In this work, I realised that trustworthy annual reports and scholarly literature, not unconfirmed AI responses, should be the foundation for financial judgements. From a professional standpoint, appropriate AI use necessitates accountability, critical thinking, secrecy, and restriction awareness. As a result, I see AI as an additional analytical tool rather than a substitute for expert knowledge. </w:t>
      </w:r>
    </w:p>
    <w:p w14:paraId="08BAC498" w14:textId="0383472C" w:rsidR="06ABF820" w:rsidRDefault="63D9E540" w:rsidP="24CEE590">
      <w:pPr>
        <w:pStyle w:val="Heading1"/>
        <w:spacing w:line="360" w:lineRule="auto"/>
        <w:jc w:val="both"/>
        <w:rPr>
          <w:rFonts w:asciiTheme="minorHAnsi" w:eastAsiaTheme="minorEastAsia" w:hAnsiTheme="minorHAnsi" w:cstheme="minorBidi"/>
          <w:b/>
          <w:bCs/>
          <w:color w:val="auto"/>
          <w:sz w:val="24"/>
          <w:szCs w:val="24"/>
        </w:rPr>
      </w:pPr>
      <w:bookmarkStart w:id="40" w:name="_Toc1580155476"/>
      <w:r w:rsidRPr="24CEE590">
        <w:rPr>
          <w:rFonts w:asciiTheme="minorHAnsi" w:eastAsiaTheme="minorEastAsia" w:hAnsiTheme="minorHAnsi" w:cstheme="minorBidi"/>
          <w:b/>
          <w:bCs/>
          <w:color w:val="auto"/>
          <w:sz w:val="24"/>
          <w:szCs w:val="24"/>
        </w:rPr>
        <w:lastRenderedPageBreak/>
        <w:t>Conclusion:</w:t>
      </w:r>
      <w:bookmarkEnd w:id="40"/>
    </w:p>
    <w:p w14:paraId="5D1ED361" w14:textId="78B4363B" w:rsidR="06ABF820" w:rsidRDefault="63D9E540" w:rsidP="24CEE590">
      <w:pPr>
        <w:spacing w:line="360" w:lineRule="auto"/>
        <w:jc w:val="both"/>
      </w:pPr>
      <w:r w:rsidRPr="24CEE590">
        <w:rPr>
          <w:rFonts w:ascii="Arial" w:eastAsia="Arial" w:hAnsi="Arial" w:cs="Arial"/>
        </w:rPr>
        <w:t>Overall, Hilton's consistent revenue growth, increased profitability, better asset utilisation, and significant operating cash creation show the company's robust financial position. Declining liquidity and rising debt levels, however, point to regions that need cautious money management. Hilton's net debt rose to $11.489 billion in 2025, indicating possible pressure on financial flexibility, while its current ratio hit roughly 0.66:1. With a 3.6-year payback period, 6% ARR, positive NPV of £0.86 million, PI of 1.02, and IRR of 8.59%, Project C is the recommended choice according to the investment analysis. In order to ensure sustainable long-term financial performance, Hilton should choose Project C, hold onto unused resources, and keep improving liquidity and debt management.</w:t>
      </w:r>
    </w:p>
    <w:p w14:paraId="377968A2" w14:textId="5D24241A" w:rsidR="06ABF820" w:rsidRDefault="06ABF820" w:rsidP="24CEE590">
      <w:pPr>
        <w:spacing w:line="360" w:lineRule="auto"/>
        <w:jc w:val="both"/>
        <w:rPr>
          <w:rFonts w:ascii="Arial" w:eastAsia="Arial" w:hAnsi="Arial" w:cs="Arial"/>
        </w:rPr>
      </w:pPr>
    </w:p>
    <w:p w14:paraId="3202F559" w14:textId="7082A665" w:rsidR="06ABF820" w:rsidRDefault="06ABF820" w:rsidP="24CEE590">
      <w:pPr>
        <w:spacing w:line="360" w:lineRule="auto"/>
        <w:jc w:val="both"/>
        <w:rPr>
          <w:rFonts w:ascii="Arial" w:eastAsia="Arial" w:hAnsi="Arial" w:cs="Arial"/>
        </w:rPr>
      </w:pPr>
    </w:p>
    <w:p w14:paraId="2B0C4443" w14:textId="429AB504" w:rsidR="06ABF820" w:rsidRDefault="06ABF820" w:rsidP="24CEE590">
      <w:pPr>
        <w:spacing w:line="360" w:lineRule="auto"/>
        <w:jc w:val="both"/>
        <w:rPr>
          <w:rFonts w:ascii="Arial" w:eastAsia="Arial" w:hAnsi="Arial" w:cs="Arial"/>
        </w:rPr>
      </w:pPr>
    </w:p>
    <w:p w14:paraId="74BFB43D" w14:textId="7F351567" w:rsidR="06ABF820" w:rsidRDefault="06ABF820" w:rsidP="24CEE590">
      <w:pPr>
        <w:spacing w:line="360" w:lineRule="auto"/>
        <w:jc w:val="both"/>
        <w:rPr>
          <w:rFonts w:ascii="Arial" w:eastAsia="Arial" w:hAnsi="Arial" w:cs="Arial"/>
        </w:rPr>
      </w:pPr>
    </w:p>
    <w:p w14:paraId="33CCD2B7" w14:textId="2DDAFC31" w:rsidR="06ABF820" w:rsidRDefault="06ABF820" w:rsidP="24CEE590">
      <w:pPr>
        <w:spacing w:line="360" w:lineRule="auto"/>
        <w:jc w:val="both"/>
        <w:rPr>
          <w:rFonts w:ascii="Arial" w:eastAsia="Arial" w:hAnsi="Arial" w:cs="Arial"/>
        </w:rPr>
      </w:pPr>
    </w:p>
    <w:p w14:paraId="1D49CB1C" w14:textId="30CCB4C0" w:rsidR="06ABF820" w:rsidRDefault="06ABF820" w:rsidP="24CEE590">
      <w:pPr>
        <w:spacing w:line="360" w:lineRule="auto"/>
        <w:jc w:val="both"/>
        <w:rPr>
          <w:rFonts w:ascii="Arial" w:eastAsia="Arial" w:hAnsi="Arial" w:cs="Arial"/>
        </w:rPr>
      </w:pPr>
    </w:p>
    <w:p w14:paraId="05CD7C86" w14:textId="4E99F688" w:rsidR="06ABF820" w:rsidRDefault="06ABF820" w:rsidP="24CEE590">
      <w:pPr>
        <w:spacing w:line="360" w:lineRule="auto"/>
        <w:jc w:val="both"/>
        <w:rPr>
          <w:rFonts w:ascii="Arial" w:eastAsia="Arial" w:hAnsi="Arial" w:cs="Arial"/>
        </w:rPr>
      </w:pPr>
    </w:p>
    <w:p w14:paraId="0B719DF3" w14:textId="3D4B0B5B" w:rsidR="06ABF820" w:rsidRDefault="06ABF820" w:rsidP="24CEE590">
      <w:pPr>
        <w:spacing w:line="360" w:lineRule="auto"/>
        <w:jc w:val="both"/>
        <w:rPr>
          <w:rFonts w:ascii="Arial" w:eastAsia="Arial" w:hAnsi="Arial" w:cs="Arial"/>
        </w:rPr>
      </w:pPr>
    </w:p>
    <w:p w14:paraId="5554C85C" w14:textId="04CC1726" w:rsidR="06ABF820" w:rsidRDefault="06ABF820" w:rsidP="24CEE590">
      <w:pPr>
        <w:spacing w:line="360" w:lineRule="auto"/>
        <w:jc w:val="both"/>
        <w:rPr>
          <w:rFonts w:ascii="Arial" w:eastAsia="Arial" w:hAnsi="Arial" w:cs="Arial"/>
        </w:rPr>
      </w:pPr>
    </w:p>
    <w:p w14:paraId="1B79901E" w14:textId="0C0873ED" w:rsidR="06ABF820" w:rsidRDefault="06ABF820" w:rsidP="24CEE590">
      <w:pPr>
        <w:spacing w:line="360" w:lineRule="auto"/>
        <w:jc w:val="both"/>
        <w:rPr>
          <w:rFonts w:ascii="Arial" w:eastAsia="Arial" w:hAnsi="Arial" w:cs="Arial"/>
        </w:rPr>
      </w:pPr>
    </w:p>
    <w:p w14:paraId="16F70DF7" w14:textId="110BBEB1" w:rsidR="06ABF820" w:rsidRDefault="06ABF820" w:rsidP="24CEE590">
      <w:pPr>
        <w:spacing w:line="360" w:lineRule="auto"/>
        <w:jc w:val="both"/>
        <w:rPr>
          <w:rFonts w:ascii="Arial" w:eastAsia="Arial" w:hAnsi="Arial" w:cs="Arial"/>
        </w:rPr>
      </w:pPr>
    </w:p>
    <w:p w14:paraId="3589B436" w14:textId="7F314026" w:rsidR="06ABF820" w:rsidRDefault="06ABF820" w:rsidP="24CEE590">
      <w:pPr>
        <w:spacing w:line="360" w:lineRule="auto"/>
        <w:jc w:val="both"/>
        <w:rPr>
          <w:rFonts w:ascii="Arial" w:eastAsia="Arial" w:hAnsi="Arial" w:cs="Arial"/>
        </w:rPr>
      </w:pPr>
    </w:p>
    <w:p w14:paraId="5AE4CDB0" w14:textId="5B209868" w:rsidR="06ABF820" w:rsidRDefault="06ABF820" w:rsidP="24CEE590">
      <w:pPr>
        <w:spacing w:line="360" w:lineRule="auto"/>
        <w:jc w:val="both"/>
        <w:rPr>
          <w:rFonts w:ascii="Arial" w:eastAsia="Arial" w:hAnsi="Arial" w:cs="Arial"/>
        </w:rPr>
      </w:pPr>
    </w:p>
    <w:p w14:paraId="321E6718" w14:textId="662172E9" w:rsidR="06ABF820" w:rsidRDefault="63D9E540" w:rsidP="24CEE590">
      <w:pPr>
        <w:pStyle w:val="Heading1"/>
        <w:spacing w:line="360" w:lineRule="auto"/>
        <w:jc w:val="both"/>
        <w:rPr>
          <w:rFonts w:asciiTheme="minorHAnsi" w:eastAsiaTheme="minorEastAsia" w:hAnsiTheme="minorHAnsi" w:cstheme="minorBidi"/>
          <w:b/>
          <w:bCs/>
          <w:color w:val="auto"/>
          <w:sz w:val="24"/>
          <w:szCs w:val="24"/>
        </w:rPr>
      </w:pPr>
      <w:bookmarkStart w:id="41" w:name="_Toc1353045079"/>
      <w:r w:rsidRPr="24CEE590">
        <w:rPr>
          <w:rFonts w:asciiTheme="minorHAnsi" w:eastAsiaTheme="minorEastAsia" w:hAnsiTheme="minorHAnsi" w:cstheme="minorBidi"/>
          <w:b/>
          <w:bCs/>
          <w:color w:val="auto"/>
          <w:sz w:val="24"/>
          <w:szCs w:val="24"/>
        </w:rPr>
        <w:lastRenderedPageBreak/>
        <w:t>References:</w:t>
      </w:r>
      <w:bookmarkEnd w:id="41"/>
    </w:p>
    <w:p w14:paraId="0ADEE36D" w14:textId="6EF109FB" w:rsidR="06ABF820" w:rsidRDefault="63D9E540" w:rsidP="24CEE590">
      <w:pPr>
        <w:spacing w:line="360" w:lineRule="auto"/>
        <w:jc w:val="both"/>
      </w:pPr>
      <w:r w:rsidRPr="24CEE590">
        <w:rPr>
          <w:rFonts w:ascii="Arial" w:eastAsia="Arial" w:hAnsi="Arial" w:cs="Arial"/>
          <w:color w:val="222222"/>
        </w:rPr>
        <w:t xml:space="preserve">Abínzano, I., Seco, L., Escobar, M. and Olivares, P., 2009. Single and Double Black–Cox: Two approaches for modelling debt restructuring. </w:t>
      </w:r>
      <w:r w:rsidRPr="24CEE590">
        <w:rPr>
          <w:rFonts w:ascii="Arial" w:eastAsia="Arial" w:hAnsi="Arial" w:cs="Arial"/>
          <w:i/>
          <w:iCs/>
          <w:color w:val="222222"/>
        </w:rPr>
        <w:t>Economic Modelling</w:t>
      </w:r>
      <w:r w:rsidRPr="24CEE590">
        <w:rPr>
          <w:rFonts w:ascii="Arial" w:eastAsia="Arial" w:hAnsi="Arial" w:cs="Arial"/>
          <w:color w:val="222222"/>
        </w:rPr>
        <w:t xml:space="preserve">, </w:t>
      </w:r>
      <w:r w:rsidRPr="24CEE590">
        <w:rPr>
          <w:rFonts w:ascii="Arial" w:eastAsia="Arial" w:hAnsi="Arial" w:cs="Arial"/>
          <w:i/>
          <w:iCs/>
          <w:color w:val="222222"/>
        </w:rPr>
        <w:t>26</w:t>
      </w:r>
      <w:r w:rsidRPr="24CEE590">
        <w:rPr>
          <w:rFonts w:ascii="Arial" w:eastAsia="Arial" w:hAnsi="Arial" w:cs="Arial"/>
          <w:color w:val="222222"/>
        </w:rPr>
        <w:t>(5), pp.910-917.</w:t>
      </w:r>
      <w:r w:rsidRPr="24CEE590">
        <w:rPr>
          <w:rFonts w:ascii="Arial" w:eastAsia="Arial" w:hAnsi="Arial" w:cs="Arial"/>
        </w:rPr>
        <w:t xml:space="preserve"> </w:t>
      </w:r>
    </w:p>
    <w:p w14:paraId="0E6A56DF" w14:textId="7C09AC12" w:rsidR="06ABF820" w:rsidRDefault="63D9E540" w:rsidP="24CEE590">
      <w:pPr>
        <w:spacing w:line="360" w:lineRule="auto"/>
        <w:jc w:val="both"/>
      </w:pPr>
      <w:r w:rsidRPr="24CEE590">
        <w:rPr>
          <w:rFonts w:ascii="Arial" w:eastAsia="Arial" w:hAnsi="Arial" w:cs="Arial"/>
          <w:color w:val="222222"/>
        </w:rPr>
        <w:t xml:space="preserve">Barnabas, B. and Oloyede, J., 2024. Cash flow optimization: Strategies for enhancing short-term liquidity. </w:t>
      </w:r>
      <w:r w:rsidRPr="24CEE590">
        <w:rPr>
          <w:rFonts w:ascii="Arial" w:eastAsia="Arial" w:hAnsi="Arial" w:cs="Arial"/>
          <w:i/>
          <w:iCs/>
          <w:color w:val="222222"/>
        </w:rPr>
        <w:t>Available at SSRN 5004465</w:t>
      </w:r>
      <w:r w:rsidRPr="24CEE590">
        <w:rPr>
          <w:rFonts w:ascii="Arial" w:eastAsia="Arial" w:hAnsi="Arial" w:cs="Arial"/>
          <w:color w:val="222222"/>
        </w:rPr>
        <w:t>.</w:t>
      </w:r>
      <w:r w:rsidRPr="24CEE590">
        <w:rPr>
          <w:rFonts w:ascii="Arial" w:eastAsia="Arial" w:hAnsi="Arial" w:cs="Arial"/>
        </w:rPr>
        <w:t xml:space="preserve"> </w:t>
      </w:r>
    </w:p>
    <w:p w14:paraId="4A97EEF2" w14:textId="54DF6EF9" w:rsidR="06ABF820" w:rsidRDefault="63D9E540" w:rsidP="24CEE590">
      <w:pPr>
        <w:spacing w:line="360" w:lineRule="auto"/>
        <w:jc w:val="both"/>
      </w:pPr>
      <w:r w:rsidRPr="24CEE590">
        <w:rPr>
          <w:rFonts w:ascii="Arial" w:eastAsia="Arial" w:hAnsi="Arial" w:cs="Arial"/>
          <w:color w:val="222222"/>
        </w:rPr>
        <w:t xml:space="preserve">Campello, M., 2006. Debt financing: Does it boost or hurt firm performance in product </w:t>
      </w:r>
      <w:proofErr w:type="gramStart"/>
      <w:r w:rsidRPr="24CEE590">
        <w:rPr>
          <w:rFonts w:ascii="Arial" w:eastAsia="Arial" w:hAnsi="Arial" w:cs="Arial"/>
          <w:color w:val="222222"/>
        </w:rPr>
        <w:t>markets?.</w:t>
      </w:r>
      <w:proofErr w:type="gramEnd"/>
      <w:r w:rsidRPr="24CEE590">
        <w:rPr>
          <w:rFonts w:ascii="Arial" w:eastAsia="Arial" w:hAnsi="Arial" w:cs="Arial"/>
          <w:color w:val="222222"/>
        </w:rPr>
        <w:t xml:space="preserve"> </w:t>
      </w:r>
      <w:r w:rsidRPr="24CEE590">
        <w:rPr>
          <w:rFonts w:ascii="Arial" w:eastAsia="Arial" w:hAnsi="Arial" w:cs="Arial"/>
          <w:i/>
          <w:iCs/>
          <w:color w:val="222222"/>
        </w:rPr>
        <w:t>Journal of financial economics</w:t>
      </w:r>
      <w:r w:rsidRPr="24CEE590">
        <w:rPr>
          <w:rFonts w:ascii="Arial" w:eastAsia="Arial" w:hAnsi="Arial" w:cs="Arial"/>
          <w:color w:val="222222"/>
        </w:rPr>
        <w:t xml:space="preserve">, </w:t>
      </w:r>
      <w:r w:rsidRPr="24CEE590">
        <w:rPr>
          <w:rFonts w:ascii="Arial" w:eastAsia="Arial" w:hAnsi="Arial" w:cs="Arial"/>
          <w:i/>
          <w:iCs/>
          <w:color w:val="222222"/>
        </w:rPr>
        <w:t>82</w:t>
      </w:r>
      <w:r w:rsidRPr="24CEE590">
        <w:rPr>
          <w:rFonts w:ascii="Arial" w:eastAsia="Arial" w:hAnsi="Arial" w:cs="Arial"/>
          <w:color w:val="222222"/>
        </w:rPr>
        <w:t>(1), pp.135-172.</w:t>
      </w:r>
      <w:r w:rsidRPr="24CEE590">
        <w:rPr>
          <w:rFonts w:ascii="Arial" w:eastAsia="Arial" w:hAnsi="Arial" w:cs="Arial"/>
        </w:rPr>
        <w:t xml:space="preserve"> </w:t>
      </w:r>
    </w:p>
    <w:p w14:paraId="5C73966D" w14:textId="7ABF3427" w:rsidR="06ABF820" w:rsidRDefault="63D9E540" w:rsidP="24CEE590">
      <w:pPr>
        <w:spacing w:line="360" w:lineRule="auto"/>
        <w:jc w:val="both"/>
      </w:pPr>
      <w:r w:rsidRPr="24CEE590">
        <w:rPr>
          <w:rFonts w:ascii="Arial" w:eastAsia="Arial" w:hAnsi="Arial" w:cs="Arial"/>
          <w:color w:val="222222"/>
        </w:rPr>
        <w:t xml:space="preserve">Canina, L. and Carvell, S.A., 2008. A comparison of static measures of liquidity to integrative measures of financial and operating liquidity: an application to restaurant operators and restaurant franchisors. </w:t>
      </w:r>
      <w:r w:rsidRPr="24CEE590">
        <w:rPr>
          <w:rFonts w:ascii="Arial" w:eastAsia="Arial" w:hAnsi="Arial" w:cs="Arial"/>
          <w:i/>
          <w:iCs/>
          <w:color w:val="222222"/>
        </w:rPr>
        <w:t>The Journal of Hospitality Financial Management</w:t>
      </w:r>
      <w:r w:rsidRPr="24CEE590">
        <w:rPr>
          <w:rFonts w:ascii="Arial" w:eastAsia="Arial" w:hAnsi="Arial" w:cs="Arial"/>
          <w:color w:val="222222"/>
        </w:rPr>
        <w:t xml:space="preserve">, </w:t>
      </w:r>
      <w:r w:rsidRPr="24CEE590">
        <w:rPr>
          <w:rFonts w:ascii="Arial" w:eastAsia="Arial" w:hAnsi="Arial" w:cs="Arial"/>
          <w:i/>
          <w:iCs/>
          <w:color w:val="222222"/>
        </w:rPr>
        <w:t>16</w:t>
      </w:r>
      <w:r w:rsidRPr="24CEE590">
        <w:rPr>
          <w:rFonts w:ascii="Arial" w:eastAsia="Arial" w:hAnsi="Arial" w:cs="Arial"/>
          <w:color w:val="222222"/>
        </w:rPr>
        <w:t>(1), pp.35-46.</w:t>
      </w:r>
      <w:r w:rsidRPr="24CEE590">
        <w:rPr>
          <w:rFonts w:ascii="Arial" w:eastAsia="Arial" w:hAnsi="Arial" w:cs="Arial"/>
        </w:rPr>
        <w:t xml:space="preserve"> </w:t>
      </w:r>
    </w:p>
    <w:p w14:paraId="2A590AF0" w14:textId="55BB3CF9" w:rsidR="06ABF820" w:rsidRDefault="63D9E540" w:rsidP="24CEE590">
      <w:pPr>
        <w:spacing w:line="360" w:lineRule="auto"/>
        <w:jc w:val="both"/>
        <w:rPr>
          <w:rFonts w:ascii="Arial" w:eastAsia="Arial" w:hAnsi="Arial" w:cs="Arial"/>
        </w:rPr>
      </w:pPr>
      <w:r w:rsidRPr="24CEE590">
        <w:rPr>
          <w:rFonts w:ascii="Arial" w:eastAsia="Arial" w:hAnsi="Arial" w:cs="Arial"/>
          <w:color w:val="222222"/>
        </w:rPr>
        <w:t xml:space="preserve">Ferson, W.E., 2010. Investment performance evaluation. </w:t>
      </w:r>
      <w:r w:rsidRPr="24CEE590">
        <w:rPr>
          <w:rFonts w:ascii="Arial" w:eastAsia="Arial" w:hAnsi="Arial" w:cs="Arial"/>
          <w:i/>
          <w:iCs/>
          <w:color w:val="222222"/>
        </w:rPr>
        <w:t>Annu. Rev. Financ. Econ.</w:t>
      </w:r>
      <w:r w:rsidRPr="24CEE590">
        <w:rPr>
          <w:rFonts w:ascii="Arial" w:eastAsia="Arial" w:hAnsi="Arial" w:cs="Arial"/>
          <w:color w:val="222222"/>
        </w:rPr>
        <w:t xml:space="preserve">, </w:t>
      </w:r>
      <w:r w:rsidRPr="24CEE590">
        <w:rPr>
          <w:rFonts w:ascii="Arial" w:eastAsia="Arial" w:hAnsi="Arial" w:cs="Arial"/>
          <w:i/>
          <w:iCs/>
          <w:color w:val="222222"/>
        </w:rPr>
        <w:t>2</w:t>
      </w:r>
      <w:r w:rsidRPr="24CEE590">
        <w:rPr>
          <w:rFonts w:ascii="Arial" w:eastAsia="Arial" w:hAnsi="Arial" w:cs="Arial"/>
          <w:color w:val="222222"/>
        </w:rPr>
        <w:t>(1), pp.207-234.</w:t>
      </w:r>
    </w:p>
    <w:p w14:paraId="64C05DDD" w14:textId="17822A6D" w:rsidR="06ABF820" w:rsidRDefault="63D9E540" w:rsidP="24CEE590">
      <w:pPr>
        <w:spacing w:line="360" w:lineRule="auto"/>
        <w:jc w:val="both"/>
      </w:pPr>
      <w:r w:rsidRPr="24CEE590">
        <w:rPr>
          <w:rFonts w:ascii="Arial" w:eastAsia="Arial" w:hAnsi="Arial" w:cs="Arial"/>
          <w:color w:val="222222"/>
        </w:rPr>
        <w:t xml:space="preserve">Gurau, M.A., 2012. The use of profitability index in economic evaluation of industrial investment projects. </w:t>
      </w:r>
      <w:r w:rsidRPr="24CEE590">
        <w:rPr>
          <w:rFonts w:ascii="Arial" w:eastAsia="Arial" w:hAnsi="Arial" w:cs="Arial"/>
          <w:i/>
          <w:iCs/>
          <w:color w:val="222222"/>
        </w:rPr>
        <w:t>Proceedings in Manufacturing Systems</w:t>
      </w:r>
      <w:r w:rsidRPr="24CEE590">
        <w:rPr>
          <w:rFonts w:ascii="Arial" w:eastAsia="Arial" w:hAnsi="Arial" w:cs="Arial"/>
          <w:color w:val="222222"/>
        </w:rPr>
        <w:t xml:space="preserve">, </w:t>
      </w:r>
      <w:r w:rsidRPr="24CEE590">
        <w:rPr>
          <w:rFonts w:ascii="Arial" w:eastAsia="Arial" w:hAnsi="Arial" w:cs="Arial"/>
          <w:i/>
          <w:iCs/>
          <w:color w:val="222222"/>
        </w:rPr>
        <w:t>7</w:t>
      </w:r>
      <w:r w:rsidRPr="24CEE590">
        <w:rPr>
          <w:rFonts w:ascii="Arial" w:eastAsia="Arial" w:hAnsi="Arial" w:cs="Arial"/>
          <w:color w:val="222222"/>
        </w:rPr>
        <w:t>(1), pp.55-58.</w:t>
      </w:r>
      <w:r w:rsidRPr="24CEE590">
        <w:rPr>
          <w:rFonts w:ascii="Arial" w:eastAsia="Arial" w:hAnsi="Arial" w:cs="Arial"/>
        </w:rPr>
        <w:t xml:space="preserve"> </w:t>
      </w:r>
    </w:p>
    <w:p w14:paraId="723FEE55" w14:textId="17C878D8" w:rsidR="06ABF820" w:rsidRDefault="63D9E540" w:rsidP="24CEE590">
      <w:pPr>
        <w:spacing w:line="360" w:lineRule="auto"/>
        <w:jc w:val="both"/>
        <w:rPr>
          <w:rFonts w:ascii="Arial" w:eastAsia="Arial" w:hAnsi="Arial" w:cs="Arial"/>
          <w:color w:val="000000" w:themeColor="text1"/>
        </w:rPr>
      </w:pPr>
      <w:r w:rsidRPr="24CEE590">
        <w:rPr>
          <w:rFonts w:ascii="Arial" w:eastAsia="Arial" w:hAnsi="Arial" w:cs="Arial"/>
          <w:color w:val="000000" w:themeColor="text1"/>
        </w:rPr>
        <w:t xml:space="preserve">Hilton Worldwide Holdings Inc. (2022) </w:t>
      </w:r>
      <w:r w:rsidRPr="24CEE590">
        <w:rPr>
          <w:rFonts w:ascii="Arial" w:eastAsia="Arial" w:hAnsi="Arial" w:cs="Arial"/>
          <w:i/>
          <w:iCs/>
          <w:color w:val="000000" w:themeColor="text1"/>
        </w:rPr>
        <w:t>Annual Report 2021</w:t>
      </w:r>
      <w:r w:rsidRPr="24CEE590">
        <w:rPr>
          <w:rFonts w:ascii="Arial" w:eastAsia="Arial" w:hAnsi="Arial" w:cs="Arial"/>
          <w:color w:val="000000" w:themeColor="text1"/>
        </w:rPr>
        <w:t xml:space="preserve">. Available at: </w:t>
      </w:r>
      <w:hyperlink r:id="rId8">
        <w:r w:rsidRPr="24CEE590">
          <w:rPr>
            <w:rStyle w:val="Hyperlink"/>
          </w:rPr>
          <w:t>SEC – Hilton 2021 Annual Report</w:t>
        </w:r>
      </w:hyperlink>
      <w:r w:rsidRPr="24CEE590">
        <w:rPr>
          <w:rFonts w:ascii="Arial" w:eastAsia="Arial" w:hAnsi="Arial" w:cs="Arial"/>
          <w:color w:val="000000" w:themeColor="text1"/>
        </w:rPr>
        <w:t xml:space="preserve"> (Accessed: 12 August 2026).</w:t>
      </w:r>
    </w:p>
    <w:p w14:paraId="2DBF9B33" w14:textId="4C0F840C" w:rsidR="06ABF820" w:rsidRDefault="63D9E540" w:rsidP="24CEE590">
      <w:pPr>
        <w:spacing w:before="240" w:after="240" w:line="360" w:lineRule="auto"/>
        <w:jc w:val="both"/>
        <w:rPr>
          <w:rFonts w:ascii="Arial" w:eastAsia="Arial" w:hAnsi="Arial" w:cs="Arial"/>
          <w:color w:val="000000" w:themeColor="text1"/>
        </w:rPr>
      </w:pPr>
      <w:r w:rsidRPr="24CEE590">
        <w:rPr>
          <w:rFonts w:ascii="Arial" w:eastAsia="Arial" w:hAnsi="Arial" w:cs="Arial"/>
          <w:color w:val="000000" w:themeColor="text1"/>
        </w:rPr>
        <w:t xml:space="preserve">Hilton Worldwide Holdings Inc. (2023) </w:t>
      </w:r>
      <w:r w:rsidRPr="24CEE590">
        <w:rPr>
          <w:rFonts w:ascii="Arial" w:eastAsia="Arial" w:hAnsi="Arial" w:cs="Arial"/>
          <w:i/>
          <w:iCs/>
          <w:color w:val="000000" w:themeColor="text1"/>
        </w:rPr>
        <w:t>Annual Report 2022</w:t>
      </w:r>
      <w:r w:rsidRPr="24CEE590">
        <w:rPr>
          <w:rFonts w:ascii="Arial" w:eastAsia="Arial" w:hAnsi="Arial" w:cs="Arial"/>
          <w:color w:val="000000" w:themeColor="text1"/>
        </w:rPr>
        <w:t xml:space="preserve">. Available at: </w:t>
      </w:r>
      <w:hyperlink r:id="rId9">
        <w:r w:rsidRPr="24CEE590">
          <w:rPr>
            <w:rStyle w:val="Hyperlink"/>
          </w:rPr>
          <w:t>SEC – Hilton 2022 Annual Report</w:t>
        </w:r>
      </w:hyperlink>
      <w:r w:rsidRPr="24CEE590">
        <w:rPr>
          <w:rFonts w:ascii="Arial" w:eastAsia="Arial" w:hAnsi="Arial" w:cs="Arial"/>
          <w:color w:val="000000" w:themeColor="text1"/>
        </w:rPr>
        <w:t xml:space="preserve"> (Accessed: 12 August 2026).</w:t>
      </w:r>
    </w:p>
    <w:p w14:paraId="5DC26833" w14:textId="68210070" w:rsidR="06ABF820" w:rsidRDefault="63D9E540" w:rsidP="24CEE590">
      <w:pPr>
        <w:spacing w:before="240" w:after="240" w:line="360" w:lineRule="auto"/>
        <w:jc w:val="both"/>
        <w:rPr>
          <w:rFonts w:ascii="Arial" w:eastAsia="Arial" w:hAnsi="Arial" w:cs="Arial"/>
          <w:color w:val="000000" w:themeColor="text1"/>
        </w:rPr>
      </w:pPr>
      <w:r w:rsidRPr="24CEE590">
        <w:rPr>
          <w:rFonts w:ascii="Arial" w:eastAsia="Arial" w:hAnsi="Arial" w:cs="Arial"/>
          <w:color w:val="000000" w:themeColor="text1"/>
        </w:rPr>
        <w:t xml:space="preserve"> Hilton Worldwide Holdings Inc. (2024) </w:t>
      </w:r>
      <w:r w:rsidRPr="24CEE590">
        <w:rPr>
          <w:rFonts w:ascii="Arial" w:eastAsia="Arial" w:hAnsi="Arial" w:cs="Arial"/>
          <w:i/>
          <w:iCs/>
          <w:color w:val="000000" w:themeColor="text1"/>
        </w:rPr>
        <w:t>Annual Report 2023</w:t>
      </w:r>
      <w:r w:rsidRPr="24CEE590">
        <w:rPr>
          <w:rFonts w:ascii="Arial" w:eastAsia="Arial" w:hAnsi="Arial" w:cs="Arial"/>
          <w:color w:val="000000" w:themeColor="text1"/>
        </w:rPr>
        <w:t xml:space="preserve">. Available at: </w:t>
      </w:r>
      <w:hyperlink r:id="rId10">
        <w:r w:rsidRPr="24CEE590">
          <w:rPr>
            <w:rStyle w:val="Hyperlink"/>
          </w:rPr>
          <w:t>Hilton 2023 Annual Report</w:t>
        </w:r>
      </w:hyperlink>
      <w:r w:rsidRPr="24CEE590">
        <w:rPr>
          <w:rFonts w:ascii="Arial" w:eastAsia="Arial" w:hAnsi="Arial" w:cs="Arial"/>
          <w:color w:val="000000" w:themeColor="text1"/>
        </w:rPr>
        <w:t xml:space="preserve"> (Accessed: 12 August 2026).</w:t>
      </w:r>
    </w:p>
    <w:p w14:paraId="77F657F7" w14:textId="0E7FDA1F" w:rsidR="06ABF820" w:rsidRDefault="63D9E540" w:rsidP="24CEE590">
      <w:pPr>
        <w:spacing w:before="240" w:after="240" w:line="360" w:lineRule="auto"/>
        <w:jc w:val="both"/>
      </w:pPr>
      <w:r w:rsidRPr="24CEE590">
        <w:rPr>
          <w:rFonts w:ascii="Arial" w:eastAsia="Arial" w:hAnsi="Arial" w:cs="Arial"/>
          <w:color w:val="000000" w:themeColor="text1"/>
        </w:rPr>
        <w:t xml:space="preserve">Hilton Worldwide Holdings Inc. (2026) </w:t>
      </w:r>
      <w:r w:rsidRPr="24CEE590">
        <w:rPr>
          <w:rFonts w:ascii="Arial" w:eastAsia="Arial" w:hAnsi="Arial" w:cs="Arial"/>
          <w:i/>
          <w:iCs/>
          <w:color w:val="000000" w:themeColor="text1"/>
        </w:rPr>
        <w:t>Annual Report 2025</w:t>
      </w:r>
      <w:r w:rsidRPr="24CEE590">
        <w:rPr>
          <w:rFonts w:ascii="Arial" w:eastAsia="Arial" w:hAnsi="Arial" w:cs="Arial"/>
          <w:color w:val="000000" w:themeColor="text1"/>
        </w:rPr>
        <w:t xml:space="preserve">. Available at: </w:t>
      </w:r>
      <w:hyperlink r:id="rId11">
        <w:r w:rsidRPr="24CEE590">
          <w:rPr>
            <w:rStyle w:val="Hyperlink"/>
          </w:rPr>
          <w:t>Hilton 2025 Annual Report</w:t>
        </w:r>
      </w:hyperlink>
      <w:r w:rsidRPr="24CEE590">
        <w:rPr>
          <w:rFonts w:ascii="Arial" w:eastAsia="Arial" w:hAnsi="Arial" w:cs="Arial"/>
          <w:color w:val="000000" w:themeColor="text1"/>
        </w:rPr>
        <w:t xml:space="preserve"> (Accessed: 12 August 2026).</w:t>
      </w:r>
    </w:p>
    <w:p w14:paraId="7C769B64" w14:textId="44D0BCFE" w:rsidR="06ABF820" w:rsidRDefault="63D9E540" w:rsidP="24CEE590">
      <w:pPr>
        <w:spacing w:line="360" w:lineRule="auto"/>
        <w:jc w:val="both"/>
      </w:pPr>
      <w:r w:rsidRPr="24CEE590">
        <w:rPr>
          <w:rFonts w:ascii="Arial" w:eastAsia="Arial" w:hAnsi="Arial" w:cs="Arial"/>
          <w:color w:val="222222"/>
        </w:rPr>
        <w:t xml:space="preserve">Jalal, A. and Khaksari, S., 2020. Cash cycle: A cross‐country analysis. </w:t>
      </w:r>
      <w:r w:rsidRPr="24CEE590">
        <w:rPr>
          <w:rFonts w:ascii="Arial" w:eastAsia="Arial" w:hAnsi="Arial" w:cs="Arial"/>
          <w:i/>
          <w:iCs/>
          <w:color w:val="222222"/>
        </w:rPr>
        <w:t>Financial Management</w:t>
      </w:r>
      <w:r w:rsidRPr="24CEE590">
        <w:rPr>
          <w:rFonts w:ascii="Arial" w:eastAsia="Arial" w:hAnsi="Arial" w:cs="Arial"/>
          <w:color w:val="222222"/>
        </w:rPr>
        <w:t xml:space="preserve">, </w:t>
      </w:r>
      <w:r w:rsidRPr="24CEE590">
        <w:rPr>
          <w:rFonts w:ascii="Arial" w:eastAsia="Arial" w:hAnsi="Arial" w:cs="Arial"/>
          <w:i/>
          <w:iCs/>
          <w:color w:val="222222"/>
        </w:rPr>
        <w:t>49</w:t>
      </w:r>
      <w:r w:rsidRPr="24CEE590">
        <w:rPr>
          <w:rFonts w:ascii="Arial" w:eastAsia="Arial" w:hAnsi="Arial" w:cs="Arial"/>
          <w:color w:val="222222"/>
        </w:rPr>
        <w:t>(3), pp.635-671.</w:t>
      </w:r>
    </w:p>
    <w:p w14:paraId="1B4AF4DE" w14:textId="35216BDF" w:rsidR="06ABF820" w:rsidRDefault="63D9E540" w:rsidP="24CEE590">
      <w:pPr>
        <w:spacing w:line="360" w:lineRule="auto"/>
        <w:jc w:val="both"/>
        <w:rPr>
          <w:rFonts w:ascii="Arial" w:eastAsia="Arial" w:hAnsi="Arial" w:cs="Arial"/>
        </w:rPr>
      </w:pPr>
      <w:r w:rsidRPr="24CEE590">
        <w:rPr>
          <w:rFonts w:ascii="Arial" w:eastAsia="Arial" w:hAnsi="Arial" w:cs="Arial"/>
          <w:color w:val="222222"/>
        </w:rPr>
        <w:lastRenderedPageBreak/>
        <w:t xml:space="preserve">Koh, S., Durand, R.B., Dai, L. and Chang, M., 2015. Financial distress: Lifecycle and corporate restructuring. </w:t>
      </w:r>
      <w:r w:rsidRPr="24CEE590">
        <w:rPr>
          <w:rFonts w:ascii="Arial" w:eastAsia="Arial" w:hAnsi="Arial" w:cs="Arial"/>
          <w:i/>
          <w:iCs/>
          <w:color w:val="222222"/>
        </w:rPr>
        <w:t>Journal of corporate finance</w:t>
      </w:r>
      <w:r w:rsidRPr="24CEE590">
        <w:rPr>
          <w:rFonts w:ascii="Arial" w:eastAsia="Arial" w:hAnsi="Arial" w:cs="Arial"/>
          <w:color w:val="222222"/>
        </w:rPr>
        <w:t xml:space="preserve">, </w:t>
      </w:r>
      <w:r w:rsidRPr="24CEE590">
        <w:rPr>
          <w:rFonts w:ascii="Arial" w:eastAsia="Arial" w:hAnsi="Arial" w:cs="Arial"/>
          <w:i/>
          <w:iCs/>
          <w:color w:val="222222"/>
        </w:rPr>
        <w:t>33</w:t>
      </w:r>
      <w:r w:rsidRPr="24CEE590">
        <w:rPr>
          <w:rFonts w:ascii="Arial" w:eastAsia="Arial" w:hAnsi="Arial" w:cs="Arial"/>
          <w:color w:val="222222"/>
        </w:rPr>
        <w:t>, pp.19-33.</w:t>
      </w:r>
    </w:p>
    <w:p w14:paraId="36B84344" w14:textId="1A08AA6D" w:rsidR="06ABF820" w:rsidRDefault="63D9E540" w:rsidP="24CEE590">
      <w:pPr>
        <w:spacing w:line="360" w:lineRule="auto"/>
        <w:jc w:val="both"/>
      </w:pPr>
      <w:r w:rsidRPr="24CEE590">
        <w:rPr>
          <w:rFonts w:ascii="Arial" w:eastAsia="Arial" w:hAnsi="Arial" w:cs="Arial"/>
          <w:color w:val="000000" w:themeColor="text1"/>
        </w:rPr>
        <w:t xml:space="preserve">Laws, J. (2020) ‘Investment appraisal’. In: </w:t>
      </w:r>
      <w:r w:rsidRPr="24CEE590">
        <w:rPr>
          <w:rFonts w:ascii="Arial" w:eastAsia="Arial" w:hAnsi="Arial" w:cs="Arial"/>
          <w:i/>
          <w:iCs/>
          <w:color w:val="000000" w:themeColor="text1"/>
        </w:rPr>
        <w:t>Essentials of Financial Management</w:t>
      </w:r>
      <w:r w:rsidRPr="24CEE590">
        <w:rPr>
          <w:rFonts w:ascii="Arial" w:eastAsia="Arial" w:hAnsi="Arial" w:cs="Arial"/>
          <w:color w:val="000000" w:themeColor="text1"/>
        </w:rPr>
        <w:t>. Cambridge: Cambridge University Press</w:t>
      </w:r>
      <w:r w:rsidRPr="24CEE590">
        <w:rPr>
          <w:rFonts w:ascii="Arial" w:eastAsia="Arial" w:hAnsi="Arial" w:cs="Arial"/>
        </w:rPr>
        <w:t xml:space="preserve"> </w:t>
      </w:r>
    </w:p>
    <w:p w14:paraId="5CBDC4A1" w14:textId="24991E2C" w:rsidR="06ABF820" w:rsidRDefault="63D9E540" w:rsidP="24CEE590">
      <w:pPr>
        <w:spacing w:line="360" w:lineRule="auto"/>
        <w:jc w:val="both"/>
      </w:pPr>
      <w:r w:rsidRPr="24CEE590">
        <w:rPr>
          <w:rFonts w:ascii="Arial" w:eastAsia="Arial" w:hAnsi="Arial" w:cs="Arial"/>
          <w:color w:val="222222"/>
        </w:rPr>
        <w:t xml:space="preserve">Lazonick, W. and O'sullivan, M., 2000. Maximizing shareholder value: a new ideology for corporate governance. </w:t>
      </w:r>
      <w:r w:rsidRPr="24CEE590">
        <w:rPr>
          <w:rFonts w:ascii="Arial" w:eastAsia="Arial" w:hAnsi="Arial" w:cs="Arial"/>
          <w:i/>
          <w:iCs/>
          <w:color w:val="222222"/>
        </w:rPr>
        <w:t>Economy and society</w:t>
      </w:r>
      <w:r w:rsidRPr="24CEE590">
        <w:rPr>
          <w:rFonts w:ascii="Arial" w:eastAsia="Arial" w:hAnsi="Arial" w:cs="Arial"/>
          <w:color w:val="222222"/>
        </w:rPr>
        <w:t xml:space="preserve">, </w:t>
      </w:r>
      <w:r w:rsidRPr="24CEE590">
        <w:rPr>
          <w:rFonts w:ascii="Arial" w:eastAsia="Arial" w:hAnsi="Arial" w:cs="Arial"/>
          <w:i/>
          <w:iCs/>
          <w:color w:val="222222"/>
        </w:rPr>
        <w:t>29</w:t>
      </w:r>
      <w:r w:rsidRPr="24CEE590">
        <w:rPr>
          <w:rFonts w:ascii="Arial" w:eastAsia="Arial" w:hAnsi="Arial" w:cs="Arial"/>
          <w:color w:val="222222"/>
        </w:rPr>
        <w:t>(1), pp.13-35.</w:t>
      </w:r>
      <w:r w:rsidRPr="24CEE590">
        <w:rPr>
          <w:rFonts w:ascii="Arial" w:eastAsia="Arial" w:hAnsi="Arial" w:cs="Arial"/>
        </w:rPr>
        <w:t xml:space="preserve"> </w:t>
      </w:r>
    </w:p>
    <w:p w14:paraId="6E7B0ED3" w14:textId="2F9C518A" w:rsidR="06ABF820" w:rsidRDefault="63D9E540" w:rsidP="24CEE590">
      <w:pPr>
        <w:spacing w:line="360" w:lineRule="auto"/>
        <w:jc w:val="both"/>
      </w:pPr>
      <w:r w:rsidRPr="24CEE590">
        <w:rPr>
          <w:rFonts w:ascii="Arial" w:eastAsia="Arial" w:hAnsi="Arial" w:cs="Arial"/>
          <w:color w:val="000000" w:themeColor="text1"/>
        </w:rPr>
        <w:t xml:space="preserve">Lee, S. and Jang, S. (2015) 'How is the hospitality and tourism industry different? An empirical test of some structural characteristics', </w:t>
      </w:r>
      <w:r w:rsidRPr="24CEE590">
        <w:rPr>
          <w:rFonts w:ascii="Arial" w:eastAsia="Arial" w:hAnsi="Arial" w:cs="Arial"/>
          <w:i/>
          <w:iCs/>
          <w:color w:val="000000" w:themeColor="text1"/>
        </w:rPr>
        <w:t>International Journal of Hospitality Management</w:t>
      </w:r>
      <w:r w:rsidRPr="24CEE590">
        <w:rPr>
          <w:rFonts w:ascii="Arial" w:eastAsia="Arial" w:hAnsi="Arial" w:cs="Arial"/>
          <w:color w:val="000000" w:themeColor="text1"/>
        </w:rPr>
        <w:t>, 47, pp.116–119.</w:t>
      </w:r>
    </w:p>
    <w:p w14:paraId="42DC26CB" w14:textId="5696DED8" w:rsidR="06ABF820" w:rsidRDefault="63D9E540" w:rsidP="24CEE590">
      <w:pPr>
        <w:spacing w:line="360" w:lineRule="auto"/>
        <w:jc w:val="both"/>
      </w:pPr>
      <w:r w:rsidRPr="24CEE590">
        <w:rPr>
          <w:rFonts w:ascii="Arial" w:eastAsia="Arial" w:hAnsi="Arial" w:cs="Arial"/>
          <w:color w:val="000000" w:themeColor="text1"/>
        </w:rPr>
        <w:t xml:space="preserve">Marriott International, Inc. (2026) </w:t>
      </w:r>
      <w:r w:rsidRPr="24CEE590">
        <w:rPr>
          <w:rFonts w:ascii="Arial" w:eastAsia="Arial" w:hAnsi="Arial" w:cs="Arial"/>
          <w:i/>
          <w:iCs/>
          <w:color w:val="000000" w:themeColor="text1"/>
        </w:rPr>
        <w:t>Annual Report 2025</w:t>
      </w:r>
      <w:r w:rsidRPr="24CEE590">
        <w:rPr>
          <w:rFonts w:ascii="Arial" w:eastAsia="Arial" w:hAnsi="Arial" w:cs="Arial"/>
          <w:color w:val="000000" w:themeColor="text1"/>
        </w:rPr>
        <w:t>.</w:t>
      </w:r>
    </w:p>
    <w:p w14:paraId="298106DA" w14:textId="6181CA55" w:rsidR="06ABF820" w:rsidRDefault="63D9E540" w:rsidP="24CEE590">
      <w:pPr>
        <w:spacing w:line="360" w:lineRule="auto"/>
        <w:jc w:val="both"/>
      </w:pPr>
      <w:r w:rsidRPr="24CEE590">
        <w:rPr>
          <w:rFonts w:ascii="Arial" w:eastAsia="Arial" w:hAnsi="Arial" w:cs="Arial"/>
          <w:color w:val="222222"/>
        </w:rPr>
        <w:t xml:space="preserve">Ngo, X.C. and Do, N.Y., 2022. The impact of electrical energy consumption on the payback period of a rooftop grid-connected photovoltaic system: A case study from Vietnam. </w:t>
      </w:r>
      <w:r w:rsidRPr="24CEE590">
        <w:rPr>
          <w:rFonts w:ascii="Arial" w:eastAsia="Arial" w:hAnsi="Arial" w:cs="Arial"/>
          <w:i/>
          <w:iCs/>
          <w:color w:val="222222"/>
        </w:rPr>
        <w:t>International Journal of Renewable Energy Development</w:t>
      </w:r>
      <w:r w:rsidRPr="24CEE590">
        <w:rPr>
          <w:rFonts w:ascii="Arial" w:eastAsia="Arial" w:hAnsi="Arial" w:cs="Arial"/>
          <w:color w:val="222222"/>
        </w:rPr>
        <w:t xml:space="preserve">, </w:t>
      </w:r>
      <w:r w:rsidRPr="24CEE590">
        <w:rPr>
          <w:rFonts w:ascii="Arial" w:eastAsia="Arial" w:hAnsi="Arial" w:cs="Arial"/>
          <w:i/>
          <w:iCs/>
          <w:color w:val="222222"/>
        </w:rPr>
        <w:t>11</w:t>
      </w:r>
      <w:r w:rsidRPr="24CEE590">
        <w:rPr>
          <w:rFonts w:ascii="Arial" w:eastAsia="Arial" w:hAnsi="Arial" w:cs="Arial"/>
          <w:color w:val="222222"/>
        </w:rPr>
        <w:t>(2), p.581.</w:t>
      </w:r>
      <w:r w:rsidRPr="24CEE590">
        <w:rPr>
          <w:rFonts w:ascii="Arial" w:eastAsia="Arial" w:hAnsi="Arial" w:cs="Arial"/>
        </w:rPr>
        <w:t xml:space="preserve"> </w:t>
      </w:r>
    </w:p>
    <w:p w14:paraId="09AA57D9" w14:textId="33349F10" w:rsidR="06ABF820" w:rsidRDefault="63D9E540" w:rsidP="24CEE590">
      <w:pPr>
        <w:spacing w:line="360" w:lineRule="auto"/>
        <w:jc w:val="both"/>
        <w:rPr>
          <w:rFonts w:ascii="Arial" w:eastAsia="Arial" w:hAnsi="Arial" w:cs="Arial"/>
        </w:rPr>
      </w:pPr>
      <w:r w:rsidRPr="24CEE590">
        <w:rPr>
          <w:rFonts w:ascii="Arial" w:eastAsia="Arial" w:hAnsi="Arial" w:cs="Arial"/>
          <w:color w:val="222222"/>
        </w:rPr>
        <w:t xml:space="preserve">Nwankwo, O. and Osho, G.S., 2010. An empirical analysis of corporate survival and growth: Evidence from efficient working capital management. </w:t>
      </w:r>
      <w:r w:rsidRPr="24CEE590">
        <w:rPr>
          <w:rFonts w:ascii="Arial" w:eastAsia="Arial" w:hAnsi="Arial" w:cs="Arial"/>
          <w:i/>
          <w:iCs/>
          <w:color w:val="222222"/>
        </w:rPr>
        <w:t>International journal of scholarly academic intellectual diversity</w:t>
      </w:r>
      <w:r w:rsidRPr="24CEE590">
        <w:rPr>
          <w:rFonts w:ascii="Arial" w:eastAsia="Arial" w:hAnsi="Arial" w:cs="Arial"/>
          <w:color w:val="222222"/>
        </w:rPr>
        <w:t xml:space="preserve">, </w:t>
      </w:r>
      <w:r w:rsidRPr="24CEE590">
        <w:rPr>
          <w:rFonts w:ascii="Arial" w:eastAsia="Arial" w:hAnsi="Arial" w:cs="Arial"/>
          <w:i/>
          <w:iCs/>
          <w:color w:val="222222"/>
        </w:rPr>
        <w:t>12</w:t>
      </w:r>
      <w:r w:rsidRPr="24CEE590">
        <w:rPr>
          <w:rFonts w:ascii="Arial" w:eastAsia="Arial" w:hAnsi="Arial" w:cs="Arial"/>
          <w:color w:val="222222"/>
        </w:rPr>
        <w:t>(1), pp.1-13.</w:t>
      </w:r>
    </w:p>
    <w:p w14:paraId="4747FB26" w14:textId="53CB8225" w:rsidR="06ABF820" w:rsidRDefault="63D9E540" w:rsidP="24CEE590">
      <w:pPr>
        <w:spacing w:line="360" w:lineRule="auto"/>
        <w:jc w:val="both"/>
      </w:pPr>
      <w:r w:rsidRPr="24CEE590">
        <w:rPr>
          <w:rFonts w:ascii="Arial" w:eastAsia="Arial" w:hAnsi="Arial" w:cs="Arial"/>
          <w:color w:val="222222"/>
        </w:rPr>
        <w:t xml:space="preserve">Paseda, O., 2020. A Review of Capital Budgeting Techniques. </w:t>
      </w:r>
      <w:r w:rsidRPr="24CEE590">
        <w:rPr>
          <w:rFonts w:ascii="Arial" w:eastAsia="Arial" w:hAnsi="Arial" w:cs="Arial"/>
          <w:i/>
          <w:iCs/>
          <w:color w:val="222222"/>
        </w:rPr>
        <w:t>Issues in Social Science</w:t>
      </w:r>
      <w:r w:rsidRPr="24CEE590">
        <w:rPr>
          <w:rFonts w:ascii="Arial" w:eastAsia="Arial" w:hAnsi="Arial" w:cs="Arial"/>
          <w:color w:val="222222"/>
        </w:rPr>
        <w:t xml:space="preserve">, </w:t>
      </w:r>
      <w:r w:rsidRPr="24CEE590">
        <w:rPr>
          <w:rFonts w:ascii="Arial" w:eastAsia="Arial" w:hAnsi="Arial" w:cs="Arial"/>
          <w:i/>
          <w:iCs/>
          <w:color w:val="222222"/>
        </w:rPr>
        <w:t>8</w:t>
      </w:r>
      <w:r w:rsidRPr="24CEE590">
        <w:rPr>
          <w:rFonts w:ascii="Arial" w:eastAsia="Arial" w:hAnsi="Arial" w:cs="Arial"/>
          <w:color w:val="222222"/>
        </w:rPr>
        <w:t>(2), p.32.</w:t>
      </w:r>
      <w:r w:rsidRPr="24CEE590">
        <w:rPr>
          <w:rFonts w:ascii="Arial" w:eastAsia="Arial" w:hAnsi="Arial" w:cs="Arial"/>
        </w:rPr>
        <w:t xml:space="preserve"> </w:t>
      </w:r>
    </w:p>
    <w:p w14:paraId="5D4A54D4" w14:textId="376582DF" w:rsidR="06ABF820" w:rsidRDefault="63D9E540" w:rsidP="24CEE590">
      <w:pPr>
        <w:spacing w:line="360" w:lineRule="auto"/>
        <w:jc w:val="both"/>
      </w:pPr>
      <w:r w:rsidRPr="24CEE590">
        <w:rPr>
          <w:rFonts w:ascii="Arial" w:eastAsia="Arial" w:hAnsi="Arial" w:cs="Arial"/>
          <w:color w:val="222222"/>
        </w:rPr>
        <w:t xml:space="preserve">Renaldo, N., Sudarno, S., Hughes, A., Smith, H. and Schmidt, M., 2024. Unearthed treasures by unlocking the secrets of forgotten cash through dynamic cash flow analysis. </w:t>
      </w:r>
      <w:r w:rsidRPr="24CEE590">
        <w:rPr>
          <w:rFonts w:ascii="Arial" w:eastAsia="Arial" w:hAnsi="Arial" w:cs="Arial"/>
          <w:i/>
          <w:iCs/>
          <w:color w:val="222222"/>
        </w:rPr>
        <w:t>Luxury: Landscape of Business Administration</w:t>
      </w:r>
      <w:r w:rsidRPr="24CEE590">
        <w:rPr>
          <w:rFonts w:ascii="Arial" w:eastAsia="Arial" w:hAnsi="Arial" w:cs="Arial"/>
          <w:color w:val="222222"/>
        </w:rPr>
        <w:t xml:space="preserve">, </w:t>
      </w:r>
      <w:r w:rsidRPr="24CEE590">
        <w:rPr>
          <w:rFonts w:ascii="Arial" w:eastAsia="Arial" w:hAnsi="Arial" w:cs="Arial"/>
          <w:i/>
          <w:iCs/>
          <w:color w:val="222222"/>
        </w:rPr>
        <w:t>2</w:t>
      </w:r>
      <w:r w:rsidRPr="24CEE590">
        <w:rPr>
          <w:rFonts w:ascii="Arial" w:eastAsia="Arial" w:hAnsi="Arial" w:cs="Arial"/>
          <w:color w:val="222222"/>
        </w:rPr>
        <w:t>(1), pp.85-92.</w:t>
      </w:r>
    </w:p>
    <w:p w14:paraId="1ACC145E" w14:textId="403C8316" w:rsidR="06ABF820" w:rsidRDefault="63D9E540" w:rsidP="24CEE590">
      <w:pPr>
        <w:spacing w:line="360" w:lineRule="auto"/>
        <w:jc w:val="both"/>
        <w:rPr>
          <w:rFonts w:ascii="Arial" w:eastAsia="Arial" w:hAnsi="Arial" w:cs="Arial"/>
        </w:rPr>
      </w:pPr>
      <w:r w:rsidRPr="24CEE590">
        <w:rPr>
          <w:rFonts w:ascii="Arial" w:eastAsia="Arial" w:hAnsi="Arial" w:cs="Arial"/>
          <w:color w:val="222222"/>
        </w:rPr>
        <w:t xml:space="preserve">Shou, T., 2022, July. A literature review on the net present value (NPV) valuation method. In </w:t>
      </w:r>
      <w:r w:rsidRPr="24CEE590">
        <w:rPr>
          <w:rFonts w:ascii="Arial" w:eastAsia="Arial" w:hAnsi="Arial" w:cs="Arial"/>
          <w:i/>
          <w:iCs/>
          <w:color w:val="222222"/>
        </w:rPr>
        <w:t>2022 2nd International Conference on Enterprise Management and Economic Development (ICEMED 2022)</w:t>
      </w:r>
      <w:r w:rsidRPr="24CEE590">
        <w:rPr>
          <w:rFonts w:ascii="Arial" w:eastAsia="Arial" w:hAnsi="Arial" w:cs="Arial"/>
          <w:color w:val="222222"/>
        </w:rPr>
        <w:t xml:space="preserve"> (pp. 826-830). Atlantis Press.</w:t>
      </w:r>
    </w:p>
    <w:p w14:paraId="75653C34" w14:textId="049B0073" w:rsidR="06ABF820" w:rsidRDefault="06ABF820" w:rsidP="24CEE590"/>
    <w:p w14:paraId="357BDCC4" w14:textId="73B10E2C" w:rsidR="24CEE590" w:rsidRDefault="24CEE590" w:rsidP="24CEE590">
      <w:pPr>
        <w:spacing w:line="360" w:lineRule="auto"/>
        <w:jc w:val="both"/>
        <w:rPr>
          <w:rFonts w:ascii="Arial" w:eastAsia="Arial" w:hAnsi="Arial" w:cs="Arial"/>
        </w:rPr>
      </w:pPr>
    </w:p>
    <w:p w14:paraId="3FC37E80" w14:textId="636707C2" w:rsidR="494AC144" w:rsidRDefault="494AC144" w:rsidP="494AC144"/>
    <w:sectPr w:rsidR="494AC144">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906F9" w14:textId="77777777" w:rsidR="003C1AD0" w:rsidRDefault="003C1AD0">
      <w:pPr>
        <w:spacing w:after="0" w:line="240" w:lineRule="auto"/>
      </w:pPr>
      <w:r>
        <w:separator/>
      </w:r>
    </w:p>
  </w:endnote>
  <w:endnote w:type="continuationSeparator" w:id="0">
    <w:p w14:paraId="0C27D53B" w14:textId="77777777" w:rsidR="003C1AD0" w:rsidRDefault="003C1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4CEE590" w14:paraId="19AE40FD" w14:textId="77777777" w:rsidTr="24CEE590">
      <w:trPr>
        <w:trHeight w:val="300"/>
      </w:trPr>
      <w:tc>
        <w:tcPr>
          <w:tcW w:w="3120" w:type="dxa"/>
        </w:tcPr>
        <w:p w14:paraId="73910652" w14:textId="5AA9AC3A" w:rsidR="24CEE590" w:rsidRDefault="24CEE590" w:rsidP="24CEE590">
          <w:pPr>
            <w:pStyle w:val="Header"/>
            <w:ind w:left="-115"/>
          </w:pPr>
        </w:p>
      </w:tc>
      <w:tc>
        <w:tcPr>
          <w:tcW w:w="3120" w:type="dxa"/>
        </w:tcPr>
        <w:p w14:paraId="56B9F314" w14:textId="12C0309F" w:rsidR="24CEE590" w:rsidRDefault="24CEE590" w:rsidP="24CEE590">
          <w:pPr>
            <w:pStyle w:val="Header"/>
            <w:jc w:val="center"/>
          </w:pPr>
        </w:p>
      </w:tc>
      <w:tc>
        <w:tcPr>
          <w:tcW w:w="3120" w:type="dxa"/>
        </w:tcPr>
        <w:p w14:paraId="67B897FA" w14:textId="469C4B7F" w:rsidR="24CEE590" w:rsidRDefault="24CEE590" w:rsidP="24CEE590">
          <w:pPr>
            <w:pStyle w:val="Header"/>
            <w:ind w:right="-115"/>
            <w:jc w:val="right"/>
          </w:pPr>
          <w:r>
            <w:fldChar w:fldCharType="begin"/>
          </w:r>
          <w:r>
            <w:instrText>PAGE</w:instrText>
          </w:r>
          <w:r>
            <w:fldChar w:fldCharType="separate"/>
          </w:r>
          <w:r w:rsidR="00907E29">
            <w:rPr>
              <w:noProof/>
            </w:rPr>
            <w:t>1</w:t>
          </w:r>
          <w:r>
            <w:fldChar w:fldCharType="end"/>
          </w:r>
        </w:p>
      </w:tc>
    </w:tr>
  </w:tbl>
  <w:p w14:paraId="66AC7D40" w14:textId="2BD3BBAE" w:rsidR="24CEE590" w:rsidRDefault="24CEE590" w:rsidP="24CEE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352BB" w14:textId="77777777" w:rsidR="003C1AD0" w:rsidRDefault="003C1AD0">
      <w:pPr>
        <w:spacing w:after="0" w:line="240" w:lineRule="auto"/>
      </w:pPr>
      <w:r>
        <w:separator/>
      </w:r>
    </w:p>
  </w:footnote>
  <w:footnote w:type="continuationSeparator" w:id="0">
    <w:p w14:paraId="4682304F" w14:textId="77777777" w:rsidR="003C1AD0" w:rsidRDefault="003C1A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4CEE590" w14:paraId="255E3113" w14:textId="77777777" w:rsidTr="24CEE590">
      <w:trPr>
        <w:trHeight w:val="300"/>
      </w:trPr>
      <w:tc>
        <w:tcPr>
          <w:tcW w:w="3120" w:type="dxa"/>
        </w:tcPr>
        <w:p w14:paraId="5A0B34AA" w14:textId="3F1CB774" w:rsidR="24CEE590" w:rsidRDefault="24CEE590" w:rsidP="24CEE590">
          <w:pPr>
            <w:pStyle w:val="Header"/>
            <w:ind w:left="-115"/>
          </w:pPr>
        </w:p>
      </w:tc>
      <w:tc>
        <w:tcPr>
          <w:tcW w:w="3120" w:type="dxa"/>
        </w:tcPr>
        <w:p w14:paraId="152148B9" w14:textId="16B0B984" w:rsidR="24CEE590" w:rsidRDefault="24CEE590" w:rsidP="24CEE590">
          <w:pPr>
            <w:pStyle w:val="Header"/>
            <w:jc w:val="center"/>
          </w:pPr>
        </w:p>
      </w:tc>
      <w:tc>
        <w:tcPr>
          <w:tcW w:w="3120" w:type="dxa"/>
        </w:tcPr>
        <w:p w14:paraId="0F5A97ED" w14:textId="168F3B61" w:rsidR="24CEE590" w:rsidRDefault="24CEE590" w:rsidP="24CEE590">
          <w:pPr>
            <w:pStyle w:val="Header"/>
            <w:ind w:right="-115"/>
            <w:jc w:val="right"/>
          </w:pPr>
        </w:p>
      </w:tc>
    </w:tr>
  </w:tbl>
  <w:p w14:paraId="5985FA5C" w14:textId="720E19DC" w:rsidR="24CEE590" w:rsidRDefault="24CEE590" w:rsidP="24CEE5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8BFDFE"/>
    <w:rsid w:val="0010E00B"/>
    <w:rsid w:val="00153D1E"/>
    <w:rsid w:val="002126B0"/>
    <w:rsid w:val="003464F7"/>
    <w:rsid w:val="003A1E62"/>
    <w:rsid w:val="003C1AD0"/>
    <w:rsid w:val="004379DF"/>
    <w:rsid w:val="008C04E2"/>
    <w:rsid w:val="008D6AC2"/>
    <w:rsid w:val="00907E29"/>
    <w:rsid w:val="00B715FA"/>
    <w:rsid w:val="00EB1681"/>
    <w:rsid w:val="00FD3DF3"/>
    <w:rsid w:val="01669B87"/>
    <w:rsid w:val="019C3CFB"/>
    <w:rsid w:val="01FE047B"/>
    <w:rsid w:val="021C2CA6"/>
    <w:rsid w:val="0298F3A3"/>
    <w:rsid w:val="02D503B1"/>
    <w:rsid w:val="0372F393"/>
    <w:rsid w:val="0390E792"/>
    <w:rsid w:val="04246371"/>
    <w:rsid w:val="0429B6D6"/>
    <w:rsid w:val="0470BC82"/>
    <w:rsid w:val="049AFFAF"/>
    <w:rsid w:val="052BEF36"/>
    <w:rsid w:val="06A2764E"/>
    <w:rsid w:val="06ABF820"/>
    <w:rsid w:val="06AFF1CF"/>
    <w:rsid w:val="06CC8021"/>
    <w:rsid w:val="072173AB"/>
    <w:rsid w:val="0723334C"/>
    <w:rsid w:val="0799C478"/>
    <w:rsid w:val="07AEEB8B"/>
    <w:rsid w:val="0848BCE4"/>
    <w:rsid w:val="08585270"/>
    <w:rsid w:val="087B3F84"/>
    <w:rsid w:val="091E1563"/>
    <w:rsid w:val="09241AFA"/>
    <w:rsid w:val="09496229"/>
    <w:rsid w:val="09733225"/>
    <w:rsid w:val="0AB84C7A"/>
    <w:rsid w:val="0B9F1165"/>
    <w:rsid w:val="0BDFDD6F"/>
    <w:rsid w:val="0C0EAF25"/>
    <w:rsid w:val="0C62B493"/>
    <w:rsid w:val="0CA19207"/>
    <w:rsid w:val="0CDF31A2"/>
    <w:rsid w:val="0D3E3760"/>
    <w:rsid w:val="0D47E938"/>
    <w:rsid w:val="0E030737"/>
    <w:rsid w:val="0EBB2421"/>
    <w:rsid w:val="0EC78A7E"/>
    <w:rsid w:val="0EE94C4D"/>
    <w:rsid w:val="0F65D2E1"/>
    <w:rsid w:val="100165BA"/>
    <w:rsid w:val="10A6B0EF"/>
    <w:rsid w:val="10E377D3"/>
    <w:rsid w:val="10F026E7"/>
    <w:rsid w:val="11268A81"/>
    <w:rsid w:val="1180CF7D"/>
    <w:rsid w:val="11E3AAC8"/>
    <w:rsid w:val="11EF81FA"/>
    <w:rsid w:val="12307D81"/>
    <w:rsid w:val="1270F6D1"/>
    <w:rsid w:val="129F42B0"/>
    <w:rsid w:val="129F65CA"/>
    <w:rsid w:val="12A3BEB2"/>
    <w:rsid w:val="13E855AC"/>
    <w:rsid w:val="1467B2C3"/>
    <w:rsid w:val="14EBB6D9"/>
    <w:rsid w:val="152B5D0B"/>
    <w:rsid w:val="156898D6"/>
    <w:rsid w:val="162F9A7F"/>
    <w:rsid w:val="166B9E38"/>
    <w:rsid w:val="16C04D9D"/>
    <w:rsid w:val="16EC6E6E"/>
    <w:rsid w:val="17AFEEB1"/>
    <w:rsid w:val="184B10F5"/>
    <w:rsid w:val="1857F1CB"/>
    <w:rsid w:val="18C10174"/>
    <w:rsid w:val="1950F495"/>
    <w:rsid w:val="197ED561"/>
    <w:rsid w:val="1A634C17"/>
    <w:rsid w:val="1A639B24"/>
    <w:rsid w:val="1B80166D"/>
    <w:rsid w:val="1B953928"/>
    <w:rsid w:val="1BAE4440"/>
    <w:rsid w:val="1BCA761E"/>
    <w:rsid w:val="1C29A3A9"/>
    <w:rsid w:val="1C2CBD93"/>
    <w:rsid w:val="1D3D3F93"/>
    <w:rsid w:val="1D697DD4"/>
    <w:rsid w:val="1D83C141"/>
    <w:rsid w:val="1DA67979"/>
    <w:rsid w:val="1DFFF4CC"/>
    <w:rsid w:val="1E3CA926"/>
    <w:rsid w:val="1E777AEE"/>
    <w:rsid w:val="1EB0171B"/>
    <w:rsid w:val="1EB9039B"/>
    <w:rsid w:val="1ED85643"/>
    <w:rsid w:val="1F3495E4"/>
    <w:rsid w:val="1F4FD1FC"/>
    <w:rsid w:val="1FB5C29D"/>
    <w:rsid w:val="1FBAAEC7"/>
    <w:rsid w:val="1FCED529"/>
    <w:rsid w:val="1FFC8C0A"/>
    <w:rsid w:val="202A4BDA"/>
    <w:rsid w:val="20C5569C"/>
    <w:rsid w:val="211C8F80"/>
    <w:rsid w:val="2146EDFB"/>
    <w:rsid w:val="2162C1A9"/>
    <w:rsid w:val="21BD52DB"/>
    <w:rsid w:val="225CE001"/>
    <w:rsid w:val="22E605EF"/>
    <w:rsid w:val="232B5B6E"/>
    <w:rsid w:val="23359D62"/>
    <w:rsid w:val="2335B6EC"/>
    <w:rsid w:val="2344B944"/>
    <w:rsid w:val="23F4467B"/>
    <w:rsid w:val="2441368B"/>
    <w:rsid w:val="24CEE590"/>
    <w:rsid w:val="2506DACC"/>
    <w:rsid w:val="2527E2FC"/>
    <w:rsid w:val="25CF12C9"/>
    <w:rsid w:val="25D0EDCE"/>
    <w:rsid w:val="262B229B"/>
    <w:rsid w:val="2655CF35"/>
    <w:rsid w:val="271EB79B"/>
    <w:rsid w:val="272B4601"/>
    <w:rsid w:val="273BF1CE"/>
    <w:rsid w:val="278CE5C6"/>
    <w:rsid w:val="2868F828"/>
    <w:rsid w:val="289515C2"/>
    <w:rsid w:val="28A43985"/>
    <w:rsid w:val="29247C9F"/>
    <w:rsid w:val="29853989"/>
    <w:rsid w:val="2A34A407"/>
    <w:rsid w:val="2B22D98F"/>
    <w:rsid w:val="2B350794"/>
    <w:rsid w:val="2B51D409"/>
    <w:rsid w:val="2B5A03E2"/>
    <w:rsid w:val="2B6A22F7"/>
    <w:rsid w:val="2B90B740"/>
    <w:rsid w:val="2C2F6F9E"/>
    <w:rsid w:val="2C9161DF"/>
    <w:rsid w:val="2CEEE23E"/>
    <w:rsid w:val="2CF27C54"/>
    <w:rsid w:val="2D4F59D4"/>
    <w:rsid w:val="2D78F40D"/>
    <w:rsid w:val="2DAEEC20"/>
    <w:rsid w:val="2DAFB94C"/>
    <w:rsid w:val="2E2420F3"/>
    <w:rsid w:val="2EA96DD0"/>
    <w:rsid w:val="2EC32936"/>
    <w:rsid w:val="2FABE618"/>
    <w:rsid w:val="2FF71EEB"/>
    <w:rsid w:val="300E1AFA"/>
    <w:rsid w:val="303FF82C"/>
    <w:rsid w:val="30540A7A"/>
    <w:rsid w:val="306CD665"/>
    <w:rsid w:val="30C06C8F"/>
    <w:rsid w:val="31CB26A8"/>
    <w:rsid w:val="31DA7968"/>
    <w:rsid w:val="31F0F825"/>
    <w:rsid w:val="32391516"/>
    <w:rsid w:val="32A936FA"/>
    <w:rsid w:val="33202BFE"/>
    <w:rsid w:val="33228DAC"/>
    <w:rsid w:val="3326942D"/>
    <w:rsid w:val="337AADA0"/>
    <w:rsid w:val="33BD7CCD"/>
    <w:rsid w:val="34062593"/>
    <w:rsid w:val="342DF95B"/>
    <w:rsid w:val="3452D7B3"/>
    <w:rsid w:val="34A00D79"/>
    <w:rsid w:val="35061A70"/>
    <w:rsid w:val="352A9A92"/>
    <w:rsid w:val="355B75DD"/>
    <w:rsid w:val="35E96FEA"/>
    <w:rsid w:val="3608EB80"/>
    <w:rsid w:val="36338190"/>
    <w:rsid w:val="36B6F477"/>
    <w:rsid w:val="36CF8EAF"/>
    <w:rsid w:val="36EB553A"/>
    <w:rsid w:val="36FD0879"/>
    <w:rsid w:val="37F757DA"/>
    <w:rsid w:val="387CD57A"/>
    <w:rsid w:val="38D7F913"/>
    <w:rsid w:val="38EA7D67"/>
    <w:rsid w:val="38ECB5C8"/>
    <w:rsid w:val="3A35DBFB"/>
    <w:rsid w:val="3ADB93A2"/>
    <w:rsid w:val="3AF1B2D5"/>
    <w:rsid w:val="3B7731AF"/>
    <w:rsid w:val="3BABBA71"/>
    <w:rsid w:val="3BC73C8A"/>
    <w:rsid w:val="3C1037CC"/>
    <w:rsid w:val="3C24A715"/>
    <w:rsid w:val="3C87312A"/>
    <w:rsid w:val="3DEDA2A3"/>
    <w:rsid w:val="3E8D2FCA"/>
    <w:rsid w:val="3E93AFE6"/>
    <w:rsid w:val="3EAF2891"/>
    <w:rsid w:val="3ED8166C"/>
    <w:rsid w:val="3FC5EC58"/>
    <w:rsid w:val="3FD66161"/>
    <w:rsid w:val="409F5A7C"/>
    <w:rsid w:val="41281D15"/>
    <w:rsid w:val="412CA966"/>
    <w:rsid w:val="4197E350"/>
    <w:rsid w:val="41AC0231"/>
    <w:rsid w:val="41F999A8"/>
    <w:rsid w:val="423589C0"/>
    <w:rsid w:val="42B4AB96"/>
    <w:rsid w:val="42F2599E"/>
    <w:rsid w:val="42FD3AF7"/>
    <w:rsid w:val="437BDF58"/>
    <w:rsid w:val="43B4CA1E"/>
    <w:rsid w:val="43FA2085"/>
    <w:rsid w:val="4471DBD4"/>
    <w:rsid w:val="44F4140C"/>
    <w:rsid w:val="46EF3690"/>
    <w:rsid w:val="46FD5176"/>
    <w:rsid w:val="47598F2F"/>
    <w:rsid w:val="47E84C3E"/>
    <w:rsid w:val="494AC144"/>
    <w:rsid w:val="49BFCA9A"/>
    <w:rsid w:val="4A4B2628"/>
    <w:rsid w:val="4AB0113B"/>
    <w:rsid w:val="4AC804D1"/>
    <w:rsid w:val="4B212896"/>
    <w:rsid w:val="4B397C53"/>
    <w:rsid w:val="4B7DE226"/>
    <w:rsid w:val="4BA34261"/>
    <w:rsid w:val="4BC4676F"/>
    <w:rsid w:val="4BF34AA1"/>
    <w:rsid w:val="4C2456B0"/>
    <w:rsid w:val="4D2EB177"/>
    <w:rsid w:val="4D8A0175"/>
    <w:rsid w:val="4DD34FAA"/>
    <w:rsid w:val="4F28B439"/>
    <w:rsid w:val="4F4CEB71"/>
    <w:rsid w:val="4F579BB8"/>
    <w:rsid w:val="4FB5FA48"/>
    <w:rsid w:val="5012CF45"/>
    <w:rsid w:val="5012E978"/>
    <w:rsid w:val="5095B177"/>
    <w:rsid w:val="50F2A6CB"/>
    <w:rsid w:val="5154B187"/>
    <w:rsid w:val="51665AA6"/>
    <w:rsid w:val="51800D5A"/>
    <w:rsid w:val="51ABE300"/>
    <w:rsid w:val="51E334A2"/>
    <w:rsid w:val="51F65B49"/>
    <w:rsid w:val="52496D64"/>
    <w:rsid w:val="52A3DD78"/>
    <w:rsid w:val="52A8E821"/>
    <w:rsid w:val="530B03D9"/>
    <w:rsid w:val="53152300"/>
    <w:rsid w:val="54296107"/>
    <w:rsid w:val="54329934"/>
    <w:rsid w:val="54AF1B31"/>
    <w:rsid w:val="5587C09B"/>
    <w:rsid w:val="55B4BC1F"/>
    <w:rsid w:val="568AA250"/>
    <w:rsid w:val="56F8EB57"/>
    <w:rsid w:val="58283971"/>
    <w:rsid w:val="592CE09D"/>
    <w:rsid w:val="59CD1F55"/>
    <w:rsid w:val="59EE2F26"/>
    <w:rsid w:val="5B98F2A3"/>
    <w:rsid w:val="5BB5F91D"/>
    <w:rsid w:val="5BD1177A"/>
    <w:rsid w:val="5C0735F9"/>
    <w:rsid w:val="5C39A2E9"/>
    <w:rsid w:val="5C986F1C"/>
    <w:rsid w:val="5CA1DBBA"/>
    <w:rsid w:val="5D273291"/>
    <w:rsid w:val="5D7E13B3"/>
    <w:rsid w:val="5EB0361B"/>
    <w:rsid w:val="5EB6038D"/>
    <w:rsid w:val="5EBF2EED"/>
    <w:rsid w:val="5F4EE761"/>
    <w:rsid w:val="5F98AF73"/>
    <w:rsid w:val="5FF068DB"/>
    <w:rsid w:val="602B7960"/>
    <w:rsid w:val="60AB5FBE"/>
    <w:rsid w:val="60BA081D"/>
    <w:rsid w:val="6110DB2F"/>
    <w:rsid w:val="61143199"/>
    <w:rsid w:val="6157C0EE"/>
    <w:rsid w:val="619AC225"/>
    <w:rsid w:val="61BD1D95"/>
    <w:rsid w:val="61CCAC71"/>
    <w:rsid w:val="620021EF"/>
    <w:rsid w:val="6201D925"/>
    <w:rsid w:val="6273318E"/>
    <w:rsid w:val="63BACFE7"/>
    <w:rsid w:val="63D9E540"/>
    <w:rsid w:val="64328F4D"/>
    <w:rsid w:val="66921FC2"/>
    <w:rsid w:val="66FC7FD0"/>
    <w:rsid w:val="679D5F37"/>
    <w:rsid w:val="67C2E68E"/>
    <w:rsid w:val="67F0042D"/>
    <w:rsid w:val="68116D1B"/>
    <w:rsid w:val="6846ACD1"/>
    <w:rsid w:val="686F2EED"/>
    <w:rsid w:val="68952428"/>
    <w:rsid w:val="68F622B8"/>
    <w:rsid w:val="694C39C4"/>
    <w:rsid w:val="69C0AFB6"/>
    <w:rsid w:val="69C3E5A2"/>
    <w:rsid w:val="69CBD751"/>
    <w:rsid w:val="6A26430B"/>
    <w:rsid w:val="6A46108B"/>
    <w:rsid w:val="6A5E3CF0"/>
    <w:rsid w:val="6AB0ED5E"/>
    <w:rsid w:val="6AE6E41F"/>
    <w:rsid w:val="6AF8FA3D"/>
    <w:rsid w:val="6B25EA28"/>
    <w:rsid w:val="6B7734DB"/>
    <w:rsid w:val="6C00CF71"/>
    <w:rsid w:val="6CC8AAA5"/>
    <w:rsid w:val="6CD392C5"/>
    <w:rsid w:val="6D1F67CE"/>
    <w:rsid w:val="6D9DBC32"/>
    <w:rsid w:val="6DF34E5F"/>
    <w:rsid w:val="6E0BC530"/>
    <w:rsid w:val="6EAF4768"/>
    <w:rsid w:val="6F10A55F"/>
    <w:rsid w:val="6F2FBC0D"/>
    <w:rsid w:val="7050140E"/>
    <w:rsid w:val="7127E639"/>
    <w:rsid w:val="7166501E"/>
    <w:rsid w:val="71684E39"/>
    <w:rsid w:val="71739008"/>
    <w:rsid w:val="71E2E828"/>
    <w:rsid w:val="72368754"/>
    <w:rsid w:val="72731656"/>
    <w:rsid w:val="72908D90"/>
    <w:rsid w:val="729AE17E"/>
    <w:rsid w:val="72A9CD88"/>
    <w:rsid w:val="735712F2"/>
    <w:rsid w:val="73B86610"/>
    <w:rsid w:val="73BFB9E5"/>
    <w:rsid w:val="73C05518"/>
    <w:rsid w:val="742E30FD"/>
    <w:rsid w:val="74B51BFF"/>
    <w:rsid w:val="74EE9DD1"/>
    <w:rsid w:val="74F81FA5"/>
    <w:rsid w:val="7529FA42"/>
    <w:rsid w:val="759ABE8E"/>
    <w:rsid w:val="773A12FF"/>
    <w:rsid w:val="7743968C"/>
    <w:rsid w:val="778F8236"/>
    <w:rsid w:val="77F4181F"/>
    <w:rsid w:val="781AC4D0"/>
    <w:rsid w:val="783EA33C"/>
    <w:rsid w:val="78577466"/>
    <w:rsid w:val="788BFF73"/>
    <w:rsid w:val="788E7D2C"/>
    <w:rsid w:val="78FE5080"/>
    <w:rsid w:val="7A87FF34"/>
    <w:rsid w:val="7A9868C1"/>
    <w:rsid w:val="7AB9BB5B"/>
    <w:rsid w:val="7AE9E3E3"/>
    <w:rsid w:val="7B6C29EF"/>
    <w:rsid w:val="7BDB4704"/>
    <w:rsid w:val="7BDDF9D0"/>
    <w:rsid w:val="7C930EF0"/>
    <w:rsid w:val="7D1F4F6E"/>
    <w:rsid w:val="7D4E1203"/>
    <w:rsid w:val="7D9A6CBF"/>
    <w:rsid w:val="7E4B2724"/>
    <w:rsid w:val="7E8BFDFE"/>
    <w:rsid w:val="7ED4D406"/>
    <w:rsid w:val="7F6A9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7F42A"/>
  <w15:chartTrackingRefBased/>
  <w15:docId w15:val="{9EDAB368-08CD-4FD5-90E5-34A751DDB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94AC1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94AC1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494AC144"/>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24CEE590"/>
    <w:rPr>
      <w:color w:val="467886"/>
      <w:u w:val="single"/>
    </w:rPr>
  </w:style>
  <w:style w:type="paragraph" w:styleId="TOC1">
    <w:name w:val="toc 1"/>
    <w:basedOn w:val="Normal"/>
    <w:next w:val="Normal"/>
    <w:uiPriority w:val="39"/>
    <w:unhideWhenUsed/>
    <w:rsid w:val="24CEE590"/>
    <w:pPr>
      <w:spacing w:after="100"/>
    </w:pPr>
  </w:style>
  <w:style w:type="paragraph" w:styleId="TOC2">
    <w:name w:val="toc 2"/>
    <w:basedOn w:val="Normal"/>
    <w:next w:val="Normal"/>
    <w:uiPriority w:val="39"/>
    <w:unhideWhenUsed/>
    <w:rsid w:val="24CEE590"/>
    <w:pPr>
      <w:spacing w:after="100"/>
      <w:ind w:left="220"/>
    </w:pPr>
  </w:style>
  <w:style w:type="paragraph" w:styleId="Header">
    <w:name w:val="header"/>
    <w:basedOn w:val="Normal"/>
    <w:uiPriority w:val="99"/>
    <w:unhideWhenUsed/>
    <w:rsid w:val="24CEE590"/>
    <w:pPr>
      <w:tabs>
        <w:tab w:val="center" w:pos="4680"/>
        <w:tab w:val="right" w:pos="9360"/>
      </w:tabs>
      <w:spacing w:after="0" w:line="240" w:lineRule="auto"/>
    </w:pPr>
  </w:style>
  <w:style w:type="paragraph" w:styleId="Footer">
    <w:name w:val="footer"/>
    <w:basedOn w:val="Normal"/>
    <w:uiPriority w:val="99"/>
    <w:unhideWhenUsed/>
    <w:rsid w:val="24CEE590"/>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gov/Archives/edgar/data/1585689/000158568922000013/hlt-20211231.htm?utm_source=chatgpt.com"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ec.gov/Archives/edgar/data/1585689/000158568926000007/hlt-20251231.htm?utm_source=chatgpt.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ec.gov/Archives/edgar/data/1585689/000158568924000027/hlt-20231231.htm?utm_source=chatgpt.com" TargetMode="External"/><Relationship Id="rId4" Type="http://schemas.openxmlformats.org/officeDocument/2006/relationships/footnotes" Target="footnotes.xml"/><Relationship Id="rId9" Type="http://schemas.openxmlformats.org/officeDocument/2006/relationships/hyperlink" Target="https://www.sec.gov/Archives/edgar/data/1585689/000158568923000036/hlt-20221231.htm?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26</Pages>
  <Words>6821</Words>
  <Characters>38880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Habis</dc:creator>
  <cp:keywords/>
  <dc:description/>
  <cp:lastModifiedBy>MOHAMED HABIS P</cp:lastModifiedBy>
  <cp:revision>2</cp:revision>
  <dcterms:created xsi:type="dcterms:W3CDTF">2026-08-13T09:47:00Z</dcterms:created>
  <dcterms:modified xsi:type="dcterms:W3CDTF">2026-08-13T09:47:00Z</dcterms:modified>
</cp:coreProperties>
</file>