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0F538" w14:textId="7F2760A4" w:rsidR="00B82F95" w:rsidRPr="003E5346" w:rsidRDefault="00B82F95">
      <w:pPr>
        <w:rPr>
          <w:rFonts w:ascii="Arial" w:hAnsi="Arial" w:cs="Arial"/>
          <w:sz w:val="40"/>
          <w:szCs w:val="40"/>
        </w:rPr>
      </w:pPr>
    </w:p>
    <w:p w14:paraId="24B379A0" w14:textId="144DC752" w:rsidR="00FC2873" w:rsidRDefault="00FC2873">
      <w:pPr>
        <w:rPr>
          <w:rFonts w:ascii="Arial" w:hAnsi="Arial" w:cs="Arial"/>
          <w:b/>
          <w:bCs/>
          <w:sz w:val="40"/>
          <w:szCs w:val="40"/>
        </w:rPr>
      </w:pPr>
    </w:p>
    <w:p w14:paraId="06E44040" w14:textId="0D801828" w:rsidR="00FC2873" w:rsidRDefault="00FC2873">
      <w:pPr>
        <w:rPr>
          <w:rFonts w:ascii="Arial" w:hAnsi="Arial" w:cs="Arial"/>
          <w:b/>
          <w:bCs/>
          <w:sz w:val="40"/>
          <w:szCs w:val="40"/>
        </w:rPr>
      </w:pPr>
      <w:r>
        <w:rPr>
          <w:rFonts w:ascii="Arial" w:hAnsi="Arial" w:cs="Arial"/>
          <w:b/>
          <w:bCs/>
          <w:sz w:val="40"/>
          <w:szCs w:val="40"/>
        </w:rPr>
        <w:t xml:space="preserve">Children, Young People </w:t>
      </w:r>
      <w:r w:rsidR="003B0914">
        <w:rPr>
          <w:rFonts w:ascii="Arial" w:hAnsi="Arial" w:cs="Arial"/>
          <w:b/>
          <w:bCs/>
          <w:sz w:val="40"/>
          <w:szCs w:val="40"/>
        </w:rPr>
        <w:t xml:space="preserve">and Families </w:t>
      </w:r>
    </w:p>
    <w:p w14:paraId="062B734D" w14:textId="25D006B8" w:rsidR="003B0914" w:rsidRDefault="003B0914">
      <w:pPr>
        <w:rPr>
          <w:rFonts w:ascii="Arial" w:hAnsi="Arial" w:cs="Arial"/>
          <w:b/>
          <w:bCs/>
          <w:sz w:val="40"/>
          <w:szCs w:val="40"/>
        </w:rPr>
      </w:pPr>
      <w:r>
        <w:rPr>
          <w:rFonts w:ascii="Arial" w:hAnsi="Arial" w:cs="Arial"/>
          <w:b/>
          <w:bCs/>
          <w:sz w:val="40"/>
          <w:szCs w:val="40"/>
        </w:rPr>
        <w:t>Module code: BMHP5004</w:t>
      </w:r>
    </w:p>
    <w:p w14:paraId="389E9776" w14:textId="2D1F0835" w:rsidR="003B0914" w:rsidRDefault="003B0914">
      <w:pPr>
        <w:rPr>
          <w:rFonts w:ascii="Arial" w:hAnsi="Arial" w:cs="Arial"/>
          <w:b/>
          <w:bCs/>
          <w:sz w:val="40"/>
          <w:szCs w:val="40"/>
        </w:rPr>
      </w:pPr>
      <w:r>
        <w:rPr>
          <w:rFonts w:ascii="Arial" w:hAnsi="Arial" w:cs="Arial"/>
          <w:b/>
          <w:bCs/>
          <w:sz w:val="40"/>
          <w:szCs w:val="40"/>
        </w:rPr>
        <w:t xml:space="preserve">Case study report </w:t>
      </w:r>
    </w:p>
    <w:p w14:paraId="1A8A9773" w14:textId="10958ED0" w:rsidR="003B0914" w:rsidRDefault="003B0914">
      <w:pPr>
        <w:rPr>
          <w:rFonts w:ascii="Arial" w:hAnsi="Arial" w:cs="Arial"/>
          <w:b/>
          <w:bCs/>
          <w:sz w:val="40"/>
          <w:szCs w:val="40"/>
        </w:rPr>
      </w:pPr>
      <w:r>
        <w:rPr>
          <w:rFonts w:ascii="Arial" w:hAnsi="Arial" w:cs="Arial"/>
          <w:b/>
          <w:bCs/>
          <w:sz w:val="40"/>
          <w:szCs w:val="40"/>
        </w:rPr>
        <w:t xml:space="preserve">Student name: Ioana Irina Dinu </w:t>
      </w:r>
    </w:p>
    <w:p w14:paraId="54947B1B" w14:textId="25B18590" w:rsidR="003B0914" w:rsidRDefault="003B0914">
      <w:pPr>
        <w:rPr>
          <w:rFonts w:ascii="Arial" w:hAnsi="Arial" w:cs="Arial"/>
          <w:b/>
          <w:bCs/>
          <w:sz w:val="40"/>
          <w:szCs w:val="40"/>
        </w:rPr>
      </w:pPr>
      <w:r>
        <w:rPr>
          <w:rFonts w:ascii="Arial" w:hAnsi="Arial" w:cs="Arial"/>
          <w:b/>
          <w:bCs/>
          <w:sz w:val="40"/>
          <w:szCs w:val="40"/>
        </w:rPr>
        <w:t>Student id: 1914863</w:t>
      </w:r>
    </w:p>
    <w:p w14:paraId="265DA6F4" w14:textId="05B74120" w:rsidR="003B0914" w:rsidRDefault="00346E3B">
      <w:pPr>
        <w:rPr>
          <w:rFonts w:ascii="Arial" w:hAnsi="Arial" w:cs="Arial"/>
          <w:b/>
          <w:bCs/>
          <w:sz w:val="40"/>
          <w:szCs w:val="40"/>
        </w:rPr>
      </w:pPr>
      <w:r>
        <w:rPr>
          <w:rFonts w:ascii="Arial" w:hAnsi="Arial" w:cs="Arial"/>
          <w:b/>
          <w:bCs/>
          <w:sz w:val="40"/>
          <w:szCs w:val="40"/>
        </w:rPr>
        <w:t xml:space="preserve">Lecturer name: Bianca </w:t>
      </w:r>
      <w:r w:rsidR="00C376CF">
        <w:rPr>
          <w:rFonts w:ascii="Arial" w:hAnsi="Arial" w:cs="Arial"/>
          <w:b/>
          <w:bCs/>
          <w:sz w:val="40"/>
          <w:szCs w:val="40"/>
        </w:rPr>
        <w:t>Sanfilippo</w:t>
      </w:r>
    </w:p>
    <w:p w14:paraId="641F8698" w14:textId="287B5F52" w:rsidR="00A834FE" w:rsidRDefault="00A834FE">
      <w:pPr>
        <w:rPr>
          <w:rFonts w:ascii="Arial" w:hAnsi="Arial" w:cs="Arial"/>
          <w:b/>
          <w:bCs/>
          <w:sz w:val="40"/>
          <w:szCs w:val="40"/>
        </w:rPr>
      </w:pPr>
    </w:p>
    <w:p w14:paraId="2004880F" w14:textId="68E474EC" w:rsidR="00A834FE" w:rsidRDefault="00A834FE">
      <w:pPr>
        <w:rPr>
          <w:rFonts w:ascii="Arial" w:hAnsi="Arial" w:cs="Arial"/>
          <w:b/>
          <w:bCs/>
          <w:sz w:val="40"/>
          <w:szCs w:val="40"/>
        </w:rPr>
      </w:pPr>
    </w:p>
    <w:p w14:paraId="1F667AE5" w14:textId="39857204" w:rsidR="00A834FE" w:rsidRDefault="00A834FE">
      <w:pPr>
        <w:rPr>
          <w:rFonts w:ascii="Arial" w:hAnsi="Arial" w:cs="Arial"/>
          <w:b/>
          <w:bCs/>
          <w:sz w:val="40"/>
          <w:szCs w:val="40"/>
        </w:rPr>
      </w:pPr>
    </w:p>
    <w:p w14:paraId="4F73E097" w14:textId="2B7BD23B" w:rsidR="00A834FE" w:rsidRDefault="00A834FE">
      <w:pPr>
        <w:rPr>
          <w:rFonts w:ascii="Arial" w:hAnsi="Arial" w:cs="Arial"/>
          <w:b/>
          <w:bCs/>
          <w:sz w:val="40"/>
          <w:szCs w:val="40"/>
        </w:rPr>
      </w:pPr>
    </w:p>
    <w:p w14:paraId="483CDEF3" w14:textId="6241EEFC" w:rsidR="00A834FE" w:rsidRDefault="00A834FE">
      <w:pPr>
        <w:rPr>
          <w:rFonts w:ascii="Arial" w:hAnsi="Arial" w:cs="Arial"/>
          <w:b/>
          <w:bCs/>
          <w:sz w:val="40"/>
          <w:szCs w:val="40"/>
        </w:rPr>
      </w:pPr>
    </w:p>
    <w:p w14:paraId="167A2A2B" w14:textId="67B06752" w:rsidR="00A834FE" w:rsidRDefault="00A834FE">
      <w:pPr>
        <w:rPr>
          <w:rFonts w:ascii="Arial" w:hAnsi="Arial" w:cs="Arial"/>
          <w:b/>
          <w:bCs/>
          <w:sz w:val="40"/>
          <w:szCs w:val="40"/>
        </w:rPr>
      </w:pPr>
    </w:p>
    <w:p w14:paraId="75789B5D" w14:textId="2EED322D" w:rsidR="00A834FE" w:rsidRDefault="00A834FE">
      <w:pPr>
        <w:rPr>
          <w:rFonts w:ascii="Arial" w:hAnsi="Arial" w:cs="Arial"/>
          <w:b/>
          <w:bCs/>
          <w:sz w:val="40"/>
          <w:szCs w:val="40"/>
        </w:rPr>
      </w:pPr>
    </w:p>
    <w:p w14:paraId="5CAAB7B2" w14:textId="1C560F38" w:rsidR="00A834FE" w:rsidRDefault="00A834FE">
      <w:pPr>
        <w:rPr>
          <w:rFonts w:ascii="Arial" w:hAnsi="Arial" w:cs="Arial"/>
          <w:b/>
          <w:bCs/>
          <w:sz w:val="40"/>
          <w:szCs w:val="40"/>
        </w:rPr>
      </w:pPr>
    </w:p>
    <w:p w14:paraId="2C928BDF" w14:textId="0D0CAA27" w:rsidR="00A834FE" w:rsidRDefault="00A834FE">
      <w:pPr>
        <w:rPr>
          <w:rFonts w:ascii="Arial" w:hAnsi="Arial" w:cs="Arial"/>
          <w:b/>
          <w:bCs/>
          <w:sz w:val="40"/>
          <w:szCs w:val="40"/>
        </w:rPr>
      </w:pPr>
    </w:p>
    <w:p w14:paraId="39E8603A" w14:textId="22C0648B" w:rsidR="00A834FE" w:rsidRDefault="00A834FE">
      <w:pPr>
        <w:rPr>
          <w:rFonts w:ascii="Arial" w:hAnsi="Arial" w:cs="Arial"/>
          <w:b/>
          <w:bCs/>
          <w:sz w:val="40"/>
          <w:szCs w:val="40"/>
        </w:rPr>
      </w:pPr>
    </w:p>
    <w:p w14:paraId="49DDE94F" w14:textId="614C5A1B" w:rsidR="00A834FE" w:rsidRDefault="00A834FE">
      <w:pPr>
        <w:rPr>
          <w:rFonts w:ascii="Arial" w:hAnsi="Arial" w:cs="Arial"/>
          <w:b/>
          <w:bCs/>
          <w:sz w:val="40"/>
          <w:szCs w:val="40"/>
        </w:rPr>
      </w:pPr>
    </w:p>
    <w:p w14:paraId="4929B8EA" w14:textId="60A7D38E" w:rsidR="00A834FE" w:rsidRDefault="00A834FE">
      <w:pPr>
        <w:rPr>
          <w:rFonts w:ascii="Arial" w:hAnsi="Arial" w:cs="Arial"/>
          <w:b/>
          <w:bCs/>
          <w:sz w:val="40"/>
          <w:szCs w:val="40"/>
        </w:rPr>
      </w:pPr>
    </w:p>
    <w:p w14:paraId="216BD3AB" w14:textId="40A3FBDF" w:rsidR="00A834FE" w:rsidRDefault="00A834FE">
      <w:pPr>
        <w:rPr>
          <w:rFonts w:ascii="Arial" w:hAnsi="Arial" w:cs="Arial"/>
          <w:b/>
          <w:bCs/>
          <w:sz w:val="40"/>
          <w:szCs w:val="40"/>
        </w:rPr>
      </w:pPr>
    </w:p>
    <w:p w14:paraId="6E026F0E" w14:textId="6E6B4C24" w:rsidR="00A834FE" w:rsidRDefault="00A834FE">
      <w:pPr>
        <w:rPr>
          <w:rFonts w:ascii="Arial" w:hAnsi="Arial" w:cs="Arial"/>
          <w:b/>
          <w:bCs/>
          <w:sz w:val="40"/>
          <w:szCs w:val="40"/>
        </w:rPr>
      </w:pPr>
    </w:p>
    <w:p w14:paraId="2554FC30" w14:textId="59423021" w:rsidR="00A834FE" w:rsidRDefault="00A834FE">
      <w:pPr>
        <w:rPr>
          <w:rFonts w:ascii="Arial" w:hAnsi="Arial" w:cs="Arial"/>
          <w:b/>
          <w:bCs/>
          <w:sz w:val="40"/>
          <w:szCs w:val="40"/>
        </w:rPr>
      </w:pPr>
      <w:r>
        <w:rPr>
          <w:rFonts w:ascii="Arial" w:hAnsi="Arial" w:cs="Arial"/>
          <w:b/>
          <w:bCs/>
          <w:sz w:val="40"/>
          <w:szCs w:val="40"/>
        </w:rPr>
        <w:t xml:space="preserve">Table of contents </w:t>
      </w:r>
    </w:p>
    <w:p w14:paraId="5B3D3528" w14:textId="562D3132" w:rsidR="00A834FE" w:rsidRDefault="00A834FE">
      <w:pPr>
        <w:rPr>
          <w:rFonts w:ascii="Arial" w:hAnsi="Arial" w:cs="Arial"/>
          <w:b/>
          <w:bCs/>
          <w:sz w:val="40"/>
          <w:szCs w:val="40"/>
        </w:rPr>
      </w:pPr>
    </w:p>
    <w:p w14:paraId="28BD843E" w14:textId="471D62FA" w:rsidR="0044790C" w:rsidRPr="0044790C" w:rsidRDefault="0024113A" w:rsidP="0044790C">
      <w:pPr>
        <w:pStyle w:val="TOC1"/>
        <w:tabs>
          <w:tab w:val="right" w:leader="dot" w:pos="9016"/>
        </w:tabs>
      </w:pPr>
      <w:r w:rsidRPr="0024113A">
        <w:rPr>
          <w:rFonts w:cs="Arial"/>
          <w:szCs w:val="24"/>
        </w:rPr>
        <w:fldChar w:fldCharType="begin"/>
      </w:r>
      <w:r w:rsidRPr="0024113A">
        <w:rPr>
          <w:rFonts w:cs="Arial"/>
          <w:szCs w:val="24"/>
        </w:rPr>
        <w:instrText xml:space="preserve"> TOC \o "1-3" \h \z \u </w:instrText>
      </w:r>
      <w:r w:rsidRPr="0024113A">
        <w:rPr>
          <w:rFonts w:cs="Arial"/>
          <w:szCs w:val="24"/>
        </w:rPr>
        <w:fldChar w:fldCharType="separate"/>
      </w:r>
      <w:r w:rsidR="0044790C">
        <w:t>Introduction..........................</w:t>
      </w:r>
      <w:r w:rsidR="00F2153A">
        <w:t>.......................................................................................3</w:t>
      </w:r>
    </w:p>
    <w:p w14:paraId="2EB68E29" w14:textId="2A32A64A" w:rsidR="0024113A" w:rsidRPr="0024113A" w:rsidRDefault="00D47B89" w:rsidP="00EE3319">
      <w:pPr>
        <w:pStyle w:val="TOC1"/>
        <w:tabs>
          <w:tab w:val="right" w:leader="dot" w:pos="9016"/>
        </w:tabs>
        <w:rPr>
          <w:rFonts w:eastAsiaTheme="minorEastAsia" w:cs="Arial"/>
          <w:noProof/>
          <w:szCs w:val="24"/>
          <w:lang w:eastAsia="en-GB"/>
        </w:rPr>
      </w:pPr>
      <w:r>
        <w:t>Case study..........................</w:t>
      </w:r>
      <w:r w:rsidR="0004646D">
        <w:t>........................................................................................4</w:t>
      </w:r>
    </w:p>
    <w:p w14:paraId="08E61E21" w14:textId="75C4D01D" w:rsidR="00BD7A03" w:rsidRPr="00BD7A03" w:rsidRDefault="0004646D" w:rsidP="00BD7A03">
      <w:pPr>
        <w:pStyle w:val="TOC2"/>
        <w:tabs>
          <w:tab w:val="right" w:leader="dot" w:pos="9016"/>
        </w:tabs>
      </w:pPr>
      <w:r>
        <w:t xml:space="preserve">Demonstrations </w:t>
      </w:r>
      <w:r w:rsidR="00BD7A03">
        <w:t>of specific issues of vulnerability...................................................4</w:t>
      </w:r>
    </w:p>
    <w:p w14:paraId="1F5F15F0" w14:textId="5C954A90" w:rsidR="00133245" w:rsidRPr="00133245" w:rsidRDefault="001458C2" w:rsidP="00133245">
      <w:pPr>
        <w:pStyle w:val="TOC2"/>
        <w:tabs>
          <w:tab w:val="right" w:leader="dot" w:pos="9016"/>
        </w:tabs>
      </w:pPr>
      <w:r>
        <w:t xml:space="preserve">The risk factors to higher level of </w:t>
      </w:r>
      <w:r w:rsidR="00133245">
        <w:t>vulnerability.........................................................5</w:t>
      </w:r>
    </w:p>
    <w:p w14:paraId="028CF49A" w14:textId="759B8C96" w:rsidR="001E7D75" w:rsidRPr="001E7D75" w:rsidRDefault="00133245" w:rsidP="001E7D75">
      <w:pPr>
        <w:pStyle w:val="TOC1"/>
        <w:tabs>
          <w:tab w:val="right" w:leader="dot" w:pos="9016"/>
        </w:tabs>
      </w:pPr>
      <w:r>
        <w:t>Analysis</w:t>
      </w:r>
      <w:r w:rsidR="001E7D75">
        <w:t>............................................................................</w:t>
      </w:r>
      <w:r w:rsidR="008C668F">
        <w:t>...........................................6</w:t>
      </w:r>
    </w:p>
    <w:p w14:paraId="4E921FC4" w14:textId="394D88B5" w:rsidR="000C705A" w:rsidRPr="000C705A" w:rsidRDefault="008C668F" w:rsidP="000C705A">
      <w:pPr>
        <w:pStyle w:val="TOC2"/>
        <w:tabs>
          <w:tab w:val="right" w:leader="dot" w:pos="9016"/>
        </w:tabs>
      </w:pPr>
      <w:r>
        <w:t xml:space="preserve">Intervention </w:t>
      </w:r>
      <w:r w:rsidR="00691FEB">
        <w:t xml:space="preserve">process of the social care agencies </w:t>
      </w:r>
      <w:r w:rsidR="00852DBD">
        <w:t>and coherence with current care policy...............................................</w:t>
      </w:r>
      <w:r w:rsidR="000C705A">
        <w:t>.........................................................................6</w:t>
      </w:r>
    </w:p>
    <w:p w14:paraId="5071E0D2" w14:textId="18BF8C37" w:rsidR="0024113A" w:rsidRPr="0024113A" w:rsidRDefault="0069625D" w:rsidP="00EE3319">
      <w:pPr>
        <w:pStyle w:val="TOC2"/>
        <w:tabs>
          <w:tab w:val="right" w:leader="dot" w:pos="9016"/>
        </w:tabs>
        <w:rPr>
          <w:rFonts w:eastAsiaTheme="minorEastAsia" w:cs="Arial"/>
          <w:noProof/>
          <w:szCs w:val="24"/>
          <w:lang w:eastAsia="en-GB"/>
        </w:rPr>
      </w:pPr>
      <w:r>
        <w:t xml:space="preserve">Identifying the points to </w:t>
      </w:r>
      <w:r w:rsidR="00942D52">
        <w:t xml:space="preserve">assess under intervention and the undertaken </w:t>
      </w:r>
      <w:r w:rsidR="002007E7">
        <w:t>actions</w:t>
      </w:r>
      <w:r w:rsidR="00563038">
        <w:t>......7</w:t>
      </w:r>
    </w:p>
    <w:p w14:paraId="3BCAAC5C" w14:textId="5DAE609B" w:rsidR="0024113A" w:rsidRPr="0024113A" w:rsidRDefault="00563038" w:rsidP="00EE3319">
      <w:pPr>
        <w:pStyle w:val="TOC3"/>
        <w:tabs>
          <w:tab w:val="right" w:leader="dot" w:pos="9016"/>
        </w:tabs>
        <w:rPr>
          <w:rFonts w:eastAsiaTheme="minorEastAsia" w:cs="Arial"/>
          <w:noProof/>
          <w:szCs w:val="24"/>
          <w:lang w:eastAsia="en-GB"/>
        </w:rPr>
      </w:pPr>
      <w:r>
        <w:t>Offensive behaviour in childhood..........................................................................7</w:t>
      </w:r>
    </w:p>
    <w:p w14:paraId="6943179E" w14:textId="5D1CCF57" w:rsidR="0024113A" w:rsidRPr="0024113A" w:rsidRDefault="00563038" w:rsidP="00EE3319">
      <w:pPr>
        <w:pStyle w:val="TOC3"/>
        <w:tabs>
          <w:tab w:val="right" w:leader="dot" w:pos="9016"/>
        </w:tabs>
        <w:rPr>
          <w:rFonts w:eastAsiaTheme="minorEastAsia" w:cs="Arial"/>
          <w:noProof/>
          <w:szCs w:val="24"/>
          <w:lang w:eastAsia="en-GB"/>
        </w:rPr>
      </w:pPr>
      <w:r>
        <w:t>Domestic violence.................................................................................................</w:t>
      </w:r>
      <w:r w:rsidR="00D3644C">
        <w:t>7</w:t>
      </w:r>
    </w:p>
    <w:p w14:paraId="778F905C" w14:textId="14307E0B" w:rsidR="009E04B5" w:rsidRPr="009E04B5" w:rsidRDefault="009E04B5" w:rsidP="009E04B5">
      <w:pPr>
        <w:pStyle w:val="TOC3"/>
        <w:tabs>
          <w:tab w:val="right" w:leader="dot" w:pos="9016"/>
        </w:tabs>
      </w:pPr>
      <w:r>
        <w:t>Improper accommodation.....................................................................................7</w:t>
      </w:r>
    </w:p>
    <w:p w14:paraId="3B8B5EA2" w14:textId="0B6028F7" w:rsidR="0024113A" w:rsidRPr="0024113A" w:rsidRDefault="00302340" w:rsidP="00EE3319">
      <w:pPr>
        <w:pStyle w:val="TOC2"/>
        <w:tabs>
          <w:tab w:val="right" w:leader="dot" w:pos="9016"/>
        </w:tabs>
        <w:rPr>
          <w:rFonts w:eastAsiaTheme="minorEastAsia" w:cs="Arial"/>
          <w:noProof/>
          <w:szCs w:val="24"/>
          <w:lang w:eastAsia="en-GB"/>
        </w:rPr>
      </w:pPr>
      <w:r>
        <w:t xml:space="preserve">Current policies and the roles and impact of multi-disciplinary </w:t>
      </w:r>
      <w:r w:rsidR="009B385B">
        <w:t>services...................8</w:t>
      </w:r>
    </w:p>
    <w:p w14:paraId="6CBA3B39" w14:textId="008AC990" w:rsidR="0024113A" w:rsidRPr="0024113A" w:rsidRDefault="009B385B" w:rsidP="00EE3319">
      <w:pPr>
        <w:pStyle w:val="TOC1"/>
        <w:tabs>
          <w:tab w:val="right" w:leader="dot" w:pos="9016"/>
        </w:tabs>
        <w:rPr>
          <w:rFonts w:eastAsiaTheme="minorEastAsia" w:cs="Arial"/>
          <w:noProof/>
          <w:szCs w:val="24"/>
          <w:lang w:eastAsia="en-GB"/>
        </w:rPr>
      </w:pPr>
      <w:r>
        <w:t>Evaluation...............................................................................</w:t>
      </w:r>
      <w:r w:rsidR="00AD3DFD">
        <w:t>.....................................9</w:t>
      </w:r>
    </w:p>
    <w:p w14:paraId="3F7EF9C3" w14:textId="75AF18D4" w:rsidR="0024113A" w:rsidRPr="0024113A" w:rsidRDefault="00AD3DFD" w:rsidP="00EE3319">
      <w:pPr>
        <w:pStyle w:val="TOC2"/>
        <w:tabs>
          <w:tab w:val="right" w:leader="dot" w:pos="9016"/>
        </w:tabs>
        <w:rPr>
          <w:rFonts w:eastAsiaTheme="minorEastAsia" w:cs="Arial"/>
          <w:noProof/>
          <w:szCs w:val="24"/>
          <w:lang w:eastAsia="en-GB"/>
        </w:rPr>
      </w:pPr>
      <w:r>
        <w:t xml:space="preserve">Critical evaluation </w:t>
      </w:r>
      <w:r w:rsidR="00610FD4">
        <w:t>of the responses fro relevant agencies.......................................9</w:t>
      </w:r>
    </w:p>
    <w:p w14:paraId="054071A7" w14:textId="1C868BD3" w:rsidR="0024113A" w:rsidRPr="0024113A" w:rsidRDefault="00610FD4" w:rsidP="00EE3319">
      <w:pPr>
        <w:pStyle w:val="TOC2"/>
        <w:tabs>
          <w:tab w:val="right" w:leader="dot" w:pos="9016"/>
        </w:tabs>
        <w:rPr>
          <w:rFonts w:eastAsiaTheme="minorEastAsia" w:cs="Arial"/>
          <w:noProof/>
          <w:szCs w:val="24"/>
          <w:lang w:eastAsia="en-GB"/>
        </w:rPr>
      </w:pPr>
      <w:r>
        <w:t xml:space="preserve">Required </w:t>
      </w:r>
      <w:r w:rsidR="00341688">
        <w:t xml:space="preserve">changes and recommendations to provide appropriate social </w:t>
      </w:r>
      <w:r w:rsidR="00861A17">
        <w:t>care..........9</w:t>
      </w:r>
    </w:p>
    <w:p w14:paraId="1454D5E8" w14:textId="27D213D5" w:rsidR="0024113A" w:rsidRPr="0024113A" w:rsidRDefault="00F9226B" w:rsidP="00EE3319">
      <w:pPr>
        <w:pStyle w:val="TOC1"/>
        <w:tabs>
          <w:tab w:val="right" w:leader="dot" w:pos="9016"/>
        </w:tabs>
        <w:rPr>
          <w:rFonts w:eastAsiaTheme="minorEastAsia" w:cs="Arial"/>
          <w:noProof/>
          <w:szCs w:val="24"/>
          <w:lang w:eastAsia="en-GB"/>
        </w:rPr>
      </w:pPr>
      <w:r>
        <w:t>Conclusion.................................................................................................................10</w:t>
      </w:r>
    </w:p>
    <w:p w14:paraId="6F478B03" w14:textId="2F282DAF" w:rsidR="00AE082C" w:rsidRPr="00AE082C" w:rsidRDefault="00F9226B" w:rsidP="00AE082C">
      <w:pPr>
        <w:pStyle w:val="TOC1"/>
        <w:tabs>
          <w:tab w:val="right" w:leader="dot" w:pos="9016"/>
        </w:tabs>
      </w:pPr>
      <w:r>
        <w:t>References..........................................................</w:t>
      </w:r>
      <w:r w:rsidR="00AE082C">
        <w:t>......................................................11</w:t>
      </w:r>
    </w:p>
    <w:p w14:paraId="36F992F0" w14:textId="0D35B664" w:rsidR="00A834FE" w:rsidRPr="0024113A" w:rsidRDefault="0024113A" w:rsidP="00EE3319">
      <w:pPr>
        <w:spacing w:line="360" w:lineRule="auto"/>
        <w:rPr>
          <w:rFonts w:ascii="Arial" w:hAnsi="Arial" w:cs="Arial"/>
          <w:b/>
          <w:bCs/>
          <w:sz w:val="40"/>
          <w:szCs w:val="40"/>
        </w:rPr>
      </w:pPr>
      <w:r w:rsidRPr="0024113A">
        <w:rPr>
          <w:rFonts w:ascii="Arial" w:hAnsi="Arial" w:cs="Arial"/>
          <w:b/>
          <w:bCs/>
          <w:noProof/>
          <w:sz w:val="24"/>
          <w:szCs w:val="24"/>
        </w:rPr>
        <w:fldChar w:fldCharType="end"/>
      </w:r>
    </w:p>
    <w:p w14:paraId="10575235" w14:textId="00F963A5" w:rsidR="00A834FE" w:rsidRDefault="00A834FE">
      <w:pPr>
        <w:rPr>
          <w:rFonts w:ascii="Arial" w:hAnsi="Arial" w:cs="Arial"/>
          <w:b/>
          <w:bCs/>
          <w:sz w:val="40"/>
          <w:szCs w:val="40"/>
        </w:rPr>
      </w:pPr>
    </w:p>
    <w:p w14:paraId="7A7060BE" w14:textId="443C54E2" w:rsidR="00A834FE" w:rsidRDefault="00A834FE">
      <w:pPr>
        <w:rPr>
          <w:rFonts w:ascii="Arial" w:hAnsi="Arial" w:cs="Arial"/>
          <w:b/>
          <w:bCs/>
          <w:sz w:val="40"/>
          <w:szCs w:val="40"/>
        </w:rPr>
      </w:pPr>
    </w:p>
    <w:p w14:paraId="59912ADB" w14:textId="3125FBB6" w:rsidR="00A834FE" w:rsidRDefault="00A834FE">
      <w:pPr>
        <w:rPr>
          <w:rFonts w:ascii="Arial" w:hAnsi="Arial" w:cs="Arial"/>
          <w:b/>
          <w:bCs/>
          <w:sz w:val="40"/>
          <w:szCs w:val="40"/>
        </w:rPr>
      </w:pPr>
    </w:p>
    <w:p w14:paraId="09F9C0B2" w14:textId="4341390F" w:rsidR="00A834FE" w:rsidRDefault="00A834FE">
      <w:pPr>
        <w:rPr>
          <w:rFonts w:ascii="Arial" w:hAnsi="Arial" w:cs="Arial"/>
          <w:b/>
          <w:bCs/>
          <w:sz w:val="40"/>
          <w:szCs w:val="40"/>
        </w:rPr>
      </w:pPr>
    </w:p>
    <w:p w14:paraId="3836BF01" w14:textId="427794CF" w:rsidR="00A834FE" w:rsidRDefault="00EE3319">
      <w:pPr>
        <w:rPr>
          <w:rFonts w:ascii="Arial" w:hAnsi="Arial" w:cs="Arial"/>
          <w:b/>
          <w:bCs/>
          <w:sz w:val="40"/>
          <w:szCs w:val="40"/>
        </w:rPr>
      </w:pPr>
      <w:r>
        <w:rPr>
          <w:rFonts w:ascii="Arial" w:hAnsi="Arial" w:cs="Arial"/>
          <w:b/>
          <w:bCs/>
          <w:sz w:val="40"/>
          <w:szCs w:val="40"/>
        </w:rPr>
        <w:lastRenderedPageBreak/>
        <w:t xml:space="preserve">Introduction </w:t>
      </w:r>
    </w:p>
    <w:p w14:paraId="6A42C547" w14:textId="1E9729AF" w:rsidR="00A834FE" w:rsidRDefault="00A834FE">
      <w:pPr>
        <w:rPr>
          <w:rFonts w:ascii="Arial" w:hAnsi="Arial" w:cs="Arial"/>
          <w:b/>
          <w:bCs/>
          <w:sz w:val="40"/>
          <w:szCs w:val="40"/>
        </w:rPr>
      </w:pPr>
    </w:p>
    <w:p w14:paraId="148BF6E4" w14:textId="77598615" w:rsidR="003E5346" w:rsidRPr="003E5346" w:rsidRDefault="003E5346" w:rsidP="00B64BA6">
      <w:pPr>
        <w:spacing w:line="360" w:lineRule="auto"/>
        <w:rPr>
          <w:rFonts w:ascii="Arial" w:hAnsi="Arial" w:cs="Arial"/>
          <w:sz w:val="24"/>
          <w:szCs w:val="24"/>
          <w:lang w:val="en-US"/>
        </w:rPr>
      </w:pPr>
      <w:r w:rsidRPr="003E5346">
        <w:rPr>
          <w:rFonts w:ascii="Arial" w:hAnsi="Arial" w:cs="Arial"/>
          <w:sz w:val="24"/>
          <w:szCs w:val="24"/>
          <w:lang w:val="en-US"/>
        </w:rPr>
        <w:t xml:space="preserve">This report will discuss and will </w:t>
      </w:r>
      <w:r w:rsidR="00B64BA6" w:rsidRPr="003E5346">
        <w:rPr>
          <w:rFonts w:ascii="Arial" w:hAnsi="Arial" w:cs="Arial"/>
          <w:sz w:val="24"/>
          <w:szCs w:val="24"/>
          <w:lang w:val="en-US"/>
        </w:rPr>
        <w:t>analyses</w:t>
      </w:r>
      <w:r w:rsidRPr="003E5346">
        <w:rPr>
          <w:rFonts w:ascii="Arial" w:hAnsi="Arial" w:cs="Arial"/>
          <w:sz w:val="24"/>
          <w:szCs w:val="24"/>
          <w:lang w:val="en-US"/>
        </w:rPr>
        <w:t xml:space="preserve"> the case study on troubled family. The case study is tended to highlight the vulnerable acts that are placed upon the children and families from different cities. The case study has carried out upon several families and individuals from Sheffield, Bradford, Lancashire, Leeds, and Norfolk. The families and the included children and individuals have faced different types of vulnerability and abuses as identified in the case study. </w:t>
      </w:r>
    </w:p>
    <w:p w14:paraId="588B4778" w14:textId="77777777" w:rsidR="003E5346" w:rsidRPr="003E5346" w:rsidRDefault="003E5346" w:rsidP="00B64BA6">
      <w:pPr>
        <w:spacing w:line="360" w:lineRule="auto"/>
        <w:rPr>
          <w:rFonts w:ascii="Arial" w:hAnsi="Arial" w:cs="Arial"/>
          <w:sz w:val="24"/>
          <w:szCs w:val="24"/>
          <w:lang w:val="en-US"/>
        </w:rPr>
      </w:pPr>
      <w:r w:rsidRPr="003E5346">
        <w:rPr>
          <w:rFonts w:ascii="Arial" w:hAnsi="Arial" w:cs="Arial"/>
          <w:sz w:val="24"/>
          <w:szCs w:val="24"/>
          <w:lang w:val="en-US"/>
        </w:rPr>
        <w:t xml:space="preserve">The case study from Sheffield has identified the acts of violence and offense by Bridget, John, Jayden and Erin in their early years. The vice-versa impacts and later consequences are also reported in the case study. The Bradford case study has reported about a single mother, Julie who was involved in criminal offense and drug addiction. The other case from Lancashire stated about family stigma between two families that leads a boy named Daniel into anti-social activities. The Leeds case described about another single mother, Laura added with drugs quite similar to Julie, and causing children offending as consequences of the family complexities and intervention. The last case reported in the case study has identified that Holly a single mother from Norfolk, and she has been neglecting and offending her children. All the cases identified severe family issues, vulnerability, and violation of health and social care principles. </w:t>
      </w:r>
      <w:r w:rsidRPr="003E5346">
        <w:rPr>
          <w:rFonts w:ascii="Arial" w:hAnsi="Arial" w:cs="Arial"/>
          <w:sz w:val="24"/>
          <w:szCs w:val="24"/>
          <w:lang w:val="en-US"/>
        </w:rPr>
        <w:br w:type="page"/>
      </w:r>
    </w:p>
    <w:p w14:paraId="40B22DF7" w14:textId="0E9A233E" w:rsidR="00A834FE" w:rsidRDefault="00A834FE">
      <w:pPr>
        <w:rPr>
          <w:rFonts w:ascii="Arial" w:hAnsi="Arial" w:cs="Arial"/>
          <w:b/>
          <w:bCs/>
          <w:sz w:val="40"/>
          <w:szCs w:val="40"/>
        </w:rPr>
      </w:pPr>
    </w:p>
    <w:p w14:paraId="77B781E0" w14:textId="77777777" w:rsidR="00B22B13" w:rsidRPr="00BC4362" w:rsidRDefault="00B22B13" w:rsidP="00AF419C">
      <w:pPr>
        <w:pStyle w:val="Heading1"/>
        <w:spacing w:line="360" w:lineRule="auto"/>
        <w:rPr>
          <w:rFonts w:ascii="Arial" w:hAnsi="Arial" w:cs="Arial"/>
          <w:b/>
          <w:bCs/>
          <w:color w:val="000000" w:themeColor="text1"/>
          <w:sz w:val="40"/>
          <w:szCs w:val="40"/>
        </w:rPr>
      </w:pPr>
      <w:bookmarkStart w:id="0" w:name="_Toc80828269"/>
      <w:r w:rsidRPr="00BC4362">
        <w:rPr>
          <w:rFonts w:ascii="Arial" w:hAnsi="Arial" w:cs="Arial"/>
          <w:b/>
          <w:bCs/>
          <w:color w:val="000000" w:themeColor="text1"/>
          <w:sz w:val="40"/>
          <w:szCs w:val="40"/>
        </w:rPr>
        <w:t>Case study</w:t>
      </w:r>
      <w:bookmarkEnd w:id="0"/>
    </w:p>
    <w:p w14:paraId="55FE7818" w14:textId="77777777" w:rsidR="00B22B13" w:rsidRPr="00BC4362" w:rsidRDefault="00B22B13" w:rsidP="00AF419C">
      <w:pPr>
        <w:pStyle w:val="Heading2"/>
        <w:spacing w:line="360" w:lineRule="auto"/>
        <w:rPr>
          <w:rFonts w:ascii="Arial" w:hAnsi="Arial" w:cs="Arial"/>
          <w:b/>
          <w:bCs/>
          <w:color w:val="000000" w:themeColor="text1"/>
          <w:sz w:val="40"/>
          <w:szCs w:val="40"/>
          <w:lang w:val="en-US"/>
        </w:rPr>
      </w:pPr>
      <w:bookmarkStart w:id="1" w:name="_Toc80828270"/>
      <w:r w:rsidRPr="00BC4362">
        <w:rPr>
          <w:rFonts w:ascii="Arial" w:hAnsi="Arial" w:cs="Arial"/>
          <w:b/>
          <w:bCs/>
          <w:color w:val="000000" w:themeColor="text1"/>
          <w:sz w:val="40"/>
          <w:szCs w:val="40"/>
          <w:lang w:val="en-US"/>
        </w:rPr>
        <w:t>Demonstration of specific issues of vulnerability</w:t>
      </w:r>
      <w:bookmarkEnd w:id="1"/>
    </w:p>
    <w:p w14:paraId="1E52052A" w14:textId="77777777" w:rsidR="00B22B13" w:rsidRPr="00AF419C" w:rsidRDefault="00B22B13" w:rsidP="00AF419C">
      <w:pPr>
        <w:spacing w:line="360" w:lineRule="auto"/>
        <w:rPr>
          <w:rFonts w:ascii="Arial" w:hAnsi="Arial" w:cs="Arial"/>
          <w:sz w:val="24"/>
          <w:szCs w:val="24"/>
          <w:lang w:val="en-US"/>
        </w:rPr>
      </w:pPr>
      <w:r w:rsidRPr="00AF419C">
        <w:rPr>
          <w:rFonts w:ascii="Arial" w:hAnsi="Arial" w:cs="Arial"/>
          <w:sz w:val="24"/>
          <w:szCs w:val="24"/>
          <w:lang w:val="en-US"/>
        </w:rPr>
        <w:t>The case study is undertaken on the vulnerable children, families or individuals from five cities. The first issue appeared through the offending characteristics of a group of people, while they were conjugated within a social service. The case says that offending character has become inherent within John, Bridget, Erin, and Jayden’s socialization process since their childhood. The social service has been counselling the offending characteristics through sessions to remove the bounds within their characteristics. Appropriate social care has been successful in counselling them and normalize their offending character through a systematic process (</w:t>
      </w:r>
      <w:r w:rsidRPr="00AF419C">
        <w:rPr>
          <w:rFonts w:ascii="Arial" w:hAnsi="Arial" w:cs="Arial"/>
          <w:sz w:val="24"/>
          <w:szCs w:val="24"/>
        </w:rPr>
        <w:t xml:space="preserve">Elliott, and </w:t>
      </w:r>
      <w:proofErr w:type="spellStart"/>
      <w:r w:rsidRPr="00AF419C">
        <w:rPr>
          <w:rFonts w:ascii="Arial" w:hAnsi="Arial" w:cs="Arial"/>
          <w:sz w:val="24"/>
          <w:szCs w:val="24"/>
        </w:rPr>
        <w:t>Scourfield</w:t>
      </w:r>
      <w:proofErr w:type="spellEnd"/>
      <w:r w:rsidRPr="00AF419C">
        <w:rPr>
          <w:rFonts w:ascii="Arial" w:hAnsi="Arial" w:cs="Arial"/>
          <w:sz w:val="24"/>
          <w:szCs w:val="24"/>
        </w:rPr>
        <w:t>, 2017</w:t>
      </w:r>
      <w:r w:rsidRPr="00AF419C">
        <w:rPr>
          <w:rFonts w:ascii="Arial" w:hAnsi="Arial" w:cs="Arial"/>
          <w:sz w:val="24"/>
          <w:szCs w:val="24"/>
          <w:lang w:val="en-US"/>
        </w:rPr>
        <w:t xml:space="preserve">). The second case in the document relying about Julie from Bradford, she has been a single mother with six kids and her aunt Sonia has been managing the responsibility as primary care service provider. Julie has been absent from family because of her criminal offense and drug addiction. Julie’s eldest son Tom has been affiliated with a criminal activist gang in his childhood, and her other children were very much negligent about their schools. The major issue is found by the care service agency has been the offending characteristics among all of Julie’s children. Besides, the primary care provider has been inappropriate in providing required care to them. The case of Lancashire identified the tensions between two families led by two single mothers. Family A is defined by Carol’s family with three children and Daniel (17) was the eldest. This also related to the offending characters as similar to the upper mentioned case. The next cases from Leeds, and Norfolk are also related to the previous cases. The children within these two cases have been witnessing criminal activities, alcohol and drug addictions, and violence within the family. The family offenses have redirected the socialization process of Saeed, Adam, Rashid, </w:t>
      </w:r>
      <w:proofErr w:type="spellStart"/>
      <w:r w:rsidRPr="00AF419C">
        <w:rPr>
          <w:rFonts w:ascii="Arial" w:hAnsi="Arial" w:cs="Arial"/>
          <w:sz w:val="24"/>
          <w:szCs w:val="24"/>
          <w:lang w:val="en-US"/>
        </w:rPr>
        <w:t>Javid</w:t>
      </w:r>
      <w:proofErr w:type="spellEnd"/>
      <w:r w:rsidRPr="00AF419C">
        <w:rPr>
          <w:rFonts w:ascii="Arial" w:hAnsi="Arial" w:cs="Arial"/>
          <w:sz w:val="24"/>
          <w:szCs w:val="24"/>
          <w:lang w:val="en-US"/>
        </w:rPr>
        <w:t xml:space="preserve">, and Ed in Leeds. And Sarah and Mark in Norfolk. </w:t>
      </w:r>
    </w:p>
    <w:p w14:paraId="4B9CEAEF" w14:textId="77777777" w:rsidR="00B22B13" w:rsidRPr="00AF419C" w:rsidRDefault="00B22B13" w:rsidP="00AF419C">
      <w:pPr>
        <w:spacing w:line="360" w:lineRule="auto"/>
        <w:rPr>
          <w:rFonts w:ascii="Arial" w:eastAsiaTheme="majorEastAsia" w:hAnsi="Arial" w:cs="Arial"/>
          <w:b/>
          <w:sz w:val="24"/>
          <w:szCs w:val="24"/>
          <w:lang w:val="en-US"/>
        </w:rPr>
      </w:pPr>
      <w:r w:rsidRPr="00AF419C">
        <w:rPr>
          <w:rFonts w:ascii="Arial" w:hAnsi="Arial" w:cs="Arial"/>
          <w:sz w:val="24"/>
          <w:szCs w:val="24"/>
          <w:lang w:val="en-US"/>
        </w:rPr>
        <w:br w:type="page"/>
      </w:r>
    </w:p>
    <w:p w14:paraId="5DEDA206" w14:textId="77777777" w:rsidR="00B22B13" w:rsidRPr="001B6717" w:rsidRDefault="00B22B13" w:rsidP="00AF419C">
      <w:pPr>
        <w:pStyle w:val="Heading2"/>
        <w:spacing w:line="360" w:lineRule="auto"/>
        <w:rPr>
          <w:rFonts w:ascii="Arial" w:hAnsi="Arial" w:cs="Arial"/>
          <w:b/>
          <w:bCs/>
          <w:color w:val="auto"/>
          <w:sz w:val="40"/>
          <w:szCs w:val="40"/>
          <w:lang w:val="en-US"/>
        </w:rPr>
      </w:pPr>
      <w:bookmarkStart w:id="2" w:name="_Toc80828271"/>
      <w:r w:rsidRPr="001B6717">
        <w:rPr>
          <w:rFonts w:ascii="Arial" w:hAnsi="Arial" w:cs="Arial"/>
          <w:b/>
          <w:bCs/>
          <w:color w:val="auto"/>
          <w:sz w:val="40"/>
          <w:szCs w:val="40"/>
          <w:lang w:val="en-US"/>
        </w:rPr>
        <w:lastRenderedPageBreak/>
        <w:t>The risk factors to higher level of vulnerability</w:t>
      </w:r>
      <w:bookmarkEnd w:id="2"/>
    </w:p>
    <w:p w14:paraId="006D99CC" w14:textId="77777777" w:rsidR="00B22B13" w:rsidRPr="00AF419C" w:rsidRDefault="00B22B13" w:rsidP="00AF419C">
      <w:pPr>
        <w:spacing w:line="360" w:lineRule="auto"/>
        <w:rPr>
          <w:rFonts w:ascii="Arial" w:hAnsi="Arial" w:cs="Arial"/>
          <w:sz w:val="24"/>
          <w:szCs w:val="24"/>
          <w:lang w:val="en-US"/>
        </w:rPr>
      </w:pPr>
      <w:r w:rsidRPr="00AF419C">
        <w:rPr>
          <w:rFonts w:ascii="Arial" w:hAnsi="Arial" w:cs="Arial"/>
          <w:sz w:val="24"/>
          <w:szCs w:val="24"/>
          <w:lang w:val="en-US"/>
        </w:rPr>
        <w:t>In the first case, John was hit by major vulnerability from his offending characteristics as well as the lack in his proper monitoring by his family. The offending</w:t>
      </w:r>
      <w:r w:rsidRPr="00AF419C">
        <w:rPr>
          <w:rFonts w:ascii="Arial" w:hAnsi="Arial" w:cs="Arial"/>
          <w:sz w:val="24"/>
          <w:szCs w:val="24"/>
        </w:rPr>
        <w:t xml:space="preserve"> behaviour</w:t>
      </w:r>
      <w:r w:rsidRPr="00AF419C">
        <w:rPr>
          <w:rFonts w:ascii="Arial" w:hAnsi="Arial" w:cs="Arial"/>
          <w:sz w:val="24"/>
          <w:szCs w:val="24"/>
          <w:lang w:val="en-US"/>
        </w:rPr>
        <w:t xml:space="preserve"> in the childhood has great and higher efficiency to cause vulnerability in character. This later has taken him to prison through the criminal activities caused by consequences of improper socialization. Jayden has been having a Deficit Hyperactivity Disorder from his junior school age. This was caught by risk factor as neglected for long time, and this disorder might be cured through providing him proper health care and counselling in time (</w:t>
      </w:r>
      <w:r w:rsidRPr="00AF419C">
        <w:rPr>
          <w:rFonts w:ascii="Arial" w:hAnsi="Arial" w:cs="Arial"/>
          <w:sz w:val="24"/>
          <w:szCs w:val="24"/>
        </w:rPr>
        <w:t xml:space="preserve">Adamou, </w:t>
      </w:r>
      <w:proofErr w:type="spellStart"/>
      <w:r w:rsidRPr="00AF419C">
        <w:rPr>
          <w:rFonts w:ascii="Arial" w:hAnsi="Arial" w:cs="Arial"/>
          <w:sz w:val="24"/>
          <w:szCs w:val="24"/>
        </w:rPr>
        <w:t>Kyriakidou</w:t>
      </w:r>
      <w:proofErr w:type="spellEnd"/>
      <w:r w:rsidRPr="00AF419C">
        <w:rPr>
          <w:rFonts w:ascii="Arial" w:hAnsi="Arial" w:cs="Arial"/>
          <w:sz w:val="24"/>
          <w:szCs w:val="24"/>
        </w:rPr>
        <w:t>, and Connolly, 2021</w:t>
      </w:r>
      <w:r w:rsidRPr="00AF419C">
        <w:rPr>
          <w:rFonts w:ascii="Arial" w:hAnsi="Arial" w:cs="Arial"/>
          <w:sz w:val="24"/>
          <w:szCs w:val="24"/>
          <w:lang w:val="en-US"/>
        </w:rPr>
        <w:t>). These has been the risk factor for the other two cases reported in Sheffield. In case of Julie’s children, the risk factor has been the absence of Julie in the time of their socialization period. Childhood itself a vulnerable time in the absence of proper care. Her aunt Sonia was the primary care giver, and it is prominently evident that she had lacking in delivering appropriate care to Julie’s children. Another risk factor was similar to Holly from Norfolk. The children of Julie and Holly was introduced with alcohols and drug addiction at their early ages. Besides, it can find out another severe risk factor that is domestic violence. Domestic violence is evident in most of the cases reported in the document. Domestic violence has been major risk factor for Norfolk, and Laura’s children from Leeds. Daniel has been faced major accommodation problem as well as inter-family complexities. All the risk factors are pointing towards the emergence of those at the immature stages of the children. The socialization has been impeded and lack of supports while they required intensive care from family, social care institutions, and government councils (</w:t>
      </w:r>
      <w:proofErr w:type="spellStart"/>
      <w:r w:rsidRPr="00AF419C">
        <w:rPr>
          <w:rFonts w:ascii="Arial" w:hAnsi="Arial" w:cs="Arial"/>
          <w:sz w:val="24"/>
          <w:szCs w:val="24"/>
        </w:rPr>
        <w:t>Cairney</w:t>
      </w:r>
      <w:proofErr w:type="spellEnd"/>
      <w:r w:rsidRPr="00AF419C">
        <w:rPr>
          <w:rFonts w:ascii="Arial" w:hAnsi="Arial" w:cs="Arial"/>
          <w:sz w:val="24"/>
          <w:szCs w:val="24"/>
        </w:rPr>
        <w:t>, 2019</w:t>
      </w:r>
      <w:r w:rsidRPr="00AF419C">
        <w:rPr>
          <w:rFonts w:ascii="Arial" w:hAnsi="Arial" w:cs="Arial"/>
          <w:sz w:val="24"/>
          <w:szCs w:val="24"/>
          <w:lang w:val="en-US"/>
        </w:rPr>
        <w:t xml:space="preserve">). </w:t>
      </w:r>
      <w:r w:rsidRPr="00AF419C">
        <w:rPr>
          <w:rFonts w:ascii="Arial" w:hAnsi="Arial" w:cs="Arial"/>
          <w:sz w:val="24"/>
          <w:szCs w:val="24"/>
          <w:lang w:val="en-US"/>
        </w:rPr>
        <w:br w:type="page"/>
      </w:r>
    </w:p>
    <w:p w14:paraId="07B1E3E1" w14:textId="77777777" w:rsidR="00B22B13" w:rsidRPr="001B6717" w:rsidRDefault="00B22B13" w:rsidP="00AF419C">
      <w:pPr>
        <w:pStyle w:val="Heading1"/>
        <w:spacing w:line="360" w:lineRule="auto"/>
        <w:rPr>
          <w:rFonts w:ascii="Arial" w:hAnsi="Arial" w:cs="Arial"/>
          <w:b/>
          <w:bCs/>
          <w:color w:val="000000" w:themeColor="text1"/>
          <w:sz w:val="40"/>
          <w:szCs w:val="40"/>
        </w:rPr>
      </w:pPr>
      <w:bookmarkStart w:id="3" w:name="_Toc80828272"/>
      <w:r w:rsidRPr="001B6717">
        <w:rPr>
          <w:rFonts w:ascii="Arial" w:hAnsi="Arial" w:cs="Arial"/>
          <w:b/>
          <w:bCs/>
          <w:color w:val="000000" w:themeColor="text1"/>
          <w:sz w:val="40"/>
          <w:szCs w:val="40"/>
        </w:rPr>
        <w:lastRenderedPageBreak/>
        <w:t>Analysis</w:t>
      </w:r>
      <w:bookmarkEnd w:id="3"/>
    </w:p>
    <w:p w14:paraId="4E7FEE21" w14:textId="77777777" w:rsidR="00B22B13" w:rsidRPr="001B6717" w:rsidRDefault="00B22B13" w:rsidP="00AF419C">
      <w:pPr>
        <w:pStyle w:val="Heading2"/>
        <w:spacing w:line="360" w:lineRule="auto"/>
        <w:rPr>
          <w:rFonts w:ascii="Arial" w:hAnsi="Arial" w:cs="Arial"/>
          <w:b/>
          <w:bCs/>
          <w:color w:val="000000" w:themeColor="text1"/>
          <w:sz w:val="40"/>
          <w:szCs w:val="40"/>
          <w:lang w:val="en-US"/>
        </w:rPr>
      </w:pPr>
      <w:bookmarkStart w:id="4" w:name="_Toc80828273"/>
      <w:r w:rsidRPr="001B6717">
        <w:rPr>
          <w:rFonts w:ascii="Arial" w:hAnsi="Arial" w:cs="Arial"/>
          <w:b/>
          <w:bCs/>
          <w:color w:val="000000" w:themeColor="text1"/>
          <w:sz w:val="40"/>
          <w:szCs w:val="40"/>
          <w:lang w:val="en-US"/>
        </w:rPr>
        <w:t>Intervention process of the social care agencies and coherence with current care policy</w:t>
      </w:r>
      <w:bookmarkEnd w:id="4"/>
    </w:p>
    <w:p w14:paraId="1CDF4098" w14:textId="77777777" w:rsidR="00B22B13" w:rsidRPr="00AF419C" w:rsidRDefault="00B22B13" w:rsidP="00AF419C">
      <w:pPr>
        <w:spacing w:line="360" w:lineRule="auto"/>
        <w:rPr>
          <w:rFonts w:ascii="Arial" w:hAnsi="Arial" w:cs="Arial"/>
          <w:sz w:val="24"/>
          <w:szCs w:val="24"/>
          <w:lang w:val="en-US"/>
        </w:rPr>
      </w:pPr>
      <w:r w:rsidRPr="00AF419C">
        <w:rPr>
          <w:rFonts w:ascii="Arial" w:hAnsi="Arial" w:cs="Arial"/>
          <w:sz w:val="24"/>
          <w:szCs w:val="24"/>
          <w:lang w:val="en-US"/>
        </w:rPr>
        <w:t>The social care providers have intervened to the vulnerable families, individuals, and children to reform the hazard and take them under care service. The effect of their intervention has been quite appropriate in preventing the situation from becoming worse. Still they have lacking in providing the care and counseling at required period of time. Care policy in UK suggest to rehabilitate any prisoner after the end of his punishment if the prisoner is adult (</w:t>
      </w:r>
      <w:r w:rsidRPr="00AF419C">
        <w:rPr>
          <w:rFonts w:ascii="Arial" w:hAnsi="Arial" w:cs="Arial"/>
          <w:sz w:val="24"/>
          <w:szCs w:val="24"/>
        </w:rPr>
        <w:t>Fisher, and Edwards, 2018</w:t>
      </w:r>
      <w:r w:rsidRPr="00AF419C">
        <w:rPr>
          <w:rFonts w:ascii="Arial" w:hAnsi="Arial" w:cs="Arial"/>
          <w:sz w:val="24"/>
          <w:szCs w:val="24"/>
          <w:lang w:val="en-US"/>
        </w:rPr>
        <w:t>). But John has been teenager and underage when he entered the prison. He required intensive counseling at that time, which was reached to him at delay. Besides, while he has been facing offending characteristics, the governmental and non-government social organizations should rehabilitate John, Jayden and other children from their families to care homes. Although, the efforts of the care institution have been effective in normalizing John, even John has been now training the anger management sessions. The care policy suggests to take care of the children those having complexities in their socialization process in the absence of their parents (</w:t>
      </w:r>
      <w:r w:rsidRPr="00AF419C">
        <w:rPr>
          <w:rFonts w:ascii="Arial" w:hAnsi="Arial" w:cs="Arial"/>
          <w:sz w:val="24"/>
          <w:szCs w:val="24"/>
        </w:rPr>
        <w:t>Craig, and Thompson, 2017</w:t>
      </w:r>
      <w:r w:rsidRPr="00AF419C">
        <w:rPr>
          <w:rFonts w:ascii="Arial" w:hAnsi="Arial" w:cs="Arial"/>
          <w:sz w:val="24"/>
          <w:szCs w:val="24"/>
          <w:lang w:val="en-US"/>
        </w:rPr>
        <w:t xml:space="preserve">). There are working many charity organizations as well as governmental institutions to provide proper care service in such cases. Overall, the social care institute has been successful in preventing the domestic abuses and violence and recovering the children into normal lives. </w:t>
      </w:r>
    </w:p>
    <w:p w14:paraId="3BBDC5DC" w14:textId="77777777" w:rsidR="00B22B13" w:rsidRPr="00AF419C" w:rsidRDefault="00B22B13" w:rsidP="00AF419C">
      <w:pPr>
        <w:spacing w:line="360" w:lineRule="auto"/>
        <w:rPr>
          <w:rFonts w:ascii="Arial" w:eastAsiaTheme="majorEastAsia" w:hAnsi="Arial" w:cs="Arial"/>
          <w:b/>
          <w:sz w:val="24"/>
          <w:szCs w:val="24"/>
          <w:lang w:val="en-US"/>
        </w:rPr>
      </w:pPr>
      <w:r w:rsidRPr="00AF419C">
        <w:rPr>
          <w:rFonts w:ascii="Arial" w:hAnsi="Arial" w:cs="Arial"/>
          <w:sz w:val="24"/>
          <w:szCs w:val="24"/>
          <w:lang w:val="en-US"/>
        </w:rPr>
        <w:br w:type="page"/>
      </w:r>
    </w:p>
    <w:p w14:paraId="7A5C5D10" w14:textId="77777777" w:rsidR="00B22B13" w:rsidRPr="00BA5A8B" w:rsidRDefault="00B22B13" w:rsidP="00AF419C">
      <w:pPr>
        <w:pStyle w:val="Heading2"/>
        <w:spacing w:line="360" w:lineRule="auto"/>
        <w:rPr>
          <w:rFonts w:ascii="Arial" w:hAnsi="Arial" w:cs="Arial"/>
          <w:b/>
          <w:bCs/>
          <w:color w:val="000000" w:themeColor="text1"/>
          <w:sz w:val="40"/>
          <w:szCs w:val="40"/>
          <w:lang w:val="en-US"/>
        </w:rPr>
      </w:pPr>
      <w:bookmarkStart w:id="5" w:name="_Toc80828274"/>
      <w:r w:rsidRPr="00BA5A8B">
        <w:rPr>
          <w:rFonts w:ascii="Arial" w:hAnsi="Arial" w:cs="Arial"/>
          <w:b/>
          <w:bCs/>
          <w:color w:val="000000" w:themeColor="text1"/>
          <w:sz w:val="40"/>
          <w:szCs w:val="40"/>
          <w:lang w:val="en-US"/>
        </w:rPr>
        <w:lastRenderedPageBreak/>
        <w:t>Identifying the points to assess under intervention and the undertaken actions</w:t>
      </w:r>
      <w:bookmarkEnd w:id="5"/>
      <w:r w:rsidRPr="00BA5A8B">
        <w:rPr>
          <w:rFonts w:ascii="Arial" w:hAnsi="Arial" w:cs="Arial"/>
          <w:b/>
          <w:bCs/>
          <w:color w:val="000000" w:themeColor="text1"/>
          <w:sz w:val="40"/>
          <w:szCs w:val="40"/>
          <w:lang w:val="en-US"/>
        </w:rPr>
        <w:t xml:space="preserve"> </w:t>
      </w:r>
    </w:p>
    <w:p w14:paraId="446B2E57" w14:textId="77777777" w:rsidR="00B22B13" w:rsidRPr="00BA5A8B" w:rsidRDefault="00B22B13" w:rsidP="00AF419C">
      <w:pPr>
        <w:pStyle w:val="Heading3"/>
        <w:spacing w:line="360" w:lineRule="auto"/>
        <w:rPr>
          <w:rFonts w:ascii="Arial" w:hAnsi="Arial" w:cs="Arial"/>
          <w:b/>
          <w:bCs/>
          <w:color w:val="000000" w:themeColor="text1"/>
          <w:sz w:val="40"/>
          <w:szCs w:val="40"/>
          <w:lang w:val="en-US"/>
        </w:rPr>
      </w:pPr>
      <w:bookmarkStart w:id="6" w:name="_Toc80828275"/>
      <w:r w:rsidRPr="00BA5A8B">
        <w:rPr>
          <w:rFonts w:ascii="Arial" w:hAnsi="Arial" w:cs="Arial"/>
          <w:b/>
          <w:bCs/>
          <w:color w:val="000000" w:themeColor="text1"/>
          <w:sz w:val="40"/>
          <w:szCs w:val="40"/>
          <w:lang w:val="en-US"/>
        </w:rPr>
        <w:t>Offensive</w:t>
      </w:r>
      <w:r w:rsidRPr="00BA5A8B">
        <w:rPr>
          <w:rFonts w:ascii="Arial" w:hAnsi="Arial" w:cs="Arial"/>
          <w:b/>
          <w:bCs/>
          <w:color w:val="000000" w:themeColor="text1"/>
          <w:sz w:val="40"/>
          <w:szCs w:val="40"/>
        </w:rPr>
        <w:t xml:space="preserve"> behaviour</w:t>
      </w:r>
      <w:r w:rsidRPr="00BA5A8B">
        <w:rPr>
          <w:rFonts w:ascii="Arial" w:hAnsi="Arial" w:cs="Arial"/>
          <w:b/>
          <w:bCs/>
          <w:color w:val="000000" w:themeColor="text1"/>
          <w:sz w:val="40"/>
          <w:szCs w:val="40"/>
          <w:lang w:val="en-US"/>
        </w:rPr>
        <w:t xml:space="preserve"> in childhood</w:t>
      </w:r>
      <w:bookmarkEnd w:id="6"/>
      <w:r w:rsidRPr="00BA5A8B">
        <w:rPr>
          <w:rFonts w:ascii="Arial" w:hAnsi="Arial" w:cs="Arial"/>
          <w:b/>
          <w:bCs/>
          <w:color w:val="000000" w:themeColor="text1"/>
          <w:sz w:val="40"/>
          <w:szCs w:val="40"/>
          <w:lang w:val="en-US"/>
        </w:rPr>
        <w:t xml:space="preserve"> </w:t>
      </w:r>
    </w:p>
    <w:p w14:paraId="5EDD9F70" w14:textId="77777777" w:rsidR="00B22B13" w:rsidRPr="00AF419C" w:rsidRDefault="00B22B13" w:rsidP="00AF419C">
      <w:pPr>
        <w:spacing w:line="360" w:lineRule="auto"/>
        <w:rPr>
          <w:rFonts w:ascii="Arial" w:hAnsi="Arial" w:cs="Arial"/>
          <w:sz w:val="24"/>
          <w:szCs w:val="24"/>
          <w:lang w:val="en-US"/>
        </w:rPr>
      </w:pPr>
      <w:r w:rsidRPr="00AF419C">
        <w:rPr>
          <w:rFonts w:ascii="Arial" w:hAnsi="Arial" w:cs="Arial"/>
          <w:sz w:val="24"/>
          <w:szCs w:val="24"/>
          <w:lang w:val="en-US"/>
        </w:rPr>
        <w:t>Most of cases indicating that the children and families are assessed under the family offences. The children are identified as vulnerable in their early ages and teenage stages to take them under intervention (</w:t>
      </w:r>
      <w:r w:rsidRPr="00AF419C">
        <w:rPr>
          <w:rFonts w:ascii="Arial" w:hAnsi="Arial" w:cs="Arial"/>
          <w:sz w:val="24"/>
          <w:szCs w:val="24"/>
        </w:rPr>
        <w:t xml:space="preserve">Featherstone, </w:t>
      </w:r>
      <w:proofErr w:type="spellStart"/>
      <w:r w:rsidRPr="00AF419C">
        <w:rPr>
          <w:rFonts w:ascii="Arial" w:hAnsi="Arial" w:cs="Arial"/>
          <w:sz w:val="24"/>
          <w:szCs w:val="24"/>
        </w:rPr>
        <w:t>Bywaters</w:t>
      </w:r>
      <w:proofErr w:type="spellEnd"/>
      <w:r w:rsidRPr="00AF419C">
        <w:rPr>
          <w:rFonts w:ascii="Arial" w:hAnsi="Arial" w:cs="Arial"/>
          <w:sz w:val="24"/>
          <w:szCs w:val="24"/>
        </w:rPr>
        <w:t>, and Mirza, 2019</w:t>
      </w:r>
      <w:r w:rsidRPr="00AF419C">
        <w:rPr>
          <w:rFonts w:ascii="Arial" w:hAnsi="Arial" w:cs="Arial"/>
          <w:sz w:val="24"/>
          <w:szCs w:val="24"/>
          <w:lang w:val="en-US"/>
        </w:rPr>
        <w:t>). In case of Bradford case, Tom has becoming offensive to society in his early age and conjugated with a local criminal group. The social care agency has stressed emphasis on the child of Julie, and arranged their educational process. The children’s school attendance was increased from barely 5% to 90%. Laura’s child is also taken under educational skim by the social care organization. Daniel was rehabilitated in a residency instead of the juvenile court.</w:t>
      </w:r>
    </w:p>
    <w:p w14:paraId="773A71BD" w14:textId="77777777" w:rsidR="00B22B13" w:rsidRPr="00BA5A8B" w:rsidRDefault="00B22B13" w:rsidP="00AF419C">
      <w:pPr>
        <w:pStyle w:val="Heading3"/>
        <w:spacing w:line="360" w:lineRule="auto"/>
        <w:rPr>
          <w:rFonts w:ascii="Arial" w:hAnsi="Arial" w:cs="Arial"/>
          <w:b/>
          <w:bCs/>
          <w:color w:val="000000" w:themeColor="text1"/>
          <w:sz w:val="40"/>
          <w:szCs w:val="40"/>
          <w:lang w:val="en-US"/>
        </w:rPr>
      </w:pPr>
      <w:bookmarkStart w:id="7" w:name="_Toc80828276"/>
      <w:r w:rsidRPr="00BA5A8B">
        <w:rPr>
          <w:rFonts w:ascii="Arial" w:hAnsi="Arial" w:cs="Arial"/>
          <w:b/>
          <w:bCs/>
          <w:color w:val="000000" w:themeColor="text1"/>
          <w:sz w:val="40"/>
          <w:szCs w:val="40"/>
          <w:lang w:val="en-US"/>
        </w:rPr>
        <w:t>Domestic violence</w:t>
      </w:r>
      <w:bookmarkEnd w:id="7"/>
    </w:p>
    <w:p w14:paraId="182A48A3" w14:textId="77777777" w:rsidR="00B22B13" w:rsidRPr="00AF419C" w:rsidRDefault="00B22B13" w:rsidP="00AF419C">
      <w:pPr>
        <w:spacing w:line="360" w:lineRule="auto"/>
        <w:rPr>
          <w:rFonts w:ascii="Arial" w:hAnsi="Arial" w:cs="Arial"/>
          <w:sz w:val="24"/>
          <w:szCs w:val="24"/>
          <w:lang w:val="en-US"/>
        </w:rPr>
      </w:pPr>
      <w:r w:rsidRPr="00AF419C">
        <w:rPr>
          <w:rFonts w:ascii="Arial" w:hAnsi="Arial" w:cs="Arial"/>
          <w:sz w:val="24"/>
          <w:szCs w:val="24"/>
          <w:lang w:val="en-US"/>
        </w:rPr>
        <w:t xml:space="preserve">Domestic violence was experienced by Daniel, and Simon, Abigail, Saeed, Adam, Rashid, Sarah, and Mark from Leeds, Lancashire and Norfolk. Julie, Laura and Holly have been addicted to drug and alcohol. These also initiated domestic violence and improper care to the children. Besides, Debby and Carol were drowned into inter-family tensions and other domestic violence. Laura and </w:t>
      </w:r>
      <w:proofErr w:type="spellStart"/>
      <w:r w:rsidRPr="00AF419C">
        <w:rPr>
          <w:rFonts w:ascii="Arial" w:hAnsi="Arial" w:cs="Arial"/>
          <w:sz w:val="24"/>
          <w:szCs w:val="24"/>
          <w:lang w:val="en-US"/>
        </w:rPr>
        <w:t>Ebrahim’s</w:t>
      </w:r>
      <w:proofErr w:type="spellEnd"/>
      <w:r w:rsidRPr="00AF419C">
        <w:rPr>
          <w:rFonts w:ascii="Arial" w:hAnsi="Arial" w:cs="Arial"/>
          <w:sz w:val="24"/>
          <w:szCs w:val="24"/>
          <w:lang w:val="en-US"/>
        </w:rPr>
        <w:t xml:space="preserve"> post-divorce tensions also accelerated their domestic violence. The ultimate consequence has been trauma, depression, and criminal offense of their children. The social care institutions have provided consultation and counselling to the offended children and families.</w:t>
      </w:r>
    </w:p>
    <w:p w14:paraId="29315B20" w14:textId="77777777" w:rsidR="00B22B13" w:rsidRPr="00DF6458" w:rsidRDefault="00B22B13" w:rsidP="00AF419C">
      <w:pPr>
        <w:pStyle w:val="Heading3"/>
        <w:spacing w:line="360" w:lineRule="auto"/>
        <w:rPr>
          <w:rFonts w:ascii="Arial" w:hAnsi="Arial" w:cs="Arial"/>
          <w:b/>
          <w:bCs/>
          <w:color w:val="000000" w:themeColor="text1"/>
          <w:sz w:val="40"/>
          <w:szCs w:val="40"/>
          <w:lang w:val="en-US"/>
        </w:rPr>
      </w:pPr>
      <w:bookmarkStart w:id="8" w:name="_Toc80828277"/>
      <w:r w:rsidRPr="00DF6458">
        <w:rPr>
          <w:rFonts w:ascii="Arial" w:hAnsi="Arial" w:cs="Arial"/>
          <w:b/>
          <w:bCs/>
          <w:color w:val="000000" w:themeColor="text1"/>
          <w:sz w:val="40"/>
          <w:szCs w:val="40"/>
          <w:lang w:val="en-US"/>
        </w:rPr>
        <w:t>Improper accommodation</w:t>
      </w:r>
      <w:bookmarkEnd w:id="8"/>
      <w:r w:rsidRPr="00DF6458">
        <w:rPr>
          <w:rFonts w:ascii="Arial" w:hAnsi="Arial" w:cs="Arial"/>
          <w:b/>
          <w:bCs/>
          <w:color w:val="000000" w:themeColor="text1"/>
          <w:sz w:val="40"/>
          <w:szCs w:val="40"/>
          <w:lang w:val="en-US"/>
        </w:rPr>
        <w:t xml:space="preserve"> </w:t>
      </w:r>
    </w:p>
    <w:p w14:paraId="6581A028" w14:textId="77777777" w:rsidR="00B22B13" w:rsidRPr="00AF419C" w:rsidRDefault="00B22B13" w:rsidP="00AF419C">
      <w:pPr>
        <w:spacing w:line="360" w:lineRule="auto"/>
        <w:rPr>
          <w:rFonts w:ascii="Arial" w:hAnsi="Arial" w:cs="Arial"/>
          <w:sz w:val="24"/>
          <w:szCs w:val="24"/>
          <w:lang w:val="en-US"/>
        </w:rPr>
      </w:pPr>
      <w:r w:rsidRPr="00AF419C">
        <w:rPr>
          <w:rFonts w:ascii="Arial" w:hAnsi="Arial" w:cs="Arial"/>
          <w:sz w:val="24"/>
          <w:szCs w:val="24"/>
          <w:lang w:val="en-US"/>
        </w:rPr>
        <w:t xml:space="preserve">Debby and Carol have family issues with the accommodation complexities. Lack of proper residency has affected Daniel, and Simon that also caused an attraction to anti-social activities. Care providers rehabilitated them to residents under social homes. The counselling has been effective in rehabilitated Daniel and Simon. </w:t>
      </w:r>
    </w:p>
    <w:p w14:paraId="38EA0DF3" w14:textId="77777777" w:rsidR="00B22B13" w:rsidRPr="00AF419C" w:rsidRDefault="00B22B13" w:rsidP="00AF419C">
      <w:pPr>
        <w:spacing w:line="360" w:lineRule="auto"/>
        <w:rPr>
          <w:rFonts w:ascii="Arial" w:eastAsiaTheme="majorEastAsia" w:hAnsi="Arial" w:cs="Arial"/>
          <w:b/>
          <w:sz w:val="24"/>
          <w:szCs w:val="24"/>
          <w:lang w:val="en-US"/>
        </w:rPr>
      </w:pPr>
      <w:r w:rsidRPr="00AF419C">
        <w:rPr>
          <w:rFonts w:ascii="Arial" w:hAnsi="Arial" w:cs="Arial"/>
          <w:sz w:val="24"/>
          <w:szCs w:val="24"/>
          <w:lang w:val="en-US"/>
        </w:rPr>
        <w:br w:type="page"/>
      </w:r>
    </w:p>
    <w:p w14:paraId="062600F1" w14:textId="77777777" w:rsidR="00B22B13" w:rsidRPr="00DF6458" w:rsidRDefault="00B22B13" w:rsidP="00AF419C">
      <w:pPr>
        <w:pStyle w:val="Heading2"/>
        <w:spacing w:line="360" w:lineRule="auto"/>
        <w:rPr>
          <w:rFonts w:ascii="Arial" w:hAnsi="Arial" w:cs="Arial"/>
          <w:b/>
          <w:bCs/>
          <w:color w:val="000000" w:themeColor="text1"/>
          <w:sz w:val="40"/>
          <w:szCs w:val="40"/>
          <w:lang w:val="en-US"/>
        </w:rPr>
      </w:pPr>
      <w:bookmarkStart w:id="9" w:name="_Toc80828278"/>
      <w:r w:rsidRPr="00DF6458">
        <w:rPr>
          <w:rFonts w:ascii="Arial" w:hAnsi="Arial" w:cs="Arial"/>
          <w:b/>
          <w:bCs/>
          <w:color w:val="000000" w:themeColor="text1"/>
          <w:sz w:val="40"/>
          <w:szCs w:val="40"/>
          <w:lang w:val="en-US"/>
        </w:rPr>
        <w:lastRenderedPageBreak/>
        <w:t>Current policies and the roles and impact of multi-disciplinary services</w:t>
      </w:r>
      <w:bookmarkEnd w:id="9"/>
    </w:p>
    <w:p w14:paraId="7AFED2F9" w14:textId="77777777" w:rsidR="00B22B13" w:rsidRPr="00AF419C" w:rsidRDefault="00B22B13" w:rsidP="00AF419C">
      <w:pPr>
        <w:spacing w:line="360" w:lineRule="auto"/>
        <w:rPr>
          <w:rFonts w:ascii="Arial" w:hAnsi="Arial" w:cs="Arial"/>
          <w:sz w:val="24"/>
          <w:szCs w:val="24"/>
          <w:lang w:val="en-US"/>
        </w:rPr>
      </w:pPr>
      <w:r w:rsidRPr="00AF419C">
        <w:rPr>
          <w:rFonts w:ascii="Arial" w:hAnsi="Arial" w:cs="Arial"/>
          <w:sz w:val="24"/>
          <w:szCs w:val="24"/>
          <w:lang w:val="en-US"/>
        </w:rPr>
        <w:t>The offended children are to under rehabilitation program as referred by current policy in UK. The criminal offence that are executed by child and underage will be taken to juvenile court and send them to rehabilitate at different periods of trials (</w:t>
      </w:r>
      <w:r w:rsidRPr="00AF419C">
        <w:rPr>
          <w:rFonts w:ascii="Arial" w:hAnsi="Arial" w:cs="Arial"/>
          <w:sz w:val="24"/>
          <w:szCs w:val="24"/>
        </w:rPr>
        <w:t xml:space="preserve">Webber, and </w:t>
      </w:r>
      <w:proofErr w:type="spellStart"/>
      <w:r w:rsidRPr="00AF419C">
        <w:rPr>
          <w:rFonts w:ascii="Arial" w:hAnsi="Arial" w:cs="Arial"/>
          <w:sz w:val="24"/>
          <w:szCs w:val="24"/>
        </w:rPr>
        <w:t>Fendt-Newlin</w:t>
      </w:r>
      <w:proofErr w:type="spellEnd"/>
      <w:r w:rsidRPr="00AF419C">
        <w:rPr>
          <w:rFonts w:ascii="Arial" w:hAnsi="Arial" w:cs="Arial"/>
          <w:sz w:val="24"/>
          <w:szCs w:val="24"/>
        </w:rPr>
        <w:t>, 2017</w:t>
      </w:r>
      <w:r w:rsidRPr="00AF419C">
        <w:rPr>
          <w:rFonts w:ascii="Arial" w:hAnsi="Arial" w:cs="Arial"/>
          <w:sz w:val="24"/>
          <w:szCs w:val="24"/>
          <w:lang w:val="en-US"/>
        </w:rPr>
        <w:t>). The multi-disciplinary services helped the vulnerable families to safely rehabilitated to new residents and resolving the complexities. The children should be taken under the inspection of the council authorities in the absence of parents or marital complexities (</w:t>
      </w:r>
      <w:r w:rsidRPr="00AF419C">
        <w:rPr>
          <w:rFonts w:ascii="Arial" w:hAnsi="Arial" w:cs="Arial"/>
          <w:sz w:val="24"/>
          <w:szCs w:val="24"/>
        </w:rPr>
        <w:t xml:space="preserve">Webber, and </w:t>
      </w:r>
      <w:proofErr w:type="spellStart"/>
      <w:r w:rsidRPr="00AF419C">
        <w:rPr>
          <w:rFonts w:ascii="Arial" w:hAnsi="Arial" w:cs="Arial"/>
          <w:sz w:val="24"/>
          <w:szCs w:val="24"/>
        </w:rPr>
        <w:t>Fendt-Newlin</w:t>
      </w:r>
      <w:proofErr w:type="spellEnd"/>
      <w:r w:rsidRPr="00AF419C">
        <w:rPr>
          <w:rFonts w:ascii="Arial" w:hAnsi="Arial" w:cs="Arial"/>
          <w:sz w:val="24"/>
          <w:szCs w:val="24"/>
        </w:rPr>
        <w:t>, 2017</w:t>
      </w:r>
      <w:r w:rsidRPr="00AF419C">
        <w:rPr>
          <w:rFonts w:ascii="Arial" w:hAnsi="Arial" w:cs="Arial"/>
          <w:sz w:val="24"/>
          <w:szCs w:val="24"/>
          <w:lang w:val="en-US"/>
        </w:rPr>
        <w:t xml:space="preserve">). The care giver institution has successfully rehabilitated Daniel and Simon’s families. Besides, Julies’ family was offered shelter in the social home under the council. Her children were taken to schools and their attendance has dramatically increased. Overall, the performance of multi-disciplinary services has been appreciable and managed mostly by the care policies. </w:t>
      </w:r>
      <w:r w:rsidRPr="00AF419C">
        <w:rPr>
          <w:rFonts w:ascii="Arial" w:hAnsi="Arial" w:cs="Arial"/>
          <w:sz w:val="24"/>
          <w:szCs w:val="24"/>
          <w:lang w:val="en-US"/>
        </w:rPr>
        <w:br w:type="page"/>
      </w:r>
    </w:p>
    <w:p w14:paraId="1CF087DB" w14:textId="77777777" w:rsidR="00B22B13" w:rsidRPr="00DF6458" w:rsidRDefault="00B22B13" w:rsidP="00AF419C">
      <w:pPr>
        <w:pStyle w:val="Heading1"/>
        <w:spacing w:line="360" w:lineRule="auto"/>
        <w:rPr>
          <w:rFonts w:ascii="Arial" w:hAnsi="Arial" w:cs="Arial"/>
          <w:b/>
          <w:bCs/>
          <w:color w:val="000000" w:themeColor="text1"/>
          <w:sz w:val="40"/>
          <w:szCs w:val="40"/>
        </w:rPr>
      </w:pPr>
      <w:bookmarkStart w:id="10" w:name="_Toc80828279"/>
      <w:r w:rsidRPr="00DF6458">
        <w:rPr>
          <w:rFonts w:ascii="Arial" w:hAnsi="Arial" w:cs="Arial"/>
          <w:b/>
          <w:bCs/>
          <w:color w:val="000000" w:themeColor="text1"/>
          <w:sz w:val="40"/>
          <w:szCs w:val="40"/>
        </w:rPr>
        <w:lastRenderedPageBreak/>
        <w:t>Evaluation</w:t>
      </w:r>
      <w:bookmarkEnd w:id="10"/>
      <w:r w:rsidRPr="00DF6458">
        <w:rPr>
          <w:rFonts w:ascii="Arial" w:hAnsi="Arial" w:cs="Arial"/>
          <w:b/>
          <w:bCs/>
          <w:color w:val="000000" w:themeColor="text1"/>
          <w:sz w:val="40"/>
          <w:szCs w:val="40"/>
        </w:rPr>
        <w:t xml:space="preserve"> </w:t>
      </w:r>
    </w:p>
    <w:p w14:paraId="52989787" w14:textId="77777777" w:rsidR="00B22B13" w:rsidRPr="00DF6458" w:rsidRDefault="00B22B13" w:rsidP="00AF419C">
      <w:pPr>
        <w:pStyle w:val="Heading2"/>
        <w:spacing w:line="360" w:lineRule="auto"/>
        <w:rPr>
          <w:rFonts w:ascii="Arial" w:hAnsi="Arial" w:cs="Arial"/>
          <w:b/>
          <w:bCs/>
          <w:color w:val="000000" w:themeColor="text1"/>
          <w:sz w:val="40"/>
          <w:szCs w:val="40"/>
          <w:lang w:val="en-US"/>
        </w:rPr>
      </w:pPr>
      <w:bookmarkStart w:id="11" w:name="_Toc80828280"/>
      <w:r w:rsidRPr="00DF6458">
        <w:rPr>
          <w:rFonts w:ascii="Arial" w:hAnsi="Arial" w:cs="Arial"/>
          <w:b/>
          <w:bCs/>
          <w:color w:val="000000" w:themeColor="text1"/>
          <w:sz w:val="40"/>
          <w:szCs w:val="40"/>
          <w:lang w:val="en-US"/>
        </w:rPr>
        <w:t>Critical evaluation of the responses from relevant agencies</w:t>
      </w:r>
      <w:bookmarkEnd w:id="11"/>
    </w:p>
    <w:p w14:paraId="42F9EE02" w14:textId="583F2080" w:rsidR="00B22B13" w:rsidRPr="00AF419C" w:rsidRDefault="00B22B13" w:rsidP="00AF419C">
      <w:pPr>
        <w:spacing w:line="360" w:lineRule="auto"/>
        <w:rPr>
          <w:rFonts w:ascii="Arial" w:hAnsi="Arial" w:cs="Arial"/>
          <w:sz w:val="24"/>
          <w:szCs w:val="24"/>
          <w:lang w:val="en-US"/>
        </w:rPr>
      </w:pPr>
      <w:r w:rsidRPr="00AF419C">
        <w:rPr>
          <w:rFonts w:ascii="Arial" w:hAnsi="Arial" w:cs="Arial"/>
          <w:sz w:val="24"/>
          <w:szCs w:val="24"/>
          <w:lang w:val="en-US"/>
        </w:rPr>
        <w:t>Traditional health and social care service sought for the responsible act by the Health and Housing Ministry to impede child offense. The provision of child protection act sought for taking the responsibility of child under vulnerable situation at home or any care homes (</w:t>
      </w:r>
      <w:proofErr w:type="spellStart"/>
      <w:r w:rsidRPr="00AF419C">
        <w:rPr>
          <w:rFonts w:ascii="Arial" w:hAnsi="Arial" w:cs="Arial"/>
          <w:sz w:val="24"/>
          <w:szCs w:val="24"/>
        </w:rPr>
        <w:t>Bywaters</w:t>
      </w:r>
      <w:proofErr w:type="spellEnd"/>
      <w:r w:rsidRPr="00AF419C">
        <w:rPr>
          <w:rFonts w:ascii="Arial" w:hAnsi="Arial" w:cs="Arial"/>
          <w:sz w:val="24"/>
          <w:szCs w:val="24"/>
        </w:rPr>
        <w:t>, McCartan, and Daniel, 2020</w:t>
      </w:r>
      <w:r w:rsidRPr="00AF419C">
        <w:rPr>
          <w:rFonts w:ascii="Arial" w:hAnsi="Arial" w:cs="Arial"/>
          <w:sz w:val="24"/>
          <w:szCs w:val="24"/>
          <w:lang w:val="en-US"/>
        </w:rPr>
        <w:t xml:space="preserve">). The case study of John indicates that these policies were not followed properly in time, as John was trialed to imprisonment. The authority should have undertaken the actions before a child gone out of control. Besides, the case of Daniel also reminds another irresponsible </w:t>
      </w:r>
      <w:r w:rsidR="00240E5A" w:rsidRPr="00AF419C">
        <w:rPr>
          <w:rFonts w:ascii="Arial" w:hAnsi="Arial" w:cs="Arial"/>
          <w:sz w:val="24"/>
          <w:szCs w:val="24"/>
          <w:lang w:val="en-US"/>
        </w:rPr>
        <w:t>behavior</w:t>
      </w:r>
      <w:r w:rsidRPr="00AF419C">
        <w:rPr>
          <w:rFonts w:ascii="Arial" w:hAnsi="Arial" w:cs="Arial"/>
          <w:sz w:val="24"/>
          <w:szCs w:val="24"/>
          <w:lang w:val="en-US"/>
        </w:rPr>
        <w:t xml:space="preserve"> of the social care agency as well as the law enforcement agency. There are many social care charities across UK who have been working for rehabilitating the imprisoned immature criminals. But the repeat of criminal acts by the same rehabilitated child have been arising gradually (</w:t>
      </w:r>
      <w:r w:rsidRPr="00AF419C">
        <w:rPr>
          <w:rFonts w:ascii="Arial" w:hAnsi="Arial" w:cs="Arial"/>
          <w:sz w:val="24"/>
          <w:szCs w:val="24"/>
        </w:rPr>
        <w:t>Bunting, McGhee, and Slater, 2018</w:t>
      </w:r>
      <w:r w:rsidRPr="00AF419C">
        <w:rPr>
          <w:rFonts w:ascii="Arial" w:hAnsi="Arial" w:cs="Arial"/>
          <w:sz w:val="24"/>
          <w:szCs w:val="24"/>
          <w:lang w:val="en-US"/>
        </w:rPr>
        <w:t>). This indicates the inability of these charity and social care organizations to protect the child from domestic violence, abuse, and improper socialization. The agencies have been failed at a certain degree to properly rehabilitate the criminally involved child.</w:t>
      </w:r>
    </w:p>
    <w:p w14:paraId="092CA603" w14:textId="77777777" w:rsidR="00B22B13" w:rsidRPr="00FB6AFB" w:rsidRDefault="00B22B13" w:rsidP="00AF419C">
      <w:pPr>
        <w:pStyle w:val="Heading2"/>
        <w:spacing w:line="360" w:lineRule="auto"/>
        <w:rPr>
          <w:rFonts w:ascii="Arial" w:hAnsi="Arial" w:cs="Arial"/>
          <w:b/>
          <w:bCs/>
          <w:color w:val="000000" w:themeColor="text1"/>
          <w:sz w:val="40"/>
          <w:szCs w:val="40"/>
          <w:lang w:val="en-US"/>
        </w:rPr>
      </w:pPr>
      <w:bookmarkStart w:id="12" w:name="_Toc80828281"/>
      <w:r w:rsidRPr="00FB6AFB">
        <w:rPr>
          <w:rFonts w:ascii="Arial" w:hAnsi="Arial" w:cs="Arial"/>
          <w:b/>
          <w:bCs/>
          <w:color w:val="000000" w:themeColor="text1"/>
          <w:sz w:val="40"/>
          <w:szCs w:val="40"/>
          <w:lang w:val="en-US"/>
        </w:rPr>
        <w:t>Required changes and recommendation to provide appropriate social care</w:t>
      </w:r>
      <w:bookmarkEnd w:id="12"/>
    </w:p>
    <w:p w14:paraId="26AAB271" w14:textId="77777777" w:rsidR="00240E5A" w:rsidRDefault="00B22B13" w:rsidP="00AF419C">
      <w:pPr>
        <w:spacing w:line="360" w:lineRule="auto"/>
        <w:rPr>
          <w:rFonts w:ascii="Arial" w:hAnsi="Arial" w:cs="Arial"/>
          <w:sz w:val="24"/>
          <w:szCs w:val="24"/>
          <w:lang w:val="en-US"/>
        </w:rPr>
      </w:pPr>
      <w:r w:rsidRPr="00AF419C">
        <w:rPr>
          <w:rFonts w:ascii="Arial" w:hAnsi="Arial" w:cs="Arial"/>
          <w:sz w:val="24"/>
          <w:szCs w:val="24"/>
          <w:lang w:val="en-US"/>
        </w:rPr>
        <w:t xml:space="preserve">The vulnerable child requires absolute emotional support for recovering any dark experiences, like domestic violence, abuse, or residential complexities. Several case studies show that a teenage usually get mentally ill, while experiencing such phenomenon. That is why, the care agencies and the current policy should place more emphasis on the mental health. New and refurbish policy should enact that will ensure the abused and vulnerable children’s emotional wellbeing through long term counselling. As the case study identified that emotional counselling has recovered anger management of John. Even he has become trainer through proper counselling and he himself counsels other victims. Another recommendation can be placed upon the charity and care agencies, that they should properly monitor the phenomenon. </w:t>
      </w:r>
      <w:r w:rsidRPr="00AF419C">
        <w:rPr>
          <w:rFonts w:ascii="Arial" w:hAnsi="Arial" w:cs="Arial"/>
          <w:sz w:val="24"/>
          <w:szCs w:val="24"/>
          <w:lang w:val="en-US"/>
        </w:rPr>
        <w:lastRenderedPageBreak/>
        <w:t>Specially, the marginal people and vulnerable child are mostly neglected by these organization where the rate is even higher (</w:t>
      </w:r>
      <w:r w:rsidRPr="00AF419C">
        <w:rPr>
          <w:rFonts w:ascii="Arial" w:hAnsi="Arial" w:cs="Arial"/>
          <w:sz w:val="24"/>
          <w:szCs w:val="24"/>
        </w:rPr>
        <w:t>Bunting, McGhee, and Slater, 2018)</w:t>
      </w:r>
      <w:r w:rsidRPr="00AF419C">
        <w:rPr>
          <w:rFonts w:ascii="Arial" w:hAnsi="Arial" w:cs="Arial"/>
          <w:sz w:val="24"/>
          <w:szCs w:val="24"/>
          <w:lang w:val="en-US"/>
        </w:rPr>
        <w:t xml:space="preserve">. The agencies should take initiatives to properly monitor the vulnerable incidents and relevant prevention should be taken instantly to rehabilitate the vulnerable children, families, and young people. </w:t>
      </w:r>
    </w:p>
    <w:p w14:paraId="10E9680E" w14:textId="7D8C5F55" w:rsidR="00B22B13" w:rsidRPr="00AF419C" w:rsidRDefault="00B22B13" w:rsidP="00AF419C">
      <w:pPr>
        <w:spacing w:line="360" w:lineRule="auto"/>
        <w:rPr>
          <w:rFonts w:ascii="Arial" w:hAnsi="Arial" w:cs="Arial"/>
          <w:sz w:val="24"/>
          <w:szCs w:val="24"/>
          <w:lang w:val="en-US"/>
        </w:rPr>
      </w:pPr>
    </w:p>
    <w:p w14:paraId="6549A5F1" w14:textId="77777777" w:rsidR="00B22B13" w:rsidRPr="00FB6AFB" w:rsidRDefault="00B22B13" w:rsidP="00AF419C">
      <w:pPr>
        <w:pStyle w:val="Heading1"/>
        <w:spacing w:line="360" w:lineRule="auto"/>
        <w:rPr>
          <w:rFonts w:ascii="Arial" w:hAnsi="Arial" w:cs="Arial"/>
          <w:b/>
          <w:bCs/>
          <w:sz w:val="40"/>
          <w:szCs w:val="40"/>
        </w:rPr>
      </w:pPr>
      <w:bookmarkStart w:id="13" w:name="_Toc80828282"/>
      <w:r w:rsidRPr="00FB6AFB">
        <w:rPr>
          <w:rFonts w:ascii="Arial" w:hAnsi="Arial" w:cs="Arial"/>
          <w:b/>
          <w:bCs/>
          <w:color w:val="000000" w:themeColor="text1"/>
          <w:sz w:val="40"/>
          <w:szCs w:val="40"/>
        </w:rPr>
        <w:t>Conclusion</w:t>
      </w:r>
      <w:bookmarkEnd w:id="13"/>
      <w:r w:rsidRPr="00FB6AFB">
        <w:rPr>
          <w:rFonts w:ascii="Arial" w:hAnsi="Arial" w:cs="Arial"/>
          <w:b/>
          <w:bCs/>
          <w:sz w:val="40"/>
          <w:szCs w:val="40"/>
        </w:rPr>
        <w:t xml:space="preserve"> </w:t>
      </w:r>
    </w:p>
    <w:p w14:paraId="55700BFB" w14:textId="77777777" w:rsidR="00B22B13" w:rsidRPr="00AF419C" w:rsidRDefault="00B22B13" w:rsidP="00AF419C">
      <w:pPr>
        <w:spacing w:line="360" w:lineRule="auto"/>
        <w:rPr>
          <w:rFonts w:ascii="Arial" w:hAnsi="Arial" w:cs="Arial"/>
          <w:sz w:val="24"/>
          <w:szCs w:val="24"/>
          <w:lang w:val="en-US"/>
        </w:rPr>
      </w:pPr>
      <w:r w:rsidRPr="00AF419C">
        <w:rPr>
          <w:rFonts w:ascii="Arial" w:hAnsi="Arial" w:cs="Arial"/>
          <w:sz w:val="24"/>
          <w:szCs w:val="24"/>
          <w:lang w:val="en-US"/>
        </w:rPr>
        <w:t>The care agency and child protection charity organizations have a wide scope to eradicate the child offense, and abuse situation. They are already protecting many vulnerable children from abuse and rehabilitating them to normal lives. The case study shows an appropriate role played by the social care agencies. But this can be more accurate through advanced monitoring and more emphasis on the children’s mental health. Proper management of social housing tenancy would also eradicate the domestic complexities arising from accommodation problem.</w:t>
      </w:r>
    </w:p>
    <w:p w14:paraId="46887892" w14:textId="77777777" w:rsidR="00B22B13" w:rsidRPr="00AF419C" w:rsidRDefault="00B22B13" w:rsidP="00AF419C">
      <w:pPr>
        <w:spacing w:line="360" w:lineRule="auto"/>
        <w:rPr>
          <w:rFonts w:ascii="Arial" w:hAnsi="Arial" w:cs="Arial"/>
          <w:sz w:val="24"/>
          <w:szCs w:val="24"/>
          <w:lang w:val="en-US"/>
        </w:rPr>
      </w:pPr>
      <w:r w:rsidRPr="00AF419C">
        <w:rPr>
          <w:rFonts w:ascii="Arial" w:hAnsi="Arial" w:cs="Arial"/>
          <w:sz w:val="24"/>
          <w:szCs w:val="24"/>
          <w:lang w:val="en-US"/>
        </w:rPr>
        <w:br w:type="page"/>
      </w:r>
    </w:p>
    <w:p w14:paraId="7C865173" w14:textId="77777777" w:rsidR="00B22B13" w:rsidRPr="00240E5A" w:rsidRDefault="00B22B13" w:rsidP="00AF419C">
      <w:pPr>
        <w:pStyle w:val="Heading1"/>
        <w:spacing w:line="360" w:lineRule="auto"/>
        <w:rPr>
          <w:rFonts w:ascii="Arial" w:hAnsi="Arial" w:cs="Arial"/>
          <w:b/>
          <w:bCs/>
          <w:sz w:val="40"/>
          <w:szCs w:val="40"/>
        </w:rPr>
      </w:pPr>
      <w:bookmarkStart w:id="14" w:name="_Toc80828283"/>
      <w:r w:rsidRPr="00240E5A">
        <w:rPr>
          <w:rFonts w:ascii="Arial" w:hAnsi="Arial" w:cs="Arial"/>
          <w:b/>
          <w:bCs/>
          <w:color w:val="000000" w:themeColor="text1"/>
          <w:sz w:val="40"/>
          <w:szCs w:val="40"/>
        </w:rPr>
        <w:lastRenderedPageBreak/>
        <w:t>Reference</w:t>
      </w:r>
      <w:bookmarkEnd w:id="14"/>
      <w:r w:rsidRPr="00240E5A">
        <w:rPr>
          <w:rFonts w:ascii="Arial" w:hAnsi="Arial" w:cs="Arial"/>
          <w:b/>
          <w:bCs/>
          <w:sz w:val="40"/>
          <w:szCs w:val="40"/>
        </w:rPr>
        <w:t xml:space="preserve"> </w:t>
      </w:r>
    </w:p>
    <w:p w14:paraId="47EFB5DE" w14:textId="77777777" w:rsidR="00B22B13" w:rsidRPr="00AF419C" w:rsidRDefault="00B22B13" w:rsidP="00AF419C">
      <w:pPr>
        <w:spacing w:line="360" w:lineRule="auto"/>
        <w:rPr>
          <w:rFonts w:ascii="Arial" w:hAnsi="Arial" w:cs="Arial"/>
          <w:sz w:val="24"/>
          <w:szCs w:val="24"/>
        </w:rPr>
      </w:pPr>
      <w:bookmarkStart w:id="15" w:name="_Hlk80737087"/>
      <w:bookmarkStart w:id="16" w:name="_Hlk80736999"/>
      <w:r w:rsidRPr="00AF419C">
        <w:rPr>
          <w:rFonts w:ascii="Arial" w:hAnsi="Arial" w:cs="Arial"/>
          <w:sz w:val="24"/>
          <w:szCs w:val="24"/>
        </w:rPr>
        <w:t xml:space="preserve">Elliott, M. and </w:t>
      </w:r>
      <w:proofErr w:type="spellStart"/>
      <w:r w:rsidRPr="00AF419C">
        <w:rPr>
          <w:rFonts w:ascii="Arial" w:hAnsi="Arial" w:cs="Arial"/>
          <w:sz w:val="24"/>
          <w:szCs w:val="24"/>
        </w:rPr>
        <w:t>Scourfield</w:t>
      </w:r>
      <w:proofErr w:type="spellEnd"/>
      <w:r w:rsidRPr="00AF419C">
        <w:rPr>
          <w:rFonts w:ascii="Arial" w:hAnsi="Arial" w:cs="Arial"/>
          <w:sz w:val="24"/>
          <w:szCs w:val="24"/>
        </w:rPr>
        <w:t>, J., 2017</w:t>
      </w:r>
      <w:bookmarkEnd w:id="15"/>
      <w:r w:rsidRPr="00AF419C">
        <w:rPr>
          <w:rFonts w:ascii="Arial" w:hAnsi="Arial" w:cs="Arial"/>
          <w:sz w:val="24"/>
          <w:szCs w:val="24"/>
        </w:rPr>
        <w:t>. Identifying and Understanding Inequalities in Child Welfare Intervention Rates: Comparative studies in four UK countries. Single country quantitative study report: Wales. London: The Nuffield Foundation.</w:t>
      </w:r>
    </w:p>
    <w:p w14:paraId="5220E0AF" w14:textId="77777777" w:rsidR="00B22B13" w:rsidRPr="00AF419C" w:rsidRDefault="00B22B13" w:rsidP="00AF419C">
      <w:pPr>
        <w:spacing w:line="360" w:lineRule="auto"/>
        <w:rPr>
          <w:rFonts w:ascii="Arial" w:hAnsi="Arial" w:cs="Arial"/>
          <w:sz w:val="24"/>
          <w:szCs w:val="24"/>
        </w:rPr>
      </w:pPr>
      <w:bookmarkStart w:id="17" w:name="_Hlk80737147"/>
      <w:r w:rsidRPr="00AF419C">
        <w:rPr>
          <w:rFonts w:ascii="Arial" w:hAnsi="Arial" w:cs="Arial"/>
          <w:sz w:val="24"/>
          <w:szCs w:val="24"/>
        </w:rPr>
        <w:t xml:space="preserve">Adamou, M., </w:t>
      </w:r>
      <w:proofErr w:type="spellStart"/>
      <w:r w:rsidRPr="00AF419C">
        <w:rPr>
          <w:rFonts w:ascii="Arial" w:hAnsi="Arial" w:cs="Arial"/>
          <w:sz w:val="24"/>
          <w:szCs w:val="24"/>
        </w:rPr>
        <w:t>Kyriakidou</w:t>
      </w:r>
      <w:proofErr w:type="spellEnd"/>
      <w:r w:rsidRPr="00AF419C">
        <w:rPr>
          <w:rFonts w:ascii="Arial" w:hAnsi="Arial" w:cs="Arial"/>
          <w:sz w:val="24"/>
          <w:szCs w:val="24"/>
        </w:rPr>
        <w:t>, N. and Connolly, J., 2021</w:t>
      </w:r>
      <w:bookmarkEnd w:id="17"/>
      <w:r w:rsidRPr="00AF419C">
        <w:rPr>
          <w:rFonts w:ascii="Arial" w:hAnsi="Arial" w:cs="Arial"/>
          <w:sz w:val="24"/>
          <w:szCs w:val="24"/>
        </w:rPr>
        <w:t>. Evolution of public-private partnership: the UK perspective through a case study approach. International Journal of Organizational Analysis.</w:t>
      </w:r>
    </w:p>
    <w:p w14:paraId="52588E03" w14:textId="77777777" w:rsidR="00B22B13" w:rsidRPr="00AF419C" w:rsidRDefault="00B22B13" w:rsidP="00AF419C">
      <w:pPr>
        <w:spacing w:line="360" w:lineRule="auto"/>
        <w:rPr>
          <w:rFonts w:ascii="Arial" w:hAnsi="Arial" w:cs="Arial"/>
          <w:sz w:val="24"/>
          <w:szCs w:val="24"/>
        </w:rPr>
      </w:pPr>
      <w:bookmarkStart w:id="18" w:name="_Hlk80737247"/>
      <w:bookmarkStart w:id="19" w:name="_Hlk80737294"/>
      <w:proofErr w:type="spellStart"/>
      <w:r w:rsidRPr="00AF419C">
        <w:rPr>
          <w:rFonts w:ascii="Arial" w:hAnsi="Arial" w:cs="Arial"/>
          <w:sz w:val="24"/>
          <w:szCs w:val="24"/>
        </w:rPr>
        <w:t>Cairney</w:t>
      </w:r>
      <w:proofErr w:type="spellEnd"/>
      <w:r w:rsidRPr="00AF419C">
        <w:rPr>
          <w:rFonts w:ascii="Arial" w:hAnsi="Arial" w:cs="Arial"/>
          <w:sz w:val="24"/>
          <w:szCs w:val="24"/>
        </w:rPr>
        <w:t>, P., 2019</w:t>
      </w:r>
      <w:bookmarkEnd w:id="18"/>
      <w:r w:rsidRPr="00AF419C">
        <w:rPr>
          <w:rFonts w:ascii="Arial" w:hAnsi="Arial" w:cs="Arial"/>
          <w:sz w:val="24"/>
          <w:szCs w:val="24"/>
        </w:rPr>
        <w:t>. The UK government’s imaginative use of evidence to make policy. British Politics, 14(1), pp.1-22.</w:t>
      </w:r>
    </w:p>
    <w:p w14:paraId="2A4CED45" w14:textId="77777777" w:rsidR="00B22B13" w:rsidRPr="00AF419C" w:rsidRDefault="00B22B13" w:rsidP="00AF419C">
      <w:pPr>
        <w:spacing w:line="360" w:lineRule="auto"/>
        <w:rPr>
          <w:rFonts w:ascii="Arial" w:hAnsi="Arial" w:cs="Arial"/>
          <w:sz w:val="24"/>
          <w:szCs w:val="24"/>
        </w:rPr>
      </w:pPr>
      <w:r w:rsidRPr="00AF419C">
        <w:rPr>
          <w:rFonts w:ascii="Arial" w:hAnsi="Arial" w:cs="Arial"/>
          <w:sz w:val="24"/>
          <w:szCs w:val="24"/>
        </w:rPr>
        <w:t>Fisher, L.H., and Edwards, D.J., 2018</w:t>
      </w:r>
      <w:bookmarkEnd w:id="19"/>
      <w:r w:rsidRPr="00AF419C">
        <w:rPr>
          <w:rFonts w:ascii="Arial" w:hAnsi="Arial" w:cs="Arial"/>
          <w:sz w:val="24"/>
          <w:szCs w:val="24"/>
        </w:rPr>
        <w:t>. Building design for people with dementia: a case study of a UK care home. Facilities</w:t>
      </w:r>
    </w:p>
    <w:p w14:paraId="64374449" w14:textId="77777777" w:rsidR="00B22B13" w:rsidRPr="00AF419C" w:rsidRDefault="00B22B13" w:rsidP="00AF419C">
      <w:pPr>
        <w:spacing w:line="360" w:lineRule="auto"/>
        <w:rPr>
          <w:rFonts w:ascii="Arial" w:hAnsi="Arial" w:cs="Arial"/>
          <w:sz w:val="24"/>
          <w:szCs w:val="24"/>
        </w:rPr>
      </w:pPr>
      <w:bookmarkStart w:id="20" w:name="_Hlk80737353"/>
      <w:r w:rsidRPr="00AF419C">
        <w:rPr>
          <w:rFonts w:ascii="Arial" w:hAnsi="Arial" w:cs="Arial"/>
          <w:sz w:val="24"/>
          <w:szCs w:val="24"/>
        </w:rPr>
        <w:t>Craig, S.L., and Thompson, M., 2017</w:t>
      </w:r>
      <w:bookmarkEnd w:id="20"/>
      <w:r w:rsidRPr="00AF419C">
        <w:rPr>
          <w:rFonts w:ascii="Arial" w:hAnsi="Arial" w:cs="Arial"/>
          <w:sz w:val="24"/>
          <w:szCs w:val="24"/>
        </w:rPr>
        <w:t>. Enhancing competence in health social work education through simulation-based learning: Strategies from a case study of a family session. Journal of Social Work Education, 53(sup1), pp. S47-S58.</w:t>
      </w:r>
    </w:p>
    <w:p w14:paraId="374384A7" w14:textId="77777777" w:rsidR="00B22B13" w:rsidRPr="00AF419C" w:rsidRDefault="00B22B13" w:rsidP="00AF419C">
      <w:pPr>
        <w:spacing w:line="360" w:lineRule="auto"/>
        <w:rPr>
          <w:rFonts w:ascii="Arial" w:hAnsi="Arial" w:cs="Arial"/>
          <w:sz w:val="24"/>
          <w:szCs w:val="24"/>
        </w:rPr>
      </w:pPr>
      <w:bookmarkStart w:id="21" w:name="_Hlk80737440"/>
      <w:r w:rsidRPr="00AF419C">
        <w:rPr>
          <w:rFonts w:ascii="Arial" w:hAnsi="Arial" w:cs="Arial"/>
          <w:sz w:val="24"/>
          <w:szCs w:val="24"/>
        </w:rPr>
        <w:t xml:space="preserve">Featherstone, B., </w:t>
      </w:r>
      <w:proofErr w:type="spellStart"/>
      <w:r w:rsidRPr="00AF419C">
        <w:rPr>
          <w:rFonts w:ascii="Arial" w:hAnsi="Arial" w:cs="Arial"/>
          <w:sz w:val="24"/>
          <w:szCs w:val="24"/>
        </w:rPr>
        <w:t>Bywaters</w:t>
      </w:r>
      <w:proofErr w:type="spellEnd"/>
      <w:r w:rsidRPr="00AF419C">
        <w:rPr>
          <w:rFonts w:ascii="Arial" w:hAnsi="Arial" w:cs="Arial"/>
          <w:sz w:val="24"/>
          <w:szCs w:val="24"/>
        </w:rPr>
        <w:t>, P., and Mirza, N., 2019</w:t>
      </w:r>
      <w:bookmarkEnd w:id="21"/>
      <w:r w:rsidRPr="00AF419C">
        <w:rPr>
          <w:rFonts w:ascii="Arial" w:hAnsi="Arial" w:cs="Arial"/>
          <w:sz w:val="24"/>
          <w:szCs w:val="24"/>
        </w:rPr>
        <w:t>. Poverty, inequality, child abuse and neglect: Changing the conversation across the UK in child protection. Children and Youth Services Review, 97, pp.127-133.</w:t>
      </w:r>
    </w:p>
    <w:p w14:paraId="3444D63B" w14:textId="77777777" w:rsidR="00B22B13" w:rsidRPr="00AF419C" w:rsidRDefault="00B22B13" w:rsidP="00AF419C">
      <w:pPr>
        <w:spacing w:line="360" w:lineRule="auto"/>
        <w:rPr>
          <w:rFonts w:ascii="Arial" w:hAnsi="Arial" w:cs="Arial"/>
          <w:sz w:val="24"/>
          <w:szCs w:val="24"/>
        </w:rPr>
      </w:pPr>
      <w:bookmarkStart w:id="22" w:name="_Hlk80737503"/>
      <w:r w:rsidRPr="00AF419C">
        <w:rPr>
          <w:rFonts w:ascii="Arial" w:hAnsi="Arial" w:cs="Arial"/>
          <w:sz w:val="24"/>
          <w:szCs w:val="24"/>
        </w:rPr>
        <w:t xml:space="preserve">Webber, M. and </w:t>
      </w:r>
      <w:proofErr w:type="spellStart"/>
      <w:r w:rsidRPr="00AF419C">
        <w:rPr>
          <w:rFonts w:ascii="Arial" w:hAnsi="Arial" w:cs="Arial"/>
          <w:sz w:val="24"/>
          <w:szCs w:val="24"/>
        </w:rPr>
        <w:t>Fendt-Newlin</w:t>
      </w:r>
      <w:proofErr w:type="spellEnd"/>
      <w:r w:rsidRPr="00AF419C">
        <w:rPr>
          <w:rFonts w:ascii="Arial" w:hAnsi="Arial" w:cs="Arial"/>
          <w:sz w:val="24"/>
          <w:szCs w:val="24"/>
        </w:rPr>
        <w:t>, M., 2017</w:t>
      </w:r>
      <w:bookmarkEnd w:id="22"/>
      <w:r w:rsidRPr="00AF419C">
        <w:rPr>
          <w:rFonts w:ascii="Arial" w:hAnsi="Arial" w:cs="Arial"/>
          <w:sz w:val="24"/>
          <w:szCs w:val="24"/>
        </w:rPr>
        <w:t>. A review of social participation interventions for people with mental health problems. Social psychiatry and psychiatric epidemiology, 52(4), pp.369-380.</w:t>
      </w:r>
    </w:p>
    <w:p w14:paraId="4FDB6DEC" w14:textId="77777777" w:rsidR="00B22B13" w:rsidRPr="00AF419C" w:rsidRDefault="00B22B13" w:rsidP="00AF419C">
      <w:pPr>
        <w:spacing w:line="360" w:lineRule="auto"/>
        <w:rPr>
          <w:rFonts w:ascii="Arial" w:hAnsi="Arial" w:cs="Arial"/>
          <w:sz w:val="24"/>
          <w:szCs w:val="24"/>
        </w:rPr>
      </w:pPr>
      <w:bookmarkStart w:id="23" w:name="_Hlk80737583"/>
      <w:proofErr w:type="spellStart"/>
      <w:r w:rsidRPr="00AF419C">
        <w:rPr>
          <w:rFonts w:ascii="Arial" w:hAnsi="Arial" w:cs="Arial"/>
          <w:sz w:val="24"/>
          <w:szCs w:val="24"/>
        </w:rPr>
        <w:t>Bywaters</w:t>
      </w:r>
      <w:proofErr w:type="spellEnd"/>
      <w:r w:rsidRPr="00AF419C">
        <w:rPr>
          <w:rFonts w:ascii="Arial" w:hAnsi="Arial" w:cs="Arial"/>
          <w:sz w:val="24"/>
          <w:szCs w:val="24"/>
        </w:rPr>
        <w:t>, P., McCartan, C., and Daniel, B., 2020</w:t>
      </w:r>
      <w:bookmarkEnd w:id="23"/>
      <w:r w:rsidRPr="00AF419C">
        <w:rPr>
          <w:rFonts w:ascii="Arial" w:hAnsi="Arial" w:cs="Arial"/>
          <w:sz w:val="24"/>
          <w:szCs w:val="24"/>
        </w:rPr>
        <w:t>. Child welfare inequalities in the four nations of the UK. Journal of Social Work, 20(2), pp.193-215.</w:t>
      </w:r>
    </w:p>
    <w:p w14:paraId="3014E46E" w14:textId="77777777" w:rsidR="00B22B13" w:rsidRPr="00AF419C" w:rsidRDefault="00B22B13" w:rsidP="00AF419C">
      <w:pPr>
        <w:spacing w:line="360" w:lineRule="auto"/>
        <w:rPr>
          <w:rFonts w:ascii="Arial" w:hAnsi="Arial" w:cs="Arial"/>
          <w:sz w:val="24"/>
          <w:szCs w:val="24"/>
        </w:rPr>
      </w:pPr>
      <w:bookmarkStart w:id="24" w:name="_Hlk80737697"/>
      <w:r w:rsidRPr="00AF419C">
        <w:rPr>
          <w:rFonts w:ascii="Arial" w:hAnsi="Arial" w:cs="Arial"/>
          <w:sz w:val="24"/>
          <w:szCs w:val="24"/>
        </w:rPr>
        <w:t>Bunting, L., McGhee, J., and Slater, T., 2018</w:t>
      </w:r>
      <w:bookmarkEnd w:id="24"/>
      <w:r w:rsidRPr="00AF419C">
        <w:rPr>
          <w:rFonts w:ascii="Arial" w:hAnsi="Arial" w:cs="Arial"/>
          <w:sz w:val="24"/>
          <w:szCs w:val="24"/>
        </w:rPr>
        <w:t>. Trends in child protection across the UK: A comparative analysis. British Journal of Social Work, 48(5), pp.1154-1175.</w:t>
      </w:r>
      <w:bookmarkEnd w:id="16"/>
    </w:p>
    <w:p w14:paraId="0034D7E2" w14:textId="78F0911A" w:rsidR="00A834FE" w:rsidRPr="00AF419C" w:rsidRDefault="00A834FE" w:rsidP="00AF419C">
      <w:pPr>
        <w:spacing w:line="360" w:lineRule="auto"/>
        <w:rPr>
          <w:rFonts w:ascii="Arial" w:hAnsi="Arial" w:cs="Arial"/>
          <w:b/>
          <w:bCs/>
          <w:sz w:val="24"/>
          <w:szCs w:val="24"/>
        </w:rPr>
      </w:pPr>
    </w:p>
    <w:sectPr w:rsidR="00A834FE" w:rsidRPr="00AF419C">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33C4C" w14:textId="77777777" w:rsidR="004B52BF" w:rsidRDefault="004B52BF" w:rsidP="007C759A">
      <w:pPr>
        <w:spacing w:after="0" w:line="240" w:lineRule="auto"/>
      </w:pPr>
      <w:r>
        <w:separator/>
      </w:r>
    </w:p>
  </w:endnote>
  <w:endnote w:type="continuationSeparator" w:id="0">
    <w:p w14:paraId="66D93887" w14:textId="77777777" w:rsidR="004B52BF" w:rsidRDefault="004B52BF" w:rsidP="007C7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2140054"/>
      <w:docPartObj>
        <w:docPartGallery w:val="Page Numbers (Bottom of Page)"/>
        <w:docPartUnique/>
      </w:docPartObj>
    </w:sdtPr>
    <w:sdtEndPr>
      <w:rPr>
        <w:rStyle w:val="PageNumber"/>
      </w:rPr>
    </w:sdtEndPr>
    <w:sdtContent>
      <w:p w14:paraId="14B23FCA" w14:textId="37D62D24" w:rsidR="007C759A" w:rsidRDefault="007C759A" w:rsidP="001C4E73">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01BFC03C" w14:textId="77777777" w:rsidR="007C759A" w:rsidRDefault="007C75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6297143"/>
      <w:docPartObj>
        <w:docPartGallery w:val="Page Numbers (Bottom of Page)"/>
        <w:docPartUnique/>
      </w:docPartObj>
    </w:sdtPr>
    <w:sdtEndPr>
      <w:rPr>
        <w:rStyle w:val="PageNumber"/>
      </w:rPr>
    </w:sdtEndPr>
    <w:sdtContent>
      <w:p w14:paraId="566CFD4A" w14:textId="3B09C4C3" w:rsidR="007C759A" w:rsidRDefault="007C759A" w:rsidP="001C4E73">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11</w:t>
        </w:r>
        <w:r>
          <w:rPr>
            <w:rStyle w:val="PageNumber"/>
          </w:rPr>
          <w:fldChar w:fldCharType="end"/>
        </w:r>
      </w:p>
    </w:sdtContent>
  </w:sdt>
  <w:p w14:paraId="5B07F68B" w14:textId="77777777" w:rsidR="007C759A" w:rsidRDefault="007C75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FA608" w14:textId="77777777" w:rsidR="007C759A" w:rsidRDefault="007C7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9C82B" w14:textId="77777777" w:rsidR="004B52BF" w:rsidRDefault="004B52BF" w:rsidP="007C759A">
      <w:pPr>
        <w:spacing w:after="0" w:line="240" w:lineRule="auto"/>
      </w:pPr>
      <w:r>
        <w:separator/>
      </w:r>
    </w:p>
  </w:footnote>
  <w:footnote w:type="continuationSeparator" w:id="0">
    <w:p w14:paraId="155027EE" w14:textId="77777777" w:rsidR="004B52BF" w:rsidRDefault="004B52BF" w:rsidP="007C75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83D30" w14:textId="77777777" w:rsidR="007C759A" w:rsidRDefault="007C75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09375" w14:textId="77777777" w:rsidR="007C759A" w:rsidRDefault="007C75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A12FB" w14:textId="77777777" w:rsidR="007C759A" w:rsidRDefault="007C75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F95"/>
    <w:rsid w:val="0004646D"/>
    <w:rsid w:val="000C705A"/>
    <w:rsid w:val="00133245"/>
    <w:rsid w:val="001458C2"/>
    <w:rsid w:val="001B6717"/>
    <w:rsid w:val="001E7D75"/>
    <w:rsid w:val="002007E7"/>
    <w:rsid w:val="00240E5A"/>
    <w:rsid w:val="0024113A"/>
    <w:rsid w:val="00302340"/>
    <w:rsid w:val="00341688"/>
    <w:rsid w:val="00346E3B"/>
    <w:rsid w:val="003B0914"/>
    <w:rsid w:val="003E5346"/>
    <w:rsid w:val="0044790C"/>
    <w:rsid w:val="004B52BF"/>
    <w:rsid w:val="00563038"/>
    <w:rsid w:val="00610FD4"/>
    <w:rsid w:val="00691FEB"/>
    <w:rsid w:val="0069625D"/>
    <w:rsid w:val="007C759A"/>
    <w:rsid w:val="00852DBD"/>
    <w:rsid w:val="00861A17"/>
    <w:rsid w:val="008C668F"/>
    <w:rsid w:val="00942D52"/>
    <w:rsid w:val="009B385B"/>
    <w:rsid w:val="009E04B5"/>
    <w:rsid w:val="00A834FE"/>
    <w:rsid w:val="00AD3DFD"/>
    <w:rsid w:val="00AE082C"/>
    <w:rsid w:val="00AF419C"/>
    <w:rsid w:val="00B22B13"/>
    <w:rsid w:val="00B64BA6"/>
    <w:rsid w:val="00B82F95"/>
    <w:rsid w:val="00BA5A8B"/>
    <w:rsid w:val="00BC4362"/>
    <w:rsid w:val="00BD7A03"/>
    <w:rsid w:val="00C376CF"/>
    <w:rsid w:val="00D3644C"/>
    <w:rsid w:val="00D47B89"/>
    <w:rsid w:val="00DF6458"/>
    <w:rsid w:val="00EE3319"/>
    <w:rsid w:val="00F2153A"/>
    <w:rsid w:val="00F9226B"/>
    <w:rsid w:val="00FB6AFB"/>
    <w:rsid w:val="00FC2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C8A1AD"/>
  <w15:chartTrackingRefBased/>
  <w15:docId w15:val="{F04D62F4-09AE-644C-AC1C-8F733FCBE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B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2B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2B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24113A"/>
    <w:pPr>
      <w:spacing w:after="100" w:line="360" w:lineRule="auto"/>
      <w:jc w:val="both"/>
    </w:pPr>
    <w:rPr>
      <w:rFonts w:ascii="Arial" w:eastAsiaTheme="minorHAnsi" w:hAnsi="Arial"/>
      <w:sz w:val="24"/>
      <w:lang w:eastAsia="en-US"/>
    </w:rPr>
  </w:style>
  <w:style w:type="character" w:styleId="Hyperlink">
    <w:name w:val="Hyperlink"/>
    <w:basedOn w:val="DefaultParagraphFont"/>
    <w:uiPriority w:val="99"/>
    <w:unhideWhenUsed/>
    <w:rsid w:val="0024113A"/>
    <w:rPr>
      <w:color w:val="0563C1" w:themeColor="hyperlink"/>
      <w:u w:val="single"/>
    </w:rPr>
  </w:style>
  <w:style w:type="paragraph" w:styleId="TOC3">
    <w:name w:val="toc 3"/>
    <w:basedOn w:val="Normal"/>
    <w:next w:val="Normal"/>
    <w:autoRedefine/>
    <w:uiPriority w:val="39"/>
    <w:unhideWhenUsed/>
    <w:rsid w:val="0024113A"/>
    <w:pPr>
      <w:spacing w:after="100" w:line="360" w:lineRule="auto"/>
      <w:ind w:left="480"/>
      <w:jc w:val="both"/>
    </w:pPr>
    <w:rPr>
      <w:rFonts w:ascii="Arial" w:eastAsiaTheme="minorHAnsi" w:hAnsi="Arial"/>
      <w:sz w:val="24"/>
      <w:lang w:eastAsia="en-US"/>
    </w:rPr>
  </w:style>
  <w:style w:type="paragraph" w:styleId="TOC2">
    <w:name w:val="toc 2"/>
    <w:basedOn w:val="Normal"/>
    <w:next w:val="Normal"/>
    <w:autoRedefine/>
    <w:uiPriority w:val="39"/>
    <w:unhideWhenUsed/>
    <w:rsid w:val="0024113A"/>
    <w:pPr>
      <w:spacing w:after="100" w:line="360" w:lineRule="auto"/>
      <w:ind w:left="240"/>
      <w:jc w:val="both"/>
    </w:pPr>
    <w:rPr>
      <w:rFonts w:ascii="Arial" w:eastAsiaTheme="minorHAnsi" w:hAnsi="Arial"/>
      <w:sz w:val="24"/>
      <w:lang w:eastAsia="en-US"/>
    </w:rPr>
  </w:style>
  <w:style w:type="character" w:customStyle="1" w:styleId="Heading1Char">
    <w:name w:val="Heading 1 Char"/>
    <w:basedOn w:val="DefaultParagraphFont"/>
    <w:link w:val="Heading1"/>
    <w:uiPriority w:val="9"/>
    <w:rsid w:val="00B22B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22B1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22B13"/>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7C75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59A"/>
  </w:style>
  <w:style w:type="paragraph" w:styleId="Footer">
    <w:name w:val="footer"/>
    <w:basedOn w:val="Normal"/>
    <w:link w:val="FooterChar"/>
    <w:uiPriority w:val="99"/>
    <w:unhideWhenUsed/>
    <w:rsid w:val="007C75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59A"/>
  </w:style>
  <w:style w:type="character" w:styleId="PageNumber">
    <w:name w:val="page number"/>
    <w:basedOn w:val="DefaultParagraphFont"/>
    <w:uiPriority w:val="99"/>
    <w:semiHidden/>
    <w:unhideWhenUsed/>
    <w:rsid w:val="007C7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11</Pages>
  <Words>2475</Words>
  <Characters>14109</Characters>
  <Application>Microsoft Office Word</Application>
  <DocSecurity>0</DocSecurity>
  <Lines>117</Lines>
  <Paragraphs>33</Paragraphs>
  <ScaleCrop>false</ScaleCrop>
  <Company/>
  <LinksUpToDate>false</LinksUpToDate>
  <CharactersWithSpaces>16551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Ioana-Irina Dinu</dc:creator>
  <cp:keywords/>
  <dc:description/>
  <cp:lastModifiedBy>Ioana-Irina Dinu</cp:lastModifiedBy>
  <cp:revision>46</cp:revision>
  <dcterms:created xsi:type="dcterms:W3CDTF">2021-08-25T20:06:00Z</dcterms:created>
  <dcterms:modified xsi:type="dcterms:W3CDTF">2021-08-25T21:46:00Z</dcterms:modified>
</cp:coreProperties>
</file>