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080DD" w14:textId="77777777" w:rsidR="009508F9" w:rsidRPr="009508F9" w:rsidRDefault="009508F9" w:rsidP="009508F9">
      <w:pPr>
        <w:spacing w:line="360" w:lineRule="auto"/>
        <w:rPr>
          <w:rFonts w:ascii="Arial" w:eastAsia="DengXian" w:hAnsi="Arial" w:cs="Arial"/>
          <w:b/>
          <w:bCs/>
          <w:sz w:val="72"/>
          <w:szCs w:val="72"/>
          <w:lang w:val="en-US" w:eastAsia="en-US"/>
        </w:rPr>
      </w:pPr>
      <w:r w:rsidRPr="009508F9">
        <w:rPr>
          <w:rFonts w:ascii="Seaford Display" w:eastAsia="+mj-ea" w:hAnsi="Seaford Display" w:cs="+mj-cs"/>
          <w:color w:val="0070C0"/>
          <w:spacing w:val="-30"/>
          <w:kern w:val="24"/>
          <w:position w:val="1"/>
          <w:sz w:val="72"/>
          <w:szCs w:val="72"/>
          <w:lang w:val="en-US" w:eastAsia="en-US"/>
        </w:rPr>
        <w:t>Practice-Based Research</w:t>
      </w:r>
    </w:p>
    <w:p w14:paraId="055C7787" w14:textId="77777777" w:rsidR="009508F9" w:rsidRPr="009508F9" w:rsidRDefault="009508F9" w:rsidP="009508F9">
      <w:pPr>
        <w:spacing w:before="200" w:after="0" w:line="288" w:lineRule="auto"/>
        <w:rPr>
          <w:rFonts w:ascii="Arial" w:eastAsia="+mn-ea" w:hAnsi="Arial" w:cs="Arial"/>
          <w:b/>
          <w:color w:val="09283F"/>
          <w:kern w:val="24"/>
          <w:sz w:val="40"/>
          <w:szCs w:val="40"/>
          <w:lang w:val="en-US" w:eastAsia="zh-CN"/>
          <w14:ligatures w14:val="none"/>
        </w:rPr>
      </w:pPr>
      <w:r w:rsidRPr="009508F9">
        <w:rPr>
          <w:rFonts w:ascii="Arial" w:eastAsia="+mn-ea" w:hAnsi="Arial" w:cs="Arial"/>
          <w:b/>
          <w:color w:val="CC6600"/>
          <w:kern w:val="24"/>
          <w:sz w:val="40"/>
          <w:szCs w:val="40"/>
          <w:lang w:val="en-US" w:eastAsia="zh-CN"/>
          <w14:ligatures w14:val="none"/>
        </w:rPr>
        <w:t xml:space="preserve">Student ID: </w:t>
      </w:r>
      <w:r w:rsidRPr="009508F9">
        <w:rPr>
          <w:rFonts w:ascii="Arial" w:eastAsia="+mn-ea" w:hAnsi="Arial" w:cs="Arial"/>
          <w:b/>
          <w:color w:val="09283F"/>
          <w:kern w:val="24"/>
          <w:sz w:val="40"/>
          <w:szCs w:val="40"/>
          <w:lang w:val="en-US" w:eastAsia="zh-CN"/>
          <w14:ligatures w14:val="none"/>
        </w:rPr>
        <w:t>2128581</w:t>
      </w:r>
    </w:p>
    <w:p w14:paraId="47623655" w14:textId="77777777" w:rsidR="009508F9" w:rsidRPr="009508F9" w:rsidRDefault="009508F9" w:rsidP="009508F9">
      <w:pPr>
        <w:spacing w:before="200" w:after="0" w:line="288" w:lineRule="auto"/>
        <w:rPr>
          <w:rFonts w:ascii="Times New Roman" w:eastAsia="Times New Roman" w:hAnsi="Times New Roman" w:cs="Times New Roman"/>
          <w:kern w:val="0"/>
          <w:sz w:val="40"/>
          <w:szCs w:val="40"/>
          <w:lang w:eastAsia="zh-CN"/>
          <w14:ligatures w14:val="none"/>
        </w:rPr>
      </w:pPr>
      <w:r w:rsidRPr="009508F9">
        <w:rPr>
          <w:rFonts w:ascii="Arial" w:eastAsia="+mn-ea" w:hAnsi="Arial" w:cs="Arial"/>
          <w:b/>
          <w:color w:val="CC6600"/>
          <w:kern w:val="24"/>
          <w:sz w:val="40"/>
          <w:szCs w:val="40"/>
          <w:lang w:val="en-US" w:eastAsia="zh-CN"/>
          <w14:ligatures w14:val="none"/>
        </w:rPr>
        <w:t xml:space="preserve">Module code: </w:t>
      </w:r>
      <w:r w:rsidRPr="009508F9">
        <w:rPr>
          <w:rFonts w:ascii="Arial" w:eastAsia="+mn-ea" w:hAnsi="Arial" w:cs="Arial"/>
          <w:b/>
          <w:color w:val="09283F"/>
          <w:kern w:val="24"/>
          <w:sz w:val="40"/>
          <w:szCs w:val="40"/>
          <w:lang w:val="en-US" w:eastAsia="zh-CN"/>
          <w14:ligatures w14:val="none"/>
        </w:rPr>
        <w:t>LCHS7008</w:t>
      </w:r>
    </w:p>
    <w:p w14:paraId="1DCB2EE0" w14:textId="77777777" w:rsidR="009508F9" w:rsidRPr="009508F9" w:rsidRDefault="009508F9" w:rsidP="009508F9">
      <w:pPr>
        <w:spacing w:before="200" w:after="0" w:line="288" w:lineRule="auto"/>
        <w:rPr>
          <w:rFonts w:ascii="Arial" w:eastAsia="+mn-ea" w:hAnsi="Arial" w:cs="Arial"/>
          <w:b/>
          <w:color w:val="09283F"/>
          <w:kern w:val="24"/>
          <w:sz w:val="40"/>
          <w:szCs w:val="40"/>
          <w:lang w:val="en-US" w:eastAsia="zh-CN"/>
          <w14:ligatures w14:val="none"/>
        </w:rPr>
      </w:pPr>
      <w:r w:rsidRPr="009508F9">
        <w:rPr>
          <w:rFonts w:ascii="Arial" w:eastAsia="+mn-ea" w:hAnsi="Arial" w:cs="Arial"/>
          <w:b/>
          <w:color w:val="CC6600"/>
          <w:kern w:val="24"/>
          <w:sz w:val="40"/>
          <w:szCs w:val="40"/>
          <w:lang w:val="en-US" w:eastAsia="zh-CN"/>
          <w14:ligatures w14:val="none"/>
        </w:rPr>
        <w:t xml:space="preserve">Lecture: </w:t>
      </w:r>
      <w:r w:rsidRPr="009508F9">
        <w:rPr>
          <w:rFonts w:ascii="Arial" w:eastAsia="+mn-ea" w:hAnsi="Arial" w:cs="Arial"/>
          <w:b/>
          <w:color w:val="09283F"/>
          <w:kern w:val="24"/>
          <w:sz w:val="40"/>
          <w:szCs w:val="40"/>
          <w:lang w:val="en-US" w:eastAsia="zh-CN"/>
          <w14:ligatures w14:val="none"/>
        </w:rPr>
        <w:t>Zeno Leung</w:t>
      </w:r>
    </w:p>
    <w:p w14:paraId="16D2129B" w14:textId="77777777" w:rsidR="009508F9" w:rsidRPr="009508F9" w:rsidRDefault="009508F9" w:rsidP="009508F9">
      <w:pPr>
        <w:spacing w:before="200" w:after="0" w:line="288" w:lineRule="auto"/>
        <w:rPr>
          <w:rFonts w:ascii="Times New Roman" w:eastAsia="Times New Roman" w:hAnsi="Times New Roman" w:cs="Times New Roman"/>
          <w:kern w:val="0"/>
          <w:lang w:eastAsia="zh-CN"/>
          <w14:ligatures w14:val="none"/>
        </w:rPr>
      </w:pPr>
    </w:p>
    <w:p w14:paraId="142085E0" w14:textId="77777777" w:rsidR="009508F9" w:rsidRPr="009508F9" w:rsidRDefault="009508F9" w:rsidP="009508F9">
      <w:pPr>
        <w:spacing w:line="360" w:lineRule="auto"/>
        <w:rPr>
          <w:rFonts w:ascii="Aptos" w:eastAsia="DengXian" w:hAnsi="Aptos" w:cs="Times New Roman"/>
          <w:b/>
          <w:bCs/>
          <w:color w:val="0070C0"/>
          <w:sz w:val="32"/>
          <w:szCs w:val="32"/>
          <w:lang w:val="en-US" w:eastAsia="en-US"/>
        </w:rPr>
      </w:pPr>
      <w:r w:rsidRPr="009508F9">
        <w:rPr>
          <w:rFonts w:ascii="Aptos" w:eastAsia="DengXian" w:hAnsi="Aptos" w:cs="Times New Roman"/>
          <w:b/>
          <w:bCs/>
          <w:color w:val="0070C0"/>
          <w:sz w:val="32"/>
          <w:szCs w:val="32"/>
          <w:lang w:val="en-US" w:eastAsia="en-US"/>
        </w:rPr>
        <w:t>Examining the Effectiveness of Integrated Public Health and Social Care Pathways for Young Adults with Dual Diagnosis in the UK.</w:t>
      </w:r>
    </w:p>
    <w:p w14:paraId="3EBC9361" w14:textId="77777777" w:rsidR="009508F9" w:rsidRPr="009508F9" w:rsidRDefault="009508F9" w:rsidP="009508F9">
      <w:pPr>
        <w:spacing w:line="360" w:lineRule="auto"/>
        <w:rPr>
          <w:rFonts w:ascii="Arial" w:eastAsia="+mn-ea" w:hAnsi="Arial" w:cs="Arial"/>
          <w:b/>
          <w:bCs/>
          <w:color w:val="FF0000"/>
          <w:kern w:val="24"/>
          <w:sz w:val="36"/>
          <w:szCs w:val="36"/>
          <w:lang w:eastAsia="zh-CN"/>
          <w14:ligatures w14:val="none"/>
        </w:rPr>
      </w:pPr>
      <w:r w:rsidRPr="009508F9">
        <w:rPr>
          <w:rFonts w:ascii="Aptos" w:eastAsia="DengXian" w:hAnsi="Aptos" w:cs="Times New Roman"/>
          <w:noProof/>
          <w:color w:val="FF9900"/>
          <w:sz w:val="36"/>
          <w:szCs w:val="36"/>
          <w:lang w:val="en-US" w:eastAsia="en-US"/>
        </w:rPr>
        <w:drawing>
          <wp:inline distT="0" distB="0" distL="0" distR="0" wp14:anchorId="4EFC27E9" wp14:editId="1DB1FDB6">
            <wp:extent cx="1866740" cy="1026459"/>
            <wp:effectExtent l="0" t="0" r="635" b="2540"/>
            <wp:docPr id="1039081075" name="Picture 7" descr="A marijuana bud and a cigaret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081075" name="Picture 7" descr="A marijuana bud and a cigarett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4341" cy="1102121"/>
                    </a:xfrm>
                    <a:prstGeom prst="rect">
                      <a:avLst/>
                    </a:prstGeom>
                    <a:noFill/>
                  </pic:spPr>
                </pic:pic>
              </a:graphicData>
            </a:graphic>
          </wp:inline>
        </w:drawing>
      </w:r>
      <w:r w:rsidRPr="009508F9">
        <w:rPr>
          <w:rFonts w:ascii="Aptos" w:eastAsia="DengXian" w:hAnsi="Aptos" w:cs="Times New Roman"/>
          <w:noProof/>
          <w:color w:val="FF9900"/>
          <w:sz w:val="36"/>
          <w:szCs w:val="36"/>
          <w:lang w:val="en-US" w:eastAsia="en-US"/>
        </w:rPr>
        <w:drawing>
          <wp:inline distT="0" distB="0" distL="0" distR="0" wp14:anchorId="5BA453B2" wp14:editId="505EE092">
            <wp:extent cx="2037458" cy="1004047"/>
            <wp:effectExtent l="0" t="0" r="1270" b="5715"/>
            <wp:docPr id="338725770" name="Picture 9" descr="A person with her hands in her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725770" name="Picture 9" descr="A person with her hands in her face&#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66027" cy="1067405"/>
                    </a:xfrm>
                    <a:prstGeom prst="rect">
                      <a:avLst/>
                    </a:prstGeom>
                    <a:noFill/>
                  </pic:spPr>
                </pic:pic>
              </a:graphicData>
            </a:graphic>
          </wp:inline>
        </w:drawing>
      </w:r>
      <w:r w:rsidRPr="009508F9">
        <w:rPr>
          <w:rFonts w:ascii="Arial" w:eastAsia="+mn-ea" w:hAnsi="Arial" w:cs="Arial"/>
          <w:b/>
          <w:bCs/>
          <w:noProof/>
          <w:color w:val="FF0000"/>
          <w:kern w:val="24"/>
          <w:sz w:val="36"/>
          <w:szCs w:val="36"/>
          <w:lang w:eastAsia="zh-CN"/>
          <w14:ligatures w14:val="none"/>
        </w:rPr>
        <w:drawing>
          <wp:inline distT="0" distB="0" distL="0" distR="0" wp14:anchorId="0B01E4A4" wp14:editId="0DC3A2E7">
            <wp:extent cx="1766325" cy="1010081"/>
            <wp:effectExtent l="0" t="0" r="5715" b="0"/>
            <wp:docPr id="1689235101" name="Picture 16" descr="A couple of men sitting at a table with cigarettes and a bottle of alcoho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235101" name="Picture 16" descr="A couple of men sitting at a table with cigarettes and a bottle of alcohol&#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4161" cy="1020280"/>
                    </a:xfrm>
                    <a:prstGeom prst="rect">
                      <a:avLst/>
                    </a:prstGeom>
                    <a:noFill/>
                  </pic:spPr>
                </pic:pic>
              </a:graphicData>
            </a:graphic>
          </wp:inline>
        </w:drawing>
      </w:r>
      <w:r w:rsidRPr="009508F9">
        <w:rPr>
          <w:rFonts w:ascii="Aptos" w:eastAsia="DengXian" w:hAnsi="Aptos" w:cs="Times New Roman"/>
          <w:noProof/>
          <w:color w:val="FF9900"/>
          <w:sz w:val="36"/>
          <w:szCs w:val="36"/>
          <w:lang w:val="en-US" w:eastAsia="en-US"/>
        </w:rPr>
        <w:drawing>
          <wp:inline distT="0" distB="0" distL="0" distR="0" wp14:anchorId="23E8914C" wp14:editId="1A92B991">
            <wp:extent cx="1882588" cy="981075"/>
            <wp:effectExtent l="0" t="0" r="3810" b="0"/>
            <wp:docPr id="967388738" name="Picture 12" descr="A brain with barbed wire and drugs and bott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388738" name="Picture 12" descr="A brain with barbed wire and drugs and bottle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28745" cy="1005129"/>
                    </a:xfrm>
                    <a:prstGeom prst="rect">
                      <a:avLst/>
                    </a:prstGeom>
                    <a:noFill/>
                  </pic:spPr>
                </pic:pic>
              </a:graphicData>
            </a:graphic>
          </wp:inline>
        </w:drawing>
      </w:r>
      <w:r w:rsidRPr="009508F9">
        <w:rPr>
          <w:rFonts w:ascii="Aptos" w:eastAsia="DengXian" w:hAnsi="Aptos" w:cs="Times New Roman"/>
          <w:noProof/>
          <w:color w:val="FF9900"/>
          <w:sz w:val="36"/>
          <w:szCs w:val="36"/>
          <w:lang w:val="en-US" w:eastAsia="en-US"/>
        </w:rPr>
        <w:drawing>
          <wp:inline distT="0" distB="0" distL="0" distR="0" wp14:anchorId="1CFAADF9" wp14:editId="6A175946">
            <wp:extent cx="1902634" cy="1021639"/>
            <wp:effectExtent l="0" t="0" r="2540" b="7620"/>
            <wp:docPr id="1807430095" name="Picture 14" descr="A person with his hands on his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430095" name="Picture 14" descr="A person with his hands on his head&#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34114" cy="1038542"/>
                    </a:xfrm>
                    <a:prstGeom prst="rect">
                      <a:avLst/>
                    </a:prstGeom>
                    <a:noFill/>
                  </pic:spPr>
                </pic:pic>
              </a:graphicData>
            </a:graphic>
          </wp:inline>
        </w:drawing>
      </w:r>
      <w:r w:rsidRPr="009508F9">
        <w:rPr>
          <w:rFonts w:ascii="Arial" w:eastAsia="+mn-ea" w:hAnsi="Arial" w:cs="Arial"/>
          <w:b/>
          <w:bCs/>
          <w:noProof/>
          <w:color w:val="FF0000"/>
          <w:kern w:val="24"/>
          <w:sz w:val="36"/>
          <w:szCs w:val="36"/>
          <w:lang w:eastAsia="zh-CN"/>
          <w14:ligatures w14:val="none"/>
        </w:rPr>
        <w:drawing>
          <wp:inline distT="0" distB="0" distL="0" distR="0" wp14:anchorId="504CB7FE" wp14:editId="07B0C41A">
            <wp:extent cx="1902634" cy="1045210"/>
            <wp:effectExtent l="0" t="0" r="2540" b="2540"/>
            <wp:docPr id="745394732" name="Picture 15" descr="A person sitting in a corner with a light shining 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394732" name="Picture 15" descr="A person sitting in a corner with a light shining on&#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62184" cy="1077924"/>
                    </a:xfrm>
                    <a:prstGeom prst="rect">
                      <a:avLst/>
                    </a:prstGeom>
                    <a:noFill/>
                  </pic:spPr>
                </pic:pic>
              </a:graphicData>
            </a:graphic>
          </wp:inline>
        </w:drawing>
      </w:r>
    </w:p>
    <w:p w14:paraId="636EC222" w14:textId="77777777" w:rsidR="009508F9" w:rsidRPr="009508F9" w:rsidRDefault="009508F9" w:rsidP="009508F9">
      <w:pPr>
        <w:spacing w:line="360" w:lineRule="auto"/>
        <w:rPr>
          <w:rFonts w:ascii="Times New Roman" w:eastAsia="Times New Roman" w:hAnsi="Times New Roman" w:cs="Times New Roman"/>
          <w:color w:val="FF0000"/>
          <w:kern w:val="0"/>
          <w:sz w:val="36"/>
          <w:szCs w:val="36"/>
          <w:lang w:eastAsia="zh-CN"/>
          <w14:ligatures w14:val="none"/>
        </w:rPr>
      </w:pPr>
      <w:r w:rsidRPr="009508F9">
        <w:rPr>
          <w:rFonts w:ascii="Arial" w:eastAsia="+mn-ea" w:hAnsi="Arial" w:cs="Arial"/>
          <w:b/>
          <w:bCs/>
          <w:color w:val="FF0000"/>
          <w:kern w:val="24"/>
          <w:sz w:val="36"/>
          <w:szCs w:val="36"/>
          <w:lang w:eastAsia="zh-CN"/>
          <w14:ligatures w14:val="none"/>
        </w:rPr>
        <w:t>Nomathemba Amanda Socikwa</w:t>
      </w:r>
    </w:p>
    <w:p w14:paraId="2B1A80A6" w14:textId="77777777" w:rsidR="009508F9" w:rsidRPr="009508F9" w:rsidRDefault="009508F9" w:rsidP="009508F9">
      <w:pPr>
        <w:spacing w:before="200" w:after="0" w:line="288" w:lineRule="auto"/>
        <w:ind w:left="360" w:hanging="360"/>
        <w:rPr>
          <w:rFonts w:ascii="Times New Roman" w:eastAsia="Times New Roman" w:hAnsi="Times New Roman" w:cs="Times New Roman"/>
          <w:color w:val="FF0000"/>
          <w:kern w:val="0"/>
          <w:sz w:val="36"/>
          <w:szCs w:val="36"/>
          <w:lang w:eastAsia="zh-CN"/>
          <w14:ligatures w14:val="none"/>
        </w:rPr>
      </w:pPr>
      <w:hyperlink r:id="rId14" w:history="1">
        <w:r w:rsidRPr="009508F9">
          <w:rPr>
            <w:rFonts w:ascii="Arial" w:eastAsia="+mn-ea" w:hAnsi="Arial" w:cs="Arial"/>
            <w:b/>
            <w:bCs/>
            <w:color w:val="FF0000"/>
            <w:kern w:val="24"/>
            <w:sz w:val="36"/>
            <w:szCs w:val="36"/>
            <w:u w:val="single"/>
            <w:lang w:eastAsia="zh-CN"/>
            <w14:ligatures w14:val="none"/>
          </w:rPr>
          <w:t>2128581@student.uwtsd.ac.uk</w:t>
        </w:r>
      </w:hyperlink>
    </w:p>
    <w:p w14:paraId="32C6222B" w14:textId="77777777" w:rsidR="009508F9" w:rsidRPr="009508F9" w:rsidRDefault="009508F9" w:rsidP="009508F9">
      <w:pPr>
        <w:spacing w:before="200" w:after="0" w:line="288" w:lineRule="auto"/>
        <w:ind w:left="360" w:hanging="360"/>
        <w:rPr>
          <w:rFonts w:ascii="Times New Roman" w:eastAsia="Times New Roman" w:hAnsi="Times New Roman" w:cs="Times New Roman"/>
          <w:color w:val="FF0000"/>
          <w:kern w:val="0"/>
          <w:sz w:val="36"/>
          <w:szCs w:val="36"/>
          <w:lang w:eastAsia="zh-CN"/>
          <w14:ligatures w14:val="none"/>
        </w:rPr>
      </w:pPr>
      <w:r w:rsidRPr="009508F9">
        <w:rPr>
          <w:rFonts w:ascii="Arial" w:eastAsia="+mn-ea" w:hAnsi="Arial" w:cs="Arial"/>
          <w:b/>
          <w:bCs/>
          <w:color w:val="FF0000"/>
          <w:kern w:val="24"/>
          <w:sz w:val="36"/>
          <w:szCs w:val="36"/>
          <w:lang w:eastAsia="zh-CN"/>
          <w14:ligatures w14:val="none"/>
        </w:rPr>
        <w:t>MSc Public Health &amp; Social Care Practice</w:t>
      </w:r>
    </w:p>
    <w:p w14:paraId="556698A7" w14:textId="511D5485" w:rsidR="009508F9" w:rsidRDefault="009508F9" w:rsidP="002E6606">
      <w:pPr>
        <w:spacing w:before="200" w:after="0" w:line="288" w:lineRule="auto"/>
        <w:ind w:left="360" w:hanging="360"/>
        <w:rPr>
          <w:rFonts w:ascii="Arial" w:eastAsia="+mn-ea" w:hAnsi="Arial" w:cs="Arial"/>
          <w:b/>
          <w:bCs/>
          <w:color w:val="FF0000"/>
          <w:kern w:val="24"/>
          <w:sz w:val="36"/>
          <w:szCs w:val="36"/>
          <w:lang w:eastAsia="zh-CN"/>
          <w14:ligatures w14:val="none"/>
        </w:rPr>
      </w:pPr>
      <w:r w:rsidRPr="009508F9">
        <w:rPr>
          <w:rFonts w:ascii="Arial" w:eastAsia="+mn-ea" w:hAnsi="Arial" w:cs="Arial"/>
          <w:b/>
          <w:bCs/>
          <w:color w:val="FF0000"/>
          <w:kern w:val="24"/>
          <w:sz w:val="36"/>
          <w:szCs w:val="36"/>
          <w:lang w:eastAsia="zh-CN"/>
          <w14:ligatures w14:val="none"/>
        </w:rPr>
        <w:t>UWTSD Birmingha</w:t>
      </w:r>
      <w:r w:rsidR="002E6606">
        <w:rPr>
          <w:rFonts w:ascii="Arial" w:eastAsia="+mn-ea" w:hAnsi="Arial" w:cs="Arial"/>
          <w:b/>
          <w:bCs/>
          <w:color w:val="FF0000"/>
          <w:kern w:val="24"/>
          <w:sz w:val="36"/>
          <w:szCs w:val="36"/>
          <w:lang w:eastAsia="zh-CN"/>
          <w14:ligatures w14:val="none"/>
        </w:rPr>
        <w:t>m</w:t>
      </w:r>
    </w:p>
    <w:p w14:paraId="7715B3B4" w14:textId="77777777" w:rsidR="0004140F" w:rsidRPr="002E6606" w:rsidRDefault="0004140F" w:rsidP="002E6606">
      <w:pPr>
        <w:spacing w:before="200" w:after="0" w:line="288" w:lineRule="auto"/>
        <w:ind w:left="360" w:hanging="360"/>
        <w:rPr>
          <w:rFonts w:ascii="Arial" w:eastAsia="+mn-ea" w:hAnsi="Arial" w:cs="Arial"/>
          <w:b/>
          <w:bCs/>
          <w:color w:val="FF0000"/>
          <w:kern w:val="24"/>
          <w:sz w:val="36"/>
          <w:szCs w:val="36"/>
          <w:lang w:eastAsia="zh-CN"/>
          <w14:ligatures w14:val="none"/>
        </w:rPr>
      </w:pPr>
    </w:p>
    <w:sdt>
      <w:sdtPr>
        <w:rPr>
          <w:rFonts w:asciiTheme="minorHAnsi" w:eastAsiaTheme="minorEastAsia" w:hAnsiTheme="minorHAnsi" w:cstheme="minorBidi"/>
          <w:color w:val="auto"/>
          <w:kern w:val="2"/>
          <w:sz w:val="24"/>
          <w:szCs w:val="24"/>
          <w:lang w:val="en-GB" w:eastAsia="en-GB"/>
          <w14:ligatures w14:val="standardContextual"/>
        </w:rPr>
        <w:id w:val="1674610093"/>
        <w:docPartObj>
          <w:docPartGallery w:val="Table of Contents"/>
          <w:docPartUnique/>
        </w:docPartObj>
      </w:sdtPr>
      <w:sdtEndPr>
        <w:rPr>
          <w:b/>
          <w:bCs/>
          <w:noProof/>
        </w:rPr>
      </w:sdtEndPr>
      <w:sdtContent>
        <w:p w14:paraId="65D433F8" w14:textId="49B2F85D" w:rsidR="00C623ED" w:rsidRDefault="007F206C" w:rsidP="00C623ED">
          <w:pPr>
            <w:pStyle w:val="TOCHeading"/>
          </w:pPr>
          <w:r>
            <w:t>Contents</w:t>
          </w:r>
        </w:p>
        <w:p w14:paraId="4375E7F3" w14:textId="77777777" w:rsidR="0080795E" w:rsidRPr="0080795E" w:rsidRDefault="0080795E" w:rsidP="0080795E">
          <w:pPr>
            <w:rPr>
              <w:lang w:val="en-US" w:eastAsia="en-US"/>
            </w:rPr>
          </w:pPr>
        </w:p>
        <w:p w14:paraId="4A7CE187" w14:textId="3E6F3182" w:rsidR="0058320A" w:rsidRDefault="007F206C">
          <w:pPr>
            <w:pStyle w:val="TOC1"/>
            <w:tabs>
              <w:tab w:val="right" w:leader="dot" w:pos="9016"/>
            </w:tabs>
            <w:rPr>
              <w:noProof/>
              <w:lang w:eastAsia="zh-CN"/>
            </w:rPr>
          </w:pPr>
          <w:r>
            <w:fldChar w:fldCharType="begin"/>
          </w:r>
          <w:r>
            <w:instrText xml:space="preserve"> TOC \o "1-3" \h \z \u </w:instrText>
          </w:r>
          <w:r>
            <w:fldChar w:fldCharType="separate"/>
          </w:r>
          <w:hyperlink w:anchor="_Toc215232247" w:history="1">
            <w:r w:rsidR="0058320A" w:rsidRPr="00CF163E">
              <w:rPr>
                <w:rStyle w:val="Hyperlink"/>
                <w:rFonts w:ascii="Arial" w:hAnsi="Arial" w:cs="Arial"/>
                <w:noProof/>
              </w:rPr>
              <w:t>Examining the Effectiveness of Integrated Public Health and Social Care Pathways for Young Adults with Dual Diagnosis in the UK</w:t>
            </w:r>
            <w:r w:rsidR="0058320A">
              <w:rPr>
                <w:noProof/>
                <w:webHidden/>
              </w:rPr>
              <w:tab/>
            </w:r>
            <w:r w:rsidR="0058320A">
              <w:rPr>
                <w:noProof/>
                <w:webHidden/>
              </w:rPr>
              <w:fldChar w:fldCharType="begin"/>
            </w:r>
            <w:r w:rsidR="0058320A">
              <w:rPr>
                <w:noProof/>
                <w:webHidden/>
              </w:rPr>
              <w:instrText xml:space="preserve"> PAGEREF _Toc215232247 \h </w:instrText>
            </w:r>
            <w:r w:rsidR="0058320A">
              <w:rPr>
                <w:noProof/>
                <w:webHidden/>
              </w:rPr>
            </w:r>
            <w:r w:rsidR="0058320A">
              <w:rPr>
                <w:noProof/>
                <w:webHidden/>
              </w:rPr>
              <w:fldChar w:fldCharType="separate"/>
            </w:r>
            <w:r w:rsidR="0058320A">
              <w:rPr>
                <w:noProof/>
                <w:webHidden/>
              </w:rPr>
              <w:t>3</w:t>
            </w:r>
            <w:r w:rsidR="0058320A">
              <w:rPr>
                <w:noProof/>
                <w:webHidden/>
              </w:rPr>
              <w:fldChar w:fldCharType="end"/>
            </w:r>
          </w:hyperlink>
        </w:p>
        <w:p w14:paraId="33E4C90B" w14:textId="6EDDECB9" w:rsidR="0058320A" w:rsidRDefault="0058320A">
          <w:pPr>
            <w:pStyle w:val="TOC2"/>
            <w:tabs>
              <w:tab w:val="right" w:leader="dot" w:pos="9016"/>
            </w:tabs>
            <w:rPr>
              <w:noProof/>
              <w:lang w:eastAsia="zh-CN"/>
            </w:rPr>
          </w:pPr>
          <w:hyperlink w:anchor="_Toc215232248" w:history="1">
            <w:r w:rsidRPr="00CF163E">
              <w:rPr>
                <w:rStyle w:val="Hyperlink"/>
                <w:rFonts w:ascii="Arial" w:hAnsi="Arial" w:cs="Arial"/>
                <w:noProof/>
              </w:rPr>
              <w:t>The Context of Dual Diagnosis and Complex Needs in UK Policy</w:t>
            </w:r>
            <w:r>
              <w:rPr>
                <w:noProof/>
                <w:webHidden/>
              </w:rPr>
              <w:tab/>
            </w:r>
            <w:r>
              <w:rPr>
                <w:noProof/>
                <w:webHidden/>
              </w:rPr>
              <w:fldChar w:fldCharType="begin"/>
            </w:r>
            <w:r>
              <w:rPr>
                <w:noProof/>
                <w:webHidden/>
              </w:rPr>
              <w:instrText xml:space="preserve"> PAGEREF _Toc215232248 \h </w:instrText>
            </w:r>
            <w:r>
              <w:rPr>
                <w:noProof/>
                <w:webHidden/>
              </w:rPr>
            </w:r>
            <w:r>
              <w:rPr>
                <w:noProof/>
                <w:webHidden/>
              </w:rPr>
              <w:fldChar w:fldCharType="separate"/>
            </w:r>
            <w:r>
              <w:rPr>
                <w:noProof/>
                <w:webHidden/>
              </w:rPr>
              <w:t>3</w:t>
            </w:r>
            <w:r>
              <w:rPr>
                <w:noProof/>
                <w:webHidden/>
              </w:rPr>
              <w:fldChar w:fldCharType="end"/>
            </w:r>
          </w:hyperlink>
        </w:p>
        <w:p w14:paraId="6B016C08" w14:textId="7A681F71" w:rsidR="0058320A" w:rsidRDefault="0058320A">
          <w:pPr>
            <w:pStyle w:val="TOC2"/>
            <w:tabs>
              <w:tab w:val="right" w:leader="dot" w:pos="9016"/>
            </w:tabs>
            <w:rPr>
              <w:noProof/>
              <w:lang w:eastAsia="zh-CN"/>
            </w:rPr>
          </w:pPr>
          <w:hyperlink w:anchor="_Toc215232249" w:history="1">
            <w:r w:rsidRPr="00CF163E">
              <w:rPr>
                <w:rStyle w:val="Hyperlink"/>
                <w:noProof/>
              </w:rPr>
              <w:t>Defining Dual Diagnosis in the UK: Policy Versus Practical Reality</w:t>
            </w:r>
            <w:r>
              <w:rPr>
                <w:noProof/>
                <w:webHidden/>
              </w:rPr>
              <w:tab/>
            </w:r>
            <w:r>
              <w:rPr>
                <w:noProof/>
                <w:webHidden/>
              </w:rPr>
              <w:fldChar w:fldCharType="begin"/>
            </w:r>
            <w:r>
              <w:rPr>
                <w:noProof/>
                <w:webHidden/>
              </w:rPr>
              <w:instrText xml:space="preserve"> PAGEREF _Toc215232249 \h </w:instrText>
            </w:r>
            <w:r>
              <w:rPr>
                <w:noProof/>
                <w:webHidden/>
              </w:rPr>
            </w:r>
            <w:r>
              <w:rPr>
                <w:noProof/>
                <w:webHidden/>
              </w:rPr>
              <w:fldChar w:fldCharType="separate"/>
            </w:r>
            <w:r>
              <w:rPr>
                <w:noProof/>
                <w:webHidden/>
              </w:rPr>
              <w:t>4</w:t>
            </w:r>
            <w:r>
              <w:rPr>
                <w:noProof/>
                <w:webHidden/>
              </w:rPr>
              <w:fldChar w:fldCharType="end"/>
            </w:r>
          </w:hyperlink>
        </w:p>
        <w:p w14:paraId="309A6239" w14:textId="019DDEBE" w:rsidR="0058320A" w:rsidRDefault="0058320A">
          <w:pPr>
            <w:pStyle w:val="TOC2"/>
            <w:tabs>
              <w:tab w:val="right" w:leader="dot" w:pos="9016"/>
            </w:tabs>
            <w:rPr>
              <w:noProof/>
              <w:lang w:eastAsia="zh-CN"/>
            </w:rPr>
          </w:pPr>
          <w:hyperlink w:anchor="_Toc215232250" w:history="1">
            <w:r w:rsidRPr="00CF163E">
              <w:rPr>
                <w:rStyle w:val="Hyperlink"/>
                <w:rFonts w:ascii="Arial" w:hAnsi="Arial" w:cs="Arial"/>
                <w:noProof/>
              </w:rPr>
              <w:t>Epidemiology, Prevalence, and Consequences in the Young Adult Cohort</w:t>
            </w:r>
            <w:r>
              <w:rPr>
                <w:noProof/>
                <w:webHidden/>
              </w:rPr>
              <w:tab/>
            </w:r>
            <w:r>
              <w:rPr>
                <w:noProof/>
                <w:webHidden/>
              </w:rPr>
              <w:fldChar w:fldCharType="begin"/>
            </w:r>
            <w:r>
              <w:rPr>
                <w:noProof/>
                <w:webHidden/>
              </w:rPr>
              <w:instrText xml:space="preserve"> PAGEREF _Toc215232250 \h </w:instrText>
            </w:r>
            <w:r>
              <w:rPr>
                <w:noProof/>
                <w:webHidden/>
              </w:rPr>
            </w:r>
            <w:r>
              <w:rPr>
                <w:noProof/>
                <w:webHidden/>
              </w:rPr>
              <w:fldChar w:fldCharType="separate"/>
            </w:r>
            <w:r>
              <w:rPr>
                <w:noProof/>
                <w:webHidden/>
              </w:rPr>
              <w:t>5</w:t>
            </w:r>
            <w:r>
              <w:rPr>
                <w:noProof/>
                <w:webHidden/>
              </w:rPr>
              <w:fldChar w:fldCharType="end"/>
            </w:r>
          </w:hyperlink>
        </w:p>
        <w:p w14:paraId="2DB6ED2A" w14:textId="080EFA58" w:rsidR="0058320A" w:rsidRDefault="0058320A">
          <w:pPr>
            <w:pStyle w:val="TOC2"/>
            <w:tabs>
              <w:tab w:val="right" w:leader="dot" w:pos="9016"/>
            </w:tabs>
            <w:rPr>
              <w:noProof/>
              <w:lang w:eastAsia="zh-CN"/>
            </w:rPr>
          </w:pPr>
          <w:hyperlink w:anchor="_Toc215232251" w:history="1">
            <w:r w:rsidRPr="00CF163E">
              <w:rPr>
                <w:rStyle w:val="Hyperlink"/>
                <w:rFonts w:ascii="Arial" w:hAnsi="Arial" w:cs="Arial"/>
                <w:noProof/>
              </w:rPr>
              <w:t>The Rationale for Integrated Care Pathways (ICPs)</w:t>
            </w:r>
            <w:r>
              <w:rPr>
                <w:noProof/>
                <w:webHidden/>
              </w:rPr>
              <w:tab/>
            </w:r>
            <w:r>
              <w:rPr>
                <w:noProof/>
                <w:webHidden/>
              </w:rPr>
              <w:fldChar w:fldCharType="begin"/>
            </w:r>
            <w:r>
              <w:rPr>
                <w:noProof/>
                <w:webHidden/>
              </w:rPr>
              <w:instrText xml:space="preserve"> PAGEREF _Toc215232251 \h </w:instrText>
            </w:r>
            <w:r>
              <w:rPr>
                <w:noProof/>
                <w:webHidden/>
              </w:rPr>
            </w:r>
            <w:r>
              <w:rPr>
                <w:noProof/>
                <w:webHidden/>
              </w:rPr>
              <w:fldChar w:fldCharType="separate"/>
            </w:r>
            <w:r>
              <w:rPr>
                <w:noProof/>
                <w:webHidden/>
              </w:rPr>
              <w:t>5</w:t>
            </w:r>
            <w:r>
              <w:rPr>
                <w:noProof/>
                <w:webHidden/>
              </w:rPr>
              <w:fldChar w:fldCharType="end"/>
            </w:r>
          </w:hyperlink>
        </w:p>
        <w:p w14:paraId="5DB53089" w14:textId="31E96AE7" w:rsidR="0058320A" w:rsidRDefault="0058320A">
          <w:pPr>
            <w:pStyle w:val="TOC1"/>
            <w:tabs>
              <w:tab w:val="right" w:leader="dot" w:pos="9016"/>
            </w:tabs>
            <w:rPr>
              <w:noProof/>
              <w:lang w:eastAsia="zh-CN"/>
            </w:rPr>
          </w:pPr>
          <w:hyperlink w:anchor="_Toc215232252" w:history="1">
            <w:r w:rsidRPr="00CF163E">
              <w:rPr>
                <w:rStyle w:val="Hyperlink"/>
                <w:rFonts w:ascii="Arial" w:hAnsi="Arial" w:cs="Arial"/>
                <w:noProof/>
              </w:rPr>
              <w:t>Critical Analysis of UK Policy and Identification of the Research Gap</w:t>
            </w:r>
            <w:r>
              <w:rPr>
                <w:noProof/>
                <w:webHidden/>
              </w:rPr>
              <w:tab/>
            </w:r>
            <w:r>
              <w:rPr>
                <w:noProof/>
                <w:webHidden/>
              </w:rPr>
              <w:fldChar w:fldCharType="begin"/>
            </w:r>
            <w:r>
              <w:rPr>
                <w:noProof/>
                <w:webHidden/>
              </w:rPr>
              <w:instrText xml:space="preserve"> PAGEREF _Toc215232252 \h </w:instrText>
            </w:r>
            <w:r>
              <w:rPr>
                <w:noProof/>
                <w:webHidden/>
              </w:rPr>
            </w:r>
            <w:r>
              <w:rPr>
                <w:noProof/>
                <w:webHidden/>
              </w:rPr>
              <w:fldChar w:fldCharType="separate"/>
            </w:r>
            <w:r>
              <w:rPr>
                <w:noProof/>
                <w:webHidden/>
              </w:rPr>
              <w:t>6</w:t>
            </w:r>
            <w:r>
              <w:rPr>
                <w:noProof/>
                <w:webHidden/>
              </w:rPr>
              <w:fldChar w:fldCharType="end"/>
            </w:r>
          </w:hyperlink>
        </w:p>
        <w:p w14:paraId="0B13CE2A" w14:textId="2147B143" w:rsidR="0058320A" w:rsidRDefault="0058320A">
          <w:pPr>
            <w:pStyle w:val="TOC2"/>
            <w:tabs>
              <w:tab w:val="right" w:leader="dot" w:pos="9016"/>
            </w:tabs>
            <w:rPr>
              <w:noProof/>
              <w:lang w:eastAsia="zh-CN"/>
            </w:rPr>
          </w:pPr>
          <w:hyperlink w:anchor="_Toc215232253" w:history="1">
            <w:r w:rsidRPr="00CF163E">
              <w:rPr>
                <w:rStyle w:val="Hyperlink"/>
                <w:rFonts w:ascii="Arial" w:hAnsi="Arial" w:cs="Arial"/>
                <w:noProof/>
              </w:rPr>
              <w:t>Policy Mandates and Structural Barriers to Integrated Implementation</w:t>
            </w:r>
            <w:r>
              <w:rPr>
                <w:noProof/>
                <w:webHidden/>
              </w:rPr>
              <w:tab/>
            </w:r>
            <w:r>
              <w:rPr>
                <w:noProof/>
                <w:webHidden/>
              </w:rPr>
              <w:fldChar w:fldCharType="begin"/>
            </w:r>
            <w:r>
              <w:rPr>
                <w:noProof/>
                <w:webHidden/>
              </w:rPr>
              <w:instrText xml:space="preserve"> PAGEREF _Toc215232253 \h </w:instrText>
            </w:r>
            <w:r>
              <w:rPr>
                <w:noProof/>
                <w:webHidden/>
              </w:rPr>
            </w:r>
            <w:r>
              <w:rPr>
                <w:noProof/>
                <w:webHidden/>
              </w:rPr>
              <w:fldChar w:fldCharType="separate"/>
            </w:r>
            <w:r>
              <w:rPr>
                <w:noProof/>
                <w:webHidden/>
              </w:rPr>
              <w:t>6</w:t>
            </w:r>
            <w:r>
              <w:rPr>
                <w:noProof/>
                <w:webHidden/>
              </w:rPr>
              <w:fldChar w:fldCharType="end"/>
            </w:r>
          </w:hyperlink>
        </w:p>
        <w:p w14:paraId="11D8E54C" w14:textId="72F4C8C1" w:rsidR="0058320A" w:rsidRDefault="0058320A">
          <w:pPr>
            <w:pStyle w:val="TOC2"/>
            <w:tabs>
              <w:tab w:val="right" w:leader="dot" w:pos="9016"/>
            </w:tabs>
            <w:rPr>
              <w:noProof/>
              <w:lang w:eastAsia="zh-CN"/>
            </w:rPr>
          </w:pPr>
          <w:hyperlink w:anchor="_Toc215232254" w:history="1">
            <w:r w:rsidRPr="00CF163E">
              <w:rPr>
                <w:rStyle w:val="Hyperlink"/>
                <w:rFonts w:ascii="Arial" w:hAnsi="Arial" w:cs="Arial"/>
                <w:noProof/>
              </w:rPr>
              <w:t>Structural Barriers and Implementation Failures:</w:t>
            </w:r>
            <w:r>
              <w:rPr>
                <w:noProof/>
                <w:webHidden/>
              </w:rPr>
              <w:tab/>
            </w:r>
            <w:r>
              <w:rPr>
                <w:noProof/>
                <w:webHidden/>
              </w:rPr>
              <w:fldChar w:fldCharType="begin"/>
            </w:r>
            <w:r>
              <w:rPr>
                <w:noProof/>
                <w:webHidden/>
              </w:rPr>
              <w:instrText xml:space="preserve"> PAGEREF _Toc215232254 \h </w:instrText>
            </w:r>
            <w:r>
              <w:rPr>
                <w:noProof/>
                <w:webHidden/>
              </w:rPr>
            </w:r>
            <w:r>
              <w:rPr>
                <w:noProof/>
                <w:webHidden/>
              </w:rPr>
              <w:fldChar w:fldCharType="separate"/>
            </w:r>
            <w:r>
              <w:rPr>
                <w:noProof/>
                <w:webHidden/>
              </w:rPr>
              <w:t>7</w:t>
            </w:r>
            <w:r>
              <w:rPr>
                <w:noProof/>
                <w:webHidden/>
              </w:rPr>
              <w:fldChar w:fldCharType="end"/>
            </w:r>
          </w:hyperlink>
        </w:p>
        <w:p w14:paraId="48E14563" w14:textId="646596E6" w:rsidR="0058320A" w:rsidRDefault="0058320A">
          <w:pPr>
            <w:pStyle w:val="TOC2"/>
            <w:tabs>
              <w:tab w:val="right" w:leader="dot" w:pos="9016"/>
            </w:tabs>
            <w:rPr>
              <w:noProof/>
              <w:lang w:eastAsia="zh-CN"/>
            </w:rPr>
          </w:pPr>
          <w:hyperlink w:anchor="_Toc215232255" w:history="1">
            <w:r w:rsidRPr="00CF163E">
              <w:rPr>
                <w:rStyle w:val="Hyperlink"/>
                <w:rFonts w:ascii="Arial" w:hAnsi="Arial" w:cs="Arial"/>
                <w:noProof/>
              </w:rPr>
              <w:t>Limitations in Existing Evaluation Studies</w:t>
            </w:r>
            <w:r>
              <w:rPr>
                <w:noProof/>
                <w:webHidden/>
              </w:rPr>
              <w:tab/>
            </w:r>
            <w:r>
              <w:rPr>
                <w:noProof/>
                <w:webHidden/>
              </w:rPr>
              <w:fldChar w:fldCharType="begin"/>
            </w:r>
            <w:r>
              <w:rPr>
                <w:noProof/>
                <w:webHidden/>
              </w:rPr>
              <w:instrText xml:space="preserve"> PAGEREF _Toc215232255 \h </w:instrText>
            </w:r>
            <w:r>
              <w:rPr>
                <w:noProof/>
                <w:webHidden/>
              </w:rPr>
            </w:r>
            <w:r>
              <w:rPr>
                <w:noProof/>
                <w:webHidden/>
              </w:rPr>
              <w:fldChar w:fldCharType="separate"/>
            </w:r>
            <w:r>
              <w:rPr>
                <w:noProof/>
                <w:webHidden/>
              </w:rPr>
              <w:t>8</w:t>
            </w:r>
            <w:r>
              <w:rPr>
                <w:noProof/>
                <w:webHidden/>
              </w:rPr>
              <w:fldChar w:fldCharType="end"/>
            </w:r>
          </w:hyperlink>
        </w:p>
        <w:p w14:paraId="052FCA53" w14:textId="3FC1BCA1" w:rsidR="0058320A" w:rsidRDefault="0058320A">
          <w:pPr>
            <w:pStyle w:val="TOC2"/>
            <w:tabs>
              <w:tab w:val="right" w:leader="dot" w:pos="9016"/>
            </w:tabs>
            <w:rPr>
              <w:noProof/>
              <w:lang w:eastAsia="zh-CN"/>
            </w:rPr>
          </w:pPr>
          <w:hyperlink w:anchor="_Toc215232256" w:history="1">
            <w:r w:rsidRPr="00CF163E">
              <w:rPr>
                <w:rStyle w:val="Hyperlink"/>
                <w:rFonts w:ascii="Arial" w:hAnsi="Arial" w:cs="Arial"/>
                <w:noProof/>
              </w:rPr>
              <w:t>Articulating the Knowledge Gap and Defining Central Research Questions</w:t>
            </w:r>
            <w:r>
              <w:rPr>
                <w:noProof/>
                <w:webHidden/>
              </w:rPr>
              <w:tab/>
            </w:r>
            <w:r>
              <w:rPr>
                <w:noProof/>
                <w:webHidden/>
              </w:rPr>
              <w:fldChar w:fldCharType="begin"/>
            </w:r>
            <w:r>
              <w:rPr>
                <w:noProof/>
                <w:webHidden/>
              </w:rPr>
              <w:instrText xml:space="preserve"> PAGEREF _Toc215232256 \h </w:instrText>
            </w:r>
            <w:r>
              <w:rPr>
                <w:noProof/>
                <w:webHidden/>
              </w:rPr>
            </w:r>
            <w:r>
              <w:rPr>
                <w:noProof/>
                <w:webHidden/>
              </w:rPr>
              <w:fldChar w:fldCharType="separate"/>
            </w:r>
            <w:r>
              <w:rPr>
                <w:noProof/>
                <w:webHidden/>
              </w:rPr>
              <w:t>8</w:t>
            </w:r>
            <w:r>
              <w:rPr>
                <w:noProof/>
                <w:webHidden/>
              </w:rPr>
              <w:fldChar w:fldCharType="end"/>
            </w:r>
          </w:hyperlink>
        </w:p>
        <w:p w14:paraId="15718016" w14:textId="4FF73167" w:rsidR="0058320A" w:rsidRDefault="0058320A">
          <w:pPr>
            <w:pStyle w:val="TOC1"/>
            <w:tabs>
              <w:tab w:val="right" w:leader="dot" w:pos="9016"/>
            </w:tabs>
            <w:rPr>
              <w:noProof/>
              <w:lang w:eastAsia="zh-CN"/>
            </w:rPr>
          </w:pPr>
          <w:hyperlink w:anchor="_Toc215232257" w:history="1">
            <w:r w:rsidRPr="00CF163E">
              <w:rPr>
                <w:rStyle w:val="Hyperlink"/>
                <w:rFonts w:ascii="Arial" w:hAnsi="Arial" w:cs="Arial"/>
                <w:noProof/>
              </w:rPr>
              <w:t>Systematic Review Methodology and Protocol</w:t>
            </w:r>
            <w:r>
              <w:rPr>
                <w:noProof/>
                <w:webHidden/>
              </w:rPr>
              <w:tab/>
            </w:r>
            <w:r>
              <w:rPr>
                <w:noProof/>
                <w:webHidden/>
              </w:rPr>
              <w:fldChar w:fldCharType="begin"/>
            </w:r>
            <w:r>
              <w:rPr>
                <w:noProof/>
                <w:webHidden/>
              </w:rPr>
              <w:instrText xml:space="preserve"> PAGEREF _Toc215232257 \h </w:instrText>
            </w:r>
            <w:r>
              <w:rPr>
                <w:noProof/>
                <w:webHidden/>
              </w:rPr>
            </w:r>
            <w:r>
              <w:rPr>
                <w:noProof/>
                <w:webHidden/>
              </w:rPr>
              <w:fldChar w:fldCharType="separate"/>
            </w:r>
            <w:r>
              <w:rPr>
                <w:noProof/>
                <w:webHidden/>
              </w:rPr>
              <w:t>9</w:t>
            </w:r>
            <w:r>
              <w:rPr>
                <w:noProof/>
                <w:webHidden/>
              </w:rPr>
              <w:fldChar w:fldCharType="end"/>
            </w:r>
          </w:hyperlink>
        </w:p>
        <w:p w14:paraId="3E4B8CBB" w14:textId="7E89D2BD" w:rsidR="0058320A" w:rsidRDefault="0058320A">
          <w:pPr>
            <w:pStyle w:val="TOC2"/>
            <w:tabs>
              <w:tab w:val="right" w:leader="dot" w:pos="9016"/>
            </w:tabs>
            <w:rPr>
              <w:noProof/>
              <w:lang w:eastAsia="zh-CN"/>
            </w:rPr>
          </w:pPr>
          <w:hyperlink w:anchor="_Toc215232258" w:history="1">
            <w:r w:rsidRPr="00CF163E">
              <w:rPr>
                <w:rStyle w:val="Hyperlink"/>
                <w:rFonts w:ascii="Arial" w:hAnsi="Arial" w:cs="Arial"/>
                <w:noProof/>
              </w:rPr>
              <w:t>Review Aims, Objectives, and Protocol Registration</w:t>
            </w:r>
            <w:r>
              <w:rPr>
                <w:noProof/>
                <w:webHidden/>
              </w:rPr>
              <w:tab/>
            </w:r>
            <w:r>
              <w:rPr>
                <w:noProof/>
                <w:webHidden/>
              </w:rPr>
              <w:fldChar w:fldCharType="begin"/>
            </w:r>
            <w:r>
              <w:rPr>
                <w:noProof/>
                <w:webHidden/>
              </w:rPr>
              <w:instrText xml:space="preserve"> PAGEREF _Toc215232258 \h </w:instrText>
            </w:r>
            <w:r>
              <w:rPr>
                <w:noProof/>
                <w:webHidden/>
              </w:rPr>
            </w:r>
            <w:r>
              <w:rPr>
                <w:noProof/>
                <w:webHidden/>
              </w:rPr>
              <w:fldChar w:fldCharType="separate"/>
            </w:r>
            <w:r>
              <w:rPr>
                <w:noProof/>
                <w:webHidden/>
              </w:rPr>
              <w:t>9</w:t>
            </w:r>
            <w:r>
              <w:rPr>
                <w:noProof/>
                <w:webHidden/>
              </w:rPr>
              <w:fldChar w:fldCharType="end"/>
            </w:r>
          </w:hyperlink>
        </w:p>
        <w:p w14:paraId="7362B95F" w14:textId="64F86C4E" w:rsidR="0058320A" w:rsidRDefault="0058320A">
          <w:pPr>
            <w:pStyle w:val="TOC2"/>
            <w:tabs>
              <w:tab w:val="right" w:leader="dot" w:pos="9016"/>
            </w:tabs>
            <w:rPr>
              <w:noProof/>
              <w:lang w:eastAsia="zh-CN"/>
            </w:rPr>
          </w:pPr>
          <w:hyperlink w:anchor="_Toc215232259" w:history="1">
            <w:r w:rsidRPr="00CF163E">
              <w:rPr>
                <w:rStyle w:val="Hyperlink"/>
                <w:rFonts w:ascii="Arial" w:hAnsi="Arial" w:cs="Arial"/>
                <w:noProof/>
              </w:rPr>
              <w:t>Defining the Scope: PICO Statement Formulation</w:t>
            </w:r>
            <w:r>
              <w:rPr>
                <w:noProof/>
                <w:webHidden/>
              </w:rPr>
              <w:tab/>
            </w:r>
            <w:r>
              <w:rPr>
                <w:noProof/>
                <w:webHidden/>
              </w:rPr>
              <w:fldChar w:fldCharType="begin"/>
            </w:r>
            <w:r>
              <w:rPr>
                <w:noProof/>
                <w:webHidden/>
              </w:rPr>
              <w:instrText xml:space="preserve"> PAGEREF _Toc215232259 \h </w:instrText>
            </w:r>
            <w:r>
              <w:rPr>
                <w:noProof/>
                <w:webHidden/>
              </w:rPr>
            </w:r>
            <w:r>
              <w:rPr>
                <w:noProof/>
                <w:webHidden/>
              </w:rPr>
              <w:fldChar w:fldCharType="separate"/>
            </w:r>
            <w:r>
              <w:rPr>
                <w:noProof/>
                <w:webHidden/>
              </w:rPr>
              <w:t>9</w:t>
            </w:r>
            <w:r>
              <w:rPr>
                <w:noProof/>
                <w:webHidden/>
              </w:rPr>
              <w:fldChar w:fldCharType="end"/>
            </w:r>
          </w:hyperlink>
        </w:p>
        <w:p w14:paraId="2D6E70BE" w14:textId="5FF3DC73" w:rsidR="0058320A" w:rsidRDefault="0058320A">
          <w:pPr>
            <w:pStyle w:val="TOC3"/>
            <w:tabs>
              <w:tab w:val="right" w:leader="dot" w:pos="9016"/>
            </w:tabs>
            <w:rPr>
              <w:noProof/>
              <w:lang w:eastAsia="zh-CN"/>
            </w:rPr>
          </w:pPr>
          <w:hyperlink w:anchor="_Toc215232260" w:history="1">
            <w:r w:rsidRPr="00CF163E">
              <w:rPr>
                <w:rStyle w:val="Hyperlink"/>
                <w:rFonts w:ascii="Arial" w:hAnsi="Arial" w:cs="Arial"/>
                <w:noProof/>
              </w:rPr>
              <w:t>Table: PICO Statement for Proposed Systematic Review</w:t>
            </w:r>
            <w:r>
              <w:rPr>
                <w:noProof/>
                <w:webHidden/>
              </w:rPr>
              <w:tab/>
            </w:r>
            <w:r>
              <w:rPr>
                <w:noProof/>
                <w:webHidden/>
              </w:rPr>
              <w:fldChar w:fldCharType="begin"/>
            </w:r>
            <w:r>
              <w:rPr>
                <w:noProof/>
                <w:webHidden/>
              </w:rPr>
              <w:instrText xml:space="preserve"> PAGEREF _Toc215232260 \h </w:instrText>
            </w:r>
            <w:r>
              <w:rPr>
                <w:noProof/>
                <w:webHidden/>
              </w:rPr>
            </w:r>
            <w:r>
              <w:rPr>
                <w:noProof/>
                <w:webHidden/>
              </w:rPr>
              <w:fldChar w:fldCharType="separate"/>
            </w:r>
            <w:r>
              <w:rPr>
                <w:noProof/>
                <w:webHidden/>
              </w:rPr>
              <w:t>10</w:t>
            </w:r>
            <w:r>
              <w:rPr>
                <w:noProof/>
                <w:webHidden/>
              </w:rPr>
              <w:fldChar w:fldCharType="end"/>
            </w:r>
          </w:hyperlink>
        </w:p>
        <w:p w14:paraId="00E7ECFD" w14:textId="73191947" w:rsidR="0058320A" w:rsidRDefault="0058320A">
          <w:pPr>
            <w:pStyle w:val="TOC2"/>
            <w:tabs>
              <w:tab w:val="right" w:leader="dot" w:pos="9016"/>
            </w:tabs>
            <w:rPr>
              <w:noProof/>
              <w:lang w:eastAsia="zh-CN"/>
            </w:rPr>
          </w:pPr>
          <w:hyperlink w:anchor="_Toc215232261" w:history="1">
            <w:r w:rsidRPr="00CF163E">
              <w:rPr>
                <w:rStyle w:val="Hyperlink"/>
                <w:rFonts w:ascii="Arial" w:hAnsi="Arial" w:cs="Arial"/>
                <w:noProof/>
              </w:rPr>
              <w:t>Search Strategy Development: Databases, Terms, and Timeframes</w:t>
            </w:r>
            <w:r>
              <w:rPr>
                <w:noProof/>
                <w:webHidden/>
              </w:rPr>
              <w:tab/>
            </w:r>
            <w:r>
              <w:rPr>
                <w:noProof/>
                <w:webHidden/>
              </w:rPr>
              <w:fldChar w:fldCharType="begin"/>
            </w:r>
            <w:r>
              <w:rPr>
                <w:noProof/>
                <w:webHidden/>
              </w:rPr>
              <w:instrText xml:space="preserve"> PAGEREF _Toc215232261 \h </w:instrText>
            </w:r>
            <w:r>
              <w:rPr>
                <w:noProof/>
                <w:webHidden/>
              </w:rPr>
            </w:r>
            <w:r>
              <w:rPr>
                <w:noProof/>
                <w:webHidden/>
              </w:rPr>
              <w:fldChar w:fldCharType="separate"/>
            </w:r>
            <w:r>
              <w:rPr>
                <w:noProof/>
                <w:webHidden/>
              </w:rPr>
              <w:t>11</w:t>
            </w:r>
            <w:r>
              <w:rPr>
                <w:noProof/>
                <w:webHidden/>
              </w:rPr>
              <w:fldChar w:fldCharType="end"/>
            </w:r>
          </w:hyperlink>
        </w:p>
        <w:p w14:paraId="5C7B4FB8" w14:textId="02ABFA62" w:rsidR="0058320A" w:rsidRDefault="0058320A">
          <w:pPr>
            <w:pStyle w:val="TOC3"/>
            <w:tabs>
              <w:tab w:val="right" w:leader="dot" w:pos="9016"/>
            </w:tabs>
            <w:rPr>
              <w:noProof/>
              <w:lang w:eastAsia="zh-CN"/>
            </w:rPr>
          </w:pPr>
          <w:hyperlink w:anchor="_Toc215232262" w:history="1">
            <w:r w:rsidRPr="00CF163E">
              <w:rPr>
                <w:rStyle w:val="Hyperlink"/>
                <w:rFonts w:ascii="Arial" w:hAnsi="Arial" w:cs="Arial"/>
                <w:noProof/>
              </w:rPr>
              <w:t>Academic Database Selection</w:t>
            </w:r>
            <w:r>
              <w:rPr>
                <w:noProof/>
                <w:webHidden/>
              </w:rPr>
              <w:tab/>
            </w:r>
            <w:r>
              <w:rPr>
                <w:noProof/>
                <w:webHidden/>
              </w:rPr>
              <w:fldChar w:fldCharType="begin"/>
            </w:r>
            <w:r>
              <w:rPr>
                <w:noProof/>
                <w:webHidden/>
              </w:rPr>
              <w:instrText xml:space="preserve"> PAGEREF _Toc215232262 \h </w:instrText>
            </w:r>
            <w:r>
              <w:rPr>
                <w:noProof/>
                <w:webHidden/>
              </w:rPr>
            </w:r>
            <w:r>
              <w:rPr>
                <w:noProof/>
                <w:webHidden/>
              </w:rPr>
              <w:fldChar w:fldCharType="separate"/>
            </w:r>
            <w:r>
              <w:rPr>
                <w:noProof/>
                <w:webHidden/>
              </w:rPr>
              <w:t>11</w:t>
            </w:r>
            <w:r>
              <w:rPr>
                <w:noProof/>
                <w:webHidden/>
              </w:rPr>
              <w:fldChar w:fldCharType="end"/>
            </w:r>
          </w:hyperlink>
        </w:p>
        <w:p w14:paraId="01AE2D53" w14:textId="1D0B9DE6" w:rsidR="0058320A" w:rsidRDefault="0058320A">
          <w:pPr>
            <w:pStyle w:val="TOC3"/>
            <w:tabs>
              <w:tab w:val="right" w:leader="dot" w:pos="9016"/>
            </w:tabs>
            <w:rPr>
              <w:noProof/>
              <w:lang w:eastAsia="zh-CN"/>
            </w:rPr>
          </w:pPr>
          <w:hyperlink w:anchor="_Toc215232263" w:history="1">
            <w:r w:rsidRPr="00CF163E">
              <w:rPr>
                <w:rStyle w:val="Hyperlink"/>
                <w:rFonts w:ascii="Arial" w:hAnsi="Arial" w:cs="Arial"/>
                <w:noProof/>
              </w:rPr>
              <w:t>Timeframe Justification and Search Terms</w:t>
            </w:r>
            <w:r>
              <w:rPr>
                <w:noProof/>
                <w:webHidden/>
              </w:rPr>
              <w:tab/>
            </w:r>
            <w:r>
              <w:rPr>
                <w:noProof/>
                <w:webHidden/>
              </w:rPr>
              <w:fldChar w:fldCharType="begin"/>
            </w:r>
            <w:r>
              <w:rPr>
                <w:noProof/>
                <w:webHidden/>
              </w:rPr>
              <w:instrText xml:space="preserve"> PAGEREF _Toc215232263 \h </w:instrText>
            </w:r>
            <w:r>
              <w:rPr>
                <w:noProof/>
                <w:webHidden/>
              </w:rPr>
            </w:r>
            <w:r>
              <w:rPr>
                <w:noProof/>
                <w:webHidden/>
              </w:rPr>
              <w:fldChar w:fldCharType="separate"/>
            </w:r>
            <w:r>
              <w:rPr>
                <w:noProof/>
                <w:webHidden/>
              </w:rPr>
              <w:t>12</w:t>
            </w:r>
            <w:r>
              <w:rPr>
                <w:noProof/>
                <w:webHidden/>
              </w:rPr>
              <w:fldChar w:fldCharType="end"/>
            </w:r>
          </w:hyperlink>
        </w:p>
        <w:p w14:paraId="120D822D" w14:textId="7F3DECB7" w:rsidR="0058320A" w:rsidRDefault="0058320A">
          <w:pPr>
            <w:pStyle w:val="TOC3"/>
            <w:tabs>
              <w:tab w:val="right" w:leader="dot" w:pos="9016"/>
            </w:tabs>
            <w:rPr>
              <w:noProof/>
              <w:lang w:eastAsia="zh-CN"/>
            </w:rPr>
          </w:pPr>
          <w:hyperlink w:anchor="_Toc215232264" w:history="1">
            <w:r w:rsidRPr="00CF163E">
              <w:rPr>
                <w:rStyle w:val="Hyperlink"/>
                <w:rFonts w:ascii="Arial" w:hAnsi="Arial" w:cs="Arial"/>
                <w:noProof/>
              </w:rPr>
              <w:t>Example Search Term String Components</w:t>
            </w:r>
            <w:r>
              <w:rPr>
                <w:noProof/>
                <w:webHidden/>
              </w:rPr>
              <w:tab/>
            </w:r>
            <w:r>
              <w:rPr>
                <w:noProof/>
                <w:webHidden/>
              </w:rPr>
              <w:fldChar w:fldCharType="begin"/>
            </w:r>
            <w:r>
              <w:rPr>
                <w:noProof/>
                <w:webHidden/>
              </w:rPr>
              <w:instrText xml:space="preserve"> PAGEREF _Toc215232264 \h </w:instrText>
            </w:r>
            <w:r>
              <w:rPr>
                <w:noProof/>
                <w:webHidden/>
              </w:rPr>
            </w:r>
            <w:r>
              <w:rPr>
                <w:noProof/>
                <w:webHidden/>
              </w:rPr>
              <w:fldChar w:fldCharType="separate"/>
            </w:r>
            <w:r>
              <w:rPr>
                <w:noProof/>
                <w:webHidden/>
              </w:rPr>
              <w:t>12</w:t>
            </w:r>
            <w:r>
              <w:rPr>
                <w:noProof/>
                <w:webHidden/>
              </w:rPr>
              <w:fldChar w:fldCharType="end"/>
            </w:r>
          </w:hyperlink>
        </w:p>
        <w:p w14:paraId="2B47B498" w14:textId="286B7958" w:rsidR="0058320A" w:rsidRDefault="0058320A">
          <w:pPr>
            <w:pStyle w:val="TOC1"/>
            <w:tabs>
              <w:tab w:val="right" w:leader="dot" w:pos="9016"/>
            </w:tabs>
            <w:rPr>
              <w:noProof/>
              <w:lang w:eastAsia="zh-CN"/>
            </w:rPr>
          </w:pPr>
          <w:hyperlink w:anchor="_Toc215232265" w:history="1">
            <w:r w:rsidRPr="00CF163E">
              <w:rPr>
                <w:rStyle w:val="Hyperlink"/>
                <w:rFonts w:ascii="Arial" w:hAnsi="Arial" w:cs="Arial"/>
                <w:noProof/>
              </w:rPr>
              <w:t>Study Selection, Quality Appraisal, and Data Synthesis</w:t>
            </w:r>
            <w:r>
              <w:rPr>
                <w:noProof/>
                <w:webHidden/>
              </w:rPr>
              <w:tab/>
            </w:r>
            <w:r>
              <w:rPr>
                <w:noProof/>
                <w:webHidden/>
              </w:rPr>
              <w:fldChar w:fldCharType="begin"/>
            </w:r>
            <w:r>
              <w:rPr>
                <w:noProof/>
                <w:webHidden/>
              </w:rPr>
              <w:instrText xml:space="preserve"> PAGEREF _Toc215232265 \h </w:instrText>
            </w:r>
            <w:r>
              <w:rPr>
                <w:noProof/>
                <w:webHidden/>
              </w:rPr>
            </w:r>
            <w:r>
              <w:rPr>
                <w:noProof/>
                <w:webHidden/>
              </w:rPr>
              <w:fldChar w:fldCharType="separate"/>
            </w:r>
            <w:r>
              <w:rPr>
                <w:noProof/>
                <w:webHidden/>
              </w:rPr>
              <w:t>13</w:t>
            </w:r>
            <w:r>
              <w:rPr>
                <w:noProof/>
                <w:webHidden/>
              </w:rPr>
              <w:fldChar w:fldCharType="end"/>
            </w:r>
          </w:hyperlink>
        </w:p>
        <w:p w14:paraId="78E7F731" w14:textId="2B410D4C" w:rsidR="0058320A" w:rsidRDefault="0058320A">
          <w:pPr>
            <w:pStyle w:val="TOC2"/>
            <w:tabs>
              <w:tab w:val="right" w:leader="dot" w:pos="9016"/>
            </w:tabs>
            <w:rPr>
              <w:noProof/>
              <w:lang w:eastAsia="zh-CN"/>
            </w:rPr>
          </w:pPr>
          <w:hyperlink w:anchor="_Toc215232266" w:history="1">
            <w:r w:rsidRPr="00CF163E">
              <w:rPr>
                <w:rStyle w:val="Hyperlink"/>
                <w:rFonts w:ascii="Arial" w:hAnsi="Arial" w:cs="Arial"/>
                <w:noProof/>
              </w:rPr>
              <w:t>Study Selection and PRISMA Adherence</w:t>
            </w:r>
            <w:r>
              <w:rPr>
                <w:noProof/>
                <w:webHidden/>
              </w:rPr>
              <w:tab/>
            </w:r>
            <w:r>
              <w:rPr>
                <w:noProof/>
                <w:webHidden/>
              </w:rPr>
              <w:fldChar w:fldCharType="begin"/>
            </w:r>
            <w:r>
              <w:rPr>
                <w:noProof/>
                <w:webHidden/>
              </w:rPr>
              <w:instrText xml:space="preserve"> PAGEREF _Toc215232266 \h </w:instrText>
            </w:r>
            <w:r>
              <w:rPr>
                <w:noProof/>
                <w:webHidden/>
              </w:rPr>
            </w:r>
            <w:r>
              <w:rPr>
                <w:noProof/>
                <w:webHidden/>
              </w:rPr>
              <w:fldChar w:fldCharType="separate"/>
            </w:r>
            <w:r>
              <w:rPr>
                <w:noProof/>
                <w:webHidden/>
              </w:rPr>
              <w:t>13</w:t>
            </w:r>
            <w:r>
              <w:rPr>
                <w:noProof/>
                <w:webHidden/>
              </w:rPr>
              <w:fldChar w:fldCharType="end"/>
            </w:r>
          </w:hyperlink>
        </w:p>
        <w:p w14:paraId="76031A0B" w14:textId="398723E4" w:rsidR="0058320A" w:rsidRDefault="0058320A">
          <w:pPr>
            <w:pStyle w:val="TOC2"/>
            <w:tabs>
              <w:tab w:val="right" w:leader="dot" w:pos="9016"/>
            </w:tabs>
            <w:rPr>
              <w:noProof/>
              <w:lang w:eastAsia="zh-CN"/>
            </w:rPr>
          </w:pPr>
          <w:hyperlink w:anchor="_Toc215232267" w:history="1">
            <w:r w:rsidRPr="00CF163E">
              <w:rPr>
                <w:rStyle w:val="Hyperlink"/>
                <w:rFonts w:ascii="Arial" w:hAnsi="Arial" w:cs="Arial"/>
                <w:noProof/>
              </w:rPr>
              <w:t>Quality Appraisal and Risk of Bias Assessment</w:t>
            </w:r>
            <w:r>
              <w:rPr>
                <w:noProof/>
                <w:webHidden/>
              </w:rPr>
              <w:tab/>
            </w:r>
            <w:r>
              <w:rPr>
                <w:noProof/>
                <w:webHidden/>
              </w:rPr>
              <w:fldChar w:fldCharType="begin"/>
            </w:r>
            <w:r>
              <w:rPr>
                <w:noProof/>
                <w:webHidden/>
              </w:rPr>
              <w:instrText xml:space="preserve"> PAGEREF _Toc215232267 \h </w:instrText>
            </w:r>
            <w:r>
              <w:rPr>
                <w:noProof/>
                <w:webHidden/>
              </w:rPr>
            </w:r>
            <w:r>
              <w:rPr>
                <w:noProof/>
                <w:webHidden/>
              </w:rPr>
              <w:fldChar w:fldCharType="separate"/>
            </w:r>
            <w:r>
              <w:rPr>
                <w:noProof/>
                <w:webHidden/>
              </w:rPr>
              <w:t>14</w:t>
            </w:r>
            <w:r>
              <w:rPr>
                <w:noProof/>
                <w:webHidden/>
              </w:rPr>
              <w:fldChar w:fldCharType="end"/>
            </w:r>
          </w:hyperlink>
        </w:p>
        <w:p w14:paraId="700B12F3" w14:textId="04738D66" w:rsidR="0058320A" w:rsidRDefault="0058320A">
          <w:pPr>
            <w:pStyle w:val="TOC2"/>
            <w:tabs>
              <w:tab w:val="right" w:leader="dot" w:pos="9016"/>
            </w:tabs>
            <w:rPr>
              <w:noProof/>
              <w:lang w:eastAsia="zh-CN"/>
            </w:rPr>
          </w:pPr>
          <w:hyperlink w:anchor="_Toc215232268" w:history="1">
            <w:r w:rsidRPr="00CF163E">
              <w:rPr>
                <w:rStyle w:val="Hyperlink"/>
                <w:rFonts w:ascii="Arial" w:hAnsi="Arial" w:cs="Arial"/>
                <w:noProof/>
              </w:rPr>
              <w:t>Data Extraction and Synthesis Methods</w:t>
            </w:r>
            <w:r>
              <w:rPr>
                <w:noProof/>
                <w:webHidden/>
              </w:rPr>
              <w:tab/>
            </w:r>
            <w:r>
              <w:rPr>
                <w:noProof/>
                <w:webHidden/>
              </w:rPr>
              <w:fldChar w:fldCharType="begin"/>
            </w:r>
            <w:r>
              <w:rPr>
                <w:noProof/>
                <w:webHidden/>
              </w:rPr>
              <w:instrText xml:space="preserve"> PAGEREF _Toc215232268 \h </w:instrText>
            </w:r>
            <w:r>
              <w:rPr>
                <w:noProof/>
                <w:webHidden/>
              </w:rPr>
            </w:r>
            <w:r>
              <w:rPr>
                <w:noProof/>
                <w:webHidden/>
              </w:rPr>
              <w:fldChar w:fldCharType="separate"/>
            </w:r>
            <w:r>
              <w:rPr>
                <w:noProof/>
                <w:webHidden/>
              </w:rPr>
              <w:t>14</w:t>
            </w:r>
            <w:r>
              <w:rPr>
                <w:noProof/>
                <w:webHidden/>
              </w:rPr>
              <w:fldChar w:fldCharType="end"/>
            </w:r>
          </w:hyperlink>
        </w:p>
        <w:p w14:paraId="73E2F753" w14:textId="1BCE7C5C" w:rsidR="0058320A" w:rsidRDefault="0058320A">
          <w:pPr>
            <w:pStyle w:val="TOC2"/>
            <w:tabs>
              <w:tab w:val="right" w:leader="dot" w:pos="9016"/>
            </w:tabs>
            <w:rPr>
              <w:noProof/>
              <w:lang w:eastAsia="zh-CN"/>
            </w:rPr>
          </w:pPr>
          <w:hyperlink w:anchor="_Toc215232269" w:history="1">
            <w:r w:rsidRPr="00CF163E">
              <w:rPr>
                <w:rStyle w:val="Hyperlink"/>
                <w:rFonts w:ascii="Arial" w:hAnsi="Arial" w:cs="Arial"/>
                <w:noProof/>
              </w:rPr>
              <w:t>Mixed-Methods Narrative Synthesis</w:t>
            </w:r>
            <w:r>
              <w:rPr>
                <w:noProof/>
                <w:webHidden/>
              </w:rPr>
              <w:tab/>
            </w:r>
            <w:r>
              <w:rPr>
                <w:noProof/>
                <w:webHidden/>
              </w:rPr>
              <w:fldChar w:fldCharType="begin"/>
            </w:r>
            <w:r>
              <w:rPr>
                <w:noProof/>
                <w:webHidden/>
              </w:rPr>
              <w:instrText xml:space="preserve"> PAGEREF _Toc215232269 \h </w:instrText>
            </w:r>
            <w:r>
              <w:rPr>
                <w:noProof/>
                <w:webHidden/>
              </w:rPr>
            </w:r>
            <w:r>
              <w:rPr>
                <w:noProof/>
                <w:webHidden/>
              </w:rPr>
              <w:fldChar w:fldCharType="separate"/>
            </w:r>
            <w:r>
              <w:rPr>
                <w:noProof/>
                <w:webHidden/>
              </w:rPr>
              <w:t>15</w:t>
            </w:r>
            <w:r>
              <w:rPr>
                <w:noProof/>
                <w:webHidden/>
              </w:rPr>
              <w:fldChar w:fldCharType="end"/>
            </w:r>
          </w:hyperlink>
        </w:p>
        <w:p w14:paraId="65371F84" w14:textId="2C187A48" w:rsidR="0058320A" w:rsidRDefault="0058320A">
          <w:pPr>
            <w:pStyle w:val="TOC2"/>
            <w:tabs>
              <w:tab w:val="right" w:leader="dot" w:pos="9016"/>
            </w:tabs>
            <w:rPr>
              <w:noProof/>
              <w:lang w:eastAsia="zh-CN"/>
            </w:rPr>
          </w:pPr>
          <w:hyperlink w:anchor="_Toc215232270" w:history="1">
            <w:r w:rsidRPr="00CF163E">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_Toc215232270 \h </w:instrText>
            </w:r>
            <w:r>
              <w:rPr>
                <w:noProof/>
                <w:webHidden/>
              </w:rPr>
            </w:r>
            <w:r>
              <w:rPr>
                <w:noProof/>
                <w:webHidden/>
              </w:rPr>
              <w:fldChar w:fldCharType="separate"/>
            </w:r>
            <w:r>
              <w:rPr>
                <w:noProof/>
                <w:webHidden/>
              </w:rPr>
              <w:t>15</w:t>
            </w:r>
            <w:r>
              <w:rPr>
                <w:noProof/>
                <w:webHidden/>
              </w:rPr>
              <w:fldChar w:fldCharType="end"/>
            </w:r>
          </w:hyperlink>
        </w:p>
        <w:p w14:paraId="0EC0E83E" w14:textId="2970A9E6" w:rsidR="0058320A" w:rsidRDefault="0058320A">
          <w:pPr>
            <w:pStyle w:val="TOC1"/>
            <w:tabs>
              <w:tab w:val="right" w:leader="dot" w:pos="9016"/>
            </w:tabs>
            <w:rPr>
              <w:noProof/>
              <w:lang w:eastAsia="zh-CN"/>
            </w:rPr>
          </w:pPr>
          <w:hyperlink w:anchor="_Toc215232271" w:history="1">
            <w:r w:rsidRPr="00CF163E">
              <w:rPr>
                <w:rStyle w:val="Hyperlink"/>
                <w:rFonts w:ascii="Arial" w:hAnsi="Arial" w:cs="Arial"/>
                <w:noProof/>
              </w:rPr>
              <w:t>Contribution, Implications, and Recommendations</w:t>
            </w:r>
            <w:r>
              <w:rPr>
                <w:noProof/>
                <w:webHidden/>
              </w:rPr>
              <w:tab/>
            </w:r>
            <w:r>
              <w:rPr>
                <w:noProof/>
                <w:webHidden/>
              </w:rPr>
              <w:fldChar w:fldCharType="begin"/>
            </w:r>
            <w:r>
              <w:rPr>
                <w:noProof/>
                <w:webHidden/>
              </w:rPr>
              <w:instrText xml:space="preserve"> PAGEREF _Toc215232271 \h </w:instrText>
            </w:r>
            <w:r>
              <w:rPr>
                <w:noProof/>
                <w:webHidden/>
              </w:rPr>
            </w:r>
            <w:r>
              <w:rPr>
                <w:noProof/>
                <w:webHidden/>
              </w:rPr>
              <w:fldChar w:fldCharType="separate"/>
            </w:r>
            <w:r>
              <w:rPr>
                <w:noProof/>
                <w:webHidden/>
              </w:rPr>
              <w:t>16</w:t>
            </w:r>
            <w:r>
              <w:rPr>
                <w:noProof/>
                <w:webHidden/>
              </w:rPr>
              <w:fldChar w:fldCharType="end"/>
            </w:r>
          </w:hyperlink>
        </w:p>
        <w:p w14:paraId="199A4B79" w14:textId="4EE24E7C" w:rsidR="0058320A" w:rsidRDefault="0058320A">
          <w:pPr>
            <w:pStyle w:val="TOC2"/>
            <w:tabs>
              <w:tab w:val="right" w:leader="dot" w:pos="9016"/>
            </w:tabs>
            <w:rPr>
              <w:noProof/>
              <w:lang w:eastAsia="zh-CN"/>
            </w:rPr>
          </w:pPr>
          <w:hyperlink w:anchor="_Toc215232272" w:history="1">
            <w:r w:rsidRPr="00CF163E">
              <w:rPr>
                <w:rStyle w:val="Hyperlink"/>
                <w:rFonts w:ascii="Arial" w:hAnsi="Arial" w:cs="Arial"/>
                <w:noProof/>
              </w:rPr>
              <w:t>Original Academic and Policy Contribution</w:t>
            </w:r>
            <w:r>
              <w:rPr>
                <w:noProof/>
                <w:webHidden/>
              </w:rPr>
              <w:tab/>
            </w:r>
            <w:r>
              <w:rPr>
                <w:noProof/>
                <w:webHidden/>
              </w:rPr>
              <w:fldChar w:fldCharType="begin"/>
            </w:r>
            <w:r>
              <w:rPr>
                <w:noProof/>
                <w:webHidden/>
              </w:rPr>
              <w:instrText xml:space="preserve"> PAGEREF _Toc215232272 \h </w:instrText>
            </w:r>
            <w:r>
              <w:rPr>
                <w:noProof/>
                <w:webHidden/>
              </w:rPr>
            </w:r>
            <w:r>
              <w:rPr>
                <w:noProof/>
                <w:webHidden/>
              </w:rPr>
              <w:fldChar w:fldCharType="separate"/>
            </w:r>
            <w:r>
              <w:rPr>
                <w:noProof/>
                <w:webHidden/>
              </w:rPr>
              <w:t>16</w:t>
            </w:r>
            <w:r>
              <w:rPr>
                <w:noProof/>
                <w:webHidden/>
              </w:rPr>
              <w:fldChar w:fldCharType="end"/>
            </w:r>
          </w:hyperlink>
        </w:p>
        <w:p w14:paraId="4F4E163B" w14:textId="53DA19A8" w:rsidR="0058320A" w:rsidRDefault="0058320A">
          <w:pPr>
            <w:pStyle w:val="TOC2"/>
            <w:tabs>
              <w:tab w:val="right" w:leader="dot" w:pos="9016"/>
            </w:tabs>
            <w:rPr>
              <w:noProof/>
              <w:lang w:eastAsia="zh-CN"/>
            </w:rPr>
          </w:pPr>
          <w:hyperlink w:anchor="_Toc215232273" w:history="1">
            <w:r w:rsidRPr="00CF163E">
              <w:rPr>
                <w:rStyle w:val="Hyperlink"/>
                <w:rFonts w:ascii="Arial" w:hAnsi="Arial" w:cs="Arial"/>
                <w:noProof/>
              </w:rPr>
              <w:t>Clinical Practice and Workforce Implications</w:t>
            </w:r>
            <w:r>
              <w:rPr>
                <w:noProof/>
                <w:webHidden/>
              </w:rPr>
              <w:tab/>
            </w:r>
            <w:r>
              <w:rPr>
                <w:noProof/>
                <w:webHidden/>
              </w:rPr>
              <w:fldChar w:fldCharType="begin"/>
            </w:r>
            <w:r>
              <w:rPr>
                <w:noProof/>
                <w:webHidden/>
              </w:rPr>
              <w:instrText xml:space="preserve"> PAGEREF _Toc215232273 \h </w:instrText>
            </w:r>
            <w:r>
              <w:rPr>
                <w:noProof/>
                <w:webHidden/>
              </w:rPr>
            </w:r>
            <w:r>
              <w:rPr>
                <w:noProof/>
                <w:webHidden/>
              </w:rPr>
              <w:fldChar w:fldCharType="separate"/>
            </w:r>
            <w:r>
              <w:rPr>
                <w:noProof/>
                <w:webHidden/>
              </w:rPr>
              <w:t>16</w:t>
            </w:r>
            <w:r>
              <w:rPr>
                <w:noProof/>
                <w:webHidden/>
              </w:rPr>
              <w:fldChar w:fldCharType="end"/>
            </w:r>
          </w:hyperlink>
        </w:p>
        <w:p w14:paraId="01B7B4E5" w14:textId="1DE2D3B4" w:rsidR="0058320A" w:rsidRDefault="0058320A">
          <w:pPr>
            <w:pStyle w:val="TOC2"/>
            <w:tabs>
              <w:tab w:val="right" w:leader="dot" w:pos="9016"/>
            </w:tabs>
            <w:rPr>
              <w:noProof/>
              <w:lang w:eastAsia="zh-CN"/>
            </w:rPr>
          </w:pPr>
          <w:hyperlink w:anchor="_Toc215232274" w:history="1">
            <w:r w:rsidRPr="00CF163E">
              <w:rPr>
                <w:rStyle w:val="Hyperlink"/>
                <w:rFonts w:ascii="Arial" w:hAnsi="Arial" w:cs="Arial"/>
                <w:noProof/>
              </w:rPr>
              <w:t>Commissioning and Future Research</w:t>
            </w:r>
            <w:r>
              <w:rPr>
                <w:noProof/>
                <w:webHidden/>
              </w:rPr>
              <w:tab/>
            </w:r>
            <w:r>
              <w:rPr>
                <w:noProof/>
                <w:webHidden/>
              </w:rPr>
              <w:fldChar w:fldCharType="begin"/>
            </w:r>
            <w:r>
              <w:rPr>
                <w:noProof/>
                <w:webHidden/>
              </w:rPr>
              <w:instrText xml:space="preserve"> PAGEREF _Toc215232274 \h </w:instrText>
            </w:r>
            <w:r>
              <w:rPr>
                <w:noProof/>
                <w:webHidden/>
              </w:rPr>
            </w:r>
            <w:r>
              <w:rPr>
                <w:noProof/>
                <w:webHidden/>
              </w:rPr>
              <w:fldChar w:fldCharType="separate"/>
            </w:r>
            <w:r>
              <w:rPr>
                <w:noProof/>
                <w:webHidden/>
              </w:rPr>
              <w:t>17</w:t>
            </w:r>
            <w:r>
              <w:rPr>
                <w:noProof/>
                <w:webHidden/>
              </w:rPr>
              <w:fldChar w:fldCharType="end"/>
            </w:r>
          </w:hyperlink>
        </w:p>
        <w:p w14:paraId="7FA37866" w14:textId="39B89263" w:rsidR="0058320A" w:rsidRDefault="0058320A">
          <w:pPr>
            <w:pStyle w:val="TOC1"/>
            <w:tabs>
              <w:tab w:val="right" w:leader="dot" w:pos="9016"/>
            </w:tabs>
            <w:rPr>
              <w:noProof/>
              <w:lang w:eastAsia="zh-CN"/>
            </w:rPr>
          </w:pPr>
          <w:hyperlink w:anchor="_Toc215232275" w:history="1">
            <w:r w:rsidRPr="00CF163E">
              <w:rPr>
                <w:rStyle w:val="Hyperlink"/>
                <w:rFonts w:ascii="Arial" w:hAnsi="Arial" w:cs="Arial"/>
                <w:noProof/>
              </w:rPr>
              <w:t>Plan of Work and Time Schedule (Gantt Chart Structure: January 2026 – June 2026)</w:t>
            </w:r>
            <w:r>
              <w:rPr>
                <w:noProof/>
                <w:webHidden/>
              </w:rPr>
              <w:tab/>
            </w:r>
            <w:r>
              <w:rPr>
                <w:noProof/>
                <w:webHidden/>
              </w:rPr>
              <w:fldChar w:fldCharType="begin"/>
            </w:r>
            <w:r>
              <w:rPr>
                <w:noProof/>
                <w:webHidden/>
              </w:rPr>
              <w:instrText xml:space="preserve"> PAGEREF _Toc215232275 \h </w:instrText>
            </w:r>
            <w:r>
              <w:rPr>
                <w:noProof/>
                <w:webHidden/>
              </w:rPr>
            </w:r>
            <w:r>
              <w:rPr>
                <w:noProof/>
                <w:webHidden/>
              </w:rPr>
              <w:fldChar w:fldCharType="separate"/>
            </w:r>
            <w:r>
              <w:rPr>
                <w:noProof/>
                <w:webHidden/>
              </w:rPr>
              <w:t>18</w:t>
            </w:r>
            <w:r>
              <w:rPr>
                <w:noProof/>
                <w:webHidden/>
              </w:rPr>
              <w:fldChar w:fldCharType="end"/>
            </w:r>
          </w:hyperlink>
        </w:p>
        <w:p w14:paraId="3D4EDEA3" w14:textId="10065242" w:rsidR="0058320A" w:rsidRDefault="0058320A">
          <w:pPr>
            <w:pStyle w:val="TOC2"/>
            <w:tabs>
              <w:tab w:val="right" w:leader="dot" w:pos="9016"/>
            </w:tabs>
            <w:rPr>
              <w:noProof/>
              <w:lang w:eastAsia="zh-CN"/>
            </w:rPr>
          </w:pPr>
          <w:hyperlink w:anchor="_Toc215232276" w:history="1">
            <w:r w:rsidRPr="00CF163E">
              <w:rPr>
                <w:rStyle w:val="Hyperlink"/>
                <w:rFonts w:ascii="Arial" w:hAnsi="Arial" w:cs="Arial"/>
                <w:noProof/>
              </w:rPr>
              <w:t>Table: Systematic Review Plan of Work and Time Schedule (January 2026 – June 2026)</w:t>
            </w:r>
            <w:r>
              <w:rPr>
                <w:noProof/>
                <w:webHidden/>
              </w:rPr>
              <w:tab/>
            </w:r>
            <w:r>
              <w:rPr>
                <w:noProof/>
                <w:webHidden/>
              </w:rPr>
              <w:fldChar w:fldCharType="begin"/>
            </w:r>
            <w:r>
              <w:rPr>
                <w:noProof/>
                <w:webHidden/>
              </w:rPr>
              <w:instrText xml:space="preserve"> PAGEREF _Toc215232276 \h </w:instrText>
            </w:r>
            <w:r>
              <w:rPr>
                <w:noProof/>
                <w:webHidden/>
              </w:rPr>
            </w:r>
            <w:r>
              <w:rPr>
                <w:noProof/>
                <w:webHidden/>
              </w:rPr>
              <w:fldChar w:fldCharType="separate"/>
            </w:r>
            <w:r>
              <w:rPr>
                <w:noProof/>
                <w:webHidden/>
              </w:rPr>
              <w:t>18</w:t>
            </w:r>
            <w:r>
              <w:rPr>
                <w:noProof/>
                <w:webHidden/>
              </w:rPr>
              <w:fldChar w:fldCharType="end"/>
            </w:r>
          </w:hyperlink>
        </w:p>
        <w:p w14:paraId="15BFEE41" w14:textId="3B236678" w:rsidR="0058320A" w:rsidRDefault="0058320A">
          <w:pPr>
            <w:pStyle w:val="TOC1"/>
            <w:tabs>
              <w:tab w:val="right" w:leader="dot" w:pos="9016"/>
            </w:tabs>
            <w:rPr>
              <w:noProof/>
              <w:lang w:eastAsia="zh-CN"/>
            </w:rPr>
          </w:pPr>
          <w:hyperlink w:anchor="_Toc215232277" w:history="1">
            <w:r w:rsidRPr="00CF163E">
              <w:rPr>
                <w:rStyle w:val="Hyperlink"/>
                <w:noProof/>
              </w:rPr>
              <w:t>Re Plan of Work and Time Schedule (Gantt Chart)</w:t>
            </w:r>
            <w:r>
              <w:rPr>
                <w:noProof/>
                <w:webHidden/>
              </w:rPr>
              <w:tab/>
            </w:r>
            <w:r>
              <w:rPr>
                <w:noProof/>
                <w:webHidden/>
              </w:rPr>
              <w:fldChar w:fldCharType="begin"/>
            </w:r>
            <w:r>
              <w:rPr>
                <w:noProof/>
                <w:webHidden/>
              </w:rPr>
              <w:instrText xml:space="preserve"> PAGEREF _Toc215232277 \h </w:instrText>
            </w:r>
            <w:r>
              <w:rPr>
                <w:noProof/>
                <w:webHidden/>
              </w:rPr>
            </w:r>
            <w:r>
              <w:rPr>
                <w:noProof/>
                <w:webHidden/>
              </w:rPr>
              <w:fldChar w:fldCharType="separate"/>
            </w:r>
            <w:r>
              <w:rPr>
                <w:noProof/>
                <w:webHidden/>
              </w:rPr>
              <w:t>19</w:t>
            </w:r>
            <w:r>
              <w:rPr>
                <w:noProof/>
                <w:webHidden/>
              </w:rPr>
              <w:fldChar w:fldCharType="end"/>
            </w:r>
          </w:hyperlink>
        </w:p>
        <w:p w14:paraId="7F2401AF" w14:textId="308CD317" w:rsidR="0058320A" w:rsidRDefault="0058320A">
          <w:pPr>
            <w:pStyle w:val="TOC1"/>
            <w:tabs>
              <w:tab w:val="right" w:leader="dot" w:pos="9016"/>
            </w:tabs>
            <w:rPr>
              <w:noProof/>
              <w:lang w:eastAsia="zh-CN"/>
            </w:rPr>
          </w:pPr>
          <w:hyperlink w:anchor="_Toc215232278" w:history="1">
            <w:r w:rsidRPr="00CF163E">
              <w:rPr>
                <w:rStyle w:val="Hyperlink"/>
                <w:rFonts w:ascii="Arial" w:hAnsi="Arial" w:cs="Arial"/>
                <w:noProof/>
              </w:rPr>
              <w:t>Conclusions and Recommendations</w:t>
            </w:r>
            <w:r>
              <w:rPr>
                <w:noProof/>
                <w:webHidden/>
              </w:rPr>
              <w:tab/>
            </w:r>
            <w:r>
              <w:rPr>
                <w:noProof/>
                <w:webHidden/>
              </w:rPr>
              <w:fldChar w:fldCharType="begin"/>
            </w:r>
            <w:r>
              <w:rPr>
                <w:noProof/>
                <w:webHidden/>
              </w:rPr>
              <w:instrText xml:space="preserve"> PAGEREF _Toc215232278 \h </w:instrText>
            </w:r>
            <w:r>
              <w:rPr>
                <w:noProof/>
                <w:webHidden/>
              </w:rPr>
            </w:r>
            <w:r>
              <w:rPr>
                <w:noProof/>
                <w:webHidden/>
              </w:rPr>
              <w:fldChar w:fldCharType="separate"/>
            </w:r>
            <w:r>
              <w:rPr>
                <w:noProof/>
                <w:webHidden/>
              </w:rPr>
              <w:t>19</w:t>
            </w:r>
            <w:r>
              <w:rPr>
                <w:noProof/>
                <w:webHidden/>
              </w:rPr>
              <w:fldChar w:fldCharType="end"/>
            </w:r>
          </w:hyperlink>
        </w:p>
        <w:p w14:paraId="2361A11E" w14:textId="5A8A45E9" w:rsidR="0058320A" w:rsidRDefault="0058320A">
          <w:pPr>
            <w:pStyle w:val="TOC3"/>
            <w:tabs>
              <w:tab w:val="right" w:leader="dot" w:pos="9016"/>
            </w:tabs>
            <w:rPr>
              <w:noProof/>
              <w:lang w:eastAsia="zh-CN"/>
            </w:rPr>
          </w:pPr>
          <w:hyperlink w:anchor="_Toc215232279" w:history="1">
            <w:r w:rsidRPr="00CF163E">
              <w:rPr>
                <w:rStyle w:val="Hyperlink"/>
                <w:rFonts w:ascii="Arial" w:hAnsi="Arial" w:cs="Arial"/>
                <w:noProof/>
              </w:rPr>
              <w:t>The anticipated findings will serve to:</w:t>
            </w:r>
            <w:r>
              <w:rPr>
                <w:noProof/>
                <w:webHidden/>
              </w:rPr>
              <w:tab/>
            </w:r>
            <w:r>
              <w:rPr>
                <w:noProof/>
                <w:webHidden/>
              </w:rPr>
              <w:fldChar w:fldCharType="begin"/>
            </w:r>
            <w:r>
              <w:rPr>
                <w:noProof/>
                <w:webHidden/>
              </w:rPr>
              <w:instrText xml:space="preserve"> PAGEREF _Toc215232279 \h </w:instrText>
            </w:r>
            <w:r>
              <w:rPr>
                <w:noProof/>
                <w:webHidden/>
              </w:rPr>
            </w:r>
            <w:r>
              <w:rPr>
                <w:noProof/>
                <w:webHidden/>
              </w:rPr>
              <w:fldChar w:fldCharType="separate"/>
            </w:r>
            <w:r>
              <w:rPr>
                <w:noProof/>
                <w:webHidden/>
              </w:rPr>
              <w:t>20</w:t>
            </w:r>
            <w:r>
              <w:rPr>
                <w:noProof/>
                <w:webHidden/>
              </w:rPr>
              <w:fldChar w:fldCharType="end"/>
            </w:r>
          </w:hyperlink>
        </w:p>
        <w:p w14:paraId="736ED031" w14:textId="399701C5" w:rsidR="0058320A" w:rsidRDefault="0058320A">
          <w:pPr>
            <w:pStyle w:val="TOC1"/>
            <w:tabs>
              <w:tab w:val="right" w:leader="dot" w:pos="9016"/>
            </w:tabs>
            <w:rPr>
              <w:noProof/>
              <w:lang w:eastAsia="zh-CN"/>
            </w:rPr>
          </w:pPr>
          <w:hyperlink w:anchor="_Toc215232280" w:history="1">
            <w:r w:rsidRPr="00CF163E">
              <w:rPr>
                <w:rStyle w:val="Hyperlink"/>
                <w:noProof/>
              </w:rPr>
              <w:t>Reference List (Harvard Style)</w:t>
            </w:r>
            <w:r>
              <w:rPr>
                <w:noProof/>
                <w:webHidden/>
              </w:rPr>
              <w:tab/>
            </w:r>
            <w:r>
              <w:rPr>
                <w:noProof/>
                <w:webHidden/>
              </w:rPr>
              <w:fldChar w:fldCharType="begin"/>
            </w:r>
            <w:r>
              <w:rPr>
                <w:noProof/>
                <w:webHidden/>
              </w:rPr>
              <w:instrText xml:space="preserve"> PAGEREF _Toc215232280 \h </w:instrText>
            </w:r>
            <w:r>
              <w:rPr>
                <w:noProof/>
                <w:webHidden/>
              </w:rPr>
            </w:r>
            <w:r>
              <w:rPr>
                <w:noProof/>
                <w:webHidden/>
              </w:rPr>
              <w:fldChar w:fldCharType="separate"/>
            </w:r>
            <w:r>
              <w:rPr>
                <w:noProof/>
                <w:webHidden/>
              </w:rPr>
              <w:t>20</w:t>
            </w:r>
            <w:r>
              <w:rPr>
                <w:noProof/>
                <w:webHidden/>
              </w:rPr>
              <w:fldChar w:fldCharType="end"/>
            </w:r>
          </w:hyperlink>
        </w:p>
        <w:p w14:paraId="74758223" w14:textId="7D35CEE6" w:rsidR="007F206C" w:rsidRDefault="007F206C">
          <w:r>
            <w:rPr>
              <w:b/>
              <w:bCs/>
              <w:noProof/>
            </w:rPr>
            <w:fldChar w:fldCharType="end"/>
          </w:r>
        </w:p>
      </w:sdtContent>
    </w:sdt>
    <w:p w14:paraId="66E04BDF" w14:textId="77777777" w:rsidR="007F206C" w:rsidRDefault="007F206C" w:rsidP="004B5175">
      <w:pPr>
        <w:pStyle w:val="Heading1"/>
        <w:spacing w:line="360" w:lineRule="auto"/>
        <w:rPr>
          <w:rFonts w:ascii="Arial" w:hAnsi="Arial" w:cs="Arial"/>
        </w:rPr>
      </w:pPr>
    </w:p>
    <w:p w14:paraId="4C20204B" w14:textId="77777777" w:rsidR="009311C9" w:rsidRDefault="009311C9" w:rsidP="009311C9"/>
    <w:p w14:paraId="647808A0" w14:textId="77777777" w:rsidR="009311C9" w:rsidRDefault="009311C9" w:rsidP="009311C9"/>
    <w:p w14:paraId="0AF9FD05" w14:textId="77777777" w:rsidR="009311C9" w:rsidRDefault="009311C9" w:rsidP="009311C9"/>
    <w:p w14:paraId="1D612A19" w14:textId="77777777" w:rsidR="009311C9" w:rsidRDefault="009311C9" w:rsidP="009311C9"/>
    <w:p w14:paraId="644C8FFD" w14:textId="77777777" w:rsidR="009311C9" w:rsidRDefault="009311C9" w:rsidP="009311C9"/>
    <w:p w14:paraId="4180AC71" w14:textId="77777777" w:rsidR="009311C9" w:rsidRDefault="009311C9" w:rsidP="009311C9"/>
    <w:p w14:paraId="00C932D5" w14:textId="77777777" w:rsidR="009311C9" w:rsidRDefault="009311C9" w:rsidP="009311C9"/>
    <w:p w14:paraId="6BD155B8" w14:textId="77777777" w:rsidR="009311C9" w:rsidRDefault="009311C9" w:rsidP="009311C9"/>
    <w:p w14:paraId="3FBA1902" w14:textId="77777777" w:rsidR="009311C9" w:rsidRDefault="009311C9" w:rsidP="009311C9"/>
    <w:p w14:paraId="1B486C38" w14:textId="77777777" w:rsidR="009311C9" w:rsidRDefault="009311C9" w:rsidP="009311C9"/>
    <w:p w14:paraId="78395619" w14:textId="77777777" w:rsidR="009311C9" w:rsidRPr="009311C9" w:rsidRDefault="009311C9" w:rsidP="009311C9"/>
    <w:p w14:paraId="3381FF57" w14:textId="24C600F4" w:rsidR="003732E6" w:rsidRPr="004B5175" w:rsidRDefault="003732E6" w:rsidP="004B5175">
      <w:pPr>
        <w:pStyle w:val="Heading1"/>
        <w:spacing w:line="360" w:lineRule="auto"/>
        <w:rPr>
          <w:rFonts w:ascii="Arial" w:hAnsi="Arial" w:cs="Arial"/>
        </w:rPr>
      </w:pPr>
      <w:bookmarkStart w:id="0" w:name="_Toc215232247"/>
      <w:r w:rsidRPr="004B5175">
        <w:rPr>
          <w:rFonts w:ascii="Arial" w:hAnsi="Arial" w:cs="Arial"/>
        </w:rPr>
        <w:t>Examining the Effectiveness of Integrated Public Health and Social Care Pathways for Young Adults with Dual Diagnosis in the UK</w:t>
      </w:r>
      <w:bookmarkEnd w:id="0"/>
    </w:p>
    <w:p w14:paraId="1D2D7C08" w14:textId="051A794B" w:rsidR="003732E6" w:rsidRDefault="003732E6" w:rsidP="004B5175">
      <w:pPr>
        <w:pStyle w:val="Heading2"/>
        <w:spacing w:line="360" w:lineRule="auto"/>
        <w:rPr>
          <w:rFonts w:ascii="Arial" w:hAnsi="Arial" w:cs="Arial"/>
        </w:rPr>
      </w:pPr>
      <w:bookmarkStart w:id="1" w:name="_Toc215232248"/>
      <w:r w:rsidRPr="004B5175">
        <w:rPr>
          <w:rFonts w:ascii="Arial" w:hAnsi="Arial" w:cs="Arial"/>
        </w:rPr>
        <w:t>The Context of Dual Diagnosis and Complex Needs in UK Policy</w:t>
      </w:r>
      <w:bookmarkEnd w:id="1"/>
    </w:p>
    <w:p w14:paraId="20FED4A6" w14:textId="77777777" w:rsidR="00DE4518" w:rsidRPr="00DE4518" w:rsidRDefault="00DE4518" w:rsidP="00DE4518"/>
    <w:p w14:paraId="74FC070F" w14:textId="11AEF664" w:rsidR="003732E6" w:rsidRPr="004B5175" w:rsidRDefault="003732E6" w:rsidP="00343B3B">
      <w:pPr>
        <w:pStyle w:val="Heading2"/>
      </w:pPr>
      <w:bookmarkStart w:id="2" w:name="_Toc215232249"/>
      <w:r w:rsidRPr="004B5175">
        <w:t>Defining Dual Diagnosis in the UK: Policy Versus Practical Reality</w:t>
      </w:r>
      <w:bookmarkEnd w:id="2"/>
    </w:p>
    <w:p w14:paraId="56A05FA4" w14:textId="2AAD3632" w:rsidR="003732E6" w:rsidRPr="004B5175" w:rsidRDefault="003732E6" w:rsidP="004B5175">
      <w:pPr>
        <w:spacing w:line="360" w:lineRule="auto"/>
        <w:rPr>
          <w:rFonts w:ascii="Arial" w:hAnsi="Arial" w:cs="Arial"/>
        </w:rPr>
      </w:pPr>
      <w:r w:rsidRPr="004B5175">
        <w:rPr>
          <w:rFonts w:ascii="Arial" w:hAnsi="Arial" w:cs="Arial"/>
        </w:rPr>
        <w:t>The concept of dual diagnosis (DD) refers generally to the co-occurrence of mental illness and substance use disorders (SUD), and this comorbidity is considered more the expectation than the exception in assessing patients with serious mental illness internationally (Brady et al., 2006; Savage et al., 2022). However, the specific application of the term in UK health policy is characterized by inconsistency and often follows a restrictive definition established by institutional guidelines.</w:t>
      </w:r>
    </w:p>
    <w:p w14:paraId="5332D08C" w14:textId="35521C42" w:rsidR="003732E6" w:rsidRPr="004B5175" w:rsidRDefault="003732E6" w:rsidP="004B5175">
      <w:pPr>
        <w:spacing w:line="360" w:lineRule="auto"/>
        <w:rPr>
          <w:rFonts w:ascii="Arial" w:hAnsi="Arial" w:cs="Arial"/>
        </w:rPr>
      </w:pPr>
      <w:r w:rsidRPr="004B5175">
        <w:rPr>
          <w:rFonts w:ascii="Arial" w:hAnsi="Arial" w:cs="Arial"/>
        </w:rPr>
        <w:t>The UK National Institute for Health and Care Excellence (NICE) typically restricts the use of 'dual diagnosis' to individuals with a Severe Mental Illness (SMI) who misuse substances (Alwan, 2023; NICE, 2016). SMI in this context usually encompasses conditions such as schizophrenia, bipolar affective disorder, and severe depressive episodes, often with or without psychotic features (NICE, 2016). Substance misuse includes the harmful or dependent use of both illicit and legal substances, including alcohol (NICE, 2016).</w:t>
      </w:r>
    </w:p>
    <w:p w14:paraId="5F7773E8" w14:textId="77777777" w:rsidR="003732E6" w:rsidRPr="004B5175" w:rsidRDefault="003732E6" w:rsidP="004B5175">
      <w:pPr>
        <w:spacing w:line="360" w:lineRule="auto"/>
        <w:rPr>
          <w:rFonts w:ascii="Arial" w:hAnsi="Arial" w:cs="Arial"/>
        </w:rPr>
      </w:pPr>
      <w:r w:rsidRPr="004B5175">
        <w:rPr>
          <w:rFonts w:ascii="Arial" w:hAnsi="Arial" w:cs="Arial"/>
        </w:rPr>
        <w:t>The structural issue arising from this restrictive definition is significant: SMI is often stated as a requirement for formal diagnosis, thereby excluding many individuals presenting with complex comorbidities (ELFT, 2025; NICE, 2016). For instance, individuals with personality disorders, complex trauma, or prevalent issues like anxiety and depression comorbid with alcohol or cannabis misuse, frequently encounter substance misuse services but are often not formally captured by specialist integrated guidelines (ELFT, 2025). For the proposed systematic review focusing on young adults aged 18–30, this definitional exclusion creates systemic gatekeeping. Young adults are often navigating emerging complex conditions rather than fixed SMI diagnoses; if SMI-centric definitions are strictly applied, this highly vulnerable population, often characterized by high distress and low impulse control (ELFT, 2025), may be consistently excluded from the very integrated pathways designed to help them. Consequently, the research proposal must adopt a pragmatic definition encompassing "co-occurring mental health and substance misuse or complex needs" to ensure relevance to the wider population experiencing service fragmentation (Public Health England, 2019).</w:t>
      </w:r>
    </w:p>
    <w:p w14:paraId="04A67E73" w14:textId="77777777" w:rsidR="003732E6" w:rsidRPr="004B5175" w:rsidRDefault="003732E6" w:rsidP="004B5175">
      <w:pPr>
        <w:spacing w:line="360" w:lineRule="auto"/>
        <w:rPr>
          <w:rFonts w:ascii="Arial" w:hAnsi="Arial" w:cs="Arial"/>
        </w:rPr>
      </w:pPr>
    </w:p>
    <w:p w14:paraId="024DBC3A" w14:textId="5733DC98" w:rsidR="003732E6" w:rsidRPr="004B5175" w:rsidRDefault="003732E6" w:rsidP="004B5175">
      <w:pPr>
        <w:spacing w:line="360" w:lineRule="auto"/>
        <w:rPr>
          <w:rFonts w:ascii="Arial" w:hAnsi="Arial" w:cs="Arial"/>
        </w:rPr>
      </w:pPr>
      <w:bookmarkStart w:id="3" w:name="_Toc215232250"/>
      <w:r w:rsidRPr="004B5175">
        <w:rPr>
          <w:rStyle w:val="Heading2Char"/>
          <w:rFonts w:ascii="Arial" w:hAnsi="Arial" w:cs="Arial"/>
        </w:rPr>
        <w:t>Epidemiology, Prevalence, and Consequences in the Young Adult Cohort</w:t>
      </w:r>
      <w:bookmarkEnd w:id="3"/>
    </w:p>
    <w:p w14:paraId="13BC51BF" w14:textId="2419CEFB" w:rsidR="003732E6" w:rsidRPr="004B5175" w:rsidRDefault="003732E6" w:rsidP="004B5175">
      <w:pPr>
        <w:spacing w:line="360" w:lineRule="auto"/>
        <w:rPr>
          <w:rFonts w:ascii="Arial" w:hAnsi="Arial" w:cs="Arial"/>
        </w:rPr>
      </w:pPr>
      <w:r w:rsidRPr="004B5175">
        <w:rPr>
          <w:rFonts w:ascii="Arial" w:hAnsi="Arial" w:cs="Arial"/>
        </w:rPr>
        <w:t>Mental disorders and SUDs represent a substantial global health burden, accounting for 7.4% of the global burden of disease and serving as leading causes of years lived with disability (Savage et al., 2022). This comorbidity arises from complex factors, including genetic vulnerability, environment, underlying shared origins, or self-medication (Brady et al., 2006). In the UK context, the scale of the problem is pronounced, with studies from the early 2000s indicating that 44% of Community Mental Health Team (CMHT) service users in four UK cities presented with co-occurring substance use problems (Savage et al., 2022).</w:t>
      </w:r>
    </w:p>
    <w:p w14:paraId="3A98C7A8" w14:textId="77777777" w:rsidR="003732E6" w:rsidRPr="004B5175" w:rsidRDefault="003732E6" w:rsidP="004B5175">
      <w:pPr>
        <w:spacing w:line="360" w:lineRule="auto"/>
        <w:rPr>
          <w:rFonts w:ascii="Arial" w:hAnsi="Arial" w:cs="Arial"/>
        </w:rPr>
      </w:pPr>
      <w:r w:rsidRPr="004B5175">
        <w:rPr>
          <w:rFonts w:ascii="Arial" w:hAnsi="Arial" w:cs="Arial"/>
        </w:rPr>
        <w:t>Dual diagnosis consistently predicts profoundly negative outcomes, especially for individuals transitioning into adulthood (18–30 years), impacting their long-term functional and social development. The consequences include worsening psychiatric symptoms, increased risk of suicide and self-harm, poor medication adherence, and increased use of institutional services (Brady et al., 2006; Public Health England, 2019). Beyond clinical outcomes, dual diagnosis profoundly affects social determinants of health, leading to high rates of unemployment, debt, poor physical health, and homelessness (Public Health England, 2019).</w:t>
      </w:r>
    </w:p>
    <w:p w14:paraId="60E75F05" w14:textId="6525DCDF" w:rsidR="003732E6" w:rsidRPr="004B5175" w:rsidRDefault="003732E6" w:rsidP="004B5175">
      <w:pPr>
        <w:spacing w:line="360" w:lineRule="auto"/>
        <w:rPr>
          <w:rFonts w:ascii="Arial" w:hAnsi="Arial" w:cs="Arial"/>
        </w:rPr>
      </w:pPr>
      <w:r w:rsidRPr="004B5175">
        <w:rPr>
          <w:rFonts w:ascii="Arial" w:hAnsi="Arial" w:cs="Arial"/>
        </w:rPr>
        <w:t>The acknowledgment that co-occurring conditions involve physical health and social issues, such as housing, relationships, and risk of victimisation, necessitates a focus on integrated care pathways that address these multiple complex needs holistically (Public Health England, 2019).</w:t>
      </w:r>
    </w:p>
    <w:p w14:paraId="27353802" w14:textId="7B302905" w:rsidR="003732E6" w:rsidRPr="004B5175" w:rsidRDefault="003732E6" w:rsidP="004B5175">
      <w:pPr>
        <w:pStyle w:val="Heading2"/>
        <w:spacing w:line="360" w:lineRule="auto"/>
        <w:rPr>
          <w:rFonts w:ascii="Arial" w:hAnsi="Arial" w:cs="Arial"/>
        </w:rPr>
      </w:pPr>
      <w:bookmarkStart w:id="4" w:name="_Toc215232251"/>
      <w:r w:rsidRPr="004B5175">
        <w:rPr>
          <w:rFonts w:ascii="Arial" w:hAnsi="Arial" w:cs="Arial"/>
        </w:rPr>
        <w:t>The Rationale for Integrated Care Pathways (ICPs)</w:t>
      </w:r>
      <w:bookmarkEnd w:id="4"/>
    </w:p>
    <w:p w14:paraId="386D0EDF" w14:textId="3C4BB85A" w:rsidR="003732E6" w:rsidRPr="004B5175" w:rsidRDefault="003732E6" w:rsidP="004B5175">
      <w:pPr>
        <w:spacing w:line="360" w:lineRule="auto"/>
        <w:rPr>
          <w:rFonts w:ascii="Arial" w:hAnsi="Arial" w:cs="Arial"/>
        </w:rPr>
      </w:pPr>
      <w:r w:rsidRPr="004B5175">
        <w:rPr>
          <w:rFonts w:ascii="Arial" w:hAnsi="Arial" w:cs="Arial"/>
        </w:rPr>
        <w:t>The fragmentation of care has long been recognized as a core barrier to effective treatment for individuals with DD (ELFT, 2025). Historically, when services operate in silos, the failure to identify or treat both the addiction disorder and the mental illness concurrently leads to fragmented and duplicated treatment (Brady et al., 2006; ELFT, 2025).</w:t>
      </w:r>
    </w:p>
    <w:p w14:paraId="1D8B5D8A" w14:textId="51A817F9" w:rsidR="003732E6" w:rsidRPr="004B5175" w:rsidRDefault="003732E6" w:rsidP="004B5175">
      <w:pPr>
        <w:spacing w:line="360" w:lineRule="auto"/>
        <w:rPr>
          <w:rFonts w:ascii="Arial" w:hAnsi="Arial" w:cs="Arial"/>
        </w:rPr>
      </w:pPr>
      <w:r w:rsidRPr="004B5175">
        <w:rPr>
          <w:rFonts w:ascii="Arial" w:hAnsi="Arial" w:cs="Arial"/>
        </w:rPr>
        <w:t>Integrated care pathways (ICPs) are mandated to address this historical failure by ensuring treatment is coordinated and systematic (ELFT, 2025). Policy frameworks, such as the Collaborative Care model, require a lead co-ordinator and a shared care plan agreed upon with the person, spanning mental health, alcohol/drug services, and wider health/social care needs (Public Health England, 2016; ELFT, 2025). Specific pathways, such as the Joint Patient Pathway (Pathway 2) described in some NHS policies, aim to ensure seamless care (ELFT, 2025):</w:t>
      </w:r>
    </w:p>
    <w:p w14:paraId="67294D07" w14:textId="7C23B87B" w:rsidR="003732E6" w:rsidRPr="004B5175" w:rsidRDefault="003732E6" w:rsidP="004B5175">
      <w:pPr>
        <w:pStyle w:val="ListParagraph"/>
        <w:numPr>
          <w:ilvl w:val="0"/>
          <w:numId w:val="12"/>
        </w:numPr>
        <w:spacing w:line="360" w:lineRule="auto"/>
        <w:rPr>
          <w:rFonts w:ascii="Arial" w:hAnsi="Arial" w:cs="Arial"/>
        </w:rPr>
      </w:pPr>
      <w:r w:rsidRPr="004B5175">
        <w:rPr>
          <w:rFonts w:ascii="Arial" w:hAnsi="Arial" w:cs="Arial"/>
        </w:rPr>
        <w:t>Fully coordinated treatment and care, avoiding the need for a patient to 'start from scratch' repeatedly across different agencies (ELFT, 2025).</w:t>
      </w:r>
    </w:p>
    <w:p w14:paraId="717B2E49" w14:textId="1CF44D4E" w:rsidR="003732E6" w:rsidRPr="004B5175" w:rsidRDefault="003732E6" w:rsidP="004B5175">
      <w:pPr>
        <w:pStyle w:val="ListParagraph"/>
        <w:numPr>
          <w:ilvl w:val="0"/>
          <w:numId w:val="12"/>
        </w:numPr>
        <w:spacing w:line="360" w:lineRule="auto"/>
        <w:rPr>
          <w:rFonts w:ascii="Arial" w:hAnsi="Arial" w:cs="Arial"/>
        </w:rPr>
      </w:pPr>
      <w:r w:rsidRPr="004B5175">
        <w:rPr>
          <w:rFonts w:ascii="Arial" w:hAnsi="Arial" w:cs="Arial"/>
        </w:rPr>
        <w:t>Meaningful handover and follow-up between services (e.g., transition from IAPT to substance misuse services) (ELFT, 2025).</w:t>
      </w:r>
    </w:p>
    <w:p w14:paraId="5B956B0F" w14:textId="65BA3E6E" w:rsidR="003732E6" w:rsidRPr="004B5175" w:rsidRDefault="003732E6" w:rsidP="004B5175">
      <w:pPr>
        <w:pStyle w:val="ListParagraph"/>
        <w:numPr>
          <w:ilvl w:val="0"/>
          <w:numId w:val="12"/>
        </w:numPr>
        <w:spacing w:line="360" w:lineRule="auto"/>
        <w:rPr>
          <w:rFonts w:ascii="Arial" w:hAnsi="Arial" w:cs="Arial"/>
        </w:rPr>
      </w:pPr>
      <w:r w:rsidRPr="004B5175">
        <w:rPr>
          <w:rFonts w:ascii="Arial" w:hAnsi="Arial" w:cs="Arial"/>
        </w:rPr>
        <w:t>Improved support for the patient and family, especially during crises (ELFT, 2025).</w:t>
      </w:r>
    </w:p>
    <w:p w14:paraId="3BCD92B8" w14:textId="30E36572" w:rsidR="003732E6" w:rsidRPr="004B5175" w:rsidRDefault="003732E6" w:rsidP="004B5175">
      <w:pPr>
        <w:pStyle w:val="ListParagraph"/>
        <w:numPr>
          <w:ilvl w:val="0"/>
          <w:numId w:val="12"/>
        </w:numPr>
        <w:spacing w:line="360" w:lineRule="auto"/>
        <w:rPr>
          <w:rFonts w:ascii="Arial" w:hAnsi="Arial" w:cs="Arial"/>
        </w:rPr>
      </w:pPr>
      <w:r w:rsidRPr="004B5175">
        <w:rPr>
          <w:rFonts w:ascii="Arial" w:hAnsi="Arial" w:cs="Arial"/>
        </w:rPr>
        <w:t>Better use of resources and improved overall knowledge of the patient among staff, facilitating better planning (ELFT, 2025).</w:t>
      </w:r>
    </w:p>
    <w:p w14:paraId="58826346" w14:textId="77777777" w:rsidR="003732E6" w:rsidRPr="004B5175" w:rsidRDefault="003732E6" w:rsidP="004B5175">
      <w:pPr>
        <w:spacing w:line="360" w:lineRule="auto"/>
        <w:rPr>
          <w:rFonts w:ascii="Arial" w:hAnsi="Arial" w:cs="Arial"/>
        </w:rPr>
      </w:pPr>
      <w:r w:rsidRPr="004B5175">
        <w:rPr>
          <w:rFonts w:ascii="Arial" w:hAnsi="Arial" w:cs="Arial"/>
        </w:rPr>
        <w:t>The rationale is clear: by integrating service delivery, the clinical complexity of dual diagnosis can be managed more effectively, thereby reducing patient risk, improving adherence, and maximizing recovery potential (ELFT, 2025).</w:t>
      </w:r>
    </w:p>
    <w:p w14:paraId="554F6D85" w14:textId="77777777" w:rsidR="00B34C76" w:rsidRPr="004B5175" w:rsidRDefault="00B34C76" w:rsidP="004B5175">
      <w:pPr>
        <w:spacing w:line="360" w:lineRule="auto"/>
        <w:rPr>
          <w:rFonts w:ascii="Arial" w:hAnsi="Arial" w:cs="Arial"/>
        </w:rPr>
      </w:pPr>
    </w:p>
    <w:p w14:paraId="0C36CD99" w14:textId="77E98991" w:rsidR="003732E6" w:rsidRPr="004B5175" w:rsidRDefault="003732E6" w:rsidP="004B5175">
      <w:pPr>
        <w:pStyle w:val="Heading1"/>
        <w:spacing w:line="360" w:lineRule="auto"/>
        <w:rPr>
          <w:rFonts w:ascii="Arial" w:hAnsi="Arial" w:cs="Arial"/>
        </w:rPr>
      </w:pPr>
      <w:bookmarkStart w:id="5" w:name="_Toc215232252"/>
      <w:r w:rsidRPr="004B5175">
        <w:rPr>
          <w:rFonts w:ascii="Arial" w:hAnsi="Arial" w:cs="Arial"/>
        </w:rPr>
        <w:t>Critical Analysis of UK Policy and Identification of the Research Gap</w:t>
      </w:r>
      <w:bookmarkEnd w:id="5"/>
    </w:p>
    <w:p w14:paraId="2D7A2081" w14:textId="300E6E22" w:rsidR="003732E6" w:rsidRPr="004B5175" w:rsidRDefault="003732E6" w:rsidP="004B5175">
      <w:pPr>
        <w:pStyle w:val="Heading2"/>
        <w:spacing w:line="360" w:lineRule="auto"/>
        <w:rPr>
          <w:rFonts w:ascii="Arial" w:hAnsi="Arial" w:cs="Arial"/>
        </w:rPr>
      </w:pPr>
      <w:bookmarkStart w:id="6" w:name="_Toc215232253"/>
      <w:r w:rsidRPr="004B5175">
        <w:rPr>
          <w:rFonts w:ascii="Arial" w:hAnsi="Arial" w:cs="Arial"/>
        </w:rPr>
        <w:t>Policy Mandates and Structural Barriers to Integrated Implementation</w:t>
      </w:r>
      <w:bookmarkEnd w:id="6"/>
    </w:p>
    <w:p w14:paraId="77C8A83F" w14:textId="10305F3C" w:rsidR="003732E6" w:rsidRPr="004B5175" w:rsidRDefault="003732E6" w:rsidP="004B5175">
      <w:pPr>
        <w:spacing w:line="360" w:lineRule="auto"/>
        <w:rPr>
          <w:rFonts w:ascii="Arial" w:hAnsi="Arial" w:cs="Arial"/>
        </w:rPr>
      </w:pPr>
      <w:r w:rsidRPr="004B5175">
        <w:rPr>
          <w:rFonts w:ascii="Arial" w:hAnsi="Arial" w:cs="Arial"/>
        </w:rPr>
        <w:t>While the policy intent in the UK is clearly directed towards integrated and collaborative care, reinforced by guidelines such as NICE NG58 on coexisting SMI and substance misuse (NICE, 2016), the actual implementation faces profound structural barriers (NICE, 2016). UK policy calls for services to work closely together to deliver person-centred care, using frameworks like the Care Programme Approach (CPA) to co-ordinate care for people with serious mental illness (Public Health England, 2016).</w:t>
      </w:r>
    </w:p>
    <w:p w14:paraId="67EB6754" w14:textId="77777777" w:rsidR="003732E6" w:rsidRPr="004B5175" w:rsidRDefault="003732E6" w:rsidP="004B5175">
      <w:pPr>
        <w:spacing w:line="360" w:lineRule="auto"/>
        <w:rPr>
          <w:rFonts w:ascii="Arial" w:hAnsi="Arial" w:cs="Arial"/>
        </w:rPr>
      </w:pPr>
      <w:r w:rsidRPr="004B5175">
        <w:rPr>
          <w:rFonts w:ascii="Arial" w:hAnsi="Arial" w:cs="Arial"/>
        </w:rPr>
        <w:t>However, the reality of service delivery, as reflected in discussions underpinning NICE guidance, reveals a significant implementation chasm where the theoretical benefits of integration are frequently undercut by systemic failures (NICE, 2016).</w:t>
      </w:r>
    </w:p>
    <w:p w14:paraId="0631FE0B" w14:textId="77777777" w:rsidR="00B34C76" w:rsidRPr="004B5175" w:rsidRDefault="00B34C76" w:rsidP="004B5175">
      <w:pPr>
        <w:spacing w:line="360" w:lineRule="auto"/>
        <w:rPr>
          <w:rFonts w:ascii="Arial" w:hAnsi="Arial" w:cs="Arial"/>
        </w:rPr>
      </w:pPr>
    </w:p>
    <w:p w14:paraId="7A1592D8" w14:textId="06FCE559" w:rsidR="003732E6" w:rsidRPr="004B5175" w:rsidRDefault="003732E6" w:rsidP="002F140D">
      <w:pPr>
        <w:pStyle w:val="Heading2"/>
        <w:spacing w:line="360" w:lineRule="auto"/>
        <w:rPr>
          <w:rFonts w:ascii="Arial" w:hAnsi="Arial" w:cs="Arial"/>
        </w:rPr>
      </w:pPr>
      <w:bookmarkStart w:id="7" w:name="_Toc215232254"/>
      <w:r w:rsidRPr="004B5175">
        <w:rPr>
          <w:rFonts w:ascii="Arial" w:hAnsi="Arial" w:cs="Arial"/>
        </w:rPr>
        <w:t>Structural Barriers and Implementation Failures:</w:t>
      </w:r>
      <w:bookmarkEnd w:id="7"/>
    </w:p>
    <w:p w14:paraId="68C30919" w14:textId="4DF8E845" w:rsidR="003732E6" w:rsidRPr="004B5175" w:rsidRDefault="003732E6" w:rsidP="004B5175">
      <w:pPr>
        <w:spacing w:line="360" w:lineRule="auto"/>
        <w:rPr>
          <w:rFonts w:ascii="Arial" w:hAnsi="Arial" w:cs="Arial"/>
        </w:rPr>
      </w:pPr>
      <w:r w:rsidRPr="004B5175">
        <w:rPr>
          <w:rFonts w:ascii="Arial" w:hAnsi="Arial" w:cs="Arial"/>
          <w:b/>
          <w:bCs/>
        </w:rPr>
        <w:t>Fragmentation and Exclusion:</w:t>
      </w:r>
      <w:r w:rsidRPr="004B5175">
        <w:rPr>
          <w:rFonts w:ascii="Arial" w:hAnsi="Arial" w:cs="Arial"/>
        </w:rPr>
        <w:t xml:space="preserve"> A core barrier is the frequent failure of both mental health and substance misuse services to accept responsibility for people with coexisting issues, leading to patient exclusion and a negative experience of care (NICE, 2016). This fragmentation contradicts the core aim of coordination set out in policy (ELFT, 2025).</w:t>
      </w:r>
    </w:p>
    <w:p w14:paraId="5D3810C6" w14:textId="2DF49745" w:rsidR="003732E6" w:rsidRPr="004B5175" w:rsidRDefault="003732E6" w:rsidP="004B5175">
      <w:pPr>
        <w:spacing w:line="360" w:lineRule="auto"/>
        <w:rPr>
          <w:rFonts w:ascii="Arial" w:hAnsi="Arial" w:cs="Arial"/>
        </w:rPr>
      </w:pPr>
      <w:r w:rsidRPr="004B5175">
        <w:rPr>
          <w:rFonts w:ascii="Arial" w:hAnsi="Arial" w:cs="Arial"/>
          <w:b/>
          <w:bCs/>
        </w:rPr>
        <w:t>Stigma and Negative Attitudes:</w:t>
      </w:r>
      <w:r w:rsidRPr="004B5175">
        <w:rPr>
          <w:rFonts w:ascii="Arial" w:hAnsi="Arial" w:cs="Arial"/>
        </w:rPr>
        <w:t xml:space="preserve"> The patient group often experiences profound stigma, not only from the wider public but specifically from staff within services (NICE, 2016). Negative attitudes towards substance misuse within mental health settings, or vice versa, impede the development of the strong therapeutic alliance necessary for recovery and adherence (Public Health England, 2016; NICE, 2016).</w:t>
      </w:r>
    </w:p>
    <w:p w14:paraId="51EC6D2C" w14:textId="6FB5B502" w:rsidR="003732E6" w:rsidRPr="004B5175" w:rsidRDefault="003732E6" w:rsidP="004B5175">
      <w:pPr>
        <w:spacing w:line="360" w:lineRule="auto"/>
        <w:rPr>
          <w:rFonts w:ascii="Arial" w:hAnsi="Arial" w:cs="Arial"/>
        </w:rPr>
      </w:pPr>
      <w:r w:rsidRPr="004B5175">
        <w:rPr>
          <w:rFonts w:ascii="Arial" w:hAnsi="Arial" w:cs="Arial"/>
          <w:b/>
          <w:bCs/>
        </w:rPr>
        <w:t>Punitive Discharge Practices:</w:t>
      </w:r>
      <w:r w:rsidRPr="004B5175">
        <w:rPr>
          <w:rFonts w:ascii="Arial" w:hAnsi="Arial" w:cs="Arial"/>
        </w:rPr>
        <w:t xml:space="preserve"> A widespread counterproductive practice is the automatic early discharge or denial of access to services due to missed appointments (NICE, 2016). Clinical experience suggests these missed appointments often occur for justifiable reasons, such as medication side effects or instability, but lack of shared information across agencies results in automatic discharge, further fragmenting care and increasing risk (NICE, 2016).</w:t>
      </w:r>
    </w:p>
    <w:p w14:paraId="075C23F9" w14:textId="32A2D344" w:rsidR="003732E6" w:rsidRPr="004B5175" w:rsidRDefault="003732E6" w:rsidP="004B5175">
      <w:pPr>
        <w:spacing w:line="360" w:lineRule="auto"/>
        <w:rPr>
          <w:rFonts w:ascii="Arial" w:hAnsi="Arial" w:cs="Arial"/>
        </w:rPr>
      </w:pPr>
      <w:r w:rsidRPr="004B5175">
        <w:rPr>
          <w:rFonts w:ascii="Arial" w:hAnsi="Arial" w:cs="Arial"/>
          <w:b/>
          <w:bCs/>
        </w:rPr>
        <w:t>Resource and Knowledge Gaps:</w:t>
      </w:r>
      <w:r w:rsidRPr="004B5175">
        <w:rPr>
          <w:rFonts w:ascii="Arial" w:hAnsi="Arial" w:cs="Arial"/>
        </w:rPr>
        <w:t xml:space="preserve"> The absence of a shared approach and poor communication across services acts as a structural impediment to providing unified health and social care (NICE, 2016).</w:t>
      </w:r>
    </w:p>
    <w:p w14:paraId="74DCBD7A" w14:textId="4D908CFB" w:rsidR="003732E6" w:rsidRPr="004B5175" w:rsidRDefault="003732E6" w:rsidP="004B5175">
      <w:pPr>
        <w:spacing w:line="360" w:lineRule="auto"/>
        <w:rPr>
          <w:rFonts w:ascii="Arial" w:hAnsi="Arial" w:cs="Arial"/>
        </w:rPr>
      </w:pPr>
      <w:r w:rsidRPr="004B5175">
        <w:rPr>
          <w:rFonts w:ascii="Arial" w:hAnsi="Arial" w:cs="Arial"/>
        </w:rPr>
        <w:t>This discrepancy</w:t>
      </w:r>
      <w:r w:rsidR="00B34C76" w:rsidRPr="004B5175">
        <w:rPr>
          <w:rFonts w:ascii="Arial" w:hAnsi="Arial" w:cs="Arial"/>
        </w:rPr>
        <w:t xml:space="preserve"> </w:t>
      </w:r>
      <w:r w:rsidRPr="004B5175">
        <w:rPr>
          <w:rFonts w:ascii="Arial" w:hAnsi="Arial" w:cs="Arial"/>
        </w:rPr>
        <w:t>the existence of detailed integrated pathways (ELFT, 2025) alongside chronic structural issues (NICE, 2016)</w:t>
      </w:r>
      <w:r w:rsidR="00B34C76" w:rsidRPr="004B5175">
        <w:rPr>
          <w:rFonts w:ascii="Arial" w:hAnsi="Arial" w:cs="Arial"/>
        </w:rPr>
        <w:t xml:space="preserve"> </w:t>
      </w:r>
      <w:r w:rsidRPr="004B5175">
        <w:rPr>
          <w:rFonts w:ascii="Arial" w:hAnsi="Arial" w:cs="Arial"/>
        </w:rPr>
        <w:t>demonstrates that policy existence does not equate to effective delivery. These structural barriers act as mediators that prevent policy intent from translating into improved outcomes, forming a central theme for the proposed systematic review.</w:t>
      </w:r>
    </w:p>
    <w:p w14:paraId="535DF019" w14:textId="77777777" w:rsidR="003732E6" w:rsidRPr="004B5175" w:rsidRDefault="003732E6" w:rsidP="004B5175">
      <w:pPr>
        <w:spacing w:line="360" w:lineRule="auto"/>
        <w:rPr>
          <w:rFonts w:ascii="Arial" w:hAnsi="Arial" w:cs="Arial"/>
        </w:rPr>
      </w:pPr>
    </w:p>
    <w:p w14:paraId="55D0D5CF" w14:textId="63680096" w:rsidR="003732E6" w:rsidRPr="004B5175" w:rsidRDefault="003732E6" w:rsidP="004B5175">
      <w:pPr>
        <w:spacing w:line="360" w:lineRule="auto"/>
        <w:rPr>
          <w:rFonts w:ascii="Arial" w:hAnsi="Arial" w:cs="Arial"/>
        </w:rPr>
      </w:pPr>
      <w:bookmarkStart w:id="8" w:name="_Toc215232255"/>
      <w:r w:rsidRPr="004B5175">
        <w:rPr>
          <w:rStyle w:val="Heading2Char"/>
          <w:rFonts w:ascii="Arial" w:hAnsi="Arial" w:cs="Arial"/>
        </w:rPr>
        <w:t>Limitations in Existing Evaluation Studies</w:t>
      </w:r>
      <w:bookmarkEnd w:id="8"/>
    </w:p>
    <w:p w14:paraId="767BAF5D" w14:textId="24314308" w:rsidR="003732E6" w:rsidRPr="004B5175" w:rsidRDefault="003732E6" w:rsidP="004B5175">
      <w:pPr>
        <w:spacing w:line="360" w:lineRule="auto"/>
        <w:rPr>
          <w:rFonts w:ascii="Arial" w:hAnsi="Arial" w:cs="Arial"/>
        </w:rPr>
      </w:pPr>
      <w:r w:rsidRPr="004B5175">
        <w:rPr>
          <w:rFonts w:ascii="Arial" w:hAnsi="Arial" w:cs="Arial"/>
        </w:rPr>
        <w:t>Existing systematic reviews examining integrated care internationally have yielded mixed results regarding enhanced efficacy. While integrated models often demonstrate an advantage over non-integrated models in significantly improving psychiatric symptomatology (Gopal et al., 2023), the evidence base is critically weak in other key domains.</w:t>
      </w:r>
    </w:p>
    <w:p w14:paraId="02036B17" w14:textId="77777777" w:rsidR="003732E6" w:rsidRPr="004B5175" w:rsidRDefault="003732E6" w:rsidP="004B5175">
      <w:pPr>
        <w:spacing w:line="360" w:lineRule="auto"/>
        <w:rPr>
          <w:rFonts w:ascii="Arial" w:hAnsi="Arial" w:cs="Arial"/>
        </w:rPr>
      </w:pPr>
      <w:r w:rsidRPr="004B5175">
        <w:rPr>
          <w:rFonts w:ascii="Arial" w:hAnsi="Arial" w:cs="Arial"/>
        </w:rPr>
        <w:t>Specifically, there is insufficient evidence to support the enhanced efficacy of integrated treatment compared to non-integrated models regarding substance misuse outcomes and, critically, treatment retention (Gopal et al., 2023). Given that young adults (18–30) frequently exhibit high instability and are at high risk of self-harm and relapse (ELFT, 2025; Public Health England, 2019), the inability of integrated models to demonstrably improve retention represents a severe knowledge deficit.</w:t>
      </w:r>
    </w:p>
    <w:p w14:paraId="582FFED6" w14:textId="77777777" w:rsidR="003732E6" w:rsidRPr="004B5175" w:rsidRDefault="003732E6" w:rsidP="004B5175">
      <w:pPr>
        <w:spacing w:line="360" w:lineRule="auto"/>
        <w:rPr>
          <w:rFonts w:ascii="Arial" w:hAnsi="Arial" w:cs="Arial"/>
        </w:rPr>
      </w:pPr>
    </w:p>
    <w:p w14:paraId="44503B66" w14:textId="77777777" w:rsidR="003732E6" w:rsidRPr="004B5175" w:rsidRDefault="003732E6" w:rsidP="004B5175">
      <w:pPr>
        <w:spacing w:line="360" w:lineRule="auto"/>
        <w:rPr>
          <w:rFonts w:ascii="Arial" w:hAnsi="Arial" w:cs="Arial"/>
        </w:rPr>
      </w:pPr>
      <w:r w:rsidRPr="004B5175">
        <w:rPr>
          <w:rFonts w:ascii="Arial" w:hAnsi="Arial" w:cs="Arial"/>
        </w:rPr>
        <w:t>Furthermore, commissioning and policy decision-making are hampered by a pronounced lack of economic evidence. The committee responsible for the NICE guideline NG58 explicitly noted that there was no evidence for cost-effectiveness for many of the key recommendations regarding service models and coordination (NICE, 2016). This deficiency limits the capacity of UK commissioners to make informed decisions about resource allocation for complex care pathways (NICE, 2016). Evaluations also frequently fail to focus on the unique developmental needs of the 18–30 cohort or on crucial social and functional outcomes such as housing status, debt, or employment, which are defining factors of recovery for this age group (NICE, 2016; Public Health England, 2019).</w:t>
      </w:r>
    </w:p>
    <w:p w14:paraId="3C331AED" w14:textId="77777777" w:rsidR="00447CC4" w:rsidRPr="004B5175" w:rsidRDefault="00447CC4" w:rsidP="004B5175">
      <w:pPr>
        <w:pStyle w:val="Heading2"/>
        <w:spacing w:line="360" w:lineRule="auto"/>
        <w:rPr>
          <w:rFonts w:ascii="Arial" w:hAnsi="Arial" w:cs="Arial"/>
        </w:rPr>
      </w:pPr>
    </w:p>
    <w:p w14:paraId="550398DC" w14:textId="279C0101" w:rsidR="003732E6" w:rsidRPr="004B5175" w:rsidRDefault="003732E6" w:rsidP="004B5175">
      <w:pPr>
        <w:pStyle w:val="Heading2"/>
        <w:spacing w:line="360" w:lineRule="auto"/>
        <w:rPr>
          <w:rFonts w:ascii="Arial" w:hAnsi="Arial" w:cs="Arial"/>
        </w:rPr>
      </w:pPr>
      <w:bookmarkStart w:id="9" w:name="_Toc215232256"/>
      <w:r w:rsidRPr="004B5175">
        <w:rPr>
          <w:rFonts w:ascii="Arial" w:hAnsi="Arial" w:cs="Arial"/>
        </w:rPr>
        <w:t>Articulating the Knowledge Gap and Defining Central Research Questions</w:t>
      </w:r>
      <w:bookmarkEnd w:id="9"/>
    </w:p>
    <w:p w14:paraId="1AC7A282" w14:textId="448CC402" w:rsidR="003732E6" w:rsidRPr="004B5175" w:rsidRDefault="003732E6" w:rsidP="004B5175">
      <w:pPr>
        <w:spacing w:line="360" w:lineRule="auto"/>
        <w:rPr>
          <w:rFonts w:ascii="Arial" w:hAnsi="Arial" w:cs="Arial"/>
        </w:rPr>
      </w:pPr>
      <w:r w:rsidRPr="004B5175">
        <w:rPr>
          <w:rFonts w:ascii="Arial" w:hAnsi="Arial" w:cs="Arial"/>
        </w:rPr>
        <w:t>The synthesis of UK policy analysis and existing evaluation literature points to a defined and urgent knowledge gap: a lack of contemporary, rigorous evidence specifically linking the mandated integrated public health and social care pathways in the UK to sustained improvements in substance misuse reduction, treatment retention, and functional recovery among young adults with dual diagnosis.</w:t>
      </w:r>
    </w:p>
    <w:p w14:paraId="5E3925F9" w14:textId="790996EE" w:rsidR="003732E6" w:rsidRPr="004B5175" w:rsidRDefault="003732E6" w:rsidP="004B5175">
      <w:pPr>
        <w:spacing w:line="360" w:lineRule="auto"/>
        <w:rPr>
          <w:rFonts w:ascii="Arial" w:hAnsi="Arial" w:cs="Arial"/>
        </w:rPr>
      </w:pPr>
      <w:r w:rsidRPr="004B5175">
        <w:rPr>
          <w:rFonts w:ascii="Arial" w:hAnsi="Arial" w:cs="Arial"/>
        </w:rPr>
        <w:t xml:space="preserve">The central research </w:t>
      </w:r>
      <w:r w:rsidR="00967E76" w:rsidRPr="004B5175">
        <w:rPr>
          <w:rFonts w:ascii="Arial" w:hAnsi="Arial" w:cs="Arial"/>
        </w:rPr>
        <w:t>endeavour</w:t>
      </w:r>
      <w:r w:rsidRPr="004B5175">
        <w:rPr>
          <w:rFonts w:ascii="Arial" w:hAnsi="Arial" w:cs="Arial"/>
        </w:rPr>
        <w:t xml:space="preserve"> of this systematic review is therefore to gather and synthesise the existing evidence that can explain why integrated pathways succeed or fail in the turbulent UK service landscape, particularly for the transitional young adult population.</w:t>
      </w:r>
    </w:p>
    <w:p w14:paraId="2F35D656" w14:textId="1EF4CE5B" w:rsidR="003732E6" w:rsidRPr="004B5175" w:rsidRDefault="003732E6" w:rsidP="004B5175">
      <w:pPr>
        <w:spacing w:line="360" w:lineRule="auto"/>
        <w:rPr>
          <w:rFonts w:ascii="Arial" w:hAnsi="Arial" w:cs="Arial"/>
        </w:rPr>
      </w:pPr>
      <w:r w:rsidRPr="004B5175">
        <w:rPr>
          <w:rFonts w:ascii="Arial" w:hAnsi="Arial" w:cs="Arial"/>
          <w:b/>
          <w:bCs/>
        </w:rPr>
        <w:t>Secondary Research Questions (SQR):</w:t>
      </w:r>
      <w:r w:rsidR="00D10174" w:rsidRPr="004B5175">
        <w:rPr>
          <w:rFonts w:ascii="Arial" w:hAnsi="Arial" w:cs="Arial"/>
        </w:rPr>
        <w:t xml:space="preserve"> </w:t>
      </w:r>
      <w:r w:rsidRPr="004B5175">
        <w:rPr>
          <w:rFonts w:ascii="Arial" w:hAnsi="Arial" w:cs="Arial"/>
        </w:rPr>
        <w:t xml:space="preserve">What </w:t>
      </w:r>
      <w:proofErr w:type="gramStart"/>
      <w:r w:rsidRPr="004B5175">
        <w:rPr>
          <w:rFonts w:ascii="Arial" w:hAnsi="Arial" w:cs="Arial"/>
        </w:rPr>
        <w:t>are</w:t>
      </w:r>
      <w:proofErr w:type="gramEnd"/>
      <w:r w:rsidRPr="004B5175">
        <w:rPr>
          <w:rFonts w:ascii="Arial" w:hAnsi="Arial" w:cs="Arial"/>
        </w:rPr>
        <w:t xml:space="preserve"> the core structural barriers and facilitators affecting the implementation fidelity of integrated pathways, as perceived by service users and providers in the UK?</w:t>
      </w:r>
    </w:p>
    <w:p w14:paraId="3C1D0FF2" w14:textId="7F478E90" w:rsidR="003732E6" w:rsidRPr="004B5175" w:rsidRDefault="003732E6" w:rsidP="004B5175">
      <w:pPr>
        <w:pStyle w:val="ListParagraph"/>
        <w:numPr>
          <w:ilvl w:val="0"/>
          <w:numId w:val="13"/>
        </w:numPr>
        <w:spacing w:line="360" w:lineRule="auto"/>
        <w:rPr>
          <w:rFonts w:ascii="Arial" w:hAnsi="Arial" w:cs="Arial"/>
        </w:rPr>
      </w:pPr>
      <w:r w:rsidRPr="004B5175">
        <w:rPr>
          <w:rFonts w:ascii="Arial" w:hAnsi="Arial" w:cs="Arial"/>
        </w:rPr>
        <w:t>What evidence exists regarding the cost-effectiveness of these pathways for the 18-30 cohort?</w:t>
      </w:r>
    </w:p>
    <w:p w14:paraId="1BC629B9" w14:textId="58212CA3" w:rsidR="003732E6" w:rsidRDefault="003732E6" w:rsidP="004B5175">
      <w:pPr>
        <w:pStyle w:val="ListParagraph"/>
        <w:numPr>
          <w:ilvl w:val="0"/>
          <w:numId w:val="13"/>
        </w:numPr>
        <w:spacing w:line="360" w:lineRule="auto"/>
        <w:rPr>
          <w:rFonts w:ascii="Arial" w:hAnsi="Arial" w:cs="Arial"/>
        </w:rPr>
      </w:pPr>
      <w:r w:rsidRPr="004B5175">
        <w:rPr>
          <w:rFonts w:ascii="Arial" w:hAnsi="Arial" w:cs="Arial"/>
        </w:rPr>
        <w:t>What are the reported outcomes concerning social needs (e.g., housing, employment, reduced institutional use)?</w:t>
      </w:r>
    </w:p>
    <w:p w14:paraId="0814EEF0" w14:textId="77777777" w:rsidR="009311C9" w:rsidRDefault="009311C9" w:rsidP="009311C9">
      <w:pPr>
        <w:spacing w:line="360" w:lineRule="auto"/>
        <w:rPr>
          <w:rFonts w:ascii="Arial" w:hAnsi="Arial" w:cs="Arial"/>
        </w:rPr>
      </w:pPr>
    </w:p>
    <w:p w14:paraId="56DB30B9" w14:textId="77777777" w:rsidR="009311C9" w:rsidRPr="009311C9" w:rsidRDefault="009311C9" w:rsidP="009311C9">
      <w:pPr>
        <w:spacing w:line="360" w:lineRule="auto"/>
        <w:rPr>
          <w:rFonts w:ascii="Arial" w:hAnsi="Arial" w:cs="Arial"/>
        </w:rPr>
      </w:pPr>
    </w:p>
    <w:p w14:paraId="1C3B5907" w14:textId="22C4C4B6" w:rsidR="003732E6" w:rsidRPr="004B5175" w:rsidRDefault="003732E6" w:rsidP="004B5175">
      <w:pPr>
        <w:pStyle w:val="Heading1"/>
        <w:spacing w:line="360" w:lineRule="auto"/>
        <w:rPr>
          <w:rFonts w:ascii="Arial" w:hAnsi="Arial" w:cs="Arial"/>
        </w:rPr>
      </w:pPr>
      <w:bookmarkStart w:id="10" w:name="_Toc215232257"/>
      <w:r w:rsidRPr="004B5175">
        <w:rPr>
          <w:rFonts w:ascii="Arial" w:hAnsi="Arial" w:cs="Arial"/>
        </w:rPr>
        <w:t>Systematic Review Methodology and Protocol</w:t>
      </w:r>
      <w:bookmarkEnd w:id="10"/>
    </w:p>
    <w:p w14:paraId="2BD32B93" w14:textId="658A6A00" w:rsidR="003732E6" w:rsidRPr="004B5175" w:rsidRDefault="003732E6" w:rsidP="004B5175">
      <w:pPr>
        <w:spacing w:line="360" w:lineRule="auto"/>
        <w:rPr>
          <w:rStyle w:val="Heading2Char"/>
          <w:rFonts w:ascii="Arial" w:hAnsi="Arial" w:cs="Arial"/>
        </w:rPr>
      </w:pPr>
      <w:r w:rsidRPr="004B5175">
        <w:rPr>
          <w:rFonts w:ascii="Arial" w:hAnsi="Arial" w:cs="Arial"/>
        </w:rPr>
        <w:t xml:space="preserve"> </w:t>
      </w:r>
      <w:bookmarkStart w:id="11" w:name="_Toc215232258"/>
      <w:r w:rsidRPr="004B5175">
        <w:rPr>
          <w:rStyle w:val="Heading2Char"/>
          <w:rFonts w:ascii="Arial" w:hAnsi="Arial" w:cs="Arial"/>
        </w:rPr>
        <w:t>Review Aims, Objectives, and Protocol Registration</w:t>
      </w:r>
      <w:bookmarkEnd w:id="11"/>
    </w:p>
    <w:p w14:paraId="059A3FE5" w14:textId="24E1E151" w:rsidR="003732E6" w:rsidRPr="004B5175" w:rsidRDefault="003732E6" w:rsidP="004B5175">
      <w:pPr>
        <w:spacing w:line="360" w:lineRule="auto"/>
        <w:rPr>
          <w:rFonts w:ascii="Arial" w:hAnsi="Arial" w:cs="Arial"/>
        </w:rPr>
      </w:pPr>
      <w:r w:rsidRPr="004B5175">
        <w:rPr>
          <w:rFonts w:ascii="Arial" w:hAnsi="Arial" w:cs="Arial"/>
        </w:rPr>
        <w:t>This systematic literature review aims to rigorously synthesize the evidence base concerning the effectiveness and implementation of integrated care pathways for young adults (18–30) with dual diagnosis in the UK.</w:t>
      </w:r>
    </w:p>
    <w:p w14:paraId="0991D9BC" w14:textId="77777777" w:rsidR="003732E6" w:rsidRPr="004B5175" w:rsidRDefault="003732E6" w:rsidP="004B5175">
      <w:pPr>
        <w:spacing w:line="360" w:lineRule="auto"/>
        <w:rPr>
          <w:rFonts w:ascii="Arial" w:hAnsi="Arial" w:cs="Arial"/>
        </w:rPr>
      </w:pPr>
      <w:r w:rsidRPr="004B5175">
        <w:rPr>
          <w:rFonts w:ascii="Arial" w:hAnsi="Arial" w:cs="Arial"/>
        </w:rPr>
        <w:t>The methodological protocol will be registered prospectively with PROSPERO (International Prospective Register of Systematic Reviews) to ensure transparency and accountability in the research process. The review will strictly adhere to the Preferred Reporting Items for Systematic Reviews and Meta-Analyses (PRISMA 2020) guidelines for the complete reporting of systematic reviews evaluating the effects of interventions (Page et al., 2021).</w:t>
      </w:r>
    </w:p>
    <w:p w14:paraId="4A2F7224" w14:textId="77777777" w:rsidR="00A84D7E" w:rsidRPr="004B5175" w:rsidRDefault="00A84D7E" w:rsidP="004B5175">
      <w:pPr>
        <w:spacing w:line="360" w:lineRule="auto"/>
        <w:rPr>
          <w:rFonts w:ascii="Arial" w:hAnsi="Arial" w:cs="Arial"/>
        </w:rPr>
      </w:pPr>
    </w:p>
    <w:p w14:paraId="3B5AB4D9" w14:textId="141EF951" w:rsidR="003732E6" w:rsidRPr="004B5175" w:rsidRDefault="003732E6" w:rsidP="004B5175">
      <w:pPr>
        <w:spacing w:line="360" w:lineRule="auto"/>
        <w:rPr>
          <w:rFonts w:ascii="Arial" w:hAnsi="Arial" w:cs="Arial"/>
        </w:rPr>
      </w:pPr>
      <w:bookmarkStart w:id="12" w:name="_Toc215232259"/>
      <w:r w:rsidRPr="004B5175">
        <w:rPr>
          <w:rStyle w:val="Heading2Char"/>
          <w:rFonts w:ascii="Arial" w:hAnsi="Arial" w:cs="Arial"/>
        </w:rPr>
        <w:t>Defining the Scope: PICO Statement Formulation</w:t>
      </w:r>
      <w:bookmarkEnd w:id="12"/>
    </w:p>
    <w:p w14:paraId="21D8C179" w14:textId="77777777" w:rsidR="003732E6" w:rsidRDefault="003732E6" w:rsidP="004B5175">
      <w:pPr>
        <w:spacing w:line="360" w:lineRule="auto"/>
        <w:rPr>
          <w:rFonts w:ascii="Arial" w:hAnsi="Arial" w:cs="Arial"/>
        </w:rPr>
      </w:pPr>
      <w:r w:rsidRPr="004B5175">
        <w:rPr>
          <w:rFonts w:ascii="Arial" w:hAnsi="Arial" w:cs="Arial"/>
        </w:rPr>
        <w:t>The Population, Intervention, Comparator, and Outcome (PICO) framework provides a structure to clearly delineate the study scope, ensuring the systematic review addresses the specific research questions regarding effectiveness.</w:t>
      </w:r>
    </w:p>
    <w:p w14:paraId="5F744EF3" w14:textId="77777777" w:rsidR="00DF2775" w:rsidRDefault="00DF2775" w:rsidP="004B5175">
      <w:pPr>
        <w:spacing w:line="360" w:lineRule="auto"/>
        <w:rPr>
          <w:rFonts w:ascii="Arial" w:hAnsi="Arial" w:cs="Arial"/>
        </w:rPr>
      </w:pPr>
    </w:p>
    <w:p w14:paraId="525D0FE0" w14:textId="77777777" w:rsidR="00DF2775" w:rsidRDefault="00DF2775" w:rsidP="004B5175">
      <w:pPr>
        <w:spacing w:line="360" w:lineRule="auto"/>
        <w:rPr>
          <w:rFonts w:ascii="Arial" w:hAnsi="Arial" w:cs="Arial"/>
        </w:rPr>
      </w:pPr>
    </w:p>
    <w:p w14:paraId="6E457DAB" w14:textId="77777777" w:rsidR="00DF2775" w:rsidRDefault="00DF2775" w:rsidP="004B5175">
      <w:pPr>
        <w:spacing w:line="360" w:lineRule="auto"/>
        <w:rPr>
          <w:rFonts w:ascii="Arial" w:hAnsi="Arial" w:cs="Arial"/>
        </w:rPr>
      </w:pPr>
    </w:p>
    <w:p w14:paraId="56B41E2D" w14:textId="77777777" w:rsidR="00DF2775" w:rsidRDefault="00DF2775" w:rsidP="004B5175">
      <w:pPr>
        <w:spacing w:line="360" w:lineRule="auto"/>
        <w:rPr>
          <w:rFonts w:ascii="Arial" w:hAnsi="Arial" w:cs="Arial"/>
        </w:rPr>
      </w:pPr>
    </w:p>
    <w:p w14:paraId="4C3F277C" w14:textId="77777777" w:rsidR="00DF2775" w:rsidRDefault="00DF2775" w:rsidP="004B5175">
      <w:pPr>
        <w:spacing w:line="360" w:lineRule="auto"/>
        <w:rPr>
          <w:rFonts w:ascii="Arial" w:hAnsi="Arial" w:cs="Arial"/>
        </w:rPr>
      </w:pPr>
    </w:p>
    <w:p w14:paraId="6583D78C" w14:textId="77777777" w:rsidR="0055422E" w:rsidRDefault="0055422E" w:rsidP="004B5175">
      <w:pPr>
        <w:spacing w:line="360" w:lineRule="auto"/>
        <w:rPr>
          <w:rFonts w:ascii="Arial" w:hAnsi="Arial" w:cs="Arial"/>
        </w:rPr>
      </w:pPr>
    </w:p>
    <w:p w14:paraId="08A08869" w14:textId="77777777" w:rsidR="009311C9" w:rsidRDefault="009311C9" w:rsidP="004B5175">
      <w:pPr>
        <w:spacing w:line="360" w:lineRule="auto"/>
        <w:rPr>
          <w:rFonts w:ascii="Arial" w:hAnsi="Arial" w:cs="Arial"/>
        </w:rPr>
      </w:pPr>
    </w:p>
    <w:p w14:paraId="127900E6" w14:textId="77777777" w:rsidR="009311C9" w:rsidRPr="004B5175" w:rsidRDefault="009311C9" w:rsidP="004B5175">
      <w:pPr>
        <w:spacing w:line="360" w:lineRule="auto"/>
        <w:rPr>
          <w:rFonts w:ascii="Arial" w:hAnsi="Arial" w:cs="Arial"/>
        </w:rPr>
      </w:pPr>
    </w:p>
    <w:p w14:paraId="1383143A" w14:textId="77777777" w:rsidR="003732E6" w:rsidRPr="004B5175" w:rsidRDefault="003732E6" w:rsidP="004B5175">
      <w:pPr>
        <w:spacing w:line="360" w:lineRule="auto"/>
        <w:rPr>
          <w:rFonts w:ascii="Arial" w:hAnsi="Arial" w:cs="Arial"/>
        </w:rPr>
      </w:pPr>
    </w:p>
    <w:p w14:paraId="267E65B8" w14:textId="440F76F3" w:rsidR="003732E6" w:rsidRPr="004B5175" w:rsidRDefault="003732E6" w:rsidP="004B5175">
      <w:pPr>
        <w:pStyle w:val="Heading3"/>
        <w:spacing w:line="360" w:lineRule="auto"/>
        <w:rPr>
          <w:rFonts w:ascii="Arial" w:hAnsi="Arial" w:cs="Arial"/>
        </w:rPr>
      </w:pPr>
      <w:bookmarkStart w:id="13" w:name="_Toc215232260"/>
      <w:r w:rsidRPr="004B5175">
        <w:rPr>
          <w:rFonts w:ascii="Arial" w:hAnsi="Arial" w:cs="Arial"/>
        </w:rPr>
        <w:t>Table</w:t>
      </w:r>
      <w:r w:rsidR="00E12ED6" w:rsidRPr="004B5175">
        <w:rPr>
          <w:rFonts w:ascii="Arial" w:hAnsi="Arial" w:cs="Arial"/>
        </w:rPr>
        <w:t xml:space="preserve">: </w:t>
      </w:r>
      <w:r w:rsidRPr="004B5175">
        <w:rPr>
          <w:rFonts w:ascii="Arial" w:hAnsi="Arial" w:cs="Arial"/>
        </w:rPr>
        <w:t>PICO Statement for Proposed Systematic Review</w:t>
      </w:r>
      <w:bookmarkEnd w:id="13"/>
    </w:p>
    <w:tbl>
      <w:tblPr>
        <w:tblStyle w:val="TableGrid"/>
        <w:tblpPr w:leftFromText="180" w:rightFromText="180" w:vertAnchor="text" w:tblpXSpec="right" w:tblpY="1"/>
        <w:tblOverlap w:val="never"/>
        <w:tblW w:w="0" w:type="auto"/>
        <w:tblInd w:w="0" w:type="dxa"/>
        <w:tblLook w:val="04A0" w:firstRow="1" w:lastRow="0" w:firstColumn="1" w:lastColumn="0" w:noHBand="0" w:noVBand="1"/>
      </w:tblPr>
      <w:tblGrid>
        <w:gridCol w:w="1696"/>
        <w:gridCol w:w="4314"/>
        <w:gridCol w:w="3006"/>
      </w:tblGrid>
      <w:tr w:rsidR="00DA36A4" w:rsidRPr="00DA36A4" w14:paraId="5C3C62DF" w14:textId="77777777" w:rsidTr="00FF59DC">
        <w:tc>
          <w:tcPr>
            <w:tcW w:w="1696" w:type="dxa"/>
            <w:shd w:val="clear" w:color="auto" w:fill="A5C9EB" w:themeFill="text2" w:themeFillTint="40"/>
          </w:tcPr>
          <w:p w14:paraId="73881008" w14:textId="41C72F11" w:rsidR="00790E6E" w:rsidRPr="00DA36A4" w:rsidRDefault="00790E6E" w:rsidP="00FF59DC">
            <w:pPr>
              <w:spacing w:line="360" w:lineRule="auto"/>
              <w:rPr>
                <w:rFonts w:ascii="Arial" w:hAnsi="Arial" w:cs="Arial"/>
                <w:color w:val="156082" w:themeColor="accent1"/>
              </w:rPr>
            </w:pPr>
            <w:r w:rsidRPr="00DA36A4">
              <w:rPr>
                <w:rFonts w:ascii="Arial" w:hAnsi="Arial" w:cs="Arial"/>
                <w:color w:val="156082" w:themeColor="accent1"/>
              </w:rPr>
              <w:t>Component</w:t>
            </w:r>
            <w:r w:rsidRPr="00DA36A4">
              <w:rPr>
                <w:rFonts w:ascii="Arial" w:hAnsi="Arial" w:cs="Arial"/>
                <w:color w:val="156082" w:themeColor="accent1"/>
              </w:rPr>
              <w:tab/>
            </w:r>
          </w:p>
        </w:tc>
        <w:tc>
          <w:tcPr>
            <w:tcW w:w="4314" w:type="dxa"/>
            <w:shd w:val="clear" w:color="auto" w:fill="A5C9EB" w:themeFill="text2" w:themeFillTint="40"/>
          </w:tcPr>
          <w:p w14:paraId="45DC03C8" w14:textId="09B29E85" w:rsidR="00790E6E" w:rsidRPr="00DA36A4" w:rsidRDefault="00790E6E" w:rsidP="00FF59DC">
            <w:pPr>
              <w:spacing w:line="360" w:lineRule="auto"/>
              <w:rPr>
                <w:rFonts w:ascii="Arial" w:hAnsi="Arial" w:cs="Arial"/>
                <w:color w:val="156082" w:themeColor="accent1"/>
              </w:rPr>
            </w:pPr>
            <w:r w:rsidRPr="00DA36A4">
              <w:rPr>
                <w:rFonts w:ascii="Arial" w:hAnsi="Arial" w:cs="Arial"/>
                <w:color w:val="156082" w:themeColor="accent1"/>
              </w:rPr>
              <w:t>Definition</w:t>
            </w:r>
          </w:p>
        </w:tc>
        <w:tc>
          <w:tcPr>
            <w:tcW w:w="3006" w:type="dxa"/>
            <w:shd w:val="clear" w:color="auto" w:fill="A5C9EB" w:themeFill="text2" w:themeFillTint="40"/>
          </w:tcPr>
          <w:p w14:paraId="2489F9AF" w14:textId="438FA966" w:rsidR="00790E6E" w:rsidRPr="00DA36A4" w:rsidRDefault="00790E6E" w:rsidP="00FF59DC">
            <w:pPr>
              <w:spacing w:line="360" w:lineRule="auto"/>
              <w:rPr>
                <w:rFonts w:ascii="Arial" w:hAnsi="Arial" w:cs="Arial"/>
                <w:color w:val="156082" w:themeColor="accent1"/>
              </w:rPr>
            </w:pPr>
            <w:r w:rsidRPr="00DA36A4">
              <w:rPr>
                <w:rFonts w:ascii="Arial" w:hAnsi="Arial" w:cs="Arial"/>
                <w:color w:val="156082" w:themeColor="accent1"/>
              </w:rPr>
              <w:t>Rationale</w:t>
            </w:r>
          </w:p>
        </w:tc>
      </w:tr>
      <w:tr w:rsidR="00790E6E" w14:paraId="021CD773" w14:textId="77777777" w:rsidTr="00FF59DC">
        <w:tc>
          <w:tcPr>
            <w:tcW w:w="1696" w:type="dxa"/>
            <w:shd w:val="clear" w:color="auto" w:fill="DAE9F7" w:themeFill="text2" w:themeFillTint="1A"/>
          </w:tcPr>
          <w:p w14:paraId="13A9FCFA" w14:textId="7BE88533" w:rsidR="00790E6E" w:rsidRDefault="00DF784F" w:rsidP="00FF59DC">
            <w:pPr>
              <w:spacing w:line="360" w:lineRule="auto"/>
              <w:rPr>
                <w:rFonts w:ascii="Arial" w:hAnsi="Arial" w:cs="Arial"/>
              </w:rPr>
            </w:pPr>
            <w:r w:rsidRPr="004B5175">
              <w:rPr>
                <w:rFonts w:ascii="Arial" w:hAnsi="Arial" w:cs="Arial"/>
              </w:rPr>
              <w:t>P (Population)</w:t>
            </w:r>
          </w:p>
        </w:tc>
        <w:tc>
          <w:tcPr>
            <w:tcW w:w="4314" w:type="dxa"/>
            <w:shd w:val="clear" w:color="auto" w:fill="DAE9F7" w:themeFill="text2" w:themeFillTint="1A"/>
          </w:tcPr>
          <w:p w14:paraId="7B5AAEE0" w14:textId="2503CAA1" w:rsidR="00790E6E" w:rsidRDefault="00494C49" w:rsidP="00FF59DC">
            <w:pPr>
              <w:spacing w:line="360" w:lineRule="auto"/>
              <w:rPr>
                <w:rFonts w:ascii="Arial" w:hAnsi="Arial" w:cs="Arial"/>
              </w:rPr>
            </w:pPr>
            <w:r w:rsidRPr="004B5175">
              <w:rPr>
                <w:rFonts w:ascii="Arial" w:hAnsi="Arial" w:cs="Arial"/>
              </w:rPr>
              <w:t>Young adults aged 18–30 years with dual diagnosis (co-occurring mental health and substance misuse or complex needs) in the UK.</w:t>
            </w:r>
          </w:p>
        </w:tc>
        <w:tc>
          <w:tcPr>
            <w:tcW w:w="3006" w:type="dxa"/>
            <w:shd w:val="clear" w:color="auto" w:fill="DAE9F7" w:themeFill="text2" w:themeFillTint="1A"/>
          </w:tcPr>
          <w:p w14:paraId="1E41D895" w14:textId="77777777" w:rsidR="00494C49" w:rsidRPr="004B5175" w:rsidRDefault="00494C49" w:rsidP="00FF59DC">
            <w:pPr>
              <w:spacing w:line="360" w:lineRule="auto"/>
              <w:rPr>
                <w:rFonts w:ascii="Arial" w:hAnsi="Arial" w:cs="Arial"/>
              </w:rPr>
            </w:pPr>
            <w:r w:rsidRPr="004B5175">
              <w:rPr>
                <w:rFonts w:ascii="Arial" w:hAnsi="Arial" w:cs="Arial"/>
              </w:rPr>
              <w:t>Focuses on the unique needs of the transitional age group often excluded or poorly served by existing SMI-centric DD guidelines (ELFT, 2025).</w:t>
            </w:r>
          </w:p>
          <w:p w14:paraId="60F3C015" w14:textId="77777777" w:rsidR="00790E6E" w:rsidRDefault="00790E6E" w:rsidP="00FF59DC">
            <w:pPr>
              <w:spacing w:line="360" w:lineRule="auto"/>
              <w:rPr>
                <w:rFonts w:ascii="Arial" w:hAnsi="Arial" w:cs="Arial"/>
              </w:rPr>
            </w:pPr>
          </w:p>
        </w:tc>
      </w:tr>
      <w:tr w:rsidR="00790E6E" w14:paraId="2255960B" w14:textId="77777777" w:rsidTr="00FF59DC">
        <w:tc>
          <w:tcPr>
            <w:tcW w:w="1696" w:type="dxa"/>
            <w:shd w:val="clear" w:color="auto" w:fill="FAE2D5" w:themeFill="accent2" w:themeFillTint="33"/>
          </w:tcPr>
          <w:p w14:paraId="278206E2" w14:textId="41EB6871" w:rsidR="00790E6E" w:rsidRDefault="00B55CA5" w:rsidP="00FF59DC">
            <w:pPr>
              <w:spacing w:line="360" w:lineRule="auto"/>
              <w:rPr>
                <w:rFonts w:ascii="Arial" w:hAnsi="Arial" w:cs="Arial"/>
              </w:rPr>
            </w:pPr>
            <w:r w:rsidRPr="004B5175">
              <w:rPr>
                <w:rFonts w:ascii="Arial" w:hAnsi="Arial" w:cs="Arial"/>
              </w:rPr>
              <w:t>I (Intervention)</w:t>
            </w:r>
          </w:p>
        </w:tc>
        <w:tc>
          <w:tcPr>
            <w:tcW w:w="4314" w:type="dxa"/>
            <w:shd w:val="clear" w:color="auto" w:fill="FAE2D5" w:themeFill="accent2" w:themeFillTint="33"/>
          </w:tcPr>
          <w:p w14:paraId="424ED71B" w14:textId="3CAA976C" w:rsidR="00790E6E" w:rsidRDefault="00DE10EA" w:rsidP="00FF59DC">
            <w:pPr>
              <w:spacing w:line="360" w:lineRule="auto"/>
              <w:rPr>
                <w:rFonts w:ascii="Arial" w:hAnsi="Arial" w:cs="Arial"/>
              </w:rPr>
            </w:pPr>
            <w:r w:rsidRPr="004B5175">
              <w:rPr>
                <w:rFonts w:ascii="Arial" w:hAnsi="Arial" w:cs="Arial"/>
              </w:rPr>
              <w:t>Integrated public health and social care pathways, including collaborative, co-located, or joint care models featuring shared care plans and coordination (Public Health England, 2016; ELFT, 2025).</w:t>
            </w:r>
          </w:p>
        </w:tc>
        <w:tc>
          <w:tcPr>
            <w:tcW w:w="3006" w:type="dxa"/>
            <w:shd w:val="clear" w:color="auto" w:fill="FAE2D5" w:themeFill="accent2" w:themeFillTint="33"/>
          </w:tcPr>
          <w:p w14:paraId="50BF967D" w14:textId="77777777" w:rsidR="00DE10EA" w:rsidRPr="004B5175" w:rsidRDefault="00DE10EA" w:rsidP="00FF59DC">
            <w:pPr>
              <w:spacing w:line="360" w:lineRule="auto"/>
              <w:rPr>
                <w:rFonts w:ascii="Arial" w:hAnsi="Arial" w:cs="Arial"/>
              </w:rPr>
            </w:pPr>
            <w:r w:rsidRPr="004B5175">
              <w:rPr>
                <w:rFonts w:ascii="Arial" w:hAnsi="Arial" w:cs="Arial"/>
              </w:rPr>
              <w:t>Targets multidisciplinary approaches designed to combat service fragmentation (ELFT, 2025).</w:t>
            </w:r>
          </w:p>
          <w:p w14:paraId="659F10D5" w14:textId="77777777" w:rsidR="00790E6E" w:rsidRDefault="00790E6E" w:rsidP="00FF59DC">
            <w:pPr>
              <w:spacing w:line="360" w:lineRule="auto"/>
              <w:rPr>
                <w:rFonts w:ascii="Arial" w:hAnsi="Arial" w:cs="Arial"/>
              </w:rPr>
            </w:pPr>
          </w:p>
        </w:tc>
      </w:tr>
      <w:tr w:rsidR="00790E6E" w14:paraId="6325EA79" w14:textId="77777777" w:rsidTr="00FF59DC">
        <w:tc>
          <w:tcPr>
            <w:tcW w:w="1696" w:type="dxa"/>
            <w:shd w:val="clear" w:color="auto" w:fill="F2CEED" w:themeFill="accent5" w:themeFillTint="33"/>
          </w:tcPr>
          <w:p w14:paraId="4869F598" w14:textId="4D038AF9" w:rsidR="00790E6E" w:rsidRDefault="00007A3A" w:rsidP="00FF59DC">
            <w:pPr>
              <w:spacing w:line="360" w:lineRule="auto"/>
              <w:rPr>
                <w:rFonts w:ascii="Arial" w:hAnsi="Arial" w:cs="Arial"/>
              </w:rPr>
            </w:pPr>
            <w:r w:rsidRPr="004B5175">
              <w:rPr>
                <w:rFonts w:ascii="Arial" w:hAnsi="Arial" w:cs="Arial"/>
              </w:rPr>
              <w:t>C (Comparator)</w:t>
            </w:r>
          </w:p>
        </w:tc>
        <w:tc>
          <w:tcPr>
            <w:tcW w:w="4314" w:type="dxa"/>
            <w:shd w:val="clear" w:color="auto" w:fill="F2CEED" w:themeFill="accent5" w:themeFillTint="33"/>
          </w:tcPr>
          <w:p w14:paraId="23FF9AA4" w14:textId="03DA73E6" w:rsidR="00790E6E" w:rsidRDefault="00D45207" w:rsidP="00FF59DC">
            <w:pPr>
              <w:spacing w:line="360" w:lineRule="auto"/>
              <w:rPr>
                <w:rFonts w:ascii="Arial" w:hAnsi="Arial" w:cs="Arial"/>
              </w:rPr>
            </w:pPr>
            <w:r w:rsidRPr="004B5175">
              <w:rPr>
                <w:rFonts w:ascii="Arial" w:hAnsi="Arial" w:cs="Arial"/>
              </w:rPr>
              <w:t>Non-integrated or sequential treatment pathways (where mental health and substance misuse services operate independently or via simple signposting) (ELFT, 2025).</w:t>
            </w:r>
          </w:p>
        </w:tc>
        <w:tc>
          <w:tcPr>
            <w:tcW w:w="3006" w:type="dxa"/>
            <w:shd w:val="clear" w:color="auto" w:fill="F2CEED" w:themeFill="accent5" w:themeFillTint="33"/>
          </w:tcPr>
          <w:p w14:paraId="1FDC57ED" w14:textId="2BFD0736" w:rsidR="00790E6E" w:rsidRDefault="0003325D" w:rsidP="00FF59DC">
            <w:pPr>
              <w:spacing w:line="360" w:lineRule="auto"/>
              <w:rPr>
                <w:rFonts w:ascii="Arial" w:hAnsi="Arial" w:cs="Arial"/>
              </w:rPr>
            </w:pPr>
            <w:r>
              <w:rPr>
                <w:rFonts w:ascii="Arial" w:hAnsi="Arial" w:cs="Arial"/>
              </w:rPr>
              <w:t xml:space="preserve">Necessary to isolate the </w:t>
            </w:r>
            <w:r w:rsidR="00623230">
              <w:rPr>
                <w:rFonts w:ascii="Arial" w:hAnsi="Arial" w:cs="Arial"/>
              </w:rPr>
              <w:t>incremental benefit of syste</w:t>
            </w:r>
            <w:r w:rsidR="000C77D4">
              <w:rPr>
                <w:rFonts w:ascii="Arial" w:hAnsi="Arial" w:cs="Arial"/>
              </w:rPr>
              <w:t xml:space="preserve">mic integration (Gopal </w:t>
            </w:r>
            <w:r w:rsidR="004C1130" w:rsidRPr="004C1130">
              <w:rPr>
                <w:rFonts w:ascii="Arial" w:hAnsi="Arial" w:cs="Arial"/>
                <w:i/>
                <w:iCs/>
              </w:rPr>
              <w:t>et al</w:t>
            </w:r>
            <w:r w:rsidR="004C1130">
              <w:rPr>
                <w:rFonts w:ascii="Arial" w:hAnsi="Arial" w:cs="Arial"/>
              </w:rPr>
              <w:t>., 2023)</w:t>
            </w:r>
          </w:p>
        </w:tc>
      </w:tr>
      <w:tr w:rsidR="00790E6E" w14:paraId="703ABC7E" w14:textId="77777777" w:rsidTr="00FF59DC">
        <w:tc>
          <w:tcPr>
            <w:tcW w:w="1696" w:type="dxa"/>
            <w:shd w:val="clear" w:color="auto" w:fill="ADADAD" w:themeFill="background2" w:themeFillShade="BF"/>
          </w:tcPr>
          <w:p w14:paraId="40A119D2" w14:textId="1341C47E" w:rsidR="00790E6E" w:rsidRDefault="00007A3A" w:rsidP="00FF59DC">
            <w:pPr>
              <w:spacing w:line="360" w:lineRule="auto"/>
              <w:rPr>
                <w:rFonts w:ascii="Arial" w:hAnsi="Arial" w:cs="Arial"/>
              </w:rPr>
            </w:pPr>
            <w:r w:rsidRPr="004B5175">
              <w:rPr>
                <w:rFonts w:ascii="Arial" w:hAnsi="Arial" w:cs="Arial"/>
              </w:rPr>
              <w:t>O (Outcome)</w:t>
            </w:r>
            <w:r w:rsidRPr="002F6A20">
              <w:rPr>
                <w:rFonts w:ascii="Arial" w:hAnsi="Arial" w:cs="Arial"/>
                <w:shd w:val="clear" w:color="auto" w:fill="ADADAD" w:themeFill="background2" w:themeFillShade="BF"/>
              </w:rPr>
              <w:tab/>
            </w:r>
          </w:p>
        </w:tc>
        <w:tc>
          <w:tcPr>
            <w:tcW w:w="4314" w:type="dxa"/>
            <w:shd w:val="clear" w:color="auto" w:fill="ADADAD" w:themeFill="background2" w:themeFillShade="BF"/>
          </w:tcPr>
          <w:p w14:paraId="7F685C69" w14:textId="30D641CA" w:rsidR="00790E6E" w:rsidRDefault="00D45207" w:rsidP="00FF59DC">
            <w:pPr>
              <w:spacing w:line="360" w:lineRule="auto"/>
              <w:rPr>
                <w:rFonts w:ascii="Arial" w:hAnsi="Arial" w:cs="Arial"/>
              </w:rPr>
            </w:pPr>
            <w:r w:rsidRPr="004B5175">
              <w:rPr>
                <w:rFonts w:ascii="Arial" w:hAnsi="Arial" w:cs="Arial"/>
              </w:rPr>
              <w:t>Effectiveness Outcomes (Treatment Retention, Substance Misuse Reduction, Psychiatric Symptom Reduction) and System/Social Outcomes (Functional Recovery, Housing Status, Reduced Institutional Use, Implementation Fidelity, Cost-Effectiveness) (NICE, 2016; Public Health England, 2019; Gopal et al., 2023).</w:t>
            </w:r>
          </w:p>
        </w:tc>
        <w:tc>
          <w:tcPr>
            <w:tcW w:w="3006" w:type="dxa"/>
            <w:shd w:val="clear" w:color="auto" w:fill="ADADAD" w:themeFill="background2" w:themeFillShade="BF"/>
          </w:tcPr>
          <w:p w14:paraId="3FF5D0CD" w14:textId="77777777" w:rsidR="0030207F" w:rsidRPr="004B5175" w:rsidRDefault="0030207F" w:rsidP="00FF59DC">
            <w:pPr>
              <w:spacing w:line="360" w:lineRule="auto"/>
              <w:rPr>
                <w:rFonts w:ascii="Arial" w:hAnsi="Arial" w:cs="Arial"/>
              </w:rPr>
            </w:pPr>
            <w:r w:rsidRPr="004B5175">
              <w:rPr>
                <w:rFonts w:ascii="Arial" w:hAnsi="Arial" w:cs="Arial"/>
              </w:rPr>
              <w:t>Comprehensive assessment covering clinical efficacy and the social determinants of recovery.</w:t>
            </w:r>
          </w:p>
          <w:p w14:paraId="61AE2127" w14:textId="77777777" w:rsidR="00790E6E" w:rsidRDefault="00790E6E" w:rsidP="00FF59DC">
            <w:pPr>
              <w:spacing w:line="360" w:lineRule="auto"/>
              <w:rPr>
                <w:rFonts w:ascii="Arial" w:hAnsi="Arial" w:cs="Arial"/>
              </w:rPr>
            </w:pPr>
          </w:p>
        </w:tc>
      </w:tr>
    </w:tbl>
    <w:p w14:paraId="5F27FF9A" w14:textId="273D7334" w:rsidR="002A3D87" w:rsidRDefault="00FF59DC" w:rsidP="004B5175">
      <w:pPr>
        <w:spacing w:line="360" w:lineRule="auto"/>
        <w:rPr>
          <w:rFonts w:ascii="Arial" w:hAnsi="Arial" w:cs="Arial"/>
        </w:rPr>
      </w:pPr>
      <w:r>
        <w:rPr>
          <w:rFonts w:ascii="Arial" w:hAnsi="Arial" w:cs="Arial"/>
        </w:rPr>
        <w:br w:type="textWrapping" w:clear="all"/>
      </w:r>
    </w:p>
    <w:p w14:paraId="1DE95E07" w14:textId="0C1B7F7E" w:rsidR="00E2611D" w:rsidRPr="004B5175" w:rsidRDefault="003732E6" w:rsidP="004B5175">
      <w:pPr>
        <w:spacing w:line="360" w:lineRule="auto"/>
        <w:rPr>
          <w:rFonts w:ascii="Arial" w:hAnsi="Arial" w:cs="Arial"/>
        </w:rPr>
      </w:pPr>
      <w:r w:rsidRPr="00007A3A">
        <w:rPr>
          <w:rFonts w:ascii="Arial" w:hAnsi="Arial" w:cs="Arial"/>
          <w:color w:val="FF0000"/>
        </w:rPr>
        <w:tab/>
      </w:r>
      <w:r w:rsidRPr="004B5175">
        <w:rPr>
          <w:rFonts w:ascii="Arial" w:hAnsi="Arial" w:cs="Arial"/>
        </w:rPr>
        <w:tab/>
      </w:r>
    </w:p>
    <w:p w14:paraId="5532BB0D" w14:textId="4768479E" w:rsidR="003732E6" w:rsidRPr="004B5175" w:rsidRDefault="003732E6" w:rsidP="004B5175">
      <w:pPr>
        <w:spacing w:line="360" w:lineRule="auto"/>
        <w:rPr>
          <w:rFonts w:ascii="Arial" w:hAnsi="Arial" w:cs="Arial"/>
        </w:rPr>
      </w:pPr>
      <w:bookmarkStart w:id="14" w:name="_Toc215232261"/>
      <w:r w:rsidRPr="004B5175">
        <w:rPr>
          <w:rStyle w:val="Heading2Char"/>
          <w:rFonts w:ascii="Arial" w:hAnsi="Arial" w:cs="Arial"/>
        </w:rPr>
        <w:t>Search Strategy Development: Databases, Terms, and Timeframes</w:t>
      </w:r>
      <w:bookmarkEnd w:id="14"/>
    </w:p>
    <w:p w14:paraId="163ED74A" w14:textId="5B102512" w:rsidR="003732E6" w:rsidRPr="004B5175" w:rsidRDefault="003732E6" w:rsidP="004B5175">
      <w:pPr>
        <w:spacing w:line="360" w:lineRule="auto"/>
        <w:rPr>
          <w:rFonts w:ascii="Arial" w:hAnsi="Arial" w:cs="Arial"/>
        </w:rPr>
      </w:pPr>
      <w:r w:rsidRPr="004B5175">
        <w:rPr>
          <w:rFonts w:ascii="Arial" w:hAnsi="Arial" w:cs="Arial"/>
        </w:rPr>
        <w:t>The complexity of integrated care</w:t>
      </w:r>
      <w:r w:rsidR="00E2611D" w:rsidRPr="004B5175">
        <w:rPr>
          <w:rFonts w:ascii="Arial" w:hAnsi="Arial" w:cs="Arial"/>
        </w:rPr>
        <w:t xml:space="preserve"> </w:t>
      </w:r>
      <w:r w:rsidRPr="004B5175">
        <w:rPr>
          <w:rFonts w:ascii="Arial" w:hAnsi="Arial" w:cs="Arial"/>
        </w:rPr>
        <w:t>spanning health, social care, and voluntary sectors</w:t>
      </w:r>
      <w:r w:rsidR="00E2611D" w:rsidRPr="004B5175">
        <w:rPr>
          <w:rFonts w:ascii="Arial" w:hAnsi="Arial" w:cs="Arial"/>
        </w:rPr>
        <w:t xml:space="preserve"> </w:t>
      </w:r>
      <w:r w:rsidRPr="004B5175">
        <w:rPr>
          <w:rFonts w:ascii="Arial" w:hAnsi="Arial" w:cs="Arial"/>
        </w:rPr>
        <w:t>necessitates a broad, multi-database search strategy to capture all relevant evidence, including peer-reviewed literature and key grey literature.</w:t>
      </w:r>
    </w:p>
    <w:p w14:paraId="03D5E523" w14:textId="77777777" w:rsidR="003732E6" w:rsidRDefault="003732E6" w:rsidP="004B5175">
      <w:pPr>
        <w:spacing w:line="360" w:lineRule="auto"/>
        <w:rPr>
          <w:rFonts w:ascii="Arial" w:hAnsi="Arial" w:cs="Arial"/>
        </w:rPr>
      </w:pPr>
    </w:p>
    <w:p w14:paraId="065F309A" w14:textId="77777777" w:rsidR="00A7140C" w:rsidRPr="004B5175" w:rsidRDefault="00A7140C" w:rsidP="004B5175">
      <w:pPr>
        <w:spacing w:line="360" w:lineRule="auto"/>
        <w:rPr>
          <w:rFonts w:ascii="Arial" w:hAnsi="Arial" w:cs="Arial"/>
        </w:rPr>
      </w:pPr>
    </w:p>
    <w:p w14:paraId="3FC42C7B" w14:textId="4324B212" w:rsidR="003732E6" w:rsidRPr="004B5175" w:rsidRDefault="003732E6" w:rsidP="004B5175">
      <w:pPr>
        <w:spacing w:line="360" w:lineRule="auto"/>
        <w:rPr>
          <w:rFonts w:ascii="Arial" w:hAnsi="Arial" w:cs="Arial"/>
        </w:rPr>
      </w:pPr>
      <w:bookmarkStart w:id="15" w:name="_Toc215232262"/>
      <w:r w:rsidRPr="004B5175">
        <w:rPr>
          <w:rStyle w:val="Heading3Char"/>
          <w:rFonts w:ascii="Arial" w:hAnsi="Arial" w:cs="Arial"/>
        </w:rPr>
        <w:t>Academic Database Selection</w:t>
      </w:r>
      <w:bookmarkEnd w:id="15"/>
    </w:p>
    <w:p w14:paraId="63EB506F" w14:textId="77777777" w:rsidR="003732E6" w:rsidRPr="004B5175" w:rsidRDefault="003732E6" w:rsidP="004B5175">
      <w:pPr>
        <w:spacing w:line="360" w:lineRule="auto"/>
        <w:rPr>
          <w:rFonts w:ascii="Arial" w:hAnsi="Arial" w:cs="Arial"/>
        </w:rPr>
      </w:pPr>
      <w:r w:rsidRPr="004B5175">
        <w:rPr>
          <w:rFonts w:ascii="Arial" w:hAnsi="Arial" w:cs="Arial"/>
        </w:rPr>
        <w:t>The search will utilize the following critical academic databases relevant to UK health and social care research (NHS England, 2014):</w:t>
      </w:r>
    </w:p>
    <w:p w14:paraId="5579A5CA" w14:textId="77777777" w:rsidR="003732E6" w:rsidRPr="004B5175" w:rsidRDefault="003732E6" w:rsidP="004B5175">
      <w:pPr>
        <w:spacing w:line="360" w:lineRule="auto"/>
        <w:rPr>
          <w:rFonts w:ascii="Arial" w:hAnsi="Arial" w:cs="Arial"/>
        </w:rPr>
      </w:pPr>
    </w:p>
    <w:p w14:paraId="66261275" w14:textId="1B0CA0C8" w:rsidR="003732E6" w:rsidRPr="004B5175" w:rsidRDefault="003732E6" w:rsidP="004B5175">
      <w:pPr>
        <w:spacing w:line="360" w:lineRule="auto"/>
        <w:rPr>
          <w:rFonts w:ascii="Arial" w:hAnsi="Arial" w:cs="Arial"/>
        </w:rPr>
      </w:pPr>
      <w:r w:rsidRPr="004B5175">
        <w:rPr>
          <w:rFonts w:ascii="Arial" w:hAnsi="Arial" w:cs="Arial"/>
        </w:rPr>
        <w:t>Clinical/Biomedical: MEDLINE (via PubMed) and Embase.</w:t>
      </w:r>
    </w:p>
    <w:p w14:paraId="35145B2F" w14:textId="7CE9E7B6" w:rsidR="003732E6" w:rsidRPr="004B5175" w:rsidRDefault="003732E6" w:rsidP="004B5175">
      <w:pPr>
        <w:spacing w:line="360" w:lineRule="auto"/>
        <w:rPr>
          <w:rFonts w:ascii="Arial" w:hAnsi="Arial" w:cs="Arial"/>
        </w:rPr>
      </w:pPr>
      <w:r w:rsidRPr="004B5175">
        <w:rPr>
          <w:rFonts w:ascii="Arial" w:hAnsi="Arial" w:cs="Arial"/>
        </w:rPr>
        <w:t>Psychological/Behavioural: PsycINFO (essential for underlying mental health research).</w:t>
      </w:r>
    </w:p>
    <w:p w14:paraId="7E1E8D2B" w14:textId="038CADCA" w:rsidR="003732E6" w:rsidRPr="004B5175" w:rsidRDefault="003732E6" w:rsidP="004B5175">
      <w:pPr>
        <w:spacing w:line="360" w:lineRule="auto"/>
        <w:rPr>
          <w:rFonts w:ascii="Arial" w:hAnsi="Arial" w:cs="Arial"/>
        </w:rPr>
      </w:pPr>
      <w:r w:rsidRPr="004B5175">
        <w:rPr>
          <w:rFonts w:ascii="Arial" w:hAnsi="Arial" w:cs="Arial"/>
        </w:rPr>
        <w:t>Nursing and Allied Health: CINAHL (Cumulative Index to Nursing and Allied Health Literature), which is crucial for identifying research related to service delivery, nursing, social work, and allied health disciplines often central to integrated care (EBSCO, 2025; NHS England, 2014).</w:t>
      </w:r>
    </w:p>
    <w:p w14:paraId="1A7459B3" w14:textId="6258D5DC" w:rsidR="003732E6" w:rsidRPr="004B5175" w:rsidRDefault="003732E6" w:rsidP="004B5175">
      <w:pPr>
        <w:spacing w:line="360" w:lineRule="auto"/>
        <w:rPr>
          <w:rFonts w:ascii="Arial" w:hAnsi="Arial" w:cs="Arial"/>
        </w:rPr>
      </w:pPr>
      <w:r w:rsidRPr="004B5175">
        <w:rPr>
          <w:rFonts w:ascii="Arial" w:hAnsi="Arial" w:cs="Arial"/>
        </w:rPr>
        <w:t>Social Policy and Grey Literature: Social Care Online (SCIE), which provides the largest body of information on UK social care and social work (NHS England, 2014).</w:t>
      </w:r>
    </w:p>
    <w:p w14:paraId="7CA1DFD8" w14:textId="77777777" w:rsidR="003732E6" w:rsidRDefault="003732E6" w:rsidP="004B5175">
      <w:pPr>
        <w:spacing w:line="360" w:lineRule="auto"/>
        <w:rPr>
          <w:rFonts w:ascii="Arial" w:hAnsi="Arial" w:cs="Arial"/>
        </w:rPr>
      </w:pPr>
      <w:r w:rsidRPr="004B5175">
        <w:rPr>
          <w:rFonts w:ascii="Arial" w:hAnsi="Arial" w:cs="Arial"/>
        </w:rPr>
        <w:t>Evidence Syntheses: The Cochrane Library, NICE Evidence Search, and the TRIP Database will be used to identify existing high-quality systematic reviews and guidelines (NHS England, 2014).</w:t>
      </w:r>
    </w:p>
    <w:p w14:paraId="232C780F" w14:textId="77777777" w:rsidR="0058320A" w:rsidRDefault="0058320A" w:rsidP="004B5175">
      <w:pPr>
        <w:spacing w:line="360" w:lineRule="auto"/>
        <w:rPr>
          <w:rFonts w:ascii="Arial" w:hAnsi="Arial" w:cs="Arial"/>
        </w:rPr>
      </w:pPr>
    </w:p>
    <w:p w14:paraId="222EF638" w14:textId="77777777" w:rsidR="0058320A" w:rsidRDefault="0058320A" w:rsidP="004B5175">
      <w:pPr>
        <w:spacing w:line="360" w:lineRule="auto"/>
        <w:rPr>
          <w:rFonts w:ascii="Arial" w:hAnsi="Arial" w:cs="Arial"/>
        </w:rPr>
      </w:pPr>
    </w:p>
    <w:p w14:paraId="6767D00F" w14:textId="77777777" w:rsidR="0058320A" w:rsidRDefault="0058320A" w:rsidP="004B5175">
      <w:pPr>
        <w:spacing w:line="360" w:lineRule="auto"/>
        <w:rPr>
          <w:rFonts w:ascii="Arial" w:hAnsi="Arial" w:cs="Arial"/>
        </w:rPr>
      </w:pPr>
    </w:p>
    <w:p w14:paraId="1F718719" w14:textId="77777777" w:rsidR="0058320A" w:rsidRPr="004B5175" w:rsidRDefault="0058320A" w:rsidP="004B5175">
      <w:pPr>
        <w:spacing w:line="360" w:lineRule="auto"/>
        <w:rPr>
          <w:rFonts w:ascii="Arial" w:hAnsi="Arial" w:cs="Arial"/>
        </w:rPr>
      </w:pPr>
    </w:p>
    <w:p w14:paraId="69156E08" w14:textId="041DBC5D" w:rsidR="003732E6" w:rsidRPr="004B5175" w:rsidRDefault="003732E6" w:rsidP="004B5175">
      <w:pPr>
        <w:spacing w:line="360" w:lineRule="auto"/>
        <w:rPr>
          <w:rFonts w:ascii="Arial" w:hAnsi="Arial" w:cs="Arial"/>
        </w:rPr>
      </w:pPr>
      <w:bookmarkStart w:id="16" w:name="_Toc215232263"/>
      <w:r w:rsidRPr="004B5175">
        <w:rPr>
          <w:rStyle w:val="Heading3Char"/>
          <w:rFonts w:ascii="Arial" w:hAnsi="Arial" w:cs="Arial"/>
        </w:rPr>
        <w:t>Timeframe Justification and Search Terms</w:t>
      </w:r>
      <w:bookmarkEnd w:id="16"/>
    </w:p>
    <w:p w14:paraId="6F7078E1" w14:textId="7CA421D5" w:rsidR="003732E6" w:rsidRPr="004B5175" w:rsidRDefault="003732E6" w:rsidP="004B5175">
      <w:pPr>
        <w:spacing w:line="360" w:lineRule="auto"/>
        <w:rPr>
          <w:rFonts w:ascii="Arial" w:hAnsi="Arial" w:cs="Arial"/>
        </w:rPr>
      </w:pPr>
      <w:r w:rsidRPr="004B5175">
        <w:rPr>
          <w:rFonts w:ascii="Arial" w:hAnsi="Arial" w:cs="Arial"/>
        </w:rPr>
        <w:t>The search will cover literature published from 2000 onwards. This timeframe is selected to capture research stemming from major UK policy shifts toward integrated commissioning and framework implementation (e.g., post-National Service Frameworks and the release of foundational NICE guidance like NG58 in 2016 (NICE, 2016)), ensuring the retrieved evidence is relevant to current UK service models.</w:t>
      </w:r>
    </w:p>
    <w:p w14:paraId="48DA356A" w14:textId="77777777" w:rsidR="003732E6" w:rsidRPr="004B5175" w:rsidRDefault="003732E6" w:rsidP="004B5175">
      <w:pPr>
        <w:spacing w:line="360" w:lineRule="auto"/>
        <w:rPr>
          <w:rFonts w:ascii="Arial" w:hAnsi="Arial" w:cs="Arial"/>
        </w:rPr>
      </w:pPr>
      <w:r w:rsidRPr="004B5175">
        <w:rPr>
          <w:rFonts w:ascii="Arial" w:hAnsi="Arial" w:cs="Arial"/>
        </w:rPr>
        <w:t xml:space="preserve">Search term strings will combine subject headings (e.g., </w:t>
      </w:r>
      <w:proofErr w:type="spellStart"/>
      <w:r w:rsidRPr="004B5175">
        <w:rPr>
          <w:rFonts w:ascii="Arial" w:hAnsi="Arial" w:cs="Arial"/>
        </w:rPr>
        <w:t>MeSH</w:t>
      </w:r>
      <w:proofErr w:type="spellEnd"/>
      <w:r w:rsidRPr="004B5175">
        <w:rPr>
          <w:rFonts w:ascii="Arial" w:hAnsi="Arial" w:cs="Arial"/>
        </w:rPr>
        <w:t xml:space="preserve"> terms in MEDLINE, CINAHL Subject Headings (EBSCO, 2025)) and keywords, using Boolean operators (AND, OR) to maximize sensitivity.</w:t>
      </w:r>
    </w:p>
    <w:p w14:paraId="76401013" w14:textId="77777777" w:rsidR="003732E6" w:rsidRPr="004B5175" w:rsidRDefault="003732E6" w:rsidP="004B5175">
      <w:pPr>
        <w:spacing w:line="360" w:lineRule="auto"/>
        <w:rPr>
          <w:rFonts w:ascii="Arial" w:hAnsi="Arial" w:cs="Arial"/>
        </w:rPr>
      </w:pPr>
    </w:p>
    <w:p w14:paraId="12B5B0AD" w14:textId="6D6C5A79" w:rsidR="003732E6" w:rsidRDefault="003732E6" w:rsidP="004B5175">
      <w:pPr>
        <w:pStyle w:val="Heading3"/>
        <w:spacing w:line="360" w:lineRule="auto"/>
        <w:rPr>
          <w:rFonts w:ascii="Arial" w:hAnsi="Arial" w:cs="Arial"/>
        </w:rPr>
      </w:pPr>
      <w:bookmarkStart w:id="17" w:name="_Toc215232264"/>
      <w:r w:rsidRPr="004B5175">
        <w:rPr>
          <w:rFonts w:ascii="Arial" w:hAnsi="Arial" w:cs="Arial"/>
        </w:rPr>
        <w:t>Example Search Term String Components</w:t>
      </w:r>
      <w:bookmarkEnd w:id="17"/>
    </w:p>
    <w:tbl>
      <w:tblPr>
        <w:tblStyle w:val="TableGrid"/>
        <w:tblW w:w="666" w:type="dxa"/>
        <w:tblLook w:val="04A0" w:firstRow="1" w:lastRow="0" w:firstColumn="1" w:lastColumn="0" w:noHBand="0" w:noVBand="1"/>
      </w:tblPr>
      <w:tblGrid>
        <w:gridCol w:w="222"/>
        <w:gridCol w:w="222"/>
        <w:gridCol w:w="222"/>
      </w:tblGrid>
      <w:tr w:rsidR="00B05845" w14:paraId="197337A3" w14:textId="77777777" w:rsidTr="004D7143">
        <w:tc>
          <w:tcPr>
            <w:tcW w:w="222" w:type="dxa"/>
          </w:tcPr>
          <w:p w14:paraId="49330BB6" w14:textId="77777777" w:rsidR="00B05845" w:rsidRDefault="00B05845" w:rsidP="002A4AF3"/>
        </w:tc>
        <w:tc>
          <w:tcPr>
            <w:tcW w:w="222" w:type="dxa"/>
          </w:tcPr>
          <w:p w14:paraId="46550EEC" w14:textId="77777777" w:rsidR="00B05845" w:rsidRDefault="00B05845" w:rsidP="002A4AF3"/>
        </w:tc>
        <w:tc>
          <w:tcPr>
            <w:tcW w:w="222" w:type="dxa"/>
          </w:tcPr>
          <w:p w14:paraId="482A4A5A" w14:textId="77777777" w:rsidR="00B05845" w:rsidRDefault="00B05845" w:rsidP="002A4AF3"/>
        </w:tc>
      </w:tr>
      <w:tr w:rsidR="00B05845" w14:paraId="213D5CFE" w14:textId="77777777" w:rsidTr="004D7143">
        <w:tc>
          <w:tcPr>
            <w:tcW w:w="222" w:type="dxa"/>
          </w:tcPr>
          <w:p w14:paraId="742A32FE" w14:textId="77777777" w:rsidR="00B05845" w:rsidRDefault="00B05845" w:rsidP="002A4AF3"/>
        </w:tc>
        <w:tc>
          <w:tcPr>
            <w:tcW w:w="222" w:type="dxa"/>
          </w:tcPr>
          <w:p w14:paraId="11F31EC1" w14:textId="77777777" w:rsidR="00B05845" w:rsidRDefault="00B05845" w:rsidP="002A4AF3"/>
        </w:tc>
        <w:tc>
          <w:tcPr>
            <w:tcW w:w="222" w:type="dxa"/>
          </w:tcPr>
          <w:p w14:paraId="36EF9BEB" w14:textId="77777777" w:rsidR="00B05845" w:rsidRDefault="00B05845" w:rsidP="002A4AF3"/>
        </w:tc>
      </w:tr>
    </w:tbl>
    <w:p w14:paraId="583C0907" w14:textId="77777777" w:rsidR="003732E6" w:rsidRPr="004B5175" w:rsidRDefault="003732E6" w:rsidP="004B5175">
      <w:pPr>
        <w:spacing w:line="360" w:lineRule="auto"/>
        <w:rPr>
          <w:rFonts w:ascii="Arial" w:hAnsi="Arial" w:cs="Arial"/>
        </w:rPr>
      </w:pPr>
      <w:r w:rsidRPr="004D7143">
        <w:rPr>
          <w:rFonts w:ascii="Arial" w:hAnsi="Arial" w:cs="Arial"/>
          <w:color w:val="E97132" w:themeColor="accent2"/>
        </w:rPr>
        <w:t>PICO Element</w:t>
      </w:r>
      <w:r w:rsidRPr="004B5175">
        <w:rPr>
          <w:rFonts w:ascii="Arial" w:hAnsi="Arial" w:cs="Arial"/>
        </w:rPr>
        <w:tab/>
      </w:r>
      <w:r w:rsidRPr="00C548A9">
        <w:rPr>
          <w:rFonts w:ascii="Arial" w:hAnsi="Arial" w:cs="Arial"/>
          <w:color w:val="156082" w:themeColor="accent1"/>
        </w:rPr>
        <w:t xml:space="preserve">Keywords / Thesaurus </w:t>
      </w:r>
      <w:r w:rsidRPr="004B5175">
        <w:rPr>
          <w:rFonts w:ascii="Arial" w:hAnsi="Arial" w:cs="Arial"/>
        </w:rPr>
        <w:t>Terms (Example)</w:t>
      </w:r>
      <w:r w:rsidRPr="004B5175">
        <w:rPr>
          <w:rFonts w:ascii="Arial" w:hAnsi="Arial" w:cs="Arial"/>
        </w:rPr>
        <w:tab/>
        <w:t>Notes on Inclusion/Exclusion Criteria</w:t>
      </w:r>
    </w:p>
    <w:p w14:paraId="1233459C" w14:textId="77777777" w:rsidR="003732E6" w:rsidRPr="004B5175" w:rsidRDefault="003732E6" w:rsidP="004B5175">
      <w:pPr>
        <w:spacing w:line="360" w:lineRule="auto"/>
        <w:rPr>
          <w:rFonts w:ascii="Arial" w:hAnsi="Arial" w:cs="Arial"/>
        </w:rPr>
      </w:pPr>
      <w:r w:rsidRPr="004D7143">
        <w:rPr>
          <w:rFonts w:ascii="Arial" w:hAnsi="Arial" w:cs="Arial"/>
          <w:color w:val="E97132" w:themeColor="accent2"/>
        </w:rPr>
        <w:t>Population</w:t>
      </w:r>
      <w:r w:rsidRPr="004B5175">
        <w:rPr>
          <w:rFonts w:ascii="Arial" w:hAnsi="Arial" w:cs="Arial"/>
        </w:rPr>
        <w:tab/>
      </w:r>
      <w:r w:rsidRPr="00C548A9">
        <w:rPr>
          <w:rFonts w:ascii="Arial" w:hAnsi="Arial" w:cs="Arial"/>
          <w:color w:val="156082" w:themeColor="accent1"/>
        </w:rPr>
        <w:t>"dual diagnosis"[Mesh] OR "co-occurring disorder*" OR "complex needs" OR "substance use disorder and mental disorder"</w:t>
      </w:r>
      <w:r w:rsidRPr="004B5175">
        <w:rPr>
          <w:rFonts w:ascii="Arial" w:hAnsi="Arial" w:cs="Arial"/>
        </w:rPr>
        <w:tab/>
        <w:t>Inclusion limited to studies conducted in the UK/Great Britain/Northern Ireland.</w:t>
      </w:r>
    </w:p>
    <w:p w14:paraId="54023302" w14:textId="77777777" w:rsidR="003732E6" w:rsidRPr="004B5175" w:rsidRDefault="003732E6" w:rsidP="004B5175">
      <w:pPr>
        <w:spacing w:line="360" w:lineRule="auto"/>
        <w:rPr>
          <w:rFonts w:ascii="Arial" w:hAnsi="Arial" w:cs="Arial"/>
        </w:rPr>
      </w:pPr>
      <w:r w:rsidRPr="004D7143">
        <w:rPr>
          <w:rFonts w:ascii="Arial" w:hAnsi="Arial" w:cs="Arial"/>
          <w:color w:val="E97132" w:themeColor="accent2"/>
        </w:rPr>
        <w:t>Age/Context</w:t>
      </w:r>
      <w:r w:rsidRPr="004B5175">
        <w:rPr>
          <w:rFonts w:ascii="Arial" w:hAnsi="Arial" w:cs="Arial"/>
        </w:rPr>
        <w:tab/>
      </w:r>
      <w:r w:rsidRPr="00C548A9">
        <w:rPr>
          <w:rFonts w:ascii="Arial" w:hAnsi="Arial" w:cs="Arial"/>
          <w:color w:val="156082" w:themeColor="accent1"/>
        </w:rPr>
        <w:t>"young adult*" OR "18-30" OR "transition care" OR "UK" OR "England" OR "NHS" OR "national health service"</w:t>
      </w:r>
      <w:r w:rsidRPr="004B5175">
        <w:rPr>
          <w:rFonts w:ascii="Arial" w:hAnsi="Arial" w:cs="Arial"/>
        </w:rPr>
        <w:tab/>
        <w:t>Studies must focus on outcomes for the 18-30 age bracket or include subgroup analysis for this age range.</w:t>
      </w:r>
    </w:p>
    <w:p w14:paraId="736BBC8C" w14:textId="77777777" w:rsidR="003732E6" w:rsidRPr="004B5175" w:rsidRDefault="003732E6" w:rsidP="004B5175">
      <w:pPr>
        <w:spacing w:line="360" w:lineRule="auto"/>
        <w:rPr>
          <w:rFonts w:ascii="Arial" w:hAnsi="Arial" w:cs="Arial"/>
        </w:rPr>
      </w:pPr>
      <w:r w:rsidRPr="004D7143">
        <w:rPr>
          <w:rFonts w:ascii="Arial" w:hAnsi="Arial" w:cs="Arial"/>
          <w:color w:val="E97132" w:themeColor="accent2"/>
        </w:rPr>
        <w:t>Intervention</w:t>
      </w:r>
      <w:r w:rsidRPr="004B5175">
        <w:rPr>
          <w:rFonts w:ascii="Arial" w:hAnsi="Arial" w:cs="Arial"/>
        </w:rPr>
        <w:tab/>
      </w:r>
      <w:r w:rsidRPr="00C548A9">
        <w:rPr>
          <w:rFonts w:ascii="Arial" w:hAnsi="Arial" w:cs="Arial"/>
          <w:color w:val="156082" w:themeColor="accent1"/>
        </w:rPr>
        <w:t>"integrated care"[Mesh] OR "collaborative care" OR "joint pathway*" OR "shared care" OR "dual diagnosis team*" OR "Care Programme Approach"</w:t>
      </w:r>
      <w:r w:rsidRPr="004B5175">
        <w:rPr>
          <w:rFonts w:ascii="Arial" w:hAnsi="Arial" w:cs="Arial"/>
        </w:rPr>
        <w:tab/>
        <w:t>Focus on models aiming for genuine clinical coordination rather than simple referral.</w:t>
      </w:r>
    </w:p>
    <w:p w14:paraId="072D4B7C" w14:textId="243B2A10" w:rsidR="003732E6" w:rsidRPr="004B5175" w:rsidRDefault="003732E6" w:rsidP="004B5175">
      <w:pPr>
        <w:spacing w:line="360" w:lineRule="auto"/>
        <w:rPr>
          <w:rFonts w:ascii="Arial" w:hAnsi="Arial" w:cs="Arial"/>
        </w:rPr>
      </w:pPr>
      <w:r w:rsidRPr="00C548A9">
        <w:rPr>
          <w:rFonts w:ascii="Arial" w:hAnsi="Arial" w:cs="Arial"/>
          <w:color w:val="E97132" w:themeColor="accent2"/>
        </w:rPr>
        <w:t>Outcome/Focus</w:t>
      </w:r>
      <w:r w:rsidRPr="004B5175">
        <w:rPr>
          <w:rFonts w:ascii="Arial" w:hAnsi="Arial" w:cs="Arial"/>
        </w:rPr>
        <w:tab/>
      </w:r>
      <w:r w:rsidRPr="00C548A9">
        <w:rPr>
          <w:rFonts w:ascii="Arial" w:hAnsi="Arial" w:cs="Arial"/>
          <w:color w:val="156082" w:themeColor="accent1"/>
        </w:rPr>
        <w:t>"effectiveness" OR "retention" OR "functional outcome" OR "implementation" OR "cost-effective*"</w:t>
      </w:r>
      <w:r w:rsidRPr="004B5175">
        <w:rPr>
          <w:rFonts w:ascii="Arial" w:hAnsi="Arial" w:cs="Arial"/>
        </w:rPr>
        <w:tab/>
        <w:t>Inclusion of both quantitative (e.g., RCTs) and qualitative studies (e.g., views and experiences (NICE, 2016)).</w:t>
      </w:r>
    </w:p>
    <w:p w14:paraId="6FB59ADA" w14:textId="6BE6A102" w:rsidR="003732E6" w:rsidRPr="004B5175" w:rsidRDefault="003732E6" w:rsidP="004B5175">
      <w:pPr>
        <w:pStyle w:val="Heading1"/>
        <w:spacing w:line="360" w:lineRule="auto"/>
        <w:rPr>
          <w:rFonts w:ascii="Arial" w:hAnsi="Arial" w:cs="Arial"/>
        </w:rPr>
      </w:pPr>
      <w:bookmarkStart w:id="18" w:name="_Toc215232265"/>
      <w:r w:rsidRPr="004B5175">
        <w:rPr>
          <w:rFonts w:ascii="Arial" w:hAnsi="Arial" w:cs="Arial"/>
        </w:rPr>
        <w:t>Study Selection, Quality Appraisal, and Data Synthesis</w:t>
      </w:r>
      <w:bookmarkEnd w:id="18"/>
    </w:p>
    <w:p w14:paraId="25028FFD" w14:textId="2802B5D6" w:rsidR="003732E6" w:rsidRPr="004B5175" w:rsidRDefault="003732E6" w:rsidP="004B5175">
      <w:pPr>
        <w:pStyle w:val="Heading2"/>
        <w:spacing w:line="360" w:lineRule="auto"/>
        <w:rPr>
          <w:rFonts w:ascii="Arial" w:hAnsi="Arial" w:cs="Arial"/>
        </w:rPr>
      </w:pPr>
      <w:bookmarkStart w:id="19" w:name="_Toc215232266"/>
      <w:r w:rsidRPr="004B5175">
        <w:rPr>
          <w:rFonts w:ascii="Arial" w:hAnsi="Arial" w:cs="Arial"/>
        </w:rPr>
        <w:t>Study Selection and PRISMA Adherence</w:t>
      </w:r>
      <w:bookmarkEnd w:id="19"/>
    </w:p>
    <w:p w14:paraId="6E5A9AE0" w14:textId="77777777" w:rsidR="003732E6" w:rsidRPr="004B5175" w:rsidRDefault="003732E6" w:rsidP="004B5175">
      <w:pPr>
        <w:spacing w:line="360" w:lineRule="auto"/>
        <w:rPr>
          <w:rFonts w:ascii="Arial" w:hAnsi="Arial" w:cs="Arial"/>
        </w:rPr>
      </w:pPr>
      <w:r w:rsidRPr="004B5175">
        <w:rPr>
          <w:rFonts w:ascii="Arial" w:hAnsi="Arial" w:cs="Arial"/>
        </w:rPr>
        <w:t>Following the execution of the search strategy, all retrieved records will be exported to a reference management software and duplicates removed. Study selection will be performed by two independent reviewers, proceeding in two stages: title/abstract screening, followed by full-text screening. Any disagreements regarding inclusion will be resolved through discussion and consensus, or through adjudication by a third senior reviewer.</w:t>
      </w:r>
    </w:p>
    <w:p w14:paraId="24F46588" w14:textId="5BE67B30" w:rsidR="003732E6" w:rsidRPr="004B5175" w:rsidRDefault="003732E6" w:rsidP="004B5175">
      <w:pPr>
        <w:spacing w:line="360" w:lineRule="auto"/>
        <w:rPr>
          <w:rFonts w:ascii="Arial" w:hAnsi="Arial" w:cs="Arial"/>
        </w:rPr>
      </w:pPr>
      <w:r w:rsidRPr="004B5175">
        <w:rPr>
          <w:rFonts w:ascii="Arial" w:hAnsi="Arial" w:cs="Arial"/>
        </w:rPr>
        <w:t>The selection process will be meticulously documented using the PRISMA 2020 flow diagram (Page et al., 2021). The final report's abstract will specify the inclusion/exclusion criteria, the information sources used, and the methods for synthesis, adhering to the core items outlined in the PRISMA 2020 checklist for abstracts (Page et al., 2021). Reasons for exclusion at the full-text stage, particularly those related to inappropriate population focus (not 18–30), non-integrated intervention, or non-UK context, will be recorded for transparent reporting.</w:t>
      </w:r>
    </w:p>
    <w:p w14:paraId="4EE7EA4C" w14:textId="77777777" w:rsidR="003732E6" w:rsidRPr="004B5175" w:rsidRDefault="003732E6" w:rsidP="004B5175">
      <w:pPr>
        <w:spacing w:line="360" w:lineRule="auto"/>
        <w:rPr>
          <w:rFonts w:ascii="Arial" w:hAnsi="Arial" w:cs="Arial"/>
        </w:rPr>
      </w:pPr>
    </w:p>
    <w:p w14:paraId="321441EC" w14:textId="6CB61F0F" w:rsidR="003732E6" w:rsidRPr="004B5175" w:rsidRDefault="003732E6" w:rsidP="004B5175">
      <w:pPr>
        <w:pStyle w:val="Heading2"/>
        <w:spacing w:line="360" w:lineRule="auto"/>
        <w:rPr>
          <w:rFonts w:ascii="Arial" w:hAnsi="Arial" w:cs="Arial"/>
        </w:rPr>
      </w:pPr>
      <w:bookmarkStart w:id="20" w:name="_Toc215232267"/>
      <w:r w:rsidRPr="004B5175">
        <w:rPr>
          <w:rFonts w:ascii="Arial" w:hAnsi="Arial" w:cs="Arial"/>
        </w:rPr>
        <w:t>Quality Appraisal and Risk of Bias Assessment</w:t>
      </w:r>
      <w:bookmarkEnd w:id="20"/>
    </w:p>
    <w:p w14:paraId="4E31CC2E" w14:textId="77777777" w:rsidR="003732E6" w:rsidRPr="004B5175" w:rsidRDefault="003732E6" w:rsidP="004B5175">
      <w:pPr>
        <w:spacing w:line="360" w:lineRule="auto"/>
        <w:rPr>
          <w:rFonts w:ascii="Arial" w:hAnsi="Arial" w:cs="Arial"/>
        </w:rPr>
      </w:pPr>
      <w:r w:rsidRPr="004B5175">
        <w:rPr>
          <w:rFonts w:ascii="Arial" w:hAnsi="Arial" w:cs="Arial"/>
        </w:rPr>
        <w:t>The methodological quality of included studies will be assessed to ensure that the findings are interpreted within the context of study rigour.</w:t>
      </w:r>
    </w:p>
    <w:p w14:paraId="6772EB8E" w14:textId="77777777" w:rsidR="003732E6" w:rsidRPr="004B5175" w:rsidRDefault="003732E6" w:rsidP="004B5175">
      <w:pPr>
        <w:spacing w:line="360" w:lineRule="auto"/>
        <w:rPr>
          <w:rFonts w:ascii="Arial" w:hAnsi="Arial" w:cs="Arial"/>
        </w:rPr>
      </w:pPr>
    </w:p>
    <w:p w14:paraId="3EC3A78A" w14:textId="77777777" w:rsidR="003732E6" w:rsidRPr="004B5175" w:rsidRDefault="003732E6" w:rsidP="004B5175">
      <w:pPr>
        <w:spacing w:line="360" w:lineRule="auto"/>
        <w:rPr>
          <w:rFonts w:ascii="Arial" w:hAnsi="Arial" w:cs="Arial"/>
        </w:rPr>
      </w:pPr>
      <w:r w:rsidRPr="004B5175">
        <w:rPr>
          <w:rFonts w:ascii="Arial" w:hAnsi="Arial" w:cs="Arial"/>
          <w:b/>
          <w:bCs/>
        </w:rPr>
        <w:t>Quantitative Studies:</w:t>
      </w:r>
      <w:r w:rsidRPr="004B5175">
        <w:rPr>
          <w:rFonts w:ascii="Arial" w:hAnsi="Arial" w:cs="Arial"/>
        </w:rPr>
        <w:t xml:space="preserve"> Randomised controlled trials (RCTs) will be appraised using the Cochrane Risk of Bias Tool 2 (</w:t>
      </w:r>
      <w:proofErr w:type="spellStart"/>
      <w:r w:rsidRPr="004B5175">
        <w:rPr>
          <w:rFonts w:ascii="Arial" w:hAnsi="Arial" w:cs="Arial"/>
        </w:rPr>
        <w:t>RoB</w:t>
      </w:r>
      <w:proofErr w:type="spellEnd"/>
      <w:r w:rsidRPr="004B5175">
        <w:rPr>
          <w:rFonts w:ascii="Arial" w:hAnsi="Arial" w:cs="Arial"/>
        </w:rPr>
        <w:t xml:space="preserve"> 2). Non-randomized intervention studies (e.g., cohort studies evaluating pilot integrated services) will be assessed using the Risk Of Bias In Non-randomized Studies – of Interventions (ROBINS-I) tool.</w:t>
      </w:r>
    </w:p>
    <w:p w14:paraId="72FF23C2" w14:textId="77777777" w:rsidR="003732E6" w:rsidRPr="004B5175" w:rsidRDefault="003732E6" w:rsidP="004B5175">
      <w:pPr>
        <w:spacing w:line="360" w:lineRule="auto"/>
        <w:rPr>
          <w:rFonts w:ascii="Arial" w:hAnsi="Arial" w:cs="Arial"/>
        </w:rPr>
      </w:pPr>
    </w:p>
    <w:p w14:paraId="410BC662" w14:textId="77777777" w:rsidR="003732E6" w:rsidRPr="004B5175" w:rsidRDefault="003732E6" w:rsidP="004B5175">
      <w:pPr>
        <w:spacing w:line="360" w:lineRule="auto"/>
        <w:rPr>
          <w:rFonts w:ascii="Arial" w:hAnsi="Arial" w:cs="Arial"/>
        </w:rPr>
      </w:pPr>
      <w:r w:rsidRPr="004B5175">
        <w:rPr>
          <w:rFonts w:ascii="Arial" w:hAnsi="Arial" w:cs="Arial"/>
          <w:b/>
          <w:bCs/>
        </w:rPr>
        <w:t xml:space="preserve">Qualitative Studies: </w:t>
      </w:r>
      <w:r w:rsidRPr="004B5175">
        <w:rPr>
          <w:rFonts w:ascii="Arial" w:hAnsi="Arial" w:cs="Arial"/>
        </w:rPr>
        <w:t>The quality of qualitative research (essential for understanding implementation barriers (NICE, 2016)) will be assessed using the Critical Appraisal Skills Programme (CASP) checklist, focusing on the rigour of data collection, analysis, and ethical coherence.</w:t>
      </w:r>
    </w:p>
    <w:p w14:paraId="7BC66FA5" w14:textId="77777777" w:rsidR="003732E6" w:rsidRPr="004B5175" w:rsidRDefault="003732E6" w:rsidP="004B5175">
      <w:pPr>
        <w:spacing w:line="360" w:lineRule="auto"/>
        <w:rPr>
          <w:rFonts w:ascii="Arial" w:hAnsi="Arial" w:cs="Arial"/>
        </w:rPr>
      </w:pPr>
    </w:p>
    <w:p w14:paraId="06B6092D" w14:textId="1BB4DDBE" w:rsidR="003732E6" w:rsidRPr="004B5175" w:rsidRDefault="003732E6" w:rsidP="004B5175">
      <w:pPr>
        <w:pStyle w:val="Heading2"/>
        <w:spacing w:line="360" w:lineRule="auto"/>
        <w:rPr>
          <w:rFonts w:ascii="Arial" w:hAnsi="Arial" w:cs="Arial"/>
        </w:rPr>
      </w:pPr>
      <w:bookmarkStart w:id="21" w:name="_Toc215232268"/>
      <w:r w:rsidRPr="004B5175">
        <w:rPr>
          <w:rFonts w:ascii="Arial" w:hAnsi="Arial" w:cs="Arial"/>
        </w:rPr>
        <w:t>Data Extraction and Synthesis Methods</w:t>
      </w:r>
      <w:bookmarkEnd w:id="21"/>
    </w:p>
    <w:p w14:paraId="358043B8" w14:textId="455855DB" w:rsidR="003732E6" w:rsidRPr="004B5175" w:rsidRDefault="003732E6" w:rsidP="004B5175">
      <w:pPr>
        <w:spacing w:line="360" w:lineRule="auto"/>
        <w:rPr>
          <w:rFonts w:ascii="Arial" w:hAnsi="Arial" w:cs="Arial"/>
        </w:rPr>
      </w:pPr>
      <w:r w:rsidRPr="004B5175">
        <w:rPr>
          <w:rFonts w:ascii="Arial" w:hAnsi="Arial" w:cs="Arial"/>
        </w:rPr>
        <w:t>Data extraction will be carried out independently by two reviewers using a standardized and piloted extraction form. Extracted data will cover study design, population characteristics (age, diagnosis), intervention details (model type, degree of integration), clinical outcomes (SUD reduction, psychiatric symptom severity), and crucial social and systemic outcomes (retention rates, housing status, cost data, and reported barriers/facilitators) (NICE, 2016; Public Health England, 2019; Gopal et al., 2023).</w:t>
      </w:r>
    </w:p>
    <w:p w14:paraId="54ACE82F" w14:textId="77777777" w:rsidR="004636D3" w:rsidRPr="004B5175" w:rsidRDefault="004636D3" w:rsidP="004B5175">
      <w:pPr>
        <w:spacing w:line="360" w:lineRule="auto"/>
        <w:rPr>
          <w:rFonts w:ascii="Arial" w:hAnsi="Arial" w:cs="Arial"/>
        </w:rPr>
      </w:pPr>
    </w:p>
    <w:p w14:paraId="14B2CA94" w14:textId="77777777" w:rsidR="003732E6" w:rsidRPr="004B5175" w:rsidRDefault="003732E6" w:rsidP="004B5175">
      <w:pPr>
        <w:pStyle w:val="Heading2"/>
        <w:spacing w:line="360" w:lineRule="auto"/>
        <w:rPr>
          <w:rFonts w:ascii="Arial" w:hAnsi="Arial" w:cs="Arial"/>
        </w:rPr>
      </w:pPr>
      <w:bookmarkStart w:id="22" w:name="_Toc215232269"/>
      <w:r w:rsidRPr="004B5175">
        <w:rPr>
          <w:rFonts w:ascii="Arial" w:hAnsi="Arial" w:cs="Arial"/>
        </w:rPr>
        <w:t>Mixed-Methods Narrative Synthesis</w:t>
      </w:r>
      <w:bookmarkEnd w:id="22"/>
    </w:p>
    <w:p w14:paraId="2A12565A" w14:textId="77777777" w:rsidR="003732E6" w:rsidRPr="004B5175" w:rsidRDefault="003732E6" w:rsidP="004B5175">
      <w:pPr>
        <w:spacing w:line="360" w:lineRule="auto"/>
        <w:rPr>
          <w:rFonts w:ascii="Arial" w:hAnsi="Arial" w:cs="Arial"/>
        </w:rPr>
      </w:pPr>
      <w:r w:rsidRPr="004B5175">
        <w:rPr>
          <w:rFonts w:ascii="Arial" w:hAnsi="Arial" w:cs="Arial"/>
        </w:rPr>
        <w:t>Given that integrated care is a highly complex intervention implemented within highly variable health systems (Hannes and Harden, 2012; Jha et al., 2024), a purely quantitative meta-analysis is insufficient. The review will therefore employ a mixed-methods narrative synthesis (Hannes and Harden, 2012; Jha et al., 2024). This approach combines the measurable patterns derived from quantitative data with critical insights into the cultural contexts and systemic factors underlying those patterns (Hannes and Harden, 2012; Jha et al., 2024).</w:t>
      </w:r>
    </w:p>
    <w:p w14:paraId="1C877238" w14:textId="77777777" w:rsidR="003732E6" w:rsidRPr="004B5175" w:rsidRDefault="003732E6" w:rsidP="004B5175">
      <w:pPr>
        <w:spacing w:line="360" w:lineRule="auto"/>
        <w:rPr>
          <w:rFonts w:ascii="Arial" w:hAnsi="Arial" w:cs="Arial"/>
        </w:rPr>
      </w:pPr>
    </w:p>
    <w:p w14:paraId="133598AD" w14:textId="77777777" w:rsidR="003732E6" w:rsidRPr="004B5175" w:rsidRDefault="003732E6" w:rsidP="004B5175">
      <w:pPr>
        <w:spacing w:line="360" w:lineRule="auto"/>
        <w:rPr>
          <w:rFonts w:ascii="Arial" w:hAnsi="Arial" w:cs="Arial"/>
        </w:rPr>
      </w:pPr>
      <w:r w:rsidRPr="004B5175">
        <w:rPr>
          <w:rFonts w:ascii="Arial" w:hAnsi="Arial" w:cs="Arial"/>
          <w:b/>
          <w:bCs/>
        </w:rPr>
        <w:t>Quantitative Synthesis:</w:t>
      </w:r>
      <w:r w:rsidRPr="004B5175">
        <w:rPr>
          <w:rFonts w:ascii="Arial" w:hAnsi="Arial" w:cs="Arial"/>
        </w:rPr>
        <w:t xml:space="preserve"> Effectiveness data (e.g., retention rates, substance use frequency) will be summarized narratively, organized by domain and appraised quality.</w:t>
      </w:r>
    </w:p>
    <w:p w14:paraId="0A2EDF85" w14:textId="77777777" w:rsidR="003732E6" w:rsidRPr="004B5175" w:rsidRDefault="003732E6" w:rsidP="004B5175">
      <w:pPr>
        <w:spacing w:line="360" w:lineRule="auto"/>
        <w:rPr>
          <w:rFonts w:ascii="Arial" w:hAnsi="Arial" w:cs="Arial"/>
        </w:rPr>
      </w:pPr>
    </w:p>
    <w:p w14:paraId="4341AD69" w14:textId="231D5E39" w:rsidR="003732E6" w:rsidRPr="004B5175" w:rsidRDefault="003732E6" w:rsidP="004B5175">
      <w:pPr>
        <w:spacing w:line="360" w:lineRule="auto"/>
        <w:rPr>
          <w:rFonts w:ascii="Arial" w:hAnsi="Arial" w:cs="Arial"/>
        </w:rPr>
      </w:pPr>
      <w:r w:rsidRPr="004B5175">
        <w:rPr>
          <w:rFonts w:ascii="Arial" w:hAnsi="Arial" w:cs="Arial"/>
          <w:b/>
          <w:bCs/>
        </w:rPr>
        <w:t>Qualitative Synthesis:</w:t>
      </w:r>
      <w:r w:rsidRPr="004B5175">
        <w:rPr>
          <w:rFonts w:ascii="Arial" w:hAnsi="Arial" w:cs="Arial"/>
        </w:rPr>
        <w:t xml:space="preserve"> Qualitative data</w:t>
      </w:r>
      <w:r w:rsidR="004636D3" w:rsidRPr="004B5175">
        <w:rPr>
          <w:rFonts w:ascii="Arial" w:hAnsi="Arial" w:cs="Arial"/>
        </w:rPr>
        <w:t xml:space="preserve"> </w:t>
      </w:r>
      <w:r w:rsidRPr="004B5175">
        <w:rPr>
          <w:rFonts w:ascii="Arial" w:hAnsi="Arial" w:cs="Arial"/>
        </w:rPr>
        <w:t>such as reports detailing service user experiences of stigma, poor communication, or difficulty accessing housing support—will be synthesized using Thematic Analysis. This will uncover the human experiences and systemic barriers that explain implementation failure (NICE, 2016).</w:t>
      </w:r>
    </w:p>
    <w:p w14:paraId="49A6628C" w14:textId="77777777" w:rsidR="003732E6" w:rsidRPr="004B5175" w:rsidRDefault="003732E6" w:rsidP="004B5175">
      <w:pPr>
        <w:spacing w:line="360" w:lineRule="auto"/>
        <w:rPr>
          <w:rFonts w:ascii="Arial" w:hAnsi="Arial" w:cs="Arial"/>
        </w:rPr>
      </w:pPr>
    </w:p>
    <w:p w14:paraId="0F1F60B1" w14:textId="77777777" w:rsidR="003732E6" w:rsidRPr="004B5175" w:rsidRDefault="003732E6" w:rsidP="004B5175">
      <w:pPr>
        <w:spacing w:line="360" w:lineRule="auto"/>
        <w:rPr>
          <w:rFonts w:ascii="Arial" w:hAnsi="Arial" w:cs="Arial"/>
        </w:rPr>
      </w:pPr>
      <w:r w:rsidRPr="004B5175">
        <w:rPr>
          <w:rFonts w:ascii="Arial" w:hAnsi="Arial" w:cs="Arial"/>
          <w:b/>
          <w:bCs/>
        </w:rPr>
        <w:t xml:space="preserve">Integration (The Explanatory Synthesis): </w:t>
      </w:r>
      <w:r w:rsidRPr="004B5175">
        <w:rPr>
          <w:rFonts w:ascii="Arial" w:hAnsi="Arial" w:cs="Arial"/>
        </w:rPr>
        <w:t>The final stage involves narrative integration, where quantitative findings (the what of effectiveness) are critically combined with qualitative findings (the why of implementation). For instance, if quantitative studies confirm insufficient improvement in treatment retention (Gopal et al., 2023), this finding will be directly interpreted using qualitative data detailing staff stigma or punitive automatic discharge practices (NICE, 2016). This explanatory synthesis is vital for developing recommendations that address the underlying mechanisms of failure in UK service delivery (Hannes and Harden, 2012; Jha et al., 2024).</w:t>
      </w:r>
    </w:p>
    <w:p w14:paraId="41CD12E2" w14:textId="2774AF0C" w:rsidR="003732E6" w:rsidRPr="004B5175" w:rsidRDefault="003732E6" w:rsidP="004B5175">
      <w:pPr>
        <w:pStyle w:val="Heading2"/>
        <w:spacing w:line="360" w:lineRule="auto"/>
        <w:rPr>
          <w:rFonts w:ascii="Arial" w:hAnsi="Arial" w:cs="Arial"/>
        </w:rPr>
      </w:pPr>
      <w:bookmarkStart w:id="23" w:name="_Toc215232270"/>
      <w:r w:rsidRPr="004B5175">
        <w:rPr>
          <w:rFonts w:ascii="Arial" w:hAnsi="Arial" w:cs="Arial"/>
        </w:rPr>
        <w:t>Ethical Considerations</w:t>
      </w:r>
      <w:bookmarkEnd w:id="23"/>
    </w:p>
    <w:p w14:paraId="735A44DC" w14:textId="77777777" w:rsidR="003732E6" w:rsidRPr="004B5175" w:rsidRDefault="003732E6" w:rsidP="004B5175">
      <w:pPr>
        <w:spacing w:line="360" w:lineRule="auto"/>
        <w:rPr>
          <w:rFonts w:ascii="Arial" w:hAnsi="Arial" w:cs="Arial"/>
        </w:rPr>
      </w:pPr>
      <w:r w:rsidRPr="004B5175">
        <w:rPr>
          <w:rFonts w:ascii="Arial" w:hAnsi="Arial" w:cs="Arial"/>
        </w:rPr>
        <w:t>As a systematic review relying exclusively on previously published literature, the study does not require specific institutional ethical approval for primary data collection. However, ethical integrity will be maintained by: rigorous adherence to the PROSPERO protocol and PRISMA reporting standards; ensuring the sensitive and accurate representation of data concerning vulnerable young adults and experiences of structural disadvantage (e.g., homelessness, debt) (Public Health England, 2019); and strictly adhering to academic standards through meticulous Harvard referencing and citation practices.</w:t>
      </w:r>
    </w:p>
    <w:p w14:paraId="6910A72D" w14:textId="77777777" w:rsidR="003732E6" w:rsidRPr="004B5175" w:rsidRDefault="003732E6" w:rsidP="004B5175">
      <w:pPr>
        <w:spacing w:line="360" w:lineRule="auto"/>
        <w:rPr>
          <w:rFonts w:ascii="Arial" w:hAnsi="Arial" w:cs="Arial"/>
        </w:rPr>
      </w:pPr>
    </w:p>
    <w:p w14:paraId="3EEA61E8" w14:textId="7A8C668E" w:rsidR="003732E6" w:rsidRPr="004B5175" w:rsidRDefault="003732E6" w:rsidP="004B5175">
      <w:pPr>
        <w:pStyle w:val="Heading1"/>
        <w:spacing w:line="360" w:lineRule="auto"/>
        <w:rPr>
          <w:rFonts w:ascii="Arial" w:hAnsi="Arial" w:cs="Arial"/>
        </w:rPr>
      </w:pPr>
      <w:bookmarkStart w:id="24" w:name="_Toc215232271"/>
      <w:r w:rsidRPr="004B5175">
        <w:rPr>
          <w:rFonts w:ascii="Arial" w:hAnsi="Arial" w:cs="Arial"/>
        </w:rPr>
        <w:t>Contribution, Implications, and Recommendations</w:t>
      </w:r>
      <w:bookmarkEnd w:id="24"/>
    </w:p>
    <w:p w14:paraId="40BAE516" w14:textId="7AD8C604" w:rsidR="003732E6" w:rsidRPr="004B5175" w:rsidRDefault="003732E6" w:rsidP="004B5175">
      <w:pPr>
        <w:pStyle w:val="Heading2"/>
        <w:spacing w:line="360" w:lineRule="auto"/>
        <w:rPr>
          <w:rFonts w:ascii="Arial" w:hAnsi="Arial" w:cs="Arial"/>
        </w:rPr>
      </w:pPr>
      <w:bookmarkStart w:id="25" w:name="_Toc215232272"/>
      <w:r w:rsidRPr="004B5175">
        <w:rPr>
          <w:rFonts w:ascii="Arial" w:hAnsi="Arial" w:cs="Arial"/>
        </w:rPr>
        <w:t>Original Academic and Policy Contribution</w:t>
      </w:r>
      <w:bookmarkEnd w:id="25"/>
    </w:p>
    <w:p w14:paraId="7E067EAB" w14:textId="77894DB4" w:rsidR="003732E6" w:rsidRPr="004B5175" w:rsidRDefault="003732E6" w:rsidP="004B5175">
      <w:pPr>
        <w:spacing w:line="360" w:lineRule="auto"/>
        <w:rPr>
          <w:rFonts w:ascii="Arial" w:hAnsi="Arial" w:cs="Arial"/>
        </w:rPr>
      </w:pPr>
      <w:r w:rsidRPr="004B5175">
        <w:rPr>
          <w:rFonts w:ascii="Arial" w:hAnsi="Arial" w:cs="Arial"/>
        </w:rPr>
        <w:t>This systematic review makes a novel contribution by focusing specifically on the effectiveness of integrated pathways for the often-overlooked transitional young adult population (18–30) in the UK context. Previous evaluations have either been international or have focused on generic DD populations without sufficiently addressing the distinct developmental stage, associated social needs (debt, housing, employment), or the precise structural barriers present in the fragmented UK health and social care commissioning landscape (NICE, 2016; Public Health England, 2019).</w:t>
      </w:r>
    </w:p>
    <w:p w14:paraId="5A36662C" w14:textId="77777777" w:rsidR="003732E6" w:rsidRPr="004B5175" w:rsidRDefault="003732E6" w:rsidP="004B5175">
      <w:pPr>
        <w:spacing w:line="360" w:lineRule="auto"/>
        <w:rPr>
          <w:rFonts w:ascii="Arial" w:hAnsi="Arial" w:cs="Arial"/>
        </w:rPr>
      </w:pPr>
      <w:r w:rsidRPr="004B5175">
        <w:rPr>
          <w:rFonts w:ascii="Arial" w:hAnsi="Arial" w:cs="Arial"/>
        </w:rPr>
        <w:t>By systematically linking outcomes (such as retention and substance use reduction (Gopal et al., 2023)) with the implementation barriers detailed by NICE (e.g., fragmentation, stigma (NICE, 2016)), the research provides a sophisticated policy audit. It moves beyond simply describing service models to articulating how the chasm between policy intent and implementation fidelity undermines clinical effort. The findings will provide empirical grounding for achieving a more rational and effective framework for tackling the pool of morbidity covered by dual diagnosis (Brady et al., 2006; Savage et al., 2022).</w:t>
      </w:r>
    </w:p>
    <w:p w14:paraId="73FA9028" w14:textId="77777777" w:rsidR="003732E6" w:rsidRPr="004B5175" w:rsidRDefault="003732E6" w:rsidP="004B5175">
      <w:pPr>
        <w:spacing w:line="360" w:lineRule="auto"/>
        <w:rPr>
          <w:rFonts w:ascii="Arial" w:hAnsi="Arial" w:cs="Arial"/>
        </w:rPr>
      </w:pPr>
    </w:p>
    <w:p w14:paraId="6E793721" w14:textId="36E585EB" w:rsidR="003732E6" w:rsidRPr="004B5175" w:rsidRDefault="003732E6" w:rsidP="004B5175">
      <w:pPr>
        <w:pStyle w:val="Heading2"/>
        <w:spacing w:line="360" w:lineRule="auto"/>
        <w:rPr>
          <w:rFonts w:ascii="Arial" w:hAnsi="Arial" w:cs="Arial"/>
        </w:rPr>
      </w:pPr>
      <w:bookmarkStart w:id="26" w:name="_Toc215232273"/>
      <w:r w:rsidRPr="004B5175">
        <w:rPr>
          <w:rFonts w:ascii="Arial" w:hAnsi="Arial" w:cs="Arial"/>
        </w:rPr>
        <w:t>Clinical Practice and Workforce Implications</w:t>
      </w:r>
      <w:bookmarkEnd w:id="26"/>
    </w:p>
    <w:p w14:paraId="5BD3DEFF" w14:textId="7357B07D" w:rsidR="003732E6" w:rsidRPr="004B5175" w:rsidRDefault="003732E6" w:rsidP="004B5175">
      <w:pPr>
        <w:spacing w:line="360" w:lineRule="auto"/>
        <w:rPr>
          <w:rFonts w:ascii="Arial" w:hAnsi="Arial" w:cs="Arial"/>
        </w:rPr>
      </w:pPr>
      <w:r w:rsidRPr="004B5175">
        <w:rPr>
          <w:rFonts w:ascii="Arial" w:hAnsi="Arial" w:cs="Arial"/>
        </w:rPr>
        <w:t>The review’s findings hold significant clinical implications for improving the delivery of coordinated care:</w:t>
      </w:r>
    </w:p>
    <w:p w14:paraId="3BE8A2D7" w14:textId="30111BC6" w:rsidR="003732E6" w:rsidRPr="004B5175" w:rsidRDefault="003732E6" w:rsidP="004B5175">
      <w:pPr>
        <w:spacing w:line="360" w:lineRule="auto"/>
        <w:rPr>
          <w:rFonts w:ascii="Arial" w:hAnsi="Arial" w:cs="Arial"/>
        </w:rPr>
      </w:pPr>
      <w:r w:rsidRPr="004B5175">
        <w:rPr>
          <w:rFonts w:ascii="Arial" w:hAnsi="Arial" w:cs="Arial"/>
          <w:b/>
          <w:bCs/>
        </w:rPr>
        <w:t>Enhanced Coordination Models:</w:t>
      </w:r>
      <w:r w:rsidRPr="004B5175">
        <w:rPr>
          <w:rFonts w:ascii="Arial" w:hAnsi="Arial" w:cs="Arial"/>
        </w:rPr>
        <w:t xml:space="preserve"> The synthesis will identify evidence-based strategies for successful implementation of coordinated care—specifically, the features of joint patient pathways that maximize seamless transition and meaningful handover between mental health and substance misuse services, avoiding duplication (ELFT, 2025).</w:t>
      </w:r>
    </w:p>
    <w:p w14:paraId="5168DF52" w14:textId="27E0A6B2" w:rsidR="003732E6" w:rsidRPr="004B5175" w:rsidRDefault="003732E6" w:rsidP="004B5175">
      <w:pPr>
        <w:spacing w:line="360" w:lineRule="auto"/>
        <w:rPr>
          <w:rFonts w:ascii="Arial" w:hAnsi="Arial" w:cs="Arial"/>
        </w:rPr>
      </w:pPr>
      <w:r w:rsidRPr="004B5175">
        <w:rPr>
          <w:rFonts w:ascii="Arial" w:hAnsi="Arial" w:cs="Arial"/>
          <w:b/>
          <w:bCs/>
        </w:rPr>
        <w:t>Workforce Development:</w:t>
      </w:r>
      <w:r w:rsidRPr="004B5175">
        <w:rPr>
          <w:rFonts w:ascii="Arial" w:hAnsi="Arial" w:cs="Arial"/>
        </w:rPr>
        <w:t xml:space="preserve"> Insights into staff perceptions and service user experiences of stigma (NICE, 2016) will inform targeted training to develop the necessary skills, knowledge, and values in the workforce (Public Health England, 2016). This is essential for fostering therapeutic optimism and a strong therapeutic alliance, which are critical factors in effective care delivery (Public Health England, 2016).</w:t>
      </w:r>
    </w:p>
    <w:p w14:paraId="66E5E67F" w14:textId="2DF76433" w:rsidR="003732E6" w:rsidRPr="004B5175" w:rsidRDefault="003732E6" w:rsidP="004B5175">
      <w:pPr>
        <w:spacing w:line="360" w:lineRule="auto"/>
        <w:rPr>
          <w:rFonts w:ascii="Arial" w:hAnsi="Arial" w:cs="Arial"/>
        </w:rPr>
      </w:pPr>
      <w:r w:rsidRPr="004B5175">
        <w:rPr>
          <w:rFonts w:ascii="Arial" w:hAnsi="Arial" w:cs="Arial"/>
          <w:b/>
          <w:bCs/>
        </w:rPr>
        <w:t>Improved Risk Management:</w:t>
      </w:r>
      <w:r w:rsidRPr="004B5175">
        <w:rPr>
          <w:rFonts w:ascii="Arial" w:hAnsi="Arial" w:cs="Arial"/>
        </w:rPr>
        <w:t xml:space="preserve"> By ensuring services are better coordinated, staff will have improved overall knowledge of the patient, allowing for more comprehensive clinical risk assessment and management, which is vital for reducing the risk of self-harm, hospital readmission, and harm to self or others (Brady et al., 2006; ELFT, 2025).</w:t>
      </w:r>
    </w:p>
    <w:p w14:paraId="5512C928" w14:textId="77777777" w:rsidR="00CB262D" w:rsidRPr="004B5175" w:rsidRDefault="00CB262D" w:rsidP="004B5175">
      <w:pPr>
        <w:spacing w:line="360" w:lineRule="auto"/>
        <w:rPr>
          <w:rFonts w:ascii="Arial" w:hAnsi="Arial" w:cs="Arial"/>
        </w:rPr>
      </w:pPr>
    </w:p>
    <w:p w14:paraId="1CC879A5" w14:textId="5249FB0A" w:rsidR="003732E6" w:rsidRPr="004B5175" w:rsidRDefault="003732E6" w:rsidP="004B5175">
      <w:pPr>
        <w:pStyle w:val="Heading2"/>
        <w:spacing w:line="360" w:lineRule="auto"/>
        <w:rPr>
          <w:rFonts w:ascii="Arial" w:hAnsi="Arial" w:cs="Arial"/>
        </w:rPr>
      </w:pPr>
      <w:bookmarkStart w:id="27" w:name="_Toc215232274"/>
      <w:r w:rsidRPr="004B5175">
        <w:rPr>
          <w:rFonts w:ascii="Arial" w:hAnsi="Arial" w:cs="Arial"/>
        </w:rPr>
        <w:t>Commissioning and Future Research</w:t>
      </w:r>
      <w:bookmarkEnd w:id="27"/>
    </w:p>
    <w:p w14:paraId="68E1660E" w14:textId="304B54BA" w:rsidR="003732E6" w:rsidRPr="004B5175" w:rsidRDefault="003732E6" w:rsidP="004B5175">
      <w:pPr>
        <w:spacing w:line="360" w:lineRule="auto"/>
        <w:rPr>
          <w:rFonts w:ascii="Arial" w:hAnsi="Arial" w:cs="Arial"/>
        </w:rPr>
      </w:pPr>
      <w:r w:rsidRPr="004B5175">
        <w:rPr>
          <w:rFonts w:ascii="Arial" w:hAnsi="Arial" w:cs="Arial"/>
        </w:rPr>
        <w:t>The research will inform commissioning strategy by providing evidence on which specific integrated models demonstrate improved effectiveness and efficiency, particularly in relation to cost-effectiveness—a gap explicitly identified in the NICE evidence base (NICE, 2016). This will enable commissioners to allocate resources more strategically towards commissioned care pathways that span mental health, alcohol/drugs, and wider social care needs, ensuring agreed outcomes are delivered by all providers (Public Health England, 2016).</w:t>
      </w:r>
    </w:p>
    <w:p w14:paraId="469AEE61" w14:textId="2D1F3210" w:rsidR="003732E6" w:rsidRPr="004B5175" w:rsidRDefault="003732E6" w:rsidP="004B5175">
      <w:pPr>
        <w:spacing w:line="360" w:lineRule="auto"/>
        <w:rPr>
          <w:rFonts w:ascii="Arial" w:hAnsi="Arial" w:cs="Arial"/>
        </w:rPr>
      </w:pPr>
      <w:r w:rsidRPr="004B5175">
        <w:rPr>
          <w:rFonts w:ascii="Arial" w:hAnsi="Arial" w:cs="Arial"/>
        </w:rPr>
        <w:t>Furthermore, the review’s analysis of the structural barriers and the restrictive SMI definition (ELFT, 2025) will provide policy arguments to challenge existing exclusion criteria.</w:t>
      </w:r>
      <w:r w:rsidR="00C431B1" w:rsidRPr="004B5175">
        <w:rPr>
          <w:rFonts w:ascii="Arial" w:hAnsi="Arial" w:cs="Arial"/>
        </w:rPr>
        <w:t xml:space="preserve"> </w:t>
      </w:r>
      <w:r w:rsidRPr="004B5175">
        <w:rPr>
          <w:rFonts w:ascii="Arial" w:hAnsi="Arial" w:cs="Arial"/>
        </w:rPr>
        <w:t>This may support the expansion of integrated care guidelines to formally include young adults whose complex needs (e.g., personality disorders or complex anxiety) are currently managed inconsistently or are often discharged through fragmented processes (ELFT, 2025).</w:t>
      </w:r>
    </w:p>
    <w:p w14:paraId="40B7EB96" w14:textId="77777777" w:rsidR="003732E6" w:rsidRPr="004B5175" w:rsidRDefault="003732E6" w:rsidP="004B5175">
      <w:pPr>
        <w:spacing w:line="360" w:lineRule="auto"/>
        <w:rPr>
          <w:rFonts w:ascii="Arial" w:hAnsi="Arial" w:cs="Arial"/>
        </w:rPr>
      </w:pPr>
      <w:r w:rsidRPr="004B5175">
        <w:rPr>
          <w:rFonts w:ascii="Arial" w:hAnsi="Arial" w:cs="Arial"/>
        </w:rPr>
        <w:t>Finally, the review will highlight urgent areas for primary research, emphasizing the need for robust UK-based longitudinal evaluations and economic analyses to address the noted cost-effectiveness gap, ensuring future policy is underpinned by financial feasibility as well as clinical efficacy (NICE, 2016).</w:t>
      </w:r>
    </w:p>
    <w:p w14:paraId="6AD5A5FE" w14:textId="77777777" w:rsidR="003732E6" w:rsidRPr="004B5175" w:rsidRDefault="003732E6" w:rsidP="004B5175">
      <w:pPr>
        <w:pStyle w:val="Heading1"/>
        <w:spacing w:line="360" w:lineRule="auto"/>
        <w:rPr>
          <w:rFonts w:ascii="Arial" w:hAnsi="Arial" w:cs="Arial"/>
        </w:rPr>
      </w:pPr>
    </w:p>
    <w:p w14:paraId="214DEC93" w14:textId="7DA07F64" w:rsidR="003732E6" w:rsidRPr="004B5175" w:rsidRDefault="003732E6" w:rsidP="004B5175">
      <w:pPr>
        <w:pStyle w:val="Heading1"/>
        <w:spacing w:line="360" w:lineRule="auto"/>
        <w:rPr>
          <w:rFonts w:ascii="Arial" w:hAnsi="Arial" w:cs="Arial"/>
        </w:rPr>
      </w:pPr>
      <w:bookmarkStart w:id="28" w:name="_Toc215232275"/>
      <w:r w:rsidRPr="004B5175">
        <w:rPr>
          <w:rFonts w:ascii="Arial" w:hAnsi="Arial" w:cs="Arial"/>
        </w:rPr>
        <w:t>Plan of Work and Time Schedule (Gantt Chart Structure: January</w:t>
      </w:r>
      <w:r w:rsidR="00F936EC" w:rsidRPr="004B5175">
        <w:rPr>
          <w:rFonts w:ascii="Arial" w:hAnsi="Arial" w:cs="Arial"/>
        </w:rPr>
        <w:t xml:space="preserve"> 2026</w:t>
      </w:r>
      <w:r w:rsidRPr="004B5175">
        <w:rPr>
          <w:rFonts w:ascii="Arial" w:hAnsi="Arial" w:cs="Arial"/>
        </w:rPr>
        <w:t xml:space="preserve"> – June 2026)</w:t>
      </w:r>
      <w:bookmarkEnd w:id="28"/>
    </w:p>
    <w:p w14:paraId="6073602B" w14:textId="1CE1EA48" w:rsidR="003732E6" w:rsidRPr="004B5175" w:rsidRDefault="003732E6" w:rsidP="004B5175">
      <w:pPr>
        <w:spacing w:line="360" w:lineRule="auto"/>
        <w:rPr>
          <w:rFonts w:ascii="Arial" w:hAnsi="Arial" w:cs="Arial"/>
        </w:rPr>
      </w:pPr>
      <w:r w:rsidRPr="004B5175">
        <w:rPr>
          <w:rFonts w:ascii="Arial" w:hAnsi="Arial" w:cs="Arial"/>
        </w:rPr>
        <w:t>The systematic review will be conducted over a six-month period, from January to June 2026. The plan outlines sequential phases, defining the estimated duration, critical dependencies, and key milestones required for a successful, timely completion of the project, providing the necessary content for a detailed Gantt Chart visualization (</w:t>
      </w:r>
      <w:proofErr w:type="spellStart"/>
      <w:r w:rsidRPr="004B5175">
        <w:rPr>
          <w:rFonts w:ascii="Arial" w:hAnsi="Arial" w:cs="Arial"/>
        </w:rPr>
        <w:t>TeamGantt</w:t>
      </w:r>
      <w:proofErr w:type="spellEnd"/>
      <w:r w:rsidRPr="004B5175">
        <w:rPr>
          <w:rFonts w:ascii="Arial" w:hAnsi="Arial" w:cs="Arial"/>
        </w:rPr>
        <w:t>, 2025).</w:t>
      </w:r>
    </w:p>
    <w:p w14:paraId="453D2A69" w14:textId="77777777" w:rsidR="003732E6" w:rsidRPr="004B5175" w:rsidRDefault="003732E6" w:rsidP="004B5175">
      <w:pPr>
        <w:spacing w:line="360" w:lineRule="auto"/>
        <w:rPr>
          <w:rFonts w:ascii="Arial" w:hAnsi="Arial" w:cs="Arial"/>
        </w:rPr>
      </w:pPr>
      <w:r w:rsidRPr="004B5175">
        <w:rPr>
          <w:rFonts w:ascii="Arial" w:hAnsi="Arial" w:cs="Arial"/>
        </w:rPr>
        <w:t>The methodology adheres to a linear structure, where the completion of one phase is required before the subsequent phase can commence (Dependencies), ensuring a manageable and realistic schedule (</w:t>
      </w:r>
      <w:proofErr w:type="spellStart"/>
      <w:r w:rsidRPr="004B5175">
        <w:rPr>
          <w:rFonts w:ascii="Arial" w:hAnsi="Arial" w:cs="Arial"/>
        </w:rPr>
        <w:t>TeamGantt</w:t>
      </w:r>
      <w:proofErr w:type="spellEnd"/>
      <w:r w:rsidRPr="004B5175">
        <w:rPr>
          <w:rFonts w:ascii="Arial" w:hAnsi="Arial" w:cs="Arial"/>
        </w:rPr>
        <w:t>, 2025).</w:t>
      </w:r>
    </w:p>
    <w:p w14:paraId="5690E159" w14:textId="77777777" w:rsidR="003732E6" w:rsidRPr="004B5175" w:rsidRDefault="003732E6" w:rsidP="004B5175">
      <w:pPr>
        <w:spacing w:line="360" w:lineRule="auto"/>
        <w:rPr>
          <w:rFonts w:ascii="Arial" w:hAnsi="Arial" w:cs="Arial"/>
        </w:rPr>
      </w:pPr>
    </w:p>
    <w:p w14:paraId="0F22000E" w14:textId="58C038FD" w:rsidR="003732E6" w:rsidRPr="004B5175" w:rsidRDefault="003732E6" w:rsidP="004B5175">
      <w:pPr>
        <w:pStyle w:val="Heading2"/>
        <w:spacing w:line="360" w:lineRule="auto"/>
        <w:rPr>
          <w:rFonts w:ascii="Arial" w:hAnsi="Arial" w:cs="Arial"/>
        </w:rPr>
      </w:pPr>
      <w:bookmarkStart w:id="29" w:name="_Toc215232276"/>
      <w:r w:rsidRPr="004B5175">
        <w:rPr>
          <w:rFonts w:ascii="Arial" w:hAnsi="Arial" w:cs="Arial"/>
        </w:rPr>
        <w:t>Table: Systematic Review Plan of Work and Time Schedule (January</w:t>
      </w:r>
      <w:r w:rsidR="00F936EC" w:rsidRPr="004B5175">
        <w:rPr>
          <w:rFonts w:ascii="Arial" w:hAnsi="Arial" w:cs="Arial"/>
        </w:rPr>
        <w:t xml:space="preserve"> 2026</w:t>
      </w:r>
      <w:r w:rsidRPr="004B5175">
        <w:rPr>
          <w:rFonts w:ascii="Arial" w:hAnsi="Arial" w:cs="Arial"/>
        </w:rPr>
        <w:t xml:space="preserve"> – June 2026)</w:t>
      </w:r>
      <w:bookmarkEnd w:id="29"/>
    </w:p>
    <w:p w14:paraId="31A4DAF7" w14:textId="77777777" w:rsidR="00D15D76" w:rsidRPr="00D15D76" w:rsidRDefault="00D15D76" w:rsidP="00D15D76">
      <w:pPr>
        <w:spacing w:line="360" w:lineRule="auto"/>
        <w:jc w:val="both"/>
        <w:rPr>
          <w:rFonts w:ascii="Arial" w:eastAsia="DengXian" w:hAnsi="Arial" w:cs="Arial"/>
          <w:lang w:val="en-US" w:eastAsia="en-US"/>
        </w:rPr>
      </w:pPr>
      <w:r w:rsidRPr="00D15D76">
        <w:rPr>
          <w:rFonts w:ascii="Arial" w:eastAsia="DengXian" w:hAnsi="Arial" w:cs="Arial"/>
          <w:lang w:val="en-US" w:eastAsia="en-US"/>
        </w:rPr>
        <w:t>The following Gantt chart outlines the planned timeline for the research project:</w:t>
      </w:r>
    </w:p>
    <w:p w14:paraId="1C7100E3" w14:textId="77777777" w:rsidR="00D15D76" w:rsidRPr="00D15D76" w:rsidRDefault="00D15D76" w:rsidP="00D15D76">
      <w:pPr>
        <w:spacing w:line="360" w:lineRule="auto"/>
        <w:jc w:val="both"/>
        <w:rPr>
          <w:rFonts w:ascii="Arial" w:eastAsia="DengXian" w:hAnsi="Arial" w:cs="Arial"/>
          <w:lang w:val="en-US" w:eastAsia="en-US"/>
        </w:rPr>
      </w:pPr>
    </w:p>
    <w:tbl>
      <w:tblPr>
        <w:tblStyle w:val="TableGrid1"/>
        <w:tblW w:w="0" w:type="auto"/>
        <w:tblInd w:w="360" w:type="dxa"/>
        <w:tblLook w:val="04A0" w:firstRow="1" w:lastRow="0" w:firstColumn="1" w:lastColumn="0" w:noHBand="0" w:noVBand="1"/>
      </w:tblPr>
      <w:tblGrid>
        <w:gridCol w:w="6303"/>
        <w:gridCol w:w="2363"/>
      </w:tblGrid>
      <w:tr w:rsidR="00D15D76" w:rsidRPr="00D15D76" w14:paraId="5F7531B5" w14:textId="77777777" w:rsidTr="002530CB">
        <w:tc>
          <w:tcPr>
            <w:tcW w:w="6303" w:type="dxa"/>
          </w:tcPr>
          <w:p w14:paraId="363BBF0F" w14:textId="77777777" w:rsidR="00D15D76" w:rsidRPr="00D15D76" w:rsidRDefault="00D15D76" w:rsidP="00D15D76">
            <w:pPr>
              <w:spacing w:line="360" w:lineRule="auto"/>
              <w:jc w:val="both"/>
              <w:rPr>
                <w:rFonts w:ascii="Arial" w:eastAsia="DengXian" w:hAnsi="Arial" w:cs="Arial"/>
              </w:rPr>
            </w:pPr>
            <w:r w:rsidRPr="00D15D76">
              <w:rPr>
                <w:rFonts w:ascii="Arial" w:eastAsia="DengXian" w:hAnsi="Arial" w:cs="Arial"/>
              </w:rPr>
              <w:t>Task</w:t>
            </w:r>
          </w:p>
        </w:tc>
        <w:tc>
          <w:tcPr>
            <w:tcW w:w="2363" w:type="dxa"/>
          </w:tcPr>
          <w:p w14:paraId="2D1D7DF0" w14:textId="77777777" w:rsidR="00D15D76" w:rsidRPr="00D15D76" w:rsidRDefault="00D15D76" w:rsidP="00D15D76">
            <w:pPr>
              <w:spacing w:line="360" w:lineRule="auto"/>
              <w:jc w:val="both"/>
              <w:rPr>
                <w:rFonts w:ascii="Arial" w:eastAsia="DengXian" w:hAnsi="Arial" w:cs="Arial"/>
              </w:rPr>
            </w:pPr>
            <w:r w:rsidRPr="00D15D76">
              <w:rPr>
                <w:rFonts w:ascii="Arial" w:eastAsia="DengXian" w:hAnsi="Arial" w:cs="Arial"/>
              </w:rPr>
              <w:t>Time Frame 4 months</w:t>
            </w:r>
          </w:p>
        </w:tc>
      </w:tr>
      <w:tr w:rsidR="00D15D76" w:rsidRPr="00D15D76" w14:paraId="027B0F3C" w14:textId="77777777" w:rsidTr="002530CB">
        <w:tc>
          <w:tcPr>
            <w:tcW w:w="6303" w:type="dxa"/>
          </w:tcPr>
          <w:p w14:paraId="2E00DE92" w14:textId="77777777" w:rsidR="00D15D76" w:rsidRPr="00D15D76" w:rsidRDefault="00D15D76" w:rsidP="00D15D76">
            <w:pPr>
              <w:spacing w:line="360" w:lineRule="auto"/>
              <w:jc w:val="both"/>
              <w:rPr>
                <w:rFonts w:ascii="Arial" w:eastAsia="DengXian" w:hAnsi="Arial" w:cs="Arial"/>
              </w:rPr>
            </w:pPr>
            <w:r w:rsidRPr="00D15D76">
              <w:rPr>
                <w:rFonts w:ascii="Arial" w:eastAsia="DengXian" w:hAnsi="Arial" w:cs="Arial"/>
              </w:rPr>
              <w:t xml:space="preserve">Literature Review                          </w:t>
            </w:r>
          </w:p>
        </w:tc>
        <w:tc>
          <w:tcPr>
            <w:tcW w:w="2363" w:type="dxa"/>
          </w:tcPr>
          <w:p w14:paraId="72675D81" w14:textId="77777777" w:rsidR="00D15D76" w:rsidRPr="00D15D76" w:rsidRDefault="00D15D76" w:rsidP="00D15D76">
            <w:pPr>
              <w:spacing w:line="360" w:lineRule="auto"/>
              <w:jc w:val="both"/>
              <w:rPr>
                <w:rFonts w:ascii="Arial" w:eastAsia="DengXian" w:hAnsi="Arial" w:cs="Arial"/>
              </w:rPr>
            </w:pPr>
            <w:r w:rsidRPr="00D15D76">
              <w:rPr>
                <w:rFonts w:ascii="Arial" w:eastAsia="DengXian" w:hAnsi="Arial" w:cs="Arial"/>
              </w:rPr>
              <w:t xml:space="preserve">January </w:t>
            </w:r>
          </w:p>
        </w:tc>
      </w:tr>
      <w:tr w:rsidR="00D15D76" w:rsidRPr="00D15D76" w14:paraId="075592AF" w14:textId="77777777" w:rsidTr="002530CB">
        <w:tc>
          <w:tcPr>
            <w:tcW w:w="6303" w:type="dxa"/>
          </w:tcPr>
          <w:p w14:paraId="46041D87" w14:textId="77777777" w:rsidR="00D15D76" w:rsidRPr="00D15D76" w:rsidRDefault="00D15D76" w:rsidP="00D15D76">
            <w:pPr>
              <w:spacing w:line="360" w:lineRule="auto"/>
              <w:jc w:val="both"/>
              <w:rPr>
                <w:rFonts w:ascii="Arial" w:eastAsia="DengXian" w:hAnsi="Arial" w:cs="Arial"/>
              </w:rPr>
            </w:pPr>
            <w:r w:rsidRPr="00D15D76">
              <w:rPr>
                <w:rFonts w:ascii="Arial" w:eastAsia="DengXian" w:hAnsi="Arial" w:cs="Arial"/>
              </w:rPr>
              <w:t xml:space="preserve">Development of Research Instruments        </w:t>
            </w:r>
          </w:p>
        </w:tc>
        <w:tc>
          <w:tcPr>
            <w:tcW w:w="2363" w:type="dxa"/>
          </w:tcPr>
          <w:p w14:paraId="26EDAEBF" w14:textId="77777777" w:rsidR="00D15D76" w:rsidRPr="00D15D76" w:rsidRDefault="00D15D76" w:rsidP="00D15D76">
            <w:pPr>
              <w:spacing w:line="360" w:lineRule="auto"/>
              <w:jc w:val="both"/>
              <w:rPr>
                <w:rFonts w:ascii="Arial" w:eastAsia="DengXian" w:hAnsi="Arial" w:cs="Arial"/>
              </w:rPr>
            </w:pPr>
            <w:r w:rsidRPr="00D15D76">
              <w:rPr>
                <w:rFonts w:ascii="Arial" w:eastAsia="DengXian" w:hAnsi="Arial" w:cs="Arial"/>
              </w:rPr>
              <w:t xml:space="preserve">February </w:t>
            </w:r>
          </w:p>
        </w:tc>
      </w:tr>
      <w:tr w:rsidR="00D15D76" w:rsidRPr="00D15D76" w14:paraId="27F99A7B" w14:textId="77777777" w:rsidTr="002530CB">
        <w:tc>
          <w:tcPr>
            <w:tcW w:w="6303" w:type="dxa"/>
          </w:tcPr>
          <w:p w14:paraId="78E8E703" w14:textId="77777777" w:rsidR="00D15D76" w:rsidRPr="00D15D76" w:rsidRDefault="00D15D76" w:rsidP="00D15D76">
            <w:pPr>
              <w:spacing w:line="360" w:lineRule="auto"/>
              <w:jc w:val="both"/>
              <w:rPr>
                <w:rFonts w:ascii="Arial" w:eastAsia="DengXian" w:hAnsi="Arial" w:cs="Arial"/>
              </w:rPr>
            </w:pPr>
            <w:r w:rsidRPr="00D15D76">
              <w:rPr>
                <w:rFonts w:ascii="Arial" w:eastAsia="DengXian" w:hAnsi="Arial" w:cs="Arial"/>
              </w:rPr>
              <w:t xml:space="preserve">Ethical Approval Process                   </w:t>
            </w:r>
          </w:p>
        </w:tc>
        <w:tc>
          <w:tcPr>
            <w:tcW w:w="2363" w:type="dxa"/>
          </w:tcPr>
          <w:p w14:paraId="19F35B13" w14:textId="77777777" w:rsidR="00D15D76" w:rsidRPr="00D15D76" w:rsidRDefault="00D15D76" w:rsidP="00D15D76">
            <w:pPr>
              <w:spacing w:line="360" w:lineRule="auto"/>
              <w:jc w:val="both"/>
              <w:rPr>
                <w:rFonts w:ascii="Arial" w:eastAsia="DengXian" w:hAnsi="Arial" w:cs="Arial"/>
              </w:rPr>
            </w:pPr>
            <w:r w:rsidRPr="00D15D76">
              <w:rPr>
                <w:rFonts w:ascii="Arial" w:eastAsia="DengXian" w:hAnsi="Arial" w:cs="Arial"/>
              </w:rPr>
              <w:t xml:space="preserve">March </w:t>
            </w:r>
          </w:p>
        </w:tc>
      </w:tr>
      <w:tr w:rsidR="00D15D76" w:rsidRPr="00D15D76" w14:paraId="14D04A10" w14:textId="77777777" w:rsidTr="002530CB">
        <w:tc>
          <w:tcPr>
            <w:tcW w:w="6303" w:type="dxa"/>
          </w:tcPr>
          <w:p w14:paraId="2DA82B77" w14:textId="77777777" w:rsidR="00D15D76" w:rsidRPr="00D15D76" w:rsidRDefault="00D15D76" w:rsidP="00D15D76">
            <w:pPr>
              <w:spacing w:line="360" w:lineRule="auto"/>
              <w:jc w:val="both"/>
              <w:rPr>
                <w:rFonts w:ascii="Arial" w:eastAsia="DengXian" w:hAnsi="Arial" w:cs="Arial"/>
              </w:rPr>
            </w:pPr>
            <w:r w:rsidRPr="00D15D76">
              <w:rPr>
                <w:rFonts w:ascii="Arial" w:eastAsia="DengXian" w:hAnsi="Arial" w:cs="Arial"/>
              </w:rPr>
              <w:t xml:space="preserve">Data Collection </w:t>
            </w:r>
          </w:p>
        </w:tc>
        <w:tc>
          <w:tcPr>
            <w:tcW w:w="2363" w:type="dxa"/>
          </w:tcPr>
          <w:p w14:paraId="27983259" w14:textId="77777777" w:rsidR="00D15D76" w:rsidRPr="00D15D76" w:rsidRDefault="00D15D76" w:rsidP="00D15D76">
            <w:pPr>
              <w:spacing w:line="360" w:lineRule="auto"/>
              <w:jc w:val="both"/>
              <w:rPr>
                <w:rFonts w:ascii="Arial" w:eastAsia="DengXian" w:hAnsi="Arial" w:cs="Arial"/>
              </w:rPr>
            </w:pPr>
            <w:r w:rsidRPr="00D15D76">
              <w:rPr>
                <w:rFonts w:ascii="Arial" w:eastAsia="DengXian" w:hAnsi="Arial" w:cs="Arial"/>
              </w:rPr>
              <w:t xml:space="preserve">April </w:t>
            </w:r>
          </w:p>
        </w:tc>
      </w:tr>
      <w:tr w:rsidR="00D15D76" w:rsidRPr="00D15D76" w14:paraId="21DE02DE" w14:textId="77777777" w:rsidTr="002530CB">
        <w:tc>
          <w:tcPr>
            <w:tcW w:w="6303" w:type="dxa"/>
          </w:tcPr>
          <w:p w14:paraId="15B61777" w14:textId="77777777" w:rsidR="00D15D76" w:rsidRPr="00D15D76" w:rsidRDefault="00D15D76" w:rsidP="00D15D76">
            <w:pPr>
              <w:spacing w:line="360" w:lineRule="auto"/>
              <w:jc w:val="both"/>
              <w:rPr>
                <w:rFonts w:ascii="Arial" w:eastAsia="DengXian" w:hAnsi="Arial" w:cs="Arial"/>
              </w:rPr>
            </w:pPr>
            <w:r w:rsidRPr="00D15D76">
              <w:rPr>
                <w:rFonts w:ascii="Arial" w:eastAsia="DengXian" w:hAnsi="Arial" w:cs="Arial"/>
              </w:rPr>
              <w:t xml:space="preserve">Data Analysis                              </w:t>
            </w:r>
          </w:p>
        </w:tc>
        <w:tc>
          <w:tcPr>
            <w:tcW w:w="2363" w:type="dxa"/>
          </w:tcPr>
          <w:p w14:paraId="05AEE6EF" w14:textId="77777777" w:rsidR="00D15D76" w:rsidRPr="00D15D76" w:rsidRDefault="00D15D76" w:rsidP="00D15D76">
            <w:pPr>
              <w:spacing w:line="360" w:lineRule="auto"/>
              <w:jc w:val="both"/>
              <w:rPr>
                <w:rFonts w:ascii="Arial" w:eastAsia="DengXian" w:hAnsi="Arial" w:cs="Arial"/>
              </w:rPr>
            </w:pPr>
            <w:r w:rsidRPr="00D15D76">
              <w:rPr>
                <w:rFonts w:ascii="Arial" w:eastAsia="DengXian" w:hAnsi="Arial" w:cs="Arial"/>
              </w:rPr>
              <w:t xml:space="preserve">April </w:t>
            </w:r>
          </w:p>
        </w:tc>
      </w:tr>
      <w:tr w:rsidR="00D15D76" w:rsidRPr="00D15D76" w14:paraId="07DE3557" w14:textId="77777777" w:rsidTr="002530CB">
        <w:tc>
          <w:tcPr>
            <w:tcW w:w="6303" w:type="dxa"/>
          </w:tcPr>
          <w:p w14:paraId="5D20C049" w14:textId="77777777" w:rsidR="00D15D76" w:rsidRPr="00D15D76" w:rsidRDefault="00D15D76" w:rsidP="00D15D76">
            <w:pPr>
              <w:spacing w:line="360" w:lineRule="auto"/>
              <w:jc w:val="both"/>
              <w:rPr>
                <w:rFonts w:ascii="Arial" w:eastAsia="DengXian" w:hAnsi="Arial" w:cs="Arial"/>
              </w:rPr>
            </w:pPr>
            <w:r w:rsidRPr="00D15D76">
              <w:rPr>
                <w:rFonts w:ascii="Arial" w:eastAsia="DengXian" w:hAnsi="Arial" w:cs="Arial"/>
              </w:rPr>
              <w:t xml:space="preserve">Writing Up Findings                        </w:t>
            </w:r>
          </w:p>
        </w:tc>
        <w:tc>
          <w:tcPr>
            <w:tcW w:w="2363" w:type="dxa"/>
          </w:tcPr>
          <w:p w14:paraId="4C7D8EDB" w14:textId="77777777" w:rsidR="00D15D76" w:rsidRPr="00D15D76" w:rsidRDefault="00D15D76" w:rsidP="00D15D76">
            <w:pPr>
              <w:spacing w:line="360" w:lineRule="auto"/>
              <w:jc w:val="both"/>
              <w:rPr>
                <w:rFonts w:ascii="Arial" w:eastAsia="DengXian" w:hAnsi="Arial" w:cs="Arial"/>
              </w:rPr>
            </w:pPr>
            <w:r w:rsidRPr="00D15D76">
              <w:rPr>
                <w:rFonts w:ascii="Arial" w:eastAsia="DengXian" w:hAnsi="Arial" w:cs="Arial"/>
              </w:rPr>
              <w:t xml:space="preserve">May </w:t>
            </w:r>
          </w:p>
        </w:tc>
      </w:tr>
      <w:tr w:rsidR="00D15D76" w:rsidRPr="00D15D76" w14:paraId="3CAFC1F3" w14:textId="77777777" w:rsidTr="002530CB">
        <w:tc>
          <w:tcPr>
            <w:tcW w:w="6303" w:type="dxa"/>
          </w:tcPr>
          <w:p w14:paraId="72B0EC8C" w14:textId="1F1066E1" w:rsidR="00D15D76" w:rsidRPr="00D15D76" w:rsidRDefault="00D15D76" w:rsidP="002530CB">
            <w:pPr>
              <w:pStyle w:val="Heading1"/>
              <w:jc w:val="both"/>
            </w:pPr>
            <w:bookmarkStart w:id="30" w:name="_Toc215232277"/>
            <w:r w:rsidRPr="00D15D76">
              <w:t>Re</w:t>
            </w:r>
            <w:bookmarkStart w:id="31" w:name="_Toc214713706"/>
            <w:r w:rsidR="004D7143" w:rsidRPr="004D7143">
              <w:t xml:space="preserve"> Plan of Work and Time Schedule (Gantt </w:t>
            </w:r>
            <w:proofErr w:type="gramStart"/>
            <w:r w:rsidR="004D7143" w:rsidRPr="004D7143">
              <w:t>Chart)</w:t>
            </w:r>
            <w:bookmarkEnd w:id="30"/>
            <w:bookmarkEnd w:id="31"/>
            <w:r w:rsidRPr="00D15D76">
              <w:rPr>
                <w:rFonts w:ascii="Arial" w:eastAsia="DengXian" w:hAnsi="Arial" w:cs="Arial"/>
              </w:rPr>
              <w:t xml:space="preserve">   </w:t>
            </w:r>
            <w:proofErr w:type="gramEnd"/>
            <w:r w:rsidRPr="00D15D76">
              <w:rPr>
                <w:rFonts w:ascii="Arial" w:eastAsia="DengXian" w:hAnsi="Arial" w:cs="Arial"/>
              </w:rPr>
              <w:t xml:space="preserve">   </w:t>
            </w:r>
          </w:p>
        </w:tc>
        <w:tc>
          <w:tcPr>
            <w:tcW w:w="2363" w:type="dxa"/>
          </w:tcPr>
          <w:p w14:paraId="02AF2B9B" w14:textId="77777777" w:rsidR="00D15D76" w:rsidRDefault="00D15D76" w:rsidP="00D15D76">
            <w:pPr>
              <w:spacing w:line="360" w:lineRule="auto"/>
              <w:jc w:val="both"/>
              <w:rPr>
                <w:rFonts w:ascii="Arial" w:eastAsia="DengXian" w:hAnsi="Arial" w:cs="Arial"/>
              </w:rPr>
            </w:pPr>
            <w:r w:rsidRPr="00D15D76">
              <w:rPr>
                <w:rFonts w:ascii="Arial" w:eastAsia="DengXian" w:hAnsi="Arial" w:cs="Arial"/>
              </w:rPr>
              <w:t xml:space="preserve">June </w:t>
            </w:r>
          </w:p>
          <w:p w14:paraId="086F9B91" w14:textId="42297F12" w:rsidR="004D7143" w:rsidRPr="00D15D76" w:rsidRDefault="004D7143" w:rsidP="00D15D76">
            <w:pPr>
              <w:spacing w:line="360" w:lineRule="auto"/>
              <w:jc w:val="both"/>
              <w:rPr>
                <w:rFonts w:ascii="Arial" w:eastAsia="DengXian" w:hAnsi="Arial" w:cs="Arial"/>
              </w:rPr>
            </w:pPr>
          </w:p>
        </w:tc>
      </w:tr>
    </w:tbl>
    <w:p w14:paraId="3DB04A90" w14:textId="483ED095" w:rsidR="00D15D76" w:rsidRPr="00D15D76" w:rsidRDefault="00E16CF5" w:rsidP="00D15D76">
      <w:pPr>
        <w:spacing w:line="360" w:lineRule="auto"/>
        <w:ind w:left="360"/>
        <w:jc w:val="both"/>
        <w:rPr>
          <w:rFonts w:ascii="Arial" w:eastAsia="DengXian" w:hAnsi="Arial" w:cs="Arial"/>
          <w:lang w:val="en-US" w:eastAsia="en-US"/>
        </w:rPr>
      </w:pPr>
      <w:r w:rsidRPr="00E16CF5">
        <w:rPr>
          <w:rFonts w:ascii="Arial" w:eastAsia="DengXian" w:hAnsi="Arial" w:cs="Arial"/>
          <w:noProof/>
          <w:lang w:val="en-US" w:eastAsia="en-US"/>
        </w:rPr>
        <w:drawing>
          <wp:inline distT="0" distB="0" distL="0" distR="0" wp14:anchorId="2CD4B1E8" wp14:editId="2D278A22">
            <wp:extent cx="5731510" cy="2646045"/>
            <wp:effectExtent l="0" t="0" r="2540" b="1905"/>
            <wp:docPr id="1542612813" name="Picture 1" descr="A calendar with a number and d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612813" name="Picture 1" descr="A calendar with a number and date&#10;&#10;AI-generated content may be incorrect."/>
                    <pic:cNvPicPr/>
                  </pic:nvPicPr>
                  <pic:blipFill>
                    <a:blip r:embed="rId15"/>
                    <a:stretch>
                      <a:fillRect/>
                    </a:stretch>
                  </pic:blipFill>
                  <pic:spPr>
                    <a:xfrm>
                      <a:off x="0" y="0"/>
                      <a:ext cx="5731510" cy="2646045"/>
                    </a:xfrm>
                    <a:prstGeom prst="rect">
                      <a:avLst/>
                    </a:prstGeom>
                  </pic:spPr>
                </pic:pic>
              </a:graphicData>
            </a:graphic>
          </wp:inline>
        </w:drawing>
      </w:r>
    </w:p>
    <w:p w14:paraId="2668E211" w14:textId="77777777" w:rsidR="003732E6" w:rsidRPr="004B5175" w:rsidRDefault="003732E6" w:rsidP="004B5175">
      <w:pPr>
        <w:spacing w:line="360" w:lineRule="auto"/>
        <w:rPr>
          <w:rFonts w:ascii="Arial" w:hAnsi="Arial" w:cs="Arial"/>
        </w:rPr>
      </w:pPr>
    </w:p>
    <w:p w14:paraId="378DF4E0" w14:textId="62D22A02" w:rsidR="003732E6" w:rsidRPr="004B5175" w:rsidRDefault="003732E6" w:rsidP="004B5175">
      <w:pPr>
        <w:pStyle w:val="Heading1"/>
        <w:spacing w:line="360" w:lineRule="auto"/>
        <w:rPr>
          <w:rFonts w:ascii="Arial" w:hAnsi="Arial" w:cs="Arial"/>
        </w:rPr>
      </w:pPr>
      <w:bookmarkStart w:id="32" w:name="_Toc215232278"/>
      <w:r w:rsidRPr="004B5175">
        <w:rPr>
          <w:rFonts w:ascii="Arial" w:hAnsi="Arial" w:cs="Arial"/>
        </w:rPr>
        <w:t>Conclusions and Recommendations</w:t>
      </w:r>
      <w:bookmarkEnd w:id="32"/>
    </w:p>
    <w:p w14:paraId="5732D9BA" w14:textId="0C76ED78" w:rsidR="003732E6" w:rsidRPr="004B5175" w:rsidRDefault="003732E6" w:rsidP="004B5175">
      <w:pPr>
        <w:spacing w:line="360" w:lineRule="auto"/>
        <w:rPr>
          <w:rFonts w:ascii="Arial" w:hAnsi="Arial" w:cs="Arial"/>
        </w:rPr>
      </w:pPr>
      <w:r w:rsidRPr="004B5175">
        <w:rPr>
          <w:rFonts w:ascii="Arial" w:hAnsi="Arial" w:cs="Arial"/>
        </w:rPr>
        <w:t>The current policy landscape in the UK mandates integrated public health and social care for individuals with co-occurring severe mental illness and substance misuse, yet evidence suggests that persistent structural barriers—including pervasive service fragmentation, staff stigma, and punitive discharge protocols—undermine the effective implementation of these pathways (NICE, 2016). This is particularly critical for young adults (18–30) with dual diagnosis, a highly vulnerable cohort for whom the evidence base on outcomes, especially treatment retention and cost-effectiveness, remains insufficient (NICE, 2016; Gopal et al., 2023).</w:t>
      </w:r>
    </w:p>
    <w:p w14:paraId="54D7A483" w14:textId="77777777" w:rsidR="003732E6" w:rsidRPr="004B5175" w:rsidRDefault="003732E6" w:rsidP="004B5175">
      <w:pPr>
        <w:spacing w:line="360" w:lineRule="auto"/>
        <w:rPr>
          <w:rFonts w:ascii="Arial" w:hAnsi="Arial" w:cs="Arial"/>
        </w:rPr>
      </w:pPr>
      <w:r w:rsidRPr="004B5175">
        <w:rPr>
          <w:rFonts w:ascii="Arial" w:hAnsi="Arial" w:cs="Arial"/>
        </w:rPr>
        <w:t>This systematic review protocol is designed to rigorously address this evidence gap by synthesizing effectiveness and implementation data specific to the UK context and this transitional age group. By employing a mixed-methods narrative synthesis approach, the review will provide the necessary explanatory power to understand not only if integrated pathways are effective, but why they fail to deliver sustained improvements in social and clinical outcomes.</w:t>
      </w:r>
    </w:p>
    <w:p w14:paraId="6FCF1DAA" w14:textId="77777777" w:rsidR="003732E6" w:rsidRPr="004B5175" w:rsidRDefault="003732E6" w:rsidP="004B5175">
      <w:pPr>
        <w:spacing w:line="360" w:lineRule="auto"/>
        <w:rPr>
          <w:rFonts w:ascii="Arial" w:hAnsi="Arial" w:cs="Arial"/>
        </w:rPr>
      </w:pPr>
    </w:p>
    <w:p w14:paraId="7F207777" w14:textId="69BD4332" w:rsidR="003732E6" w:rsidRPr="004B5175" w:rsidRDefault="003732E6" w:rsidP="004B5175">
      <w:pPr>
        <w:pStyle w:val="Heading3"/>
        <w:spacing w:line="360" w:lineRule="auto"/>
        <w:rPr>
          <w:rFonts w:ascii="Arial" w:hAnsi="Arial" w:cs="Arial"/>
        </w:rPr>
      </w:pPr>
      <w:bookmarkStart w:id="33" w:name="_Toc215232279"/>
      <w:r w:rsidRPr="004B5175">
        <w:rPr>
          <w:rFonts w:ascii="Arial" w:hAnsi="Arial" w:cs="Arial"/>
        </w:rPr>
        <w:t>The anticipated findings will serve to:</w:t>
      </w:r>
      <w:bookmarkEnd w:id="33"/>
    </w:p>
    <w:p w14:paraId="17B7E18F" w14:textId="1A5A32C0" w:rsidR="003732E6" w:rsidRPr="004B5175" w:rsidRDefault="003732E6" w:rsidP="004B5175">
      <w:pPr>
        <w:spacing w:line="360" w:lineRule="auto"/>
        <w:rPr>
          <w:rFonts w:ascii="Arial" w:hAnsi="Arial" w:cs="Arial"/>
        </w:rPr>
      </w:pPr>
      <w:r w:rsidRPr="004B5175">
        <w:rPr>
          <w:rFonts w:ascii="Arial" w:hAnsi="Arial" w:cs="Arial"/>
        </w:rPr>
        <w:t>Inform Commissioning: Provide evidence to UK commissioners to favour specific integrated models that demonstrably improve treatment retention and functional recovery, addressing the current cost-effectiveness knowledge deficit (NICE, 2016).</w:t>
      </w:r>
    </w:p>
    <w:p w14:paraId="4F8427BE" w14:textId="0454F7D4" w:rsidR="00CC7C02" w:rsidRDefault="003732E6" w:rsidP="004B5175">
      <w:pPr>
        <w:spacing w:line="360" w:lineRule="auto"/>
        <w:rPr>
          <w:rFonts w:ascii="Arial" w:hAnsi="Arial" w:cs="Arial"/>
        </w:rPr>
      </w:pPr>
      <w:r w:rsidRPr="004B5175">
        <w:rPr>
          <w:rFonts w:ascii="Arial" w:hAnsi="Arial" w:cs="Arial"/>
        </w:rPr>
        <w:t>Guide Clinical Practice: Pinpoint key leverage points for clinical improvement, focusing on the need for shared accountability, improved inter-agency communication, and enhanced workforce training to counteract negative staff attitudes and promote therapeutic optimism (Public Health England, 2016; NICE, 2016).</w:t>
      </w:r>
      <w:r w:rsidR="00CC7C02" w:rsidRPr="004B5175">
        <w:rPr>
          <w:rFonts w:ascii="Arial" w:hAnsi="Arial" w:cs="Arial"/>
        </w:rPr>
        <w:t xml:space="preserve"> </w:t>
      </w:r>
    </w:p>
    <w:p w14:paraId="1B6BFB1D" w14:textId="77777777" w:rsidR="000224B7" w:rsidRDefault="000224B7" w:rsidP="004B5175">
      <w:pPr>
        <w:spacing w:line="360" w:lineRule="auto"/>
        <w:rPr>
          <w:rFonts w:ascii="Arial" w:hAnsi="Arial" w:cs="Arial"/>
        </w:rPr>
      </w:pPr>
    </w:p>
    <w:p w14:paraId="629802E9" w14:textId="77777777" w:rsidR="004D7143" w:rsidRDefault="004D7143" w:rsidP="004B5175">
      <w:pPr>
        <w:spacing w:line="360" w:lineRule="auto"/>
        <w:rPr>
          <w:rFonts w:ascii="Arial" w:hAnsi="Arial" w:cs="Arial"/>
        </w:rPr>
      </w:pPr>
    </w:p>
    <w:p w14:paraId="37B21B30" w14:textId="77777777" w:rsidR="004D7143" w:rsidRDefault="004D7143" w:rsidP="004B5175">
      <w:pPr>
        <w:spacing w:line="360" w:lineRule="auto"/>
        <w:rPr>
          <w:rFonts w:ascii="Arial" w:hAnsi="Arial" w:cs="Arial"/>
        </w:rPr>
      </w:pPr>
    </w:p>
    <w:p w14:paraId="458D236E" w14:textId="25E8935E" w:rsidR="00DE0FAF" w:rsidRDefault="00DE0FAF" w:rsidP="002B44E4">
      <w:pPr>
        <w:pStyle w:val="Heading1"/>
      </w:pPr>
      <w:bookmarkStart w:id="34" w:name="_Toc215232280"/>
      <w:r w:rsidRPr="00DE0FAF">
        <w:t>Reference List (Harvard Style)</w:t>
      </w:r>
      <w:bookmarkEnd w:id="34"/>
    </w:p>
    <w:p w14:paraId="236A6A7F" w14:textId="77777777" w:rsidR="00171ED6" w:rsidRPr="00171ED6" w:rsidRDefault="00171ED6" w:rsidP="00171ED6"/>
    <w:p w14:paraId="52950BC0" w14:textId="77777777" w:rsidR="00DE0FAF" w:rsidRPr="00DE0FAF" w:rsidRDefault="00DE0FAF" w:rsidP="00DE0FAF">
      <w:pPr>
        <w:spacing w:line="360" w:lineRule="auto"/>
        <w:rPr>
          <w:rFonts w:ascii="Arial" w:hAnsi="Arial" w:cs="Arial"/>
        </w:rPr>
      </w:pPr>
      <w:r w:rsidRPr="00DE0FAF">
        <w:rPr>
          <w:rFonts w:ascii="Arial" w:hAnsi="Arial" w:cs="Arial"/>
        </w:rPr>
        <w:t xml:space="preserve">Alwan, S. (2023) 'The inconsistency in dual diagnosis definition', </w:t>
      </w:r>
      <w:proofErr w:type="spellStart"/>
      <w:r w:rsidRPr="00171ED6">
        <w:rPr>
          <w:rFonts w:ascii="Arial" w:hAnsi="Arial" w:cs="Arial"/>
          <w:i/>
          <w:iCs/>
        </w:rPr>
        <w:t>Cureus</w:t>
      </w:r>
      <w:proofErr w:type="spellEnd"/>
      <w:r w:rsidRPr="00171ED6">
        <w:rPr>
          <w:rFonts w:ascii="Arial" w:hAnsi="Arial" w:cs="Arial"/>
          <w:i/>
          <w:iCs/>
        </w:rPr>
        <w:t xml:space="preserve"> Journal of Medical Science,</w:t>
      </w:r>
      <w:r w:rsidRPr="00DE0FAF">
        <w:rPr>
          <w:rFonts w:ascii="Arial" w:hAnsi="Arial" w:cs="Arial"/>
        </w:rPr>
        <w:t xml:space="preserve"> 15(2).</w:t>
      </w:r>
    </w:p>
    <w:p w14:paraId="3AF0A7F5" w14:textId="77777777" w:rsidR="00DE0FAF" w:rsidRPr="00DE0FAF" w:rsidRDefault="00DE0FAF" w:rsidP="00DE0FAF">
      <w:pPr>
        <w:spacing w:line="360" w:lineRule="auto"/>
        <w:rPr>
          <w:rFonts w:ascii="Arial" w:hAnsi="Arial" w:cs="Arial"/>
        </w:rPr>
      </w:pPr>
    </w:p>
    <w:p w14:paraId="3D68285D" w14:textId="77777777" w:rsidR="00DE0FAF" w:rsidRPr="00DE0FAF" w:rsidRDefault="00DE0FAF" w:rsidP="00DE0FAF">
      <w:pPr>
        <w:spacing w:line="360" w:lineRule="auto"/>
        <w:rPr>
          <w:rFonts w:ascii="Arial" w:hAnsi="Arial" w:cs="Arial"/>
        </w:rPr>
      </w:pPr>
      <w:r w:rsidRPr="00DE0FAF">
        <w:rPr>
          <w:rFonts w:ascii="Arial" w:hAnsi="Arial" w:cs="Arial"/>
        </w:rPr>
        <w:t xml:space="preserve">Brady, K.T., Randall, P.K. and Malcolm, R. (2006) 'Prevalence and consequences of the dual diagnosis of substance abuse and severe mental illness', </w:t>
      </w:r>
      <w:r w:rsidRPr="00171ED6">
        <w:rPr>
          <w:rFonts w:ascii="Arial" w:hAnsi="Arial" w:cs="Arial"/>
          <w:i/>
          <w:iCs/>
        </w:rPr>
        <w:t>The Journal of Clinical Psychiatry,</w:t>
      </w:r>
      <w:r w:rsidRPr="00DE0FAF">
        <w:rPr>
          <w:rFonts w:ascii="Arial" w:hAnsi="Arial" w:cs="Arial"/>
        </w:rPr>
        <w:t xml:space="preserve"> 67(7), pp. 5–9.</w:t>
      </w:r>
    </w:p>
    <w:p w14:paraId="5FE140C4" w14:textId="77777777" w:rsidR="00DE0FAF" w:rsidRPr="00DE0FAF" w:rsidRDefault="00DE0FAF" w:rsidP="00DE0FAF">
      <w:pPr>
        <w:spacing w:line="360" w:lineRule="auto"/>
        <w:rPr>
          <w:rFonts w:ascii="Arial" w:hAnsi="Arial" w:cs="Arial"/>
        </w:rPr>
      </w:pPr>
    </w:p>
    <w:p w14:paraId="5F7E75E5" w14:textId="12F55581" w:rsidR="00DE0FAF" w:rsidRPr="00DE0FAF" w:rsidRDefault="00DE0FAF" w:rsidP="00DE0FAF">
      <w:pPr>
        <w:spacing w:line="360" w:lineRule="auto"/>
        <w:rPr>
          <w:rFonts w:ascii="Arial" w:hAnsi="Arial" w:cs="Arial"/>
        </w:rPr>
      </w:pPr>
      <w:r w:rsidRPr="00DE0FAF">
        <w:rPr>
          <w:rFonts w:ascii="Arial" w:hAnsi="Arial" w:cs="Arial"/>
        </w:rPr>
        <w:t xml:space="preserve">EBSCO (2025) </w:t>
      </w:r>
      <w:r w:rsidRPr="00171ED6">
        <w:rPr>
          <w:rFonts w:ascii="Arial" w:hAnsi="Arial" w:cs="Arial"/>
          <w:i/>
          <w:iCs/>
        </w:rPr>
        <w:t>CINAHL Database</w:t>
      </w:r>
      <w:r w:rsidRPr="00DE0FAF">
        <w:rPr>
          <w:rFonts w:ascii="Arial" w:hAnsi="Arial" w:cs="Arial"/>
        </w:rPr>
        <w:t>. Available at: https://about.ebsco.com/products/research-databases/cinahl-database (Accessed: 2</w:t>
      </w:r>
      <w:r w:rsidR="00171ED6">
        <w:rPr>
          <w:rFonts w:ascii="Arial" w:hAnsi="Arial" w:cs="Arial"/>
        </w:rPr>
        <w:t>6</w:t>
      </w:r>
      <w:r w:rsidRPr="00DE0FAF">
        <w:rPr>
          <w:rFonts w:ascii="Arial" w:hAnsi="Arial" w:cs="Arial"/>
        </w:rPr>
        <w:t xml:space="preserve"> November 2025).</w:t>
      </w:r>
    </w:p>
    <w:p w14:paraId="117DB21A" w14:textId="77777777" w:rsidR="00DE0FAF" w:rsidRPr="00DE0FAF" w:rsidRDefault="00DE0FAF" w:rsidP="00DE0FAF">
      <w:pPr>
        <w:spacing w:line="360" w:lineRule="auto"/>
        <w:rPr>
          <w:rFonts w:ascii="Arial" w:hAnsi="Arial" w:cs="Arial"/>
        </w:rPr>
      </w:pPr>
    </w:p>
    <w:p w14:paraId="1E26561B" w14:textId="781661CA" w:rsidR="00DE0FAF" w:rsidRPr="00DE0FAF" w:rsidRDefault="00DE0FAF" w:rsidP="00DE0FAF">
      <w:pPr>
        <w:spacing w:line="360" w:lineRule="auto"/>
        <w:rPr>
          <w:rFonts w:ascii="Arial" w:hAnsi="Arial" w:cs="Arial"/>
        </w:rPr>
      </w:pPr>
      <w:r w:rsidRPr="00DE0FAF">
        <w:rPr>
          <w:rFonts w:ascii="Arial" w:hAnsi="Arial" w:cs="Arial"/>
        </w:rPr>
        <w:t xml:space="preserve">East London NHS Foundation Trust (ELFT) (2025) </w:t>
      </w:r>
      <w:r w:rsidRPr="00171ED6">
        <w:rPr>
          <w:rFonts w:ascii="Arial" w:hAnsi="Arial" w:cs="Arial"/>
          <w:i/>
          <w:iCs/>
        </w:rPr>
        <w:t>Dual Diagnosis Policy</w:t>
      </w:r>
      <w:r w:rsidRPr="00DE0FAF">
        <w:rPr>
          <w:rFonts w:ascii="Arial" w:hAnsi="Arial" w:cs="Arial"/>
        </w:rPr>
        <w:t>. Available at: https://www.elft.nhs.uk/sites/default/files/2025-05/Dual%20Diagnosis%20Policy%203.0.docx (Accessed: 2</w:t>
      </w:r>
      <w:r w:rsidR="00171ED6">
        <w:rPr>
          <w:rFonts w:ascii="Arial" w:hAnsi="Arial" w:cs="Arial"/>
        </w:rPr>
        <w:t>7</w:t>
      </w:r>
      <w:r w:rsidRPr="00DE0FAF">
        <w:rPr>
          <w:rFonts w:ascii="Arial" w:hAnsi="Arial" w:cs="Arial"/>
        </w:rPr>
        <w:t xml:space="preserve"> November 2025).</w:t>
      </w:r>
    </w:p>
    <w:p w14:paraId="3FC2084D" w14:textId="77777777" w:rsidR="00DE0FAF" w:rsidRPr="00DE0FAF" w:rsidRDefault="00DE0FAF" w:rsidP="00DE0FAF">
      <w:pPr>
        <w:spacing w:line="360" w:lineRule="auto"/>
        <w:rPr>
          <w:rFonts w:ascii="Arial" w:hAnsi="Arial" w:cs="Arial"/>
        </w:rPr>
      </w:pPr>
    </w:p>
    <w:p w14:paraId="11C5382F" w14:textId="77777777" w:rsidR="00DE0FAF" w:rsidRPr="00DE0FAF" w:rsidRDefault="00DE0FAF" w:rsidP="00DE0FAF">
      <w:pPr>
        <w:spacing w:line="360" w:lineRule="auto"/>
        <w:rPr>
          <w:rFonts w:ascii="Arial" w:hAnsi="Arial" w:cs="Arial"/>
        </w:rPr>
      </w:pPr>
      <w:r w:rsidRPr="00DE0FAF">
        <w:rPr>
          <w:rFonts w:ascii="Arial" w:hAnsi="Arial" w:cs="Arial"/>
        </w:rPr>
        <w:t xml:space="preserve">Gopal, V., et al. (2023) 'A Systematic Review of the Treatment Outcomes for Patients with Dual Diagnosis', </w:t>
      </w:r>
      <w:r w:rsidRPr="00171ED6">
        <w:rPr>
          <w:rFonts w:ascii="Arial" w:hAnsi="Arial" w:cs="Arial"/>
          <w:i/>
          <w:iCs/>
        </w:rPr>
        <w:t>International Journal of Mental Health and Addiction</w:t>
      </w:r>
      <w:r w:rsidRPr="00DE0FAF">
        <w:rPr>
          <w:rFonts w:ascii="Arial" w:hAnsi="Arial" w:cs="Arial"/>
        </w:rPr>
        <w:t>, 21(5), pp. 2990–3008.</w:t>
      </w:r>
    </w:p>
    <w:p w14:paraId="56091E1E" w14:textId="08346C31" w:rsidR="00DE0FAF" w:rsidRPr="00DE0FAF" w:rsidRDefault="00DE0FAF" w:rsidP="00DE0FAF">
      <w:pPr>
        <w:spacing w:line="360" w:lineRule="auto"/>
        <w:rPr>
          <w:rFonts w:ascii="Arial" w:hAnsi="Arial" w:cs="Arial"/>
        </w:rPr>
      </w:pPr>
    </w:p>
    <w:p w14:paraId="36D543D5" w14:textId="77777777" w:rsidR="00DE0FAF" w:rsidRPr="00DE0FAF" w:rsidRDefault="00DE0FAF" w:rsidP="00DE0FAF">
      <w:pPr>
        <w:spacing w:line="360" w:lineRule="auto"/>
        <w:rPr>
          <w:rFonts w:ascii="Arial" w:hAnsi="Arial" w:cs="Arial"/>
        </w:rPr>
      </w:pPr>
      <w:r w:rsidRPr="00DE0FAF">
        <w:rPr>
          <w:rFonts w:ascii="Arial" w:hAnsi="Arial" w:cs="Arial"/>
        </w:rPr>
        <w:t xml:space="preserve">Hannes, K. and Harden, A. (2012) </w:t>
      </w:r>
      <w:r w:rsidRPr="00171ED6">
        <w:rPr>
          <w:rFonts w:ascii="Arial" w:hAnsi="Arial" w:cs="Arial"/>
          <w:i/>
          <w:iCs/>
        </w:rPr>
        <w:t>'Mixed methods synthesis in systematic reviews: an introduction to narrative synthesis'</w:t>
      </w:r>
      <w:r w:rsidRPr="00DE0FAF">
        <w:rPr>
          <w:rFonts w:ascii="Arial" w:hAnsi="Arial" w:cs="Arial"/>
        </w:rPr>
        <w:t>. Available at: https://pmc.ncbi.nlm.nih.gov/articles/PMC6350750/ (Accessed: 28 November 2025).</w:t>
      </w:r>
    </w:p>
    <w:p w14:paraId="2E98218A" w14:textId="77777777" w:rsidR="00DE0FAF" w:rsidRPr="00DE0FAF" w:rsidRDefault="00DE0FAF" w:rsidP="00DE0FAF">
      <w:pPr>
        <w:spacing w:line="360" w:lineRule="auto"/>
        <w:rPr>
          <w:rFonts w:ascii="Arial" w:hAnsi="Arial" w:cs="Arial"/>
        </w:rPr>
      </w:pPr>
    </w:p>
    <w:p w14:paraId="1D4B78D6" w14:textId="16A9E630" w:rsidR="00DE0FAF" w:rsidRPr="00DE0FAF" w:rsidRDefault="00DE0FAF" w:rsidP="00DE0FAF">
      <w:pPr>
        <w:spacing w:line="360" w:lineRule="auto"/>
        <w:rPr>
          <w:rFonts w:ascii="Arial" w:hAnsi="Arial" w:cs="Arial"/>
        </w:rPr>
      </w:pPr>
      <w:r w:rsidRPr="00DE0FAF">
        <w:rPr>
          <w:rFonts w:ascii="Arial" w:hAnsi="Arial" w:cs="Arial"/>
        </w:rPr>
        <w:t xml:space="preserve">Jha, P. et al. (2024) 'Leveraging </w:t>
      </w:r>
      <w:proofErr w:type="gramStart"/>
      <w:r w:rsidRPr="00DE0FAF">
        <w:rPr>
          <w:rFonts w:ascii="Arial" w:hAnsi="Arial" w:cs="Arial"/>
        </w:rPr>
        <w:t>mixed-methods</w:t>
      </w:r>
      <w:proofErr w:type="gramEnd"/>
      <w:r w:rsidRPr="00DE0FAF">
        <w:rPr>
          <w:rFonts w:ascii="Arial" w:hAnsi="Arial" w:cs="Arial"/>
        </w:rPr>
        <w:t xml:space="preserve"> for comprehensive healthcare research: theory and applications'</w:t>
      </w:r>
      <w:r w:rsidRPr="00171ED6">
        <w:rPr>
          <w:rFonts w:ascii="Arial" w:hAnsi="Arial" w:cs="Arial"/>
          <w:i/>
          <w:iCs/>
        </w:rPr>
        <w:t>, Healthcare,</w:t>
      </w:r>
      <w:r w:rsidRPr="00DE0FAF">
        <w:rPr>
          <w:rFonts w:ascii="Arial" w:hAnsi="Arial" w:cs="Arial"/>
        </w:rPr>
        <w:t xml:space="preserve"> 5(2), pp. 51.</w:t>
      </w:r>
    </w:p>
    <w:p w14:paraId="73676B14" w14:textId="77777777" w:rsidR="00DE0FAF" w:rsidRPr="00DE0FAF" w:rsidRDefault="00DE0FAF" w:rsidP="00DE0FAF">
      <w:pPr>
        <w:spacing w:line="360" w:lineRule="auto"/>
        <w:rPr>
          <w:rFonts w:ascii="Arial" w:hAnsi="Arial" w:cs="Arial"/>
        </w:rPr>
      </w:pPr>
    </w:p>
    <w:p w14:paraId="6183C717" w14:textId="77777777" w:rsidR="00DE0FAF" w:rsidRPr="00DE0FAF" w:rsidRDefault="00DE0FAF" w:rsidP="00DE0FAF">
      <w:pPr>
        <w:spacing w:line="360" w:lineRule="auto"/>
        <w:rPr>
          <w:rFonts w:ascii="Arial" w:hAnsi="Arial" w:cs="Arial"/>
        </w:rPr>
      </w:pPr>
      <w:r w:rsidRPr="00DE0FAF">
        <w:rPr>
          <w:rFonts w:ascii="Arial" w:hAnsi="Arial" w:cs="Arial"/>
        </w:rPr>
        <w:t>NHS England (2014) Evidence and research: Training, Information, Support (TIS) for clinical and non-clinical decision-making. Available at: https://www.england.nhs.uk/tis/wp-content/uploads/sites/17/2014/09/tis-evidence-wrkshp-caroline-de-brun.pdf (Accessed: 28 November 2025).</w:t>
      </w:r>
    </w:p>
    <w:p w14:paraId="17799BB1" w14:textId="77777777" w:rsidR="00DE0FAF" w:rsidRPr="00DE0FAF" w:rsidRDefault="00DE0FAF" w:rsidP="00DE0FAF">
      <w:pPr>
        <w:spacing w:line="360" w:lineRule="auto"/>
        <w:rPr>
          <w:rFonts w:ascii="Arial" w:hAnsi="Arial" w:cs="Arial"/>
        </w:rPr>
      </w:pPr>
    </w:p>
    <w:p w14:paraId="2F56A314" w14:textId="77777777" w:rsidR="00DE0FAF" w:rsidRPr="00DE0FAF" w:rsidRDefault="00DE0FAF" w:rsidP="00DE0FAF">
      <w:pPr>
        <w:spacing w:line="360" w:lineRule="auto"/>
        <w:rPr>
          <w:rFonts w:ascii="Arial" w:hAnsi="Arial" w:cs="Arial"/>
        </w:rPr>
      </w:pPr>
      <w:r w:rsidRPr="00DE0FAF">
        <w:rPr>
          <w:rFonts w:ascii="Arial" w:hAnsi="Arial" w:cs="Arial"/>
        </w:rPr>
        <w:t>NICE (National Institute for Health and Care Excellence) (2016) Coexisting severe mental illness and substance misuse: community health and social care services (NG58). Available at: https://www.nice.org.uk/guidance/ng58 (Accessed: 28 November 2025).</w:t>
      </w:r>
    </w:p>
    <w:p w14:paraId="29BAFE93" w14:textId="77777777" w:rsidR="00DE0FAF" w:rsidRPr="00DE0FAF" w:rsidRDefault="00DE0FAF" w:rsidP="00DE0FAF">
      <w:pPr>
        <w:spacing w:line="360" w:lineRule="auto"/>
        <w:rPr>
          <w:rFonts w:ascii="Arial" w:hAnsi="Arial" w:cs="Arial"/>
        </w:rPr>
      </w:pPr>
    </w:p>
    <w:p w14:paraId="05C50BBF" w14:textId="77777777" w:rsidR="00DE0FAF" w:rsidRPr="00DE0FAF" w:rsidRDefault="00DE0FAF" w:rsidP="00DE0FAF">
      <w:pPr>
        <w:spacing w:line="360" w:lineRule="auto"/>
        <w:rPr>
          <w:rFonts w:ascii="Arial" w:hAnsi="Arial" w:cs="Arial"/>
        </w:rPr>
      </w:pPr>
      <w:r w:rsidRPr="00DE0FAF">
        <w:rPr>
          <w:rFonts w:ascii="Arial" w:hAnsi="Arial" w:cs="Arial"/>
        </w:rPr>
        <w:t>Page, M.J., et al. (2021) 'The PRISMA 2020 statement: an updated guideline for reporting systematic reviews', British Medical Journal, 372: n71. Available at: https://www.prisma-statement.org/ (Accessed: 28 November 2025).</w:t>
      </w:r>
    </w:p>
    <w:p w14:paraId="736056A8" w14:textId="77777777" w:rsidR="00DE0FAF" w:rsidRPr="00DE0FAF" w:rsidRDefault="00DE0FAF" w:rsidP="00DE0FAF">
      <w:pPr>
        <w:spacing w:line="360" w:lineRule="auto"/>
        <w:rPr>
          <w:rFonts w:ascii="Arial" w:hAnsi="Arial" w:cs="Arial"/>
        </w:rPr>
      </w:pPr>
    </w:p>
    <w:p w14:paraId="51E954AE" w14:textId="77777777" w:rsidR="00DE0FAF" w:rsidRPr="00DE0FAF" w:rsidRDefault="00DE0FAF" w:rsidP="00DE0FAF">
      <w:pPr>
        <w:spacing w:line="360" w:lineRule="auto"/>
        <w:rPr>
          <w:rFonts w:ascii="Arial" w:hAnsi="Arial" w:cs="Arial"/>
        </w:rPr>
      </w:pPr>
      <w:r w:rsidRPr="00DE0FAF">
        <w:rPr>
          <w:rFonts w:ascii="Arial" w:hAnsi="Arial" w:cs="Arial"/>
        </w:rPr>
        <w:t>Public Health England (2016) Better care for people with co-occurring mental health and alcohol/drug use conditions. Available at: https://assets.publishing.service.gov.uk/media/5a75b781ed915d6faf2b5276/Co-occurring_mental_health_and_alcohol_drug_use_conditions.pdf (Accessed: 28 November 2025).</w:t>
      </w:r>
    </w:p>
    <w:p w14:paraId="7F627564" w14:textId="77777777" w:rsidR="00DE0FAF" w:rsidRPr="00DE0FAF" w:rsidRDefault="00DE0FAF" w:rsidP="00DE0FAF">
      <w:pPr>
        <w:spacing w:line="360" w:lineRule="auto"/>
        <w:rPr>
          <w:rFonts w:ascii="Arial" w:hAnsi="Arial" w:cs="Arial"/>
        </w:rPr>
      </w:pPr>
    </w:p>
    <w:p w14:paraId="7F3E89E4" w14:textId="77777777" w:rsidR="00DE0FAF" w:rsidRPr="00DE0FAF" w:rsidRDefault="00DE0FAF" w:rsidP="00DE0FAF">
      <w:pPr>
        <w:spacing w:line="360" w:lineRule="auto"/>
        <w:rPr>
          <w:rFonts w:ascii="Arial" w:hAnsi="Arial" w:cs="Arial"/>
        </w:rPr>
      </w:pPr>
      <w:r w:rsidRPr="00DE0FAF">
        <w:rPr>
          <w:rFonts w:ascii="Arial" w:hAnsi="Arial" w:cs="Arial"/>
        </w:rPr>
        <w:t>Public Health England (2019) Co-occurring conditions and needs assessment. Available at: https://cambridgeshireinsight.org.uk/mentalhealthneedsassessment/ (Accessed: 28 November 2025).</w:t>
      </w:r>
    </w:p>
    <w:p w14:paraId="1D3CE6BE" w14:textId="77777777" w:rsidR="00DE0FAF" w:rsidRPr="00DE0FAF" w:rsidRDefault="00DE0FAF" w:rsidP="00DE0FAF">
      <w:pPr>
        <w:spacing w:line="360" w:lineRule="auto"/>
        <w:rPr>
          <w:rFonts w:ascii="Arial" w:hAnsi="Arial" w:cs="Arial"/>
        </w:rPr>
      </w:pPr>
    </w:p>
    <w:p w14:paraId="446CC4B1" w14:textId="77777777" w:rsidR="00DE0FAF" w:rsidRPr="00DE0FAF" w:rsidRDefault="00DE0FAF" w:rsidP="00DE0FAF">
      <w:pPr>
        <w:spacing w:line="360" w:lineRule="auto"/>
        <w:rPr>
          <w:rFonts w:ascii="Arial" w:hAnsi="Arial" w:cs="Arial"/>
        </w:rPr>
      </w:pPr>
      <w:r w:rsidRPr="00DE0FAF">
        <w:rPr>
          <w:rFonts w:ascii="Arial" w:hAnsi="Arial" w:cs="Arial"/>
        </w:rPr>
        <w:t>Savage, A., et al. (2022) 'Integrated care for dual diagnosis', Lancet Psychiatry, 9(1), pp. 44–56.</w:t>
      </w:r>
    </w:p>
    <w:p w14:paraId="1BC28096" w14:textId="77777777" w:rsidR="00DE0FAF" w:rsidRPr="00DE0FAF" w:rsidRDefault="00DE0FAF" w:rsidP="00DE0FAF">
      <w:pPr>
        <w:spacing w:line="360" w:lineRule="auto"/>
        <w:rPr>
          <w:rFonts w:ascii="Arial" w:hAnsi="Arial" w:cs="Arial"/>
        </w:rPr>
      </w:pPr>
    </w:p>
    <w:p w14:paraId="4DBA0F2F" w14:textId="0FCBBC82" w:rsidR="00CC7C02" w:rsidRPr="004B5175" w:rsidRDefault="00DE0FAF" w:rsidP="004B5175">
      <w:pPr>
        <w:spacing w:line="360" w:lineRule="auto"/>
        <w:rPr>
          <w:rFonts w:ascii="Arial" w:hAnsi="Arial" w:cs="Arial"/>
        </w:rPr>
      </w:pPr>
      <w:proofErr w:type="spellStart"/>
      <w:r w:rsidRPr="00DE0FAF">
        <w:rPr>
          <w:rFonts w:ascii="Arial" w:hAnsi="Arial" w:cs="Arial"/>
        </w:rPr>
        <w:t>TeamGantt</w:t>
      </w:r>
      <w:proofErr w:type="spellEnd"/>
      <w:r w:rsidRPr="00DE0FAF">
        <w:rPr>
          <w:rFonts w:ascii="Arial" w:hAnsi="Arial" w:cs="Arial"/>
        </w:rPr>
        <w:t xml:space="preserve"> (2025) What is a Gantt </w:t>
      </w:r>
      <w:proofErr w:type="gramStart"/>
      <w:r w:rsidRPr="00DE0FAF">
        <w:rPr>
          <w:rFonts w:ascii="Arial" w:hAnsi="Arial" w:cs="Arial"/>
        </w:rPr>
        <w:t>Chart?.</w:t>
      </w:r>
      <w:proofErr w:type="gramEnd"/>
      <w:r w:rsidRPr="00DE0FAF">
        <w:rPr>
          <w:rFonts w:ascii="Arial" w:hAnsi="Arial" w:cs="Arial"/>
        </w:rPr>
        <w:t xml:space="preserve"> Available at: https://www.teamgantt.com/what-is-a-gantt-chart (Accessed: 28 November 2025).</w:t>
      </w:r>
    </w:p>
    <w:sectPr w:rsidR="00CC7C02" w:rsidRPr="004B517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ED7586" w14:textId="77777777" w:rsidR="00E11A0F" w:rsidRDefault="00E11A0F" w:rsidP="000E38CA">
      <w:pPr>
        <w:spacing w:after="0" w:line="240" w:lineRule="auto"/>
      </w:pPr>
      <w:r>
        <w:separator/>
      </w:r>
    </w:p>
  </w:endnote>
  <w:endnote w:type="continuationSeparator" w:id="0">
    <w:p w14:paraId="6CE1F0AD" w14:textId="77777777" w:rsidR="00E11A0F" w:rsidRDefault="00E11A0F" w:rsidP="000E38CA">
      <w:pPr>
        <w:spacing w:after="0" w:line="240" w:lineRule="auto"/>
      </w:pPr>
      <w:r>
        <w:continuationSeparator/>
      </w:r>
    </w:p>
  </w:endnote>
  <w:endnote w:type="continuationNotice" w:id="1">
    <w:p w14:paraId="1686E07B" w14:textId="77777777" w:rsidR="00E11A0F" w:rsidRDefault="00E11A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Display">
    <w:altName w:val="Calibri"/>
    <w:panose1 w:val="00000000000000000000"/>
    <w:charset w:val="00"/>
    <w:family w:val="roman"/>
    <w:notTrueType/>
    <w:pitch w:val="default"/>
  </w:font>
  <w:font w:name="DengXian Light">
    <w:altName w:val="等线 Light"/>
    <w:panose1 w:val="00000000000000000000"/>
    <w:charset w:val="86"/>
    <w:family w:val="roman"/>
    <w:notTrueType/>
    <w:pitch w:val="default"/>
  </w:font>
  <w:font w:name="Seaford Display">
    <w:charset w:val="00"/>
    <w:family w:val="auto"/>
    <w:pitch w:val="variable"/>
    <w:sig w:usb0="80000003" w:usb1="00000001" w:usb2="00000000" w:usb3="00000000" w:csb0="00000001" w:csb1="00000000"/>
  </w:font>
  <w:font w:name="+mj-ea">
    <w:panose1 w:val="00000000000000000000"/>
    <w:charset w:val="00"/>
    <w:family w:val="roman"/>
    <w:notTrueType/>
    <w:pitch w:val="default"/>
  </w:font>
  <w:font w:name="+mj-cs">
    <w:panose1 w:val="00000000000000000000"/>
    <w:charset w:val="00"/>
    <w:family w:val="roman"/>
    <w:notTrueType/>
    <w:pitch w:val="default"/>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1756445"/>
      <w:docPartObj>
        <w:docPartGallery w:val="Page Numbers (Bottom of Page)"/>
        <w:docPartUnique/>
      </w:docPartObj>
    </w:sdtPr>
    <w:sdtEndPr>
      <w:rPr>
        <w:color w:val="7F7F7F"/>
        <w:spacing w:val="60"/>
      </w:rPr>
    </w:sdtEndPr>
    <w:sdtContent>
      <w:p w14:paraId="634EC29A" w14:textId="6C0F9A7B" w:rsidR="00171ED6" w:rsidRDefault="00171ED6" w:rsidP="009508F9">
        <w:pPr>
          <w:pStyle w:val="Footer"/>
          <w:pBdr>
            <w:top w:val="single" w:sz="4" w:space="1" w:color="D9D9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sidRPr="009508F9">
          <w:rPr>
            <w:color w:val="7F7F7F"/>
            <w:spacing w:val="60"/>
          </w:rPr>
          <w:t>Page</w:t>
        </w:r>
      </w:p>
    </w:sdtContent>
  </w:sdt>
  <w:p w14:paraId="33CE646C" w14:textId="77777777" w:rsidR="00171ED6" w:rsidRDefault="00171E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95993A" w14:textId="77777777" w:rsidR="00E11A0F" w:rsidRDefault="00E11A0F" w:rsidP="000E38CA">
      <w:pPr>
        <w:spacing w:after="0" w:line="240" w:lineRule="auto"/>
      </w:pPr>
      <w:r>
        <w:separator/>
      </w:r>
    </w:p>
  </w:footnote>
  <w:footnote w:type="continuationSeparator" w:id="0">
    <w:p w14:paraId="5B7E4D14" w14:textId="77777777" w:rsidR="00E11A0F" w:rsidRDefault="00E11A0F" w:rsidP="000E38CA">
      <w:pPr>
        <w:spacing w:after="0" w:line="240" w:lineRule="auto"/>
      </w:pPr>
      <w:r>
        <w:continuationSeparator/>
      </w:r>
    </w:p>
  </w:footnote>
  <w:footnote w:type="continuationNotice" w:id="1">
    <w:p w14:paraId="56E30FBD" w14:textId="77777777" w:rsidR="00E11A0F" w:rsidRDefault="00E11A0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35BF7"/>
    <w:multiLevelType w:val="hybridMultilevel"/>
    <w:tmpl w:val="9DD0CDB2"/>
    <w:lvl w:ilvl="0" w:tplc="AB6CD91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257996"/>
    <w:multiLevelType w:val="hybridMultilevel"/>
    <w:tmpl w:val="779284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464DE6"/>
    <w:multiLevelType w:val="hybridMultilevel"/>
    <w:tmpl w:val="EC46E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050495"/>
    <w:multiLevelType w:val="hybridMultilevel"/>
    <w:tmpl w:val="DD1279B0"/>
    <w:lvl w:ilvl="0" w:tplc="5322A0A6">
      <w:start w:val="1"/>
      <w:numFmt w:val="bullet"/>
      <w:lvlText w:val="•"/>
      <w:lvlJc w:val="left"/>
      <w:pPr>
        <w:ind w:left="720" w:hanging="360"/>
      </w:pPr>
      <w:rPr>
        <w:rFonts w:ascii="Wingdings" w:eastAsia="Times New Roman" w:hAnsi="Wingdings"/>
        <w:b w:val="0"/>
        <w:i w:val="0"/>
        <w:strike w:val="0"/>
        <w:dstrike w:val="0"/>
        <w:color w:val="000000"/>
        <w:sz w:val="22"/>
        <w:u w:val="none" w:color="000000"/>
        <w:vertAlign w:val="baseline"/>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9E79BF"/>
    <w:multiLevelType w:val="hybridMultilevel"/>
    <w:tmpl w:val="BE74E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8F096B"/>
    <w:multiLevelType w:val="hybridMultilevel"/>
    <w:tmpl w:val="318E8C8A"/>
    <w:lvl w:ilvl="0" w:tplc="B50E7EA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CB65DB"/>
    <w:multiLevelType w:val="hybridMultilevel"/>
    <w:tmpl w:val="C2CA4F92"/>
    <w:lvl w:ilvl="0" w:tplc="17FA1430">
      <w:start w:val="1"/>
      <w:numFmt w:val="bullet"/>
      <w:lvlText w:val="•"/>
      <w:lvlJc w:val="left"/>
      <w:pPr>
        <w:tabs>
          <w:tab w:val="num" w:pos="720"/>
        </w:tabs>
        <w:ind w:left="720" w:hanging="360"/>
      </w:pPr>
      <w:rPr>
        <w:rFonts w:ascii="Arial" w:hAnsi="Arial" w:hint="default"/>
      </w:rPr>
    </w:lvl>
    <w:lvl w:ilvl="1" w:tplc="DB24887C" w:tentative="1">
      <w:start w:val="1"/>
      <w:numFmt w:val="bullet"/>
      <w:lvlText w:val="•"/>
      <w:lvlJc w:val="left"/>
      <w:pPr>
        <w:tabs>
          <w:tab w:val="num" w:pos="1440"/>
        </w:tabs>
        <w:ind w:left="1440" w:hanging="360"/>
      </w:pPr>
      <w:rPr>
        <w:rFonts w:ascii="Arial" w:hAnsi="Arial" w:hint="default"/>
      </w:rPr>
    </w:lvl>
    <w:lvl w:ilvl="2" w:tplc="89982FF2" w:tentative="1">
      <w:start w:val="1"/>
      <w:numFmt w:val="bullet"/>
      <w:lvlText w:val="•"/>
      <w:lvlJc w:val="left"/>
      <w:pPr>
        <w:tabs>
          <w:tab w:val="num" w:pos="2160"/>
        </w:tabs>
        <w:ind w:left="2160" w:hanging="360"/>
      </w:pPr>
      <w:rPr>
        <w:rFonts w:ascii="Arial" w:hAnsi="Arial" w:hint="default"/>
      </w:rPr>
    </w:lvl>
    <w:lvl w:ilvl="3" w:tplc="C734C006" w:tentative="1">
      <w:start w:val="1"/>
      <w:numFmt w:val="bullet"/>
      <w:lvlText w:val="•"/>
      <w:lvlJc w:val="left"/>
      <w:pPr>
        <w:tabs>
          <w:tab w:val="num" w:pos="2880"/>
        </w:tabs>
        <w:ind w:left="2880" w:hanging="360"/>
      </w:pPr>
      <w:rPr>
        <w:rFonts w:ascii="Arial" w:hAnsi="Arial" w:hint="default"/>
      </w:rPr>
    </w:lvl>
    <w:lvl w:ilvl="4" w:tplc="3F343304" w:tentative="1">
      <w:start w:val="1"/>
      <w:numFmt w:val="bullet"/>
      <w:lvlText w:val="•"/>
      <w:lvlJc w:val="left"/>
      <w:pPr>
        <w:tabs>
          <w:tab w:val="num" w:pos="3600"/>
        </w:tabs>
        <w:ind w:left="3600" w:hanging="360"/>
      </w:pPr>
      <w:rPr>
        <w:rFonts w:ascii="Arial" w:hAnsi="Arial" w:hint="default"/>
      </w:rPr>
    </w:lvl>
    <w:lvl w:ilvl="5" w:tplc="7F66F890" w:tentative="1">
      <w:start w:val="1"/>
      <w:numFmt w:val="bullet"/>
      <w:lvlText w:val="•"/>
      <w:lvlJc w:val="left"/>
      <w:pPr>
        <w:tabs>
          <w:tab w:val="num" w:pos="4320"/>
        </w:tabs>
        <w:ind w:left="4320" w:hanging="360"/>
      </w:pPr>
      <w:rPr>
        <w:rFonts w:ascii="Arial" w:hAnsi="Arial" w:hint="default"/>
      </w:rPr>
    </w:lvl>
    <w:lvl w:ilvl="6" w:tplc="3BD4A136" w:tentative="1">
      <w:start w:val="1"/>
      <w:numFmt w:val="bullet"/>
      <w:lvlText w:val="•"/>
      <w:lvlJc w:val="left"/>
      <w:pPr>
        <w:tabs>
          <w:tab w:val="num" w:pos="5040"/>
        </w:tabs>
        <w:ind w:left="5040" w:hanging="360"/>
      </w:pPr>
      <w:rPr>
        <w:rFonts w:ascii="Arial" w:hAnsi="Arial" w:hint="default"/>
      </w:rPr>
    </w:lvl>
    <w:lvl w:ilvl="7" w:tplc="1FAC5172" w:tentative="1">
      <w:start w:val="1"/>
      <w:numFmt w:val="bullet"/>
      <w:lvlText w:val="•"/>
      <w:lvlJc w:val="left"/>
      <w:pPr>
        <w:tabs>
          <w:tab w:val="num" w:pos="5760"/>
        </w:tabs>
        <w:ind w:left="5760" w:hanging="360"/>
      </w:pPr>
      <w:rPr>
        <w:rFonts w:ascii="Arial" w:hAnsi="Arial" w:hint="default"/>
      </w:rPr>
    </w:lvl>
    <w:lvl w:ilvl="8" w:tplc="E78A168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77D5137"/>
    <w:multiLevelType w:val="hybridMultilevel"/>
    <w:tmpl w:val="CA84B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9171D0"/>
    <w:multiLevelType w:val="hybridMultilevel"/>
    <w:tmpl w:val="03B2FBB4"/>
    <w:lvl w:ilvl="0" w:tplc="F33CC54E">
      <w:start w:val="1"/>
      <w:numFmt w:val="bullet"/>
      <w:lvlText w:val="•"/>
      <w:lvlJc w:val="left"/>
      <w:pPr>
        <w:ind w:left="142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D1E84354">
      <w:start w:val="1"/>
      <w:numFmt w:val="bullet"/>
      <w:lvlText w:val="o"/>
      <w:lvlJc w:val="left"/>
      <w:pPr>
        <w:ind w:left="216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71C4DB24">
      <w:start w:val="1"/>
      <w:numFmt w:val="bullet"/>
      <w:lvlText w:val="▪"/>
      <w:lvlJc w:val="left"/>
      <w:pPr>
        <w:ind w:left="288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99A61412">
      <w:start w:val="1"/>
      <w:numFmt w:val="bullet"/>
      <w:lvlText w:val="•"/>
      <w:lvlJc w:val="left"/>
      <w:pPr>
        <w:ind w:left="360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66C03B70">
      <w:start w:val="1"/>
      <w:numFmt w:val="bullet"/>
      <w:lvlText w:val="o"/>
      <w:lvlJc w:val="left"/>
      <w:pPr>
        <w:ind w:left="432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A120BD4C">
      <w:start w:val="1"/>
      <w:numFmt w:val="bullet"/>
      <w:lvlText w:val="▪"/>
      <w:lvlJc w:val="left"/>
      <w:pPr>
        <w:ind w:left="504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BAC493E6">
      <w:start w:val="1"/>
      <w:numFmt w:val="bullet"/>
      <w:lvlText w:val="•"/>
      <w:lvlJc w:val="left"/>
      <w:pPr>
        <w:ind w:left="5760"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81F868D6">
      <w:start w:val="1"/>
      <w:numFmt w:val="bullet"/>
      <w:lvlText w:val="o"/>
      <w:lvlJc w:val="left"/>
      <w:pPr>
        <w:ind w:left="648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535201CE">
      <w:start w:val="1"/>
      <w:numFmt w:val="bullet"/>
      <w:lvlText w:val="▪"/>
      <w:lvlJc w:val="left"/>
      <w:pPr>
        <w:ind w:left="7200"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9" w15:restartNumberingAfterBreak="0">
    <w:nsid w:val="53082260"/>
    <w:multiLevelType w:val="hybridMultilevel"/>
    <w:tmpl w:val="E5F23A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A383460"/>
    <w:multiLevelType w:val="hybridMultilevel"/>
    <w:tmpl w:val="FDF8CC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04697F"/>
    <w:multiLevelType w:val="hybridMultilevel"/>
    <w:tmpl w:val="ECD65570"/>
    <w:lvl w:ilvl="0" w:tplc="0F90800C">
      <w:start w:val="1"/>
      <w:numFmt w:val="bullet"/>
      <w:lvlText w:val="•"/>
      <w:lvlJc w:val="left"/>
      <w:pPr>
        <w:tabs>
          <w:tab w:val="num" w:pos="720"/>
        </w:tabs>
        <w:ind w:left="720" w:hanging="360"/>
      </w:pPr>
      <w:rPr>
        <w:rFonts w:ascii="Arial" w:hAnsi="Arial" w:hint="default"/>
      </w:rPr>
    </w:lvl>
    <w:lvl w:ilvl="1" w:tplc="DADE31DA" w:tentative="1">
      <w:start w:val="1"/>
      <w:numFmt w:val="bullet"/>
      <w:lvlText w:val="•"/>
      <w:lvlJc w:val="left"/>
      <w:pPr>
        <w:tabs>
          <w:tab w:val="num" w:pos="1440"/>
        </w:tabs>
        <w:ind w:left="1440" w:hanging="360"/>
      </w:pPr>
      <w:rPr>
        <w:rFonts w:ascii="Arial" w:hAnsi="Arial" w:hint="default"/>
      </w:rPr>
    </w:lvl>
    <w:lvl w:ilvl="2" w:tplc="D5162300" w:tentative="1">
      <w:start w:val="1"/>
      <w:numFmt w:val="bullet"/>
      <w:lvlText w:val="•"/>
      <w:lvlJc w:val="left"/>
      <w:pPr>
        <w:tabs>
          <w:tab w:val="num" w:pos="2160"/>
        </w:tabs>
        <w:ind w:left="2160" w:hanging="360"/>
      </w:pPr>
      <w:rPr>
        <w:rFonts w:ascii="Arial" w:hAnsi="Arial" w:hint="default"/>
      </w:rPr>
    </w:lvl>
    <w:lvl w:ilvl="3" w:tplc="1BC827A6" w:tentative="1">
      <w:start w:val="1"/>
      <w:numFmt w:val="bullet"/>
      <w:lvlText w:val="•"/>
      <w:lvlJc w:val="left"/>
      <w:pPr>
        <w:tabs>
          <w:tab w:val="num" w:pos="2880"/>
        </w:tabs>
        <w:ind w:left="2880" w:hanging="360"/>
      </w:pPr>
      <w:rPr>
        <w:rFonts w:ascii="Arial" w:hAnsi="Arial" w:hint="default"/>
      </w:rPr>
    </w:lvl>
    <w:lvl w:ilvl="4" w:tplc="6F50DFC8" w:tentative="1">
      <w:start w:val="1"/>
      <w:numFmt w:val="bullet"/>
      <w:lvlText w:val="•"/>
      <w:lvlJc w:val="left"/>
      <w:pPr>
        <w:tabs>
          <w:tab w:val="num" w:pos="3600"/>
        </w:tabs>
        <w:ind w:left="3600" w:hanging="360"/>
      </w:pPr>
      <w:rPr>
        <w:rFonts w:ascii="Arial" w:hAnsi="Arial" w:hint="default"/>
      </w:rPr>
    </w:lvl>
    <w:lvl w:ilvl="5" w:tplc="89DAE890" w:tentative="1">
      <w:start w:val="1"/>
      <w:numFmt w:val="bullet"/>
      <w:lvlText w:val="•"/>
      <w:lvlJc w:val="left"/>
      <w:pPr>
        <w:tabs>
          <w:tab w:val="num" w:pos="4320"/>
        </w:tabs>
        <w:ind w:left="4320" w:hanging="360"/>
      </w:pPr>
      <w:rPr>
        <w:rFonts w:ascii="Arial" w:hAnsi="Arial" w:hint="default"/>
      </w:rPr>
    </w:lvl>
    <w:lvl w:ilvl="6" w:tplc="62E8C700" w:tentative="1">
      <w:start w:val="1"/>
      <w:numFmt w:val="bullet"/>
      <w:lvlText w:val="•"/>
      <w:lvlJc w:val="left"/>
      <w:pPr>
        <w:tabs>
          <w:tab w:val="num" w:pos="5040"/>
        </w:tabs>
        <w:ind w:left="5040" w:hanging="360"/>
      </w:pPr>
      <w:rPr>
        <w:rFonts w:ascii="Arial" w:hAnsi="Arial" w:hint="default"/>
      </w:rPr>
    </w:lvl>
    <w:lvl w:ilvl="7" w:tplc="C7A20586" w:tentative="1">
      <w:start w:val="1"/>
      <w:numFmt w:val="bullet"/>
      <w:lvlText w:val="•"/>
      <w:lvlJc w:val="left"/>
      <w:pPr>
        <w:tabs>
          <w:tab w:val="num" w:pos="5760"/>
        </w:tabs>
        <w:ind w:left="5760" w:hanging="360"/>
      </w:pPr>
      <w:rPr>
        <w:rFonts w:ascii="Arial" w:hAnsi="Arial" w:hint="default"/>
      </w:rPr>
    </w:lvl>
    <w:lvl w:ilvl="8" w:tplc="20EE8E3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CA80177"/>
    <w:multiLevelType w:val="hybridMultilevel"/>
    <w:tmpl w:val="D11E16C8"/>
    <w:lvl w:ilvl="0" w:tplc="5B96236A">
      <w:start w:val="1"/>
      <w:numFmt w:val="bullet"/>
      <w:lvlText w:val="•"/>
      <w:lvlJc w:val="left"/>
      <w:pPr>
        <w:ind w:left="142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FA8786C">
      <w:start w:val="1"/>
      <w:numFmt w:val="bullet"/>
      <w:lvlText w:val="o"/>
      <w:lvlJc w:val="left"/>
      <w:pPr>
        <w:ind w:left="20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A60CA02">
      <w:start w:val="1"/>
      <w:numFmt w:val="bullet"/>
      <w:lvlText w:val="▪"/>
      <w:lvlJc w:val="left"/>
      <w:pPr>
        <w:ind w:left="27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EBA2596">
      <w:start w:val="1"/>
      <w:numFmt w:val="bullet"/>
      <w:lvlText w:val="•"/>
      <w:lvlJc w:val="left"/>
      <w:pPr>
        <w:ind w:left="35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050C4FE">
      <w:start w:val="1"/>
      <w:numFmt w:val="bullet"/>
      <w:lvlText w:val="o"/>
      <w:lvlJc w:val="left"/>
      <w:pPr>
        <w:ind w:left="42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C010C31C">
      <w:start w:val="1"/>
      <w:numFmt w:val="bullet"/>
      <w:lvlText w:val="▪"/>
      <w:lvlJc w:val="left"/>
      <w:pPr>
        <w:ind w:left="49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5524330">
      <w:start w:val="1"/>
      <w:numFmt w:val="bullet"/>
      <w:lvlText w:val="•"/>
      <w:lvlJc w:val="left"/>
      <w:pPr>
        <w:ind w:left="566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C9C1300">
      <w:start w:val="1"/>
      <w:numFmt w:val="bullet"/>
      <w:lvlText w:val="o"/>
      <w:lvlJc w:val="left"/>
      <w:pPr>
        <w:ind w:left="63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B18E78E">
      <w:start w:val="1"/>
      <w:numFmt w:val="bullet"/>
      <w:lvlText w:val="▪"/>
      <w:lvlJc w:val="left"/>
      <w:pPr>
        <w:ind w:left="71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226184794">
    <w:abstractNumId w:val="1"/>
  </w:num>
  <w:num w:numId="2" w16cid:durableId="1595896688">
    <w:abstractNumId w:val="6"/>
  </w:num>
  <w:num w:numId="3" w16cid:durableId="245313231">
    <w:abstractNumId w:val="11"/>
  </w:num>
  <w:num w:numId="4" w16cid:durableId="968827020">
    <w:abstractNumId w:val="5"/>
  </w:num>
  <w:num w:numId="5" w16cid:durableId="1740976519">
    <w:abstractNumId w:val="0"/>
  </w:num>
  <w:num w:numId="6" w16cid:durableId="233246640">
    <w:abstractNumId w:val="2"/>
  </w:num>
  <w:num w:numId="7" w16cid:durableId="1860240332">
    <w:abstractNumId w:val="9"/>
  </w:num>
  <w:num w:numId="8" w16cid:durableId="1561557515">
    <w:abstractNumId w:val="12"/>
  </w:num>
  <w:num w:numId="9" w16cid:durableId="1721054679">
    <w:abstractNumId w:val="3"/>
  </w:num>
  <w:num w:numId="10" w16cid:durableId="1134561790">
    <w:abstractNumId w:val="8"/>
  </w:num>
  <w:num w:numId="11" w16cid:durableId="762461397">
    <w:abstractNumId w:val="10"/>
  </w:num>
  <w:num w:numId="12" w16cid:durableId="1390109063">
    <w:abstractNumId w:val="7"/>
  </w:num>
  <w:num w:numId="13" w16cid:durableId="5299944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102"/>
    <w:rsid w:val="00001B6F"/>
    <w:rsid w:val="0000226E"/>
    <w:rsid w:val="00002C6F"/>
    <w:rsid w:val="00003161"/>
    <w:rsid w:val="00003268"/>
    <w:rsid w:val="000035E6"/>
    <w:rsid w:val="000038BC"/>
    <w:rsid w:val="00004F08"/>
    <w:rsid w:val="00005112"/>
    <w:rsid w:val="00007A3A"/>
    <w:rsid w:val="00011FBC"/>
    <w:rsid w:val="000133DB"/>
    <w:rsid w:val="00014797"/>
    <w:rsid w:val="000150DE"/>
    <w:rsid w:val="00015BCA"/>
    <w:rsid w:val="00015DE5"/>
    <w:rsid w:val="00016A4E"/>
    <w:rsid w:val="00020155"/>
    <w:rsid w:val="00020697"/>
    <w:rsid w:val="00020DA9"/>
    <w:rsid w:val="000224B7"/>
    <w:rsid w:val="00026389"/>
    <w:rsid w:val="00026FDB"/>
    <w:rsid w:val="00030307"/>
    <w:rsid w:val="0003100E"/>
    <w:rsid w:val="0003325D"/>
    <w:rsid w:val="00034F1D"/>
    <w:rsid w:val="00034F56"/>
    <w:rsid w:val="00035B35"/>
    <w:rsid w:val="0003740E"/>
    <w:rsid w:val="0004140F"/>
    <w:rsid w:val="000415C7"/>
    <w:rsid w:val="00047663"/>
    <w:rsid w:val="000477CC"/>
    <w:rsid w:val="00047B87"/>
    <w:rsid w:val="00050E38"/>
    <w:rsid w:val="00054775"/>
    <w:rsid w:val="00057B96"/>
    <w:rsid w:val="000603EE"/>
    <w:rsid w:val="0006271B"/>
    <w:rsid w:val="00062D5F"/>
    <w:rsid w:val="00062E84"/>
    <w:rsid w:val="0006333E"/>
    <w:rsid w:val="00063D85"/>
    <w:rsid w:val="00067D16"/>
    <w:rsid w:val="00067D7E"/>
    <w:rsid w:val="00067E0A"/>
    <w:rsid w:val="0007072A"/>
    <w:rsid w:val="0007260A"/>
    <w:rsid w:val="00072C95"/>
    <w:rsid w:val="00073030"/>
    <w:rsid w:val="00073CB2"/>
    <w:rsid w:val="00074DFB"/>
    <w:rsid w:val="0007550B"/>
    <w:rsid w:val="00077164"/>
    <w:rsid w:val="000805BB"/>
    <w:rsid w:val="0008257C"/>
    <w:rsid w:val="00082A91"/>
    <w:rsid w:val="000835DC"/>
    <w:rsid w:val="0008750A"/>
    <w:rsid w:val="00090702"/>
    <w:rsid w:val="00090FBB"/>
    <w:rsid w:val="0009395D"/>
    <w:rsid w:val="00093C36"/>
    <w:rsid w:val="0009661C"/>
    <w:rsid w:val="00097952"/>
    <w:rsid w:val="000A0132"/>
    <w:rsid w:val="000A08A5"/>
    <w:rsid w:val="000A4209"/>
    <w:rsid w:val="000A4BA3"/>
    <w:rsid w:val="000A6D09"/>
    <w:rsid w:val="000B0CA5"/>
    <w:rsid w:val="000B299F"/>
    <w:rsid w:val="000B2F0A"/>
    <w:rsid w:val="000B38F8"/>
    <w:rsid w:val="000B4633"/>
    <w:rsid w:val="000B4B92"/>
    <w:rsid w:val="000C164E"/>
    <w:rsid w:val="000C1996"/>
    <w:rsid w:val="000C1BFF"/>
    <w:rsid w:val="000C40EB"/>
    <w:rsid w:val="000C4DDB"/>
    <w:rsid w:val="000C77D4"/>
    <w:rsid w:val="000D00A2"/>
    <w:rsid w:val="000D04D6"/>
    <w:rsid w:val="000D3F79"/>
    <w:rsid w:val="000D4B9A"/>
    <w:rsid w:val="000D5615"/>
    <w:rsid w:val="000D576A"/>
    <w:rsid w:val="000D6CE3"/>
    <w:rsid w:val="000E387C"/>
    <w:rsid w:val="000E38CA"/>
    <w:rsid w:val="000E6657"/>
    <w:rsid w:val="000F060E"/>
    <w:rsid w:val="000F2C3F"/>
    <w:rsid w:val="000F4EC0"/>
    <w:rsid w:val="000F51FF"/>
    <w:rsid w:val="000F5BA2"/>
    <w:rsid w:val="000F5DDF"/>
    <w:rsid w:val="000F6C8B"/>
    <w:rsid w:val="00100DFD"/>
    <w:rsid w:val="001048CC"/>
    <w:rsid w:val="00105502"/>
    <w:rsid w:val="00114432"/>
    <w:rsid w:val="00115C69"/>
    <w:rsid w:val="00120D2B"/>
    <w:rsid w:val="00122C4B"/>
    <w:rsid w:val="0012335D"/>
    <w:rsid w:val="001237F5"/>
    <w:rsid w:val="00123BC5"/>
    <w:rsid w:val="00124461"/>
    <w:rsid w:val="001244CF"/>
    <w:rsid w:val="00125CAC"/>
    <w:rsid w:val="00126D75"/>
    <w:rsid w:val="0012735C"/>
    <w:rsid w:val="00132924"/>
    <w:rsid w:val="00135B97"/>
    <w:rsid w:val="00135F80"/>
    <w:rsid w:val="00137511"/>
    <w:rsid w:val="00140C5C"/>
    <w:rsid w:val="00142587"/>
    <w:rsid w:val="00142839"/>
    <w:rsid w:val="00143787"/>
    <w:rsid w:val="00144DBB"/>
    <w:rsid w:val="001455DC"/>
    <w:rsid w:val="00146E51"/>
    <w:rsid w:val="00147352"/>
    <w:rsid w:val="0015147F"/>
    <w:rsid w:val="0015504D"/>
    <w:rsid w:val="00157376"/>
    <w:rsid w:val="001575FA"/>
    <w:rsid w:val="00160297"/>
    <w:rsid w:val="00160B87"/>
    <w:rsid w:val="00162126"/>
    <w:rsid w:val="00162E2F"/>
    <w:rsid w:val="001662D2"/>
    <w:rsid w:val="0017100B"/>
    <w:rsid w:val="00171A10"/>
    <w:rsid w:val="00171ED6"/>
    <w:rsid w:val="001721E5"/>
    <w:rsid w:val="001748BD"/>
    <w:rsid w:val="00176C2B"/>
    <w:rsid w:val="0017787A"/>
    <w:rsid w:val="00180744"/>
    <w:rsid w:val="001813C0"/>
    <w:rsid w:val="0018143B"/>
    <w:rsid w:val="001820D1"/>
    <w:rsid w:val="00182207"/>
    <w:rsid w:val="00184002"/>
    <w:rsid w:val="00184F34"/>
    <w:rsid w:val="00186AC2"/>
    <w:rsid w:val="00191290"/>
    <w:rsid w:val="001920F8"/>
    <w:rsid w:val="001971E6"/>
    <w:rsid w:val="00197F78"/>
    <w:rsid w:val="001A0AE0"/>
    <w:rsid w:val="001A3E0C"/>
    <w:rsid w:val="001B3E26"/>
    <w:rsid w:val="001B4435"/>
    <w:rsid w:val="001B7459"/>
    <w:rsid w:val="001B79CE"/>
    <w:rsid w:val="001B7C9A"/>
    <w:rsid w:val="001C0FBA"/>
    <w:rsid w:val="001C117A"/>
    <w:rsid w:val="001C401D"/>
    <w:rsid w:val="001C4812"/>
    <w:rsid w:val="001C6A49"/>
    <w:rsid w:val="001D19BF"/>
    <w:rsid w:val="001D6AFC"/>
    <w:rsid w:val="001D7C5E"/>
    <w:rsid w:val="001E12E3"/>
    <w:rsid w:val="001E1734"/>
    <w:rsid w:val="001E1ACD"/>
    <w:rsid w:val="001E2459"/>
    <w:rsid w:val="001E5B58"/>
    <w:rsid w:val="001E5E08"/>
    <w:rsid w:val="001E6A06"/>
    <w:rsid w:val="001F0194"/>
    <w:rsid w:val="001F040D"/>
    <w:rsid w:val="001F20F2"/>
    <w:rsid w:val="001F21D3"/>
    <w:rsid w:val="001F22BB"/>
    <w:rsid w:val="001F474F"/>
    <w:rsid w:val="001F5D84"/>
    <w:rsid w:val="001F5E74"/>
    <w:rsid w:val="001F78A5"/>
    <w:rsid w:val="002004B7"/>
    <w:rsid w:val="00204545"/>
    <w:rsid w:val="002065FB"/>
    <w:rsid w:val="002075C9"/>
    <w:rsid w:val="00212CD6"/>
    <w:rsid w:val="00216DA1"/>
    <w:rsid w:val="002203A2"/>
    <w:rsid w:val="0022087D"/>
    <w:rsid w:val="0022169E"/>
    <w:rsid w:val="00226D58"/>
    <w:rsid w:val="00227C55"/>
    <w:rsid w:val="00230856"/>
    <w:rsid w:val="00230DF7"/>
    <w:rsid w:val="00230F8E"/>
    <w:rsid w:val="00231FBE"/>
    <w:rsid w:val="00232311"/>
    <w:rsid w:val="00236FB3"/>
    <w:rsid w:val="00236FEF"/>
    <w:rsid w:val="002373A0"/>
    <w:rsid w:val="002403D4"/>
    <w:rsid w:val="0024130C"/>
    <w:rsid w:val="00243D7E"/>
    <w:rsid w:val="0024528B"/>
    <w:rsid w:val="0024578E"/>
    <w:rsid w:val="002525AD"/>
    <w:rsid w:val="002530CB"/>
    <w:rsid w:val="00253D84"/>
    <w:rsid w:val="002549C2"/>
    <w:rsid w:val="00254DD6"/>
    <w:rsid w:val="00256B07"/>
    <w:rsid w:val="00261162"/>
    <w:rsid w:val="0026148A"/>
    <w:rsid w:val="00261F13"/>
    <w:rsid w:val="002643E8"/>
    <w:rsid w:val="00265CA8"/>
    <w:rsid w:val="002662BC"/>
    <w:rsid w:val="00266BA2"/>
    <w:rsid w:val="002674EA"/>
    <w:rsid w:val="002702DD"/>
    <w:rsid w:val="00270764"/>
    <w:rsid w:val="002729F0"/>
    <w:rsid w:val="002738A0"/>
    <w:rsid w:val="00274972"/>
    <w:rsid w:val="00274B1A"/>
    <w:rsid w:val="00276144"/>
    <w:rsid w:val="0027754D"/>
    <w:rsid w:val="00277989"/>
    <w:rsid w:val="00277E93"/>
    <w:rsid w:val="00280859"/>
    <w:rsid w:val="002813CF"/>
    <w:rsid w:val="00283809"/>
    <w:rsid w:val="002851AC"/>
    <w:rsid w:val="00285C4B"/>
    <w:rsid w:val="002876FF"/>
    <w:rsid w:val="002901BC"/>
    <w:rsid w:val="002924E6"/>
    <w:rsid w:val="00292549"/>
    <w:rsid w:val="002A12BB"/>
    <w:rsid w:val="002A1663"/>
    <w:rsid w:val="002A1F3B"/>
    <w:rsid w:val="002A2BA7"/>
    <w:rsid w:val="002A31FD"/>
    <w:rsid w:val="002A3BA1"/>
    <w:rsid w:val="002A3D87"/>
    <w:rsid w:val="002A3DF2"/>
    <w:rsid w:val="002A4AF3"/>
    <w:rsid w:val="002A4E5C"/>
    <w:rsid w:val="002A518B"/>
    <w:rsid w:val="002A600E"/>
    <w:rsid w:val="002A616C"/>
    <w:rsid w:val="002A7499"/>
    <w:rsid w:val="002A78D6"/>
    <w:rsid w:val="002B01F1"/>
    <w:rsid w:val="002B04D0"/>
    <w:rsid w:val="002B2FB7"/>
    <w:rsid w:val="002B3D11"/>
    <w:rsid w:val="002B44A5"/>
    <w:rsid w:val="002B44E4"/>
    <w:rsid w:val="002B4840"/>
    <w:rsid w:val="002B48C0"/>
    <w:rsid w:val="002B53DA"/>
    <w:rsid w:val="002B6EA7"/>
    <w:rsid w:val="002B75ED"/>
    <w:rsid w:val="002B7A6D"/>
    <w:rsid w:val="002C4FF1"/>
    <w:rsid w:val="002C549F"/>
    <w:rsid w:val="002C70AC"/>
    <w:rsid w:val="002D1FFA"/>
    <w:rsid w:val="002D2BB4"/>
    <w:rsid w:val="002D3F9E"/>
    <w:rsid w:val="002D549F"/>
    <w:rsid w:val="002D62DF"/>
    <w:rsid w:val="002D6C80"/>
    <w:rsid w:val="002E2358"/>
    <w:rsid w:val="002E2432"/>
    <w:rsid w:val="002E30F0"/>
    <w:rsid w:val="002E40D0"/>
    <w:rsid w:val="002E5DC9"/>
    <w:rsid w:val="002E6606"/>
    <w:rsid w:val="002E715E"/>
    <w:rsid w:val="002F0092"/>
    <w:rsid w:val="002F140D"/>
    <w:rsid w:val="002F18AE"/>
    <w:rsid w:val="002F4FEA"/>
    <w:rsid w:val="002F5CEE"/>
    <w:rsid w:val="002F5D39"/>
    <w:rsid w:val="002F635B"/>
    <w:rsid w:val="002F6A20"/>
    <w:rsid w:val="002F74DB"/>
    <w:rsid w:val="00300AC1"/>
    <w:rsid w:val="0030154B"/>
    <w:rsid w:val="0030207F"/>
    <w:rsid w:val="00303406"/>
    <w:rsid w:val="003041F2"/>
    <w:rsid w:val="00304F47"/>
    <w:rsid w:val="003052B6"/>
    <w:rsid w:val="00306A66"/>
    <w:rsid w:val="003074C8"/>
    <w:rsid w:val="0031035B"/>
    <w:rsid w:val="0031036D"/>
    <w:rsid w:val="003123AA"/>
    <w:rsid w:val="00312A01"/>
    <w:rsid w:val="0031429B"/>
    <w:rsid w:val="00316011"/>
    <w:rsid w:val="00316AFB"/>
    <w:rsid w:val="00322DC0"/>
    <w:rsid w:val="00323C58"/>
    <w:rsid w:val="00324BAB"/>
    <w:rsid w:val="00325E05"/>
    <w:rsid w:val="003265DF"/>
    <w:rsid w:val="00326D34"/>
    <w:rsid w:val="00330190"/>
    <w:rsid w:val="00331BA1"/>
    <w:rsid w:val="003345A7"/>
    <w:rsid w:val="0033720A"/>
    <w:rsid w:val="003374E4"/>
    <w:rsid w:val="00337692"/>
    <w:rsid w:val="003379CD"/>
    <w:rsid w:val="00337A30"/>
    <w:rsid w:val="0034148A"/>
    <w:rsid w:val="00341700"/>
    <w:rsid w:val="0034196A"/>
    <w:rsid w:val="00341B0E"/>
    <w:rsid w:val="00342019"/>
    <w:rsid w:val="003434AE"/>
    <w:rsid w:val="00343B3B"/>
    <w:rsid w:val="00345C62"/>
    <w:rsid w:val="00350879"/>
    <w:rsid w:val="00353233"/>
    <w:rsid w:val="00355B5B"/>
    <w:rsid w:val="00360A9F"/>
    <w:rsid w:val="0036103C"/>
    <w:rsid w:val="003628C1"/>
    <w:rsid w:val="00362E5B"/>
    <w:rsid w:val="00363EB3"/>
    <w:rsid w:val="00364C84"/>
    <w:rsid w:val="0036616A"/>
    <w:rsid w:val="00367768"/>
    <w:rsid w:val="00367FF5"/>
    <w:rsid w:val="00370126"/>
    <w:rsid w:val="00370AF6"/>
    <w:rsid w:val="00372C7F"/>
    <w:rsid w:val="0037303A"/>
    <w:rsid w:val="003732E6"/>
    <w:rsid w:val="00376FBA"/>
    <w:rsid w:val="00377FF0"/>
    <w:rsid w:val="00380432"/>
    <w:rsid w:val="0038192D"/>
    <w:rsid w:val="00381DB2"/>
    <w:rsid w:val="003829D6"/>
    <w:rsid w:val="00383E8A"/>
    <w:rsid w:val="003861FD"/>
    <w:rsid w:val="00386DCC"/>
    <w:rsid w:val="003900F3"/>
    <w:rsid w:val="003911DB"/>
    <w:rsid w:val="003937BB"/>
    <w:rsid w:val="00394E5E"/>
    <w:rsid w:val="00396331"/>
    <w:rsid w:val="003A0686"/>
    <w:rsid w:val="003A3727"/>
    <w:rsid w:val="003A5578"/>
    <w:rsid w:val="003B1D49"/>
    <w:rsid w:val="003B21A9"/>
    <w:rsid w:val="003B38EA"/>
    <w:rsid w:val="003B763E"/>
    <w:rsid w:val="003C0038"/>
    <w:rsid w:val="003C02E9"/>
    <w:rsid w:val="003C0467"/>
    <w:rsid w:val="003C0BA5"/>
    <w:rsid w:val="003C2547"/>
    <w:rsid w:val="003C349E"/>
    <w:rsid w:val="003C70DE"/>
    <w:rsid w:val="003C7EB4"/>
    <w:rsid w:val="003D1057"/>
    <w:rsid w:val="003D276A"/>
    <w:rsid w:val="003D27CF"/>
    <w:rsid w:val="003D28C9"/>
    <w:rsid w:val="003D291C"/>
    <w:rsid w:val="003D2D57"/>
    <w:rsid w:val="003D2FDE"/>
    <w:rsid w:val="003D49A0"/>
    <w:rsid w:val="003E11E0"/>
    <w:rsid w:val="003E1A65"/>
    <w:rsid w:val="003E44DA"/>
    <w:rsid w:val="003E4548"/>
    <w:rsid w:val="003E4589"/>
    <w:rsid w:val="003E45C7"/>
    <w:rsid w:val="003E4F5E"/>
    <w:rsid w:val="003E594D"/>
    <w:rsid w:val="003E6252"/>
    <w:rsid w:val="003E66DD"/>
    <w:rsid w:val="003E68CF"/>
    <w:rsid w:val="003F059F"/>
    <w:rsid w:val="003F29DF"/>
    <w:rsid w:val="003F2C0F"/>
    <w:rsid w:val="003F41B8"/>
    <w:rsid w:val="003F50C5"/>
    <w:rsid w:val="003F59C3"/>
    <w:rsid w:val="003F7AF2"/>
    <w:rsid w:val="004020D8"/>
    <w:rsid w:val="004042D9"/>
    <w:rsid w:val="0040472B"/>
    <w:rsid w:val="00405500"/>
    <w:rsid w:val="00405C28"/>
    <w:rsid w:val="00406B94"/>
    <w:rsid w:val="0041165A"/>
    <w:rsid w:val="004124C3"/>
    <w:rsid w:val="0041318F"/>
    <w:rsid w:val="004229E9"/>
    <w:rsid w:val="00424223"/>
    <w:rsid w:val="004276EC"/>
    <w:rsid w:val="00430074"/>
    <w:rsid w:val="004320D6"/>
    <w:rsid w:val="004346E8"/>
    <w:rsid w:val="00434ACE"/>
    <w:rsid w:val="00435719"/>
    <w:rsid w:val="004361D7"/>
    <w:rsid w:val="00440BDB"/>
    <w:rsid w:val="00441287"/>
    <w:rsid w:val="00441A18"/>
    <w:rsid w:val="00442FE1"/>
    <w:rsid w:val="00444156"/>
    <w:rsid w:val="00447CC4"/>
    <w:rsid w:val="00452869"/>
    <w:rsid w:val="00452D67"/>
    <w:rsid w:val="004539D2"/>
    <w:rsid w:val="00454A9A"/>
    <w:rsid w:val="00454E72"/>
    <w:rsid w:val="004562C3"/>
    <w:rsid w:val="0045663C"/>
    <w:rsid w:val="0045665A"/>
    <w:rsid w:val="00457994"/>
    <w:rsid w:val="0046008D"/>
    <w:rsid w:val="004610C7"/>
    <w:rsid w:val="004636D3"/>
    <w:rsid w:val="0046792C"/>
    <w:rsid w:val="00470249"/>
    <w:rsid w:val="00470D99"/>
    <w:rsid w:val="00473DD7"/>
    <w:rsid w:val="00473E38"/>
    <w:rsid w:val="0047506D"/>
    <w:rsid w:val="00476BDE"/>
    <w:rsid w:val="00477A4B"/>
    <w:rsid w:val="00483181"/>
    <w:rsid w:val="004835AF"/>
    <w:rsid w:val="0048392A"/>
    <w:rsid w:val="00483FF1"/>
    <w:rsid w:val="00486C5C"/>
    <w:rsid w:val="00487038"/>
    <w:rsid w:val="00487A07"/>
    <w:rsid w:val="00490937"/>
    <w:rsid w:val="0049171A"/>
    <w:rsid w:val="00494660"/>
    <w:rsid w:val="00494C49"/>
    <w:rsid w:val="00497DD3"/>
    <w:rsid w:val="00497E35"/>
    <w:rsid w:val="004A2122"/>
    <w:rsid w:val="004A5034"/>
    <w:rsid w:val="004A555C"/>
    <w:rsid w:val="004A568D"/>
    <w:rsid w:val="004A6828"/>
    <w:rsid w:val="004A6E76"/>
    <w:rsid w:val="004B27D1"/>
    <w:rsid w:val="004B5175"/>
    <w:rsid w:val="004B5237"/>
    <w:rsid w:val="004B65EA"/>
    <w:rsid w:val="004B6B04"/>
    <w:rsid w:val="004B7369"/>
    <w:rsid w:val="004C1130"/>
    <w:rsid w:val="004C37C5"/>
    <w:rsid w:val="004C5DD7"/>
    <w:rsid w:val="004C5E7A"/>
    <w:rsid w:val="004C645A"/>
    <w:rsid w:val="004D09BC"/>
    <w:rsid w:val="004D0FD0"/>
    <w:rsid w:val="004D174D"/>
    <w:rsid w:val="004D1989"/>
    <w:rsid w:val="004D2892"/>
    <w:rsid w:val="004D2B1F"/>
    <w:rsid w:val="004D38AB"/>
    <w:rsid w:val="004D3929"/>
    <w:rsid w:val="004D40DC"/>
    <w:rsid w:val="004D4900"/>
    <w:rsid w:val="004D4DB5"/>
    <w:rsid w:val="004D5299"/>
    <w:rsid w:val="004D54F9"/>
    <w:rsid w:val="004D7143"/>
    <w:rsid w:val="004D7C5E"/>
    <w:rsid w:val="004E1030"/>
    <w:rsid w:val="004E36CF"/>
    <w:rsid w:val="004E6EC3"/>
    <w:rsid w:val="004E7288"/>
    <w:rsid w:val="004F1738"/>
    <w:rsid w:val="004F1B8F"/>
    <w:rsid w:val="004F2C44"/>
    <w:rsid w:val="004F3A24"/>
    <w:rsid w:val="004F3C94"/>
    <w:rsid w:val="004F3D3A"/>
    <w:rsid w:val="004F4F48"/>
    <w:rsid w:val="004F754D"/>
    <w:rsid w:val="00502640"/>
    <w:rsid w:val="00505074"/>
    <w:rsid w:val="00506460"/>
    <w:rsid w:val="005077C0"/>
    <w:rsid w:val="0051168D"/>
    <w:rsid w:val="00511C7A"/>
    <w:rsid w:val="0051417F"/>
    <w:rsid w:val="00514846"/>
    <w:rsid w:val="00514D71"/>
    <w:rsid w:val="00514F8E"/>
    <w:rsid w:val="00515662"/>
    <w:rsid w:val="005175EC"/>
    <w:rsid w:val="005176D8"/>
    <w:rsid w:val="00517B03"/>
    <w:rsid w:val="005218A6"/>
    <w:rsid w:val="00522704"/>
    <w:rsid w:val="00522F86"/>
    <w:rsid w:val="005232CD"/>
    <w:rsid w:val="00523F4E"/>
    <w:rsid w:val="0052406A"/>
    <w:rsid w:val="00525FFD"/>
    <w:rsid w:val="00530BFA"/>
    <w:rsid w:val="00532B10"/>
    <w:rsid w:val="005338F8"/>
    <w:rsid w:val="00534E40"/>
    <w:rsid w:val="005368FB"/>
    <w:rsid w:val="005375D8"/>
    <w:rsid w:val="00537903"/>
    <w:rsid w:val="00541374"/>
    <w:rsid w:val="00541DCA"/>
    <w:rsid w:val="00543AFE"/>
    <w:rsid w:val="00544F91"/>
    <w:rsid w:val="00545EDA"/>
    <w:rsid w:val="00545F86"/>
    <w:rsid w:val="005470C4"/>
    <w:rsid w:val="005477F9"/>
    <w:rsid w:val="00547DD6"/>
    <w:rsid w:val="00547E41"/>
    <w:rsid w:val="00550457"/>
    <w:rsid w:val="005504E0"/>
    <w:rsid w:val="00552E8F"/>
    <w:rsid w:val="00553C78"/>
    <w:rsid w:val="0055422E"/>
    <w:rsid w:val="0055659A"/>
    <w:rsid w:val="00560049"/>
    <w:rsid w:val="00560E65"/>
    <w:rsid w:val="005624C3"/>
    <w:rsid w:val="00562AB7"/>
    <w:rsid w:val="00563564"/>
    <w:rsid w:val="00565746"/>
    <w:rsid w:val="00566E2F"/>
    <w:rsid w:val="005673C2"/>
    <w:rsid w:val="00567E97"/>
    <w:rsid w:val="0057164C"/>
    <w:rsid w:val="00571B4C"/>
    <w:rsid w:val="0057385F"/>
    <w:rsid w:val="00573FA6"/>
    <w:rsid w:val="00576291"/>
    <w:rsid w:val="00577249"/>
    <w:rsid w:val="0058040F"/>
    <w:rsid w:val="005813F6"/>
    <w:rsid w:val="00582E19"/>
    <w:rsid w:val="0058320A"/>
    <w:rsid w:val="005856E7"/>
    <w:rsid w:val="00585845"/>
    <w:rsid w:val="0058684B"/>
    <w:rsid w:val="00586B7D"/>
    <w:rsid w:val="00590F07"/>
    <w:rsid w:val="005914D8"/>
    <w:rsid w:val="00592469"/>
    <w:rsid w:val="0059395C"/>
    <w:rsid w:val="005A0266"/>
    <w:rsid w:val="005A3F4E"/>
    <w:rsid w:val="005A519A"/>
    <w:rsid w:val="005A6850"/>
    <w:rsid w:val="005A6F84"/>
    <w:rsid w:val="005B05DF"/>
    <w:rsid w:val="005B0877"/>
    <w:rsid w:val="005B091A"/>
    <w:rsid w:val="005B0BF1"/>
    <w:rsid w:val="005B186B"/>
    <w:rsid w:val="005B3712"/>
    <w:rsid w:val="005B4C25"/>
    <w:rsid w:val="005B6F8C"/>
    <w:rsid w:val="005B7C30"/>
    <w:rsid w:val="005C1A09"/>
    <w:rsid w:val="005C28F2"/>
    <w:rsid w:val="005C2D9A"/>
    <w:rsid w:val="005C3480"/>
    <w:rsid w:val="005C428D"/>
    <w:rsid w:val="005C4DB4"/>
    <w:rsid w:val="005C52C5"/>
    <w:rsid w:val="005C5FA9"/>
    <w:rsid w:val="005D267F"/>
    <w:rsid w:val="005D2A07"/>
    <w:rsid w:val="005D3486"/>
    <w:rsid w:val="005D3E64"/>
    <w:rsid w:val="005D45D6"/>
    <w:rsid w:val="005D5C5D"/>
    <w:rsid w:val="005D6422"/>
    <w:rsid w:val="005D6A83"/>
    <w:rsid w:val="005D76C3"/>
    <w:rsid w:val="005E1726"/>
    <w:rsid w:val="005E2BE7"/>
    <w:rsid w:val="005F07F9"/>
    <w:rsid w:val="005F204E"/>
    <w:rsid w:val="005F60EC"/>
    <w:rsid w:val="005F7708"/>
    <w:rsid w:val="00601202"/>
    <w:rsid w:val="00603759"/>
    <w:rsid w:val="00612738"/>
    <w:rsid w:val="006168B1"/>
    <w:rsid w:val="00620A7C"/>
    <w:rsid w:val="00620EEB"/>
    <w:rsid w:val="006214B8"/>
    <w:rsid w:val="00621DAD"/>
    <w:rsid w:val="00621E29"/>
    <w:rsid w:val="00623230"/>
    <w:rsid w:val="00623CA3"/>
    <w:rsid w:val="006247A1"/>
    <w:rsid w:val="00624B68"/>
    <w:rsid w:val="0062676D"/>
    <w:rsid w:val="006271E8"/>
    <w:rsid w:val="00632EB7"/>
    <w:rsid w:val="00636177"/>
    <w:rsid w:val="0063676E"/>
    <w:rsid w:val="006375C8"/>
    <w:rsid w:val="00640369"/>
    <w:rsid w:val="00640907"/>
    <w:rsid w:val="006413D5"/>
    <w:rsid w:val="006447A5"/>
    <w:rsid w:val="00645E8D"/>
    <w:rsid w:val="0064603C"/>
    <w:rsid w:val="00650A42"/>
    <w:rsid w:val="00651A6A"/>
    <w:rsid w:val="0065298B"/>
    <w:rsid w:val="00655EBF"/>
    <w:rsid w:val="0066228F"/>
    <w:rsid w:val="00667322"/>
    <w:rsid w:val="00672056"/>
    <w:rsid w:val="006746AD"/>
    <w:rsid w:val="00676733"/>
    <w:rsid w:val="0068014B"/>
    <w:rsid w:val="00681456"/>
    <w:rsid w:val="00682413"/>
    <w:rsid w:val="00683738"/>
    <w:rsid w:val="0068378F"/>
    <w:rsid w:val="00683893"/>
    <w:rsid w:val="00684977"/>
    <w:rsid w:val="0069064E"/>
    <w:rsid w:val="00693C74"/>
    <w:rsid w:val="00694478"/>
    <w:rsid w:val="006A42B1"/>
    <w:rsid w:val="006A4B83"/>
    <w:rsid w:val="006A667F"/>
    <w:rsid w:val="006B1169"/>
    <w:rsid w:val="006B1A4E"/>
    <w:rsid w:val="006B1AE6"/>
    <w:rsid w:val="006B2844"/>
    <w:rsid w:val="006B57EC"/>
    <w:rsid w:val="006C02B4"/>
    <w:rsid w:val="006C17C6"/>
    <w:rsid w:val="006C57B1"/>
    <w:rsid w:val="006C6553"/>
    <w:rsid w:val="006D1C1A"/>
    <w:rsid w:val="006D1C2E"/>
    <w:rsid w:val="006D1F38"/>
    <w:rsid w:val="006D2A9C"/>
    <w:rsid w:val="006D4836"/>
    <w:rsid w:val="006D524A"/>
    <w:rsid w:val="006D6153"/>
    <w:rsid w:val="006D63DE"/>
    <w:rsid w:val="006D6D2D"/>
    <w:rsid w:val="006E287F"/>
    <w:rsid w:val="006E2F04"/>
    <w:rsid w:val="006E3C25"/>
    <w:rsid w:val="006E4DAF"/>
    <w:rsid w:val="006E58B6"/>
    <w:rsid w:val="006F13DC"/>
    <w:rsid w:val="006F169B"/>
    <w:rsid w:val="006F2350"/>
    <w:rsid w:val="006F4432"/>
    <w:rsid w:val="006F59B0"/>
    <w:rsid w:val="006F69C6"/>
    <w:rsid w:val="006F6C62"/>
    <w:rsid w:val="006F7757"/>
    <w:rsid w:val="00700845"/>
    <w:rsid w:val="00701662"/>
    <w:rsid w:val="00701FCD"/>
    <w:rsid w:val="00702C21"/>
    <w:rsid w:val="00703649"/>
    <w:rsid w:val="0070533E"/>
    <w:rsid w:val="00705C41"/>
    <w:rsid w:val="00705DC3"/>
    <w:rsid w:val="0070762B"/>
    <w:rsid w:val="00707C4E"/>
    <w:rsid w:val="00710472"/>
    <w:rsid w:val="0071085D"/>
    <w:rsid w:val="00710A3F"/>
    <w:rsid w:val="00711854"/>
    <w:rsid w:val="007134A5"/>
    <w:rsid w:val="00713B3C"/>
    <w:rsid w:val="007140C0"/>
    <w:rsid w:val="0072024A"/>
    <w:rsid w:val="0072468E"/>
    <w:rsid w:val="00726230"/>
    <w:rsid w:val="00726D92"/>
    <w:rsid w:val="00726F4F"/>
    <w:rsid w:val="00730025"/>
    <w:rsid w:val="0073005F"/>
    <w:rsid w:val="007312D6"/>
    <w:rsid w:val="007315EB"/>
    <w:rsid w:val="0073274B"/>
    <w:rsid w:val="00732F28"/>
    <w:rsid w:val="00734592"/>
    <w:rsid w:val="00734E47"/>
    <w:rsid w:val="0073567D"/>
    <w:rsid w:val="0073580B"/>
    <w:rsid w:val="0073591F"/>
    <w:rsid w:val="00736175"/>
    <w:rsid w:val="0074017E"/>
    <w:rsid w:val="00745103"/>
    <w:rsid w:val="00747A1A"/>
    <w:rsid w:val="007615C3"/>
    <w:rsid w:val="00761EC2"/>
    <w:rsid w:val="007661BA"/>
    <w:rsid w:val="00770302"/>
    <w:rsid w:val="007710D9"/>
    <w:rsid w:val="00773E3E"/>
    <w:rsid w:val="00774D2F"/>
    <w:rsid w:val="00775368"/>
    <w:rsid w:val="0077559D"/>
    <w:rsid w:val="0078140C"/>
    <w:rsid w:val="00781679"/>
    <w:rsid w:val="00783C4D"/>
    <w:rsid w:val="00785C2C"/>
    <w:rsid w:val="00786171"/>
    <w:rsid w:val="007869CC"/>
    <w:rsid w:val="00790E6E"/>
    <w:rsid w:val="00792799"/>
    <w:rsid w:val="00792E75"/>
    <w:rsid w:val="00793157"/>
    <w:rsid w:val="00793C77"/>
    <w:rsid w:val="007948A7"/>
    <w:rsid w:val="007A0B41"/>
    <w:rsid w:val="007A20AA"/>
    <w:rsid w:val="007A2E6E"/>
    <w:rsid w:val="007A4B8C"/>
    <w:rsid w:val="007A4FED"/>
    <w:rsid w:val="007A5A5E"/>
    <w:rsid w:val="007B1221"/>
    <w:rsid w:val="007B2D01"/>
    <w:rsid w:val="007B371E"/>
    <w:rsid w:val="007B3B97"/>
    <w:rsid w:val="007B3C7F"/>
    <w:rsid w:val="007B436E"/>
    <w:rsid w:val="007B4BD4"/>
    <w:rsid w:val="007B63BB"/>
    <w:rsid w:val="007B7F68"/>
    <w:rsid w:val="007C6174"/>
    <w:rsid w:val="007C6ED3"/>
    <w:rsid w:val="007D0C84"/>
    <w:rsid w:val="007D277E"/>
    <w:rsid w:val="007D30AC"/>
    <w:rsid w:val="007D4D58"/>
    <w:rsid w:val="007D4E4F"/>
    <w:rsid w:val="007D58DE"/>
    <w:rsid w:val="007D7105"/>
    <w:rsid w:val="007D7293"/>
    <w:rsid w:val="007D75E1"/>
    <w:rsid w:val="007E1317"/>
    <w:rsid w:val="007E1CC9"/>
    <w:rsid w:val="007E3E3A"/>
    <w:rsid w:val="007E51DC"/>
    <w:rsid w:val="007E5C4D"/>
    <w:rsid w:val="007E679F"/>
    <w:rsid w:val="007E6EC8"/>
    <w:rsid w:val="007F078C"/>
    <w:rsid w:val="007F112D"/>
    <w:rsid w:val="007F206C"/>
    <w:rsid w:val="007F22BF"/>
    <w:rsid w:val="007F22D1"/>
    <w:rsid w:val="007F4C45"/>
    <w:rsid w:val="007F4F79"/>
    <w:rsid w:val="007F4F8E"/>
    <w:rsid w:val="007F6525"/>
    <w:rsid w:val="007F6F95"/>
    <w:rsid w:val="007F7704"/>
    <w:rsid w:val="00801665"/>
    <w:rsid w:val="00802433"/>
    <w:rsid w:val="00803928"/>
    <w:rsid w:val="0080795E"/>
    <w:rsid w:val="00811B77"/>
    <w:rsid w:val="00811B7C"/>
    <w:rsid w:val="00811F9A"/>
    <w:rsid w:val="008156DE"/>
    <w:rsid w:val="00815A1F"/>
    <w:rsid w:val="008224F2"/>
    <w:rsid w:val="00822786"/>
    <w:rsid w:val="00822E50"/>
    <w:rsid w:val="008278CC"/>
    <w:rsid w:val="00832EB4"/>
    <w:rsid w:val="008350AC"/>
    <w:rsid w:val="00840877"/>
    <w:rsid w:val="00840B10"/>
    <w:rsid w:val="00847B34"/>
    <w:rsid w:val="00855C5E"/>
    <w:rsid w:val="00856203"/>
    <w:rsid w:val="00856875"/>
    <w:rsid w:val="00863B8A"/>
    <w:rsid w:val="008661F6"/>
    <w:rsid w:val="00866BD2"/>
    <w:rsid w:val="00870EBF"/>
    <w:rsid w:val="00871477"/>
    <w:rsid w:val="008754F0"/>
    <w:rsid w:val="00876B6A"/>
    <w:rsid w:val="00876EF9"/>
    <w:rsid w:val="00880008"/>
    <w:rsid w:val="008804EF"/>
    <w:rsid w:val="00880ED3"/>
    <w:rsid w:val="008815A3"/>
    <w:rsid w:val="008821EC"/>
    <w:rsid w:val="0088316E"/>
    <w:rsid w:val="00883384"/>
    <w:rsid w:val="00884CCE"/>
    <w:rsid w:val="00884EE8"/>
    <w:rsid w:val="00886E08"/>
    <w:rsid w:val="00886F18"/>
    <w:rsid w:val="00887B6B"/>
    <w:rsid w:val="00893A7B"/>
    <w:rsid w:val="008943B1"/>
    <w:rsid w:val="00894C99"/>
    <w:rsid w:val="008963CB"/>
    <w:rsid w:val="00896BBA"/>
    <w:rsid w:val="008A1C99"/>
    <w:rsid w:val="008A1DC2"/>
    <w:rsid w:val="008B1EC0"/>
    <w:rsid w:val="008B30B5"/>
    <w:rsid w:val="008B46F1"/>
    <w:rsid w:val="008C01F3"/>
    <w:rsid w:val="008C09E7"/>
    <w:rsid w:val="008C7A1C"/>
    <w:rsid w:val="008D1439"/>
    <w:rsid w:val="008D2C39"/>
    <w:rsid w:val="008D55CF"/>
    <w:rsid w:val="008E02C6"/>
    <w:rsid w:val="008E278F"/>
    <w:rsid w:val="008E460A"/>
    <w:rsid w:val="008E5FDA"/>
    <w:rsid w:val="008F0A6D"/>
    <w:rsid w:val="008F2DED"/>
    <w:rsid w:val="008F3BE5"/>
    <w:rsid w:val="008F5B58"/>
    <w:rsid w:val="008F5BEF"/>
    <w:rsid w:val="009009BA"/>
    <w:rsid w:val="00901603"/>
    <w:rsid w:val="009018A5"/>
    <w:rsid w:val="00902913"/>
    <w:rsid w:val="00903B0F"/>
    <w:rsid w:val="00906FFF"/>
    <w:rsid w:val="00910904"/>
    <w:rsid w:val="00910C8C"/>
    <w:rsid w:val="00912380"/>
    <w:rsid w:val="00915178"/>
    <w:rsid w:val="00916767"/>
    <w:rsid w:val="00922654"/>
    <w:rsid w:val="00923D4B"/>
    <w:rsid w:val="00930365"/>
    <w:rsid w:val="009311C9"/>
    <w:rsid w:val="0093389D"/>
    <w:rsid w:val="00933A90"/>
    <w:rsid w:val="009359BA"/>
    <w:rsid w:val="009442BC"/>
    <w:rsid w:val="00944BF1"/>
    <w:rsid w:val="0094522B"/>
    <w:rsid w:val="00946704"/>
    <w:rsid w:val="00950457"/>
    <w:rsid w:val="009508F9"/>
    <w:rsid w:val="00955B75"/>
    <w:rsid w:val="00956229"/>
    <w:rsid w:val="00957005"/>
    <w:rsid w:val="00960E6C"/>
    <w:rsid w:val="00965566"/>
    <w:rsid w:val="0096610E"/>
    <w:rsid w:val="00966217"/>
    <w:rsid w:val="0096778B"/>
    <w:rsid w:val="00967E76"/>
    <w:rsid w:val="009710D9"/>
    <w:rsid w:val="009734E9"/>
    <w:rsid w:val="00980988"/>
    <w:rsid w:val="009828B7"/>
    <w:rsid w:val="0098361E"/>
    <w:rsid w:val="00984FD4"/>
    <w:rsid w:val="00985179"/>
    <w:rsid w:val="009852DF"/>
    <w:rsid w:val="00985BC8"/>
    <w:rsid w:val="0098767D"/>
    <w:rsid w:val="00987EA0"/>
    <w:rsid w:val="00987EC5"/>
    <w:rsid w:val="00990263"/>
    <w:rsid w:val="0099215D"/>
    <w:rsid w:val="00994D0C"/>
    <w:rsid w:val="009979C3"/>
    <w:rsid w:val="009A161C"/>
    <w:rsid w:val="009A3AD2"/>
    <w:rsid w:val="009A4195"/>
    <w:rsid w:val="009A4480"/>
    <w:rsid w:val="009A6B73"/>
    <w:rsid w:val="009A75FF"/>
    <w:rsid w:val="009B1FB0"/>
    <w:rsid w:val="009B3CB8"/>
    <w:rsid w:val="009B700B"/>
    <w:rsid w:val="009B731E"/>
    <w:rsid w:val="009C2599"/>
    <w:rsid w:val="009C27DF"/>
    <w:rsid w:val="009C454A"/>
    <w:rsid w:val="009D15E0"/>
    <w:rsid w:val="009D2D95"/>
    <w:rsid w:val="009D574D"/>
    <w:rsid w:val="009D5AF4"/>
    <w:rsid w:val="009D5CEA"/>
    <w:rsid w:val="009D6A5E"/>
    <w:rsid w:val="009E20DE"/>
    <w:rsid w:val="009E34E6"/>
    <w:rsid w:val="009E3DC4"/>
    <w:rsid w:val="009E60E8"/>
    <w:rsid w:val="009E636C"/>
    <w:rsid w:val="009E6DD5"/>
    <w:rsid w:val="009F232C"/>
    <w:rsid w:val="009F2FFE"/>
    <w:rsid w:val="009F43A0"/>
    <w:rsid w:val="009F60C5"/>
    <w:rsid w:val="009F7DCD"/>
    <w:rsid w:val="00A032A5"/>
    <w:rsid w:val="00A04C80"/>
    <w:rsid w:val="00A04F89"/>
    <w:rsid w:val="00A15610"/>
    <w:rsid w:val="00A15A87"/>
    <w:rsid w:val="00A16AB2"/>
    <w:rsid w:val="00A20705"/>
    <w:rsid w:val="00A210A6"/>
    <w:rsid w:val="00A21343"/>
    <w:rsid w:val="00A21D22"/>
    <w:rsid w:val="00A223AB"/>
    <w:rsid w:val="00A229DF"/>
    <w:rsid w:val="00A22E9B"/>
    <w:rsid w:val="00A252C7"/>
    <w:rsid w:val="00A2562D"/>
    <w:rsid w:val="00A26901"/>
    <w:rsid w:val="00A26F4F"/>
    <w:rsid w:val="00A3354A"/>
    <w:rsid w:val="00A3605D"/>
    <w:rsid w:val="00A37D5A"/>
    <w:rsid w:val="00A40C4B"/>
    <w:rsid w:val="00A43745"/>
    <w:rsid w:val="00A52195"/>
    <w:rsid w:val="00A52A49"/>
    <w:rsid w:val="00A55388"/>
    <w:rsid w:val="00A57798"/>
    <w:rsid w:val="00A60B28"/>
    <w:rsid w:val="00A610EE"/>
    <w:rsid w:val="00A61E5F"/>
    <w:rsid w:val="00A62251"/>
    <w:rsid w:val="00A632F2"/>
    <w:rsid w:val="00A65A76"/>
    <w:rsid w:val="00A662FE"/>
    <w:rsid w:val="00A66CA9"/>
    <w:rsid w:val="00A66F20"/>
    <w:rsid w:val="00A7140C"/>
    <w:rsid w:val="00A72708"/>
    <w:rsid w:val="00A729F7"/>
    <w:rsid w:val="00A744DF"/>
    <w:rsid w:val="00A75EF3"/>
    <w:rsid w:val="00A773B6"/>
    <w:rsid w:val="00A81AB0"/>
    <w:rsid w:val="00A81DE9"/>
    <w:rsid w:val="00A82596"/>
    <w:rsid w:val="00A83178"/>
    <w:rsid w:val="00A83202"/>
    <w:rsid w:val="00A83BC5"/>
    <w:rsid w:val="00A84D7E"/>
    <w:rsid w:val="00A854C6"/>
    <w:rsid w:val="00A8616E"/>
    <w:rsid w:val="00A864DF"/>
    <w:rsid w:val="00A8669E"/>
    <w:rsid w:val="00A867EB"/>
    <w:rsid w:val="00A87B94"/>
    <w:rsid w:val="00A87CFE"/>
    <w:rsid w:val="00A90008"/>
    <w:rsid w:val="00A90757"/>
    <w:rsid w:val="00A911D8"/>
    <w:rsid w:val="00A9144A"/>
    <w:rsid w:val="00A92543"/>
    <w:rsid w:val="00A95656"/>
    <w:rsid w:val="00AA03BF"/>
    <w:rsid w:val="00AA0A69"/>
    <w:rsid w:val="00AA2160"/>
    <w:rsid w:val="00AA222D"/>
    <w:rsid w:val="00AA31EA"/>
    <w:rsid w:val="00AA663A"/>
    <w:rsid w:val="00AA72AC"/>
    <w:rsid w:val="00AA758A"/>
    <w:rsid w:val="00AB1478"/>
    <w:rsid w:val="00AB18E5"/>
    <w:rsid w:val="00AB57BB"/>
    <w:rsid w:val="00AB63BE"/>
    <w:rsid w:val="00AC2202"/>
    <w:rsid w:val="00AC3018"/>
    <w:rsid w:val="00AC4FA0"/>
    <w:rsid w:val="00AC7266"/>
    <w:rsid w:val="00AC7366"/>
    <w:rsid w:val="00AD0137"/>
    <w:rsid w:val="00AD1D98"/>
    <w:rsid w:val="00AD1F1D"/>
    <w:rsid w:val="00AD26BF"/>
    <w:rsid w:val="00AD451C"/>
    <w:rsid w:val="00AD6DBE"/>
    <w:rsid w:val="00AE23CC"/>
    <w:rsid w:val="00AE536E"/>
    <w:rsid w:val="00AF182A"/>
    <w:rsid w:val="00AF3176"/>
    <w:rsid w:val="00AF36EA"/>
    <w:rsid w:val="00AF3714"/>
    <w:rsid w:val="00AF3795"/>
    <w:rsid w:val="00AF61E5"/>
    <w:rsid w:val="00AF669B"/>
    <w:rsid w:val="00B004FC"/>
    <w:rsid w:val="00B02A5E"/>
    <w:rsid w:val="00B036D0"/>
    <w:rsid w:val="00B04718"/>
    <w:rsid w:val="00B05090"/>
    <w:rsid w:val="00B05845"/>
    <w:rsid w:val="00B05D74"/>
    <w:rsid w:val="00B11C4A"/>
    <w:rsid w:val="00B1232C"/>
    <w:rsid w:val="00B14BCB"/>
    <w:rsid w:val="00B151FC"/>
    <w:rsid w:val="00B15B89"/>
    <w:rsid w:val="00B15BCB"/>
    <w:rsid w:val="00B1683D"/>
    <w:rsid w:val="00B1752C"/>
    <w:rsid w:val="00B178FE"/>
    <w:rsid w:val="00B2053C"/>
    <w:rsid w:val="00B24454"/>
    <w:rsid w:val="00B258A5"/>
    <w:rsid w:val="00B26876"/>
    <w:rsid w:val="00B26D2D"/>
    <w:rsid w:val="00B27C36"/>
    <w:rsid w:val="00B27F2B"/>
    <w:rsid w:val="00B308C0"/>
    <w:rsid w:val="00B32618"/>
    <w:rsid w:val="00B32CA7"/>
    <w:rsid w:val="00B33F5E"/>
    <w:rsid w:val="00B349D8"/>
    <w:rsid w:val="00B34C76"/>
    <w:rsid w:val="00B35C67"/>
    <w:rsid w:val="00B3641A"/>
    <w:rsid w:val="00B40114"/>
    <w:rsid w:val="00B40F69"/>
    <w:rsid w:val="00B42341"/>
    <w:rsid w:val="00B42BC5"/>
    <w:rsid w:val="00B443DE"/>
    <w:rsid w:val="00B475D6"/>
    <w:rsid w:val="00B5247E"/>
    <w:rsid w:val="00B52E64"/>
    <w:rsid w:val="00B5320D"/>
    <w:rsid w:val="00B55CA5"/>
    <w:rsid w:val="00B5600E"/>
    <w:rsid w:val="00B5627B"/>
    <w:rsid w:val="00B563B9"/>
    <w:rsid w:val="00B61A95"/>
    <w:rsid w:val="00B64C06"/>
    <w:rsid w:val="00B64F90"/>
    <w:rsid w:val="00B66D2E"/>
    <w:rsid w:val="00B6794D"/>
    <w:rsid w:val="00B70F89"/>
    <w:rsid w:val="00B7318D"/>
    <w:rsid w:val="00B73986"/>
    <w:rsid w:val="00B749CD"/>
    <w:rsid w:val="00B76203"/>
    <w:rsid w:val="00B76A8A"/>
    <w:rsid w:val="00B76B52"/>
    <w:rsid w:val="00B770A4"/>
    <w:rsid w:val="00B77F22"/>
    <w:rsid w:val="00B818A8"/>
    <w:rsid w:val="00B81DFB"/>
    <w:rsid w:val="00B87E17"/>
    <w:rsid w:val="00B90438"/>
    <w:rsid w:val="00B90B67"/>
    <w:rsid w:val="00B91D6A"/>
    <w:rsid w:val="00B93BAB"/>
    <w:rsid w:val="00B960A7"/>
    <w:rsid w:val="00B97361"/>
    <w:rsid w:val="00BA0162"/>
    <w:rsid w:val="00BA0CED"/>
    <w:rsid w:val="00BA1347"/>
    <w:rsid w:val="00BA2750"/>
    <w:rsid w:val="00BA2B34"/>
    <w:rsid w:val="00BA488B"/>
    <w:rsid w:val="00BA50CD"/>
    <w:rsid w:val="00BA744E"/>
    <w:rsid w:val="00BB0C22"/>
    <w:rsid w:val="00BB1CE4"/>
    <w:rsid w:val="00BB3219"/>
    <w:rsid w:val="00BB3B1B"/>
    <w:rsid w:val="00BB42C0"/>
    <w:rsid w:val="00BB49C1"/>
    <w:rsid w:val="00BB50F4"/>
    <w:rsid w:val="00BB5180"/>
    <w:rsid w:val="00BB638D"/>
    <w:rsid w:val="00BB6575"/>
    <w:rsid w:val="00BC0C88"/>
    <w:rsid w:val="00BC2024"/>
    <w:rsid w:val="00BC3218"/>
    <w:rsid w:val="00BC364E"/>
    <w:rsid w:val="00BC3CE9"/>
    <w:rsid w:val="00BC442F"/>
    <w:rsid w:val="00BC5F6A"/>
    <w:rsid w:val="00BC61FA"/>
    <w:rsid w:val="00BD0CF6"/>
    <w:rsid w:val="00BD2F57"/>
    <w:rsid w:val="00BD3ACD"/>
    <w:rsid w:val="00BD4722"/>
    <w:rsid w:val="00BD6CE0"/>
    <w:rsid w:val="00BD74ED"/>
    <w:rsid w:val="00BD7C9E"/>
    <w:rsid w:val="00BE1A74"/>
    <w:rsid w:val="00BE3805"/>
    <w:rsid w:val="00BE619B"/>
    <w:rsid w:val="00BF2FA8"/>
    <w:rsid w:val="00BF4F41"/>
    <w:rsid w:val="00C014D5"/>
    <w:rsid w:val="00C02417"/>
    <w:rsid w:val="00C03D28"/>
    <w:rsid w:val="00C10AAA"/>
    <w:rsid w:val="00C11480"/>
    <w:rsid w:val="00C12A36"/>
    <w:rsid w:val="00C13F9A"/>
    <w:rsid w:val="00C1496F"/>
    <w:rsid w:val="00C14EC0"/>
    <w:rsid w:val="00C14F29"/>
    <w:rsid w:val="00C1523C"/>
    <w:rsid w:val="00C1624B"/>
    <w:rsid w:val="00C17258"/>
    <w:rsid w:val="00C17DD4"/>
    <w:rsid w:val="00C2019E"/>
    <w:rsid w:val="00C20EEC"/>
    <w:rsid w:val="00C2225D"/>
    <w:rsid w:val="00C22D01"/>
    <w:rsid w:val="00C27F8F"/>
    <w:rsid w:val="00C30BD0"/>
    <w:rsid w:val="00C315BA"/>
    <w:rsid w:val="00C31681"/>
    <w:rsid w:val="00C31689"/>
    <w:rsid w:val="00C31DCF"/>
    <w:rsid w:val="00C325C3"/>
    <w:rsid w:val="00C3458F"/>
    <w:rsid w:val="00C374D2"/>
    <w:rsid w:val="00C4172F"/>
    <w:rsid w:val="00C431B1"/>
    <w:rsid w:val="00C45E86"/>
    <w:rsid w:val="00C4646B"/>
    <w:rsid w:val="00C471EB"/>
    <w:rsid w:val="00C505C1"/>
    <w:rsid w:val="00C516C1"/>
    <w:rsid w:val="00C52A8F"/>
    <w:rsid w:val="00C548A9"/>
    <w:rsid w:val="00C553AE"/>
    <w:rsid w:val="00C6058D"/>
    <w:rsid w:val="00C60756"/>
    <w:rsid w:val="00C61582"/>
    <w:rsid w:val="00C61846"/>
    <w:rsid w:val="00C623ED"/>
    <w:rsid w:val="00C625CC"/>
    <w:rsid w:val="00C65770"/>
    <w:rsid w:val="00C66794"/>
    <w:rsid w:val="00C6708C"/>
    <w:rsid w:val="00C67D12"/>
    <w:rsid w:val="00C7596F"/>
    <w:rsid w:val="00C7767D"/>
    <w:rsid w:val="00C85687"/>
    <w:rsid w:val="00C8707E"/>
    <w:rsid w:val="00C87520"/>
    <w:rsid w:val="00C90972"/>
    <w:rsid w:val="00C918EA"/>
    <w:rsid w:val="00C92671"/>
    <w:rsid w:val="00C929F5"/>
    <w:rsid w:val="00C92CAB"/>
    <w:rsid w:val="00C93B25"/>
    <w:rsid w:val="00C93B57"/>
    <w:rsid w:val="00C93C11"/>
    <w:rsid w:val="00C93E4E"/>
    <w:rsid w:val="00C94103"/>
    <w:rsid w:val="00CA13D1"/>
    <w:rsid w:val="00CA1646"/>
    <w:rsid w:val="00CA2581"/>
    <w:rsid w:val="00CA28F8"/>
    <w:rsid w:val="00CA51B7"/>
    <w:rsid w:val="00CA5492"/>
    <w:rsid w:val="00CA6329"/>
    <w:rsid w:val="00CA7954"/>
    <w:rsid w:val="00CB02C3"/>
    <w:rsid w:val="00CB0BE8"/>
    <w:rsid w:val="00CB0EB2"/>
    <w:rsid w:val="00CB13B5"/>
    <w:rsid w:val="00CB2239"/>
    <w:rsid w:val="00CB262D"/>
    <w:rsid w:val="00CB266A"/>
    <w:rsid w:val="00CB3F51"/>
    <w:rsid w:val="00CB4EC4"/>
    <w:rsid w:val="00CB6F30"/>
    <w:rsid w:val="00CB6FF7"/>
    <w:rsid w:val="00CB792E"/>
    <w:rsid w:val="00CB7F65"/>
    <w:rsid w:val="00CC0AB1"/>
    <w:rsid w:val="00CC1876"/>
    <w:rsid w:val="00CC1CE7"/>
    <w:rsid w:val="00CC3EE6"/>
    <w:rsid w:val="00CC461B"/>
    <w:rsid w:val="00CC5D8C"/>
    <w:rsid w:val="00CC62B9"/>
    <w:rsid w:val="00CC70BF"/>
    <w:rsid w:val="00CC7C02"/>
    <w:rsid w:val="00CC7F0B"/>
    <w:rsid w:val="00CD2883"/>
    <w:rsid w:val="00CD3963"/>
    <w:rsid w:val="00CD56C6"/>
    <w:rsid w:val="00CD6581"/>
    <w:rsid w:val="00CD717B"/>
    <w:rsid w:val="00CE2D2B"/>
    <w:rsid w:val="00CE3188"/>
    <w:rsid w:val="00CE5698"/>
    <w:rsid w:val="00CE6D8F"/>
    <w:rsid w:val="00CE784D"/>
    <w:rsid w:val="00CF126A"/>
    <w:rsid w:val="00CF24AD"/>
    <w:rsid w:val="00CF40FF"/>
    <w:rsid w:val="00CF7FD0"/>
    <w:rsid w:val="00D000E1"/>
    <w:rsid w:val="00D0041E"/>
    <w:rsid w:val="00D02096"/>
    <w:rsid w:val="00D03649"/>
    <w:rsid w:val="00D04747"/>
    <w:rsid w:val="00D06693"/>
    <w:rsid w:val="00D07BCD"/>
    <w:rsid w:val="00D10174"/>
    <w:rsid w:val="00D106B7"/>
    <w:rsid w:val="00D1083D"/>
    <w:rsid w:val="00D10A3B"/>
    <w:rsid w:val="00D118F8"/>
    <w:rsid w:val="00D146D6"/>
    <w:rsid w:val="00D1541D"/>
    <w:rsid w:val="00D15D76"/>
    <w:rsid w:val="00D15E74"/>
    <w:rsid w:val="00D170A3"/>
    <w:rsid w:val="00D2210D"/>
    <w:rsid w:val="00D223BD"/>
    <w:rsid w:val="00D22E89"/>
    <w:rsid w:val="00D22F54"/>
    <w:rsid w:val="00D268E6"/>
    <w:rsid w:val="00D30F27"/>
    <w:rsid w:val="00D317F0"/>
    <w:rsid w:val="00D32FC4"/>
    <w:rsid w:val="00D345CF"/>
    <w:rsid w:val="00D3512B"/>
    <w:rsid w:val="00D35307"/>
    <w:rsid w:val="00D373DA"/>
    <w:rsid w:val="00D375F0"/>
    <w:rsid w:val="00D37B56"/>
    <w:rsid w:val="00D40D41"/>
    <w:rsid w:val="00D41FBC"/>
    <w:rsid w:val="00D42BF1"/>
    <w:rsid w:val="00D42F97"/>
    <w:rsid w:val="00D45207"/>
    <w:rsid w:val="00D453D9"/>
    <w:rsid w:val="00D46492"/>
    <w:rsid w:val="00D47268"/>
    <w:rsid w:val="00D525EB"/>
    <w:rsid w:val="00D54D6D"/>
    <w:rsid w:val="00D56EBF"/>
    <w:rsid w:val="00D57E63"/>
    <w:rsid w:val="00D60A58"/>
    <w:rsid w:val="00D60EF4"/>
    <w:rsid w:val="00D61DA8"/>
    <w:rsid w:val="00D622C6"/>
    <w:rsid w:val="00D63EE6"/>
    <w:rsid w:val="00D70CAF"/>
    <w:rsid w:val="00D73362"/>
    <w:rsid w:val="00D758F5"/>
    <w:rsid w:val="00D766C0"/>
    <w:rsid w:val="00D76773"/>
    <w:rsid w:val="00D77223"/>
    <w:rsid w:val="00D77242"/>
    <w:rsid w:val="00D775DC"/>
    <w:rsid w:val="00D824B1"/>
    <w:rsid w:val="00D93101"/>
    <w:rsid w:val="00D947C0"/>
    <w:rsid w:val="00DA0032"/>
    <w:rsid w:val="00DA203C"/>
    <w:rsid w:val="00DA2DE0"/>
    <w:rsid w:val="00DA3359"/>
    <w:rsid w:val="00DA33A8"/>
    <w:rsid w:val="00DA36A4"/>
    <w:rsid w:val="00DA3D8F"/>
    <w:rsid w:val="00DA493A"/>
    <w:rsid w:val="00DA6EFD"/>
    <w:rsid w:val="00DB03CC"/>
    <w:rsid w:val="00DB1354"/>
    <w:rsid w:val="00DB1EDD"/>
    <w:rsid w:val="00DB2520"/>
    <w:rsid w:val="00DB345C"/>
    <w:rsid w:val="00DB35D8"/>
    <w:rsid w:val="00DB56CD"/>
    <w:rsid w:val="00DB7A17"/>
    <w:rsid w:val="00DC040D"/>
    <w:rsid w:val="00DC125E"/>
    <w:rsid w:val="00DC20F6"/>
    <w:rsid w:val="00DC24B1"/>
    <w:rsid w:val="00DC24B5"/>
    <w:rsid w:val="00DC4856"/>
    <w:rsid w:val="00DD021E"/>
    <w:rsid w:val="00DD11E3"/>
    <w:rsid w:val="00DD210C"/>
    <w:rsid w:val="00DD2C0F"/>
    <w:rsid w:val="00DD4AF0"/>
    <w:rsid w:val="00DD51C4"/>
    <w:rsid w:val="00DD5340"/>
    <w:rsid w:val="00DD74A3"/>
    <w:rsid w:val="00DE0FAF"/>
    <w:rsid w:val="00DE10EA"/>
    <w:rsid w:val="00DE4518"/>
    <w:rsid w:val="00DE491C"/>
    <w:rsid w:val="00DE7128"/>
    <w:rsid w:val="00DF2775"/>
    <w:rsid w:val="00DF3BC3"/>
    <w:rsid w:val="00DF41D6"/>
    <w:rsid w:val="00DF425E"/>
    <w:rsid w:val="00DF68CA"/>
    <w:rsid w:val="00DF6F84"/>
    <w:rsid w:val="00DF7800"/>
    <w:rsid w:val="00DF780A"/>
    <w:rsid w:val="00DF784F"/>
    <w:rsid w:val="00DF7D82"/>
    <w:rsid w:val="00E015A9"/>
    <w:rsid w:val="00E04F55"/>
    <w:rsid w:val="00E062EC"/>
    <w:rsid w:val="00E06E8B"/>
    <w:rsid w:val="00E06FF4"/>
    <w:rsid w:val="00E11A0F"/>
    <w:rsid w:val="00E129FF"/>
    <w:rsid w:val="00E12ED6"/>
    <w:rsid w:val="00E13084"/>
    <w:rsid w:val="00E1346E"/>
    <w:rsid w:val="00E16B6D"/>
    <w:rsid w:val="00E16CF5"/>
    <w:rsid w:val="00E1761F"/>
    <w:rsid w:val="00E21EF7"/>
    <w:rsid w:val="00E22D4A"/>
    <w:rsid w:val="00E2464E"/>
    <w:rsid w:val="00E24BFD"/>
    <w:rsid w:val="00E257D8"/>
    <w:rsid w:val="00E2611D"/>
    <w:rsid w:val="00E26BEC"/>
    <w:rsid w:val="00E27205"/>
    <w:rsid w:val="00E27730"/>
    <w:rsid w:val="00E307BB"/>
    <w:rsid w:val="00E355F8"/>
    <w:rsid w:val="00E3587B"/>
    <w:rsid w:val="00E365FC"/>
    <w:rsid w:val="00E37A53"/>
    <w:rsid w:val="00E37ECA"/>
    <w:rsid w:val="00E4093B"/>
    <w:rsid w:val="00E41035"/>
    <w:rsid w:val="00E4162A"/>
    <w:rsid w:val="00E41635"/>
    <w:rsid w:val="00E41C90"/>
    <w:rsid w:val="00E42351"/>
    <w:rsid w:val="00E423F5"/>
    <w:rsid w:val="00E433EB"/>
    <w:rsid w:val="00E54A5C"/>
    <w:rsid w:val="00E55A7E"/>
    <w:rsid w:val="00E55F71"/>
    <w:rsid w:val="00E579B1"/>
    <w:rsid w:val="00E60185"/>
    <w:rsid w:val="00E622D6"/>
    <w:rsid w:val="00E6268C"/>
    <w:rsid w:val="00E64205"/>
    <w:rsid w:val="00E64E37"/>
    <w:rsid w:val="00E65953"/>
    <w:rsid w:val="00E70073"/>
    <w:rsid w:val="00E706A6"/>
    <w:rsid w:val="00E7094F"/>
    <w:rsid w:val="00E71364"/>
    <w:rsid w:val="00E7184B"/>
    <w:rsid w:val="00E7190B"/>
    <w:rsid w:val="00E725BD"/>
    <w:rsid w:val="00E732BC"/>
    <w:rsid w:val="00E74290"/>
    <w:rsid w:val="00E7450C"/>
    <w:rsid w:val="00E75367"/>
    <w:rsid w:val="00E776AA"/>
    <w:rsid w:val="00E80DFF"/>
    <w:rsid w:val="00E81F90"/>
    <w:rsid w:val="00E8259F"/>
    <w:rsid w:val="00E83838"/>
    <w:rsid w:val="00E87837"/>
    <w:rsid w:val="00E9109E"/>
    <w:rsid w:val="00E912AF"/>
    <w:rsid w:val="00E926CC"/>
    <w:rsid w:val="00E9597A"/>
    <w:rsid w:val="00E97E61"/>
    <w:rsid w:val="00EA1273"/>
    <w:rsid w:val="00EA1993"/>
    <w:rsid w:val="00EA24CD"/>
    <w:rsid w:val="00EB0312"/>
    <w:rsid w:val="00EB13A2"/>
    <w:rsid w:val="00EB534F"/>
    <w:rsid w:val="00EB6121"/>
    <w:rsid w:val="00EB67A7"/>
    <w:rsid w:val="00EB6FFE"/>
    <w:rsid w:val="00EB74F0"/>
    <w:rsid w:val="00EB78B2"/>
    <w:rsid w:val="00EC082E"/>
    <w:rsid w:val="00EC1F08"/>
    <w:rsid w:val="00EC34B6"/>
    <w:rsid w:val="00EC5638"/>
    <w:rsid w:val="00EC5AE3"/>
    <w:rsid w:val="00EC713E"/>
    <w:rsid w:val="00EC741F"/>
    <w:rsid w:val="00EC7787"/>
    <w:rsid w:val="00ED0D97"/>
    <w:rsid w:val="00ED4281"/>
    <w:rsid w:val="00ED517D"/>
    <w:rsid w:val="00ED5357"/>
    <w:rsid w:val="00EE0A50"/>
    <w:rsid w:val="00EE1F23"/>
    <w:rsid w:val="00EE28ED"/>
    <w:rsid w:val="00EE2C53"/>
    <w:rsid w:val="00EE3C1A"/>
    <w:rsid w:val="00EE736C"/>
    <w:rsid w:val="00EF0756"/>
    <w:rsid w:val="00EF2C72"/>
    <w:rsid w:val="00EF73C9"/>
    <w:rsid w:val="00F00087"/>
    <w:rsid w:val="00F00453"/>
    <w:rsid w:val="00F00C77"/>
    <w:rsid w:val="00F01219"/>
    <w:rsid w:val="00F0193C"/>
    <w:rsid w:val="00F01F29"/>
    <w:rsid w:val="00F02EA5"/>
    <w:rsid w:val="00F03217"/>
    <w:rsid w:val="00F03684"/>
    <w:rsid w:val="00F05F79"/>
    <w:rsid w:val="00F0770A"/>
    <w:rsid w:val="00F0797E"/>
    <w:rsid w:val="00F10F95"/>
    <w:rsid w:val="00F13372"/>
    <w:rsid w:val="00F1481C"/>
    <w:rsid w:val="00F15ADF"/>
    <w:rsid w:val="00F16AB9"/>
    <w:rsid w:val="00F16DC0"/>
    <w:rsid w:val="00F1780E"/>
    <w:rsid w:val="00F2024E"/>
    <w:rsid w:val="00F20F84"/>
    <w:rsid w:val="00F223C9"/>
    <w:rsid w:val="00F24223"/>
    <w:rsid w:val="00F27742"/>
    <w:rsid w:val="00F30FFF"/>
    <w:rsid w:val="00F310E1"/>
    <w:rsid w:val="00F33F26"/>
    <w:rsid w:val="00F40A4B"/>
    <w:rsid w:val="00F4127B"/>
    <w:rsid w:val="00F47B56"/>
    <w:rsid w:val="00F505BE"/>
    <w:rsid w:val="00F51AA4"/>
    <w:rsid w:val="00F5309E"/>
    <w:rsid w:val="00F5414E"/>
    <w:rsid w:val="00F54BB8"/>
    <w:rsid w:val="00F572AC"/>
    <w:rsid w:val="00F605FA"/>
    <w:rsid w:val="00F61E5F"/>
    <w:rsid w:val="00F64853"/>
    <w:rsid w:val="00F652D0"/>
    <w:rsid w:val="00F700C1"/>
    <w:rsid w:val="00F74F29"/>
    <w:rsid w:val="00F77454"/>
    <w:rsid w:val="00F77C6F"/>
    <w:rsid w:val="00F77F82"/>
    <w:rsid w:val="00F806E3"/>
    <w:rsid w:val="00F83094"/>
    <w:rsid w:val="00F83812"/>
    <w:rsid w:val="00F854B6"/>
    <w:rsid w:val="00F85BE3"/>
    <w:rsid w:val="00F85D6C"/>
    <w:rsid w:val="00F85F50"/>
    <w:rsid w:val="00F901F8"/>
    <w:rsid w:val="00F90CDB"/>
    <w:rsid w:val="00F91330"/>
    <w:rsid w:val="00F91CC5"/>
    <w:rsid w:val="00F92894"/>
    <w:rsid w:val="00F92B22"/>
    <w:rsid w:val="00F936EC"/>
    <w:rsid w:val="00F94B96"/>
    <w:rsid w:val="00F95B06"/>
    <w:rsid w:val="00FA44B4"/>
    <w:rsid w:val="00FA659C"/>
    <w:rsid w:val="00FA6B0F"/>
    <w:rsid w:val="00FB31A6"/>
    <w:rsid w:val="00FB41D7"/>
    <w:rsid w:val="00FB4253"/>
    <w:rsid w:val="00FB68EF"/>
    <w:rsid w:val="00FB7A17"/>
    <w:rsid w:val="00FC09B2"/>
    <w:rsid w:val="00FC2102"/>
    <w:rsid w:val="00FC215E"/>
    <w:rsid w:val="00FC58EC"/>
    <w:rsid w:val="00FC7D3C"/>
    <w:rsid w:val="00FD032A"/>
    <w:rsid w:val="00FD0341"/>
    <w:rsid w:val="00FD0CC7"/>
    <w:rsid w:val="00FD0FD3"/>
    <w:rsid w:val="00FD2257"/>
    <w:rsid w:val="00FD2C1D"/>
    <w:rsid w:val="00FD5439"/>
    <w:rsid w:val="00FD58B4"/>
    <w:rsid w:val="00FD604C"/>
    <w:rsid w:val="00FD641E"/>
    <w:rsid w:val="00FE0CB4"/>
    <w:rsid w:val="00FE20E3"/>
    <w:rsid w:val="00FE46E0"/>
    <w:rsid w:val="00FE57D9"/>
    <w:rsid w:val="00FE598F"/>
    <w:rsid w:val="00FE5D12"/>
    <w:rsid w:val="00FE5F5F"/>
    <w:rsid w:val="00FE771A"/>
    <w:rsid w:val="00FF0F7E"/>
    <w:rsid w:val="00FF1345"/>
    <w:rsid w:val="00FF200F"/>
    <w:rsid w:val="00FF24E8"/>
    <w:rsid w:val="00FF275F"/>
    <w:rsid w:val="00FF4B97"/>
    <w:rsid w:val="00FF57BF"/>
    <w:rsid w:val="00FF59DC"/>
    <w:rsid w:val="00FF6275"/>
    <w:rsid w:val="00FF7284"/>
    <w:rsid w:val="00FF74D1"/>
    <w:rsid w:val="07D8A5BF"/>
    <w:rsid w:val="0B37593A"/>
    <w:rsid w:val="0C05F4C0"/>
    <w:rsid w:val="0ED46A1E"/>
    <w:rsid w:val="0F9955F2"/>
    <w:rsid w:val="1C57386E"/>
    <w:rsid w:val="1D56115A"/>
    <w:rsid w:val="1DE8CC89"/>
    <w:rsid w:val="1F38B240"/>
    <w:rsid w:val="1F3CF450"/>
    <w:rsid w:val="1FC9C320"/>
    <w:rsid w:val="2788F8F2"/>
    <w:rsid w:val="28978392"/>
    <w:rsid w:val="2A6FCBCF"/>
    <w:rsid w:val="2F6584BA"/>
    <w:rsid w:val="309C72C4"/>
    <w:rsid w:val="39EA6542"/>
    <w:rsid w:val="3DE31C6D"/>
    <w:rsid w:val="41F51BF7"/>
    <w:rsid w:val="480670F5"/>
    <w:rsid w:val="4998B3CA"/>
    <w:rsid w:val="4A3D07ED"/>
    <w:rsid w:val="4DA51264"/>
    <w:rsid w:val="5480AB09"/>
    <w:rsid w:val="556BA3D2"/>
    <w:rsid w:val="55FEADC0"/>
    <w:rsid w:val="5995F945"/>
    <w:rsid w:val="5995FDEC"/>
    <w:rsid w:val="59C7E421"/>
    <w:rsid w:val="6066E98E"/>
    <w:rsid w:val="60944754"/>
    <w:rsid w:val="6158033F"/>
    <w:rsid w:val="61E05724"/>
    <w:rsid w:val="71B15FA2"/>
    <w:rsid w:val="72F8633B"/>
    <w:rsid w:val="731ABE64"/>
    <w:rsid w:val="736CBD46"/>
    <w:rsid w:val="7406BED8"/>
    <w:rsid w:val="75FCA936"/>
    <w:rsid w:val="7F99FB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29067D"/>
  <w15:chartTrackingRefBased/>
  <w15:docId w15:val="{AF73C06E-8F63-42BA-B06B-9ED12F04D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21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C21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C21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21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21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21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21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21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21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1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C21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C21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21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21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21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21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21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2102"/>
    <w:rPr>
      <w:rFonts w:eastAsiaTheme="majorEastAsia" w:cstheme="majorBidi"/>
      <w:color w:val="272727" w:themeColor="text1" w:themeTint="D8"/>
    </w:rPr>
  </w:style>
  <w:style w:type="paragraph" w:styleId="Title">
    <w:name w:val="Title"/>
    <w:basedOn w:val="Normal"/>
    <w:next w:val="Normal"/>
    <w:link w:val="TitleChar"/>
    <w:uiPriority w:val="10"/>
    <w:qFormat/>
    <w:rsid w:val="00FC21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21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21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21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2102"/>
    <w:pPr>
      <w:spacing w:before="160"/>
      <w:jc w:val="center"/>
    </w:pPr>
    <w:rPr>
      <w:i/>
      <w:iCs/>
      <w:color w:val="404040" w:themeColor="text1" w:themeTint="BF"/>
    </w:rPr>
  </w:style>
  <w:style w:type="character" w:customStyle="1" w:styleId="QuoteChar">
    <w:name w:val="Quote Char"/>
    <w:basedOn w:val="DefaultParagraphFont"/>
    <w:link w:val="Quote"/>
    <w:uiPriority w:val="29"/>
    <w:rsid w:val="00FC2102"/>
    <w:rPr>
      <w:i/>
      <w:iCs/>
      <w:color w:val="404040" w:themeColor="text1" w:themeTint="BF"/>
    </w:rPr>
  </w:style>
  <w:style w:type="paragraph" w:styleId="ListParagraph">
    <w:name w:val="List Paragraph"/>
    <w:basedOn w:val="Normal"/>
    <w:uiPriority w:val="34"/>
    <w:qFormat/>
    <w:rsid w:val="00FC2102"/>
    <w:pPr>
      <w:ind w:left="720"/>
      <w:contextualSpacing/>
    </w:pPr>
  </w:style>
  <w:style w:type="character" w:styleId="IntenseEmphasis">
    <w:name w:val="Intense Emphasis"/>
    <w:basedOn w:val="DefaultParagraphFont"/>
    <w:uiPriority w:val="21"/>
    <w:qFormat/>
    <w:rsid w:val="00FC2102"/>
    <w:rPr>
      <w:i/>
      <w:iCs/>
      <w:color w:val="0F4761" w:themeColor="accent1" w:themeShade="BF"/>
    </w:rPr>
  </w:style>
  <w:style w:type="paragraph" w:styleId="IntenseQuote">
    <w:name w:val="Intense Quote"/>
    <w:basedOn w:val="Normal"/>
    <w:next w:val="Normal"/>
    <w:link w:val="IntenseQuoteChar"/>
    <w:uiPriority w:val="30"/>
    <w:qFormat/>
    <w:rsid w:val="00FC21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2102"/>
    <w:rPr>
      <w:i/>
      <w:iCs/>
      <w:color w:val="0F4761" w:themeColor="accent1" w:themeShade="BF"/>
    </w:rPr>
  </w:style>
  <w:style w:type="character" w:styleId="IntenseReference">
    <w:name w:val="Intense Reference"/>
    <w:basedOn w:val="DefaultParagraphFont"/>
    <w:uiPriority w:val="32"/>
    <w:qFormat/>
    <w:rsid w:val="00FC2102"/>
    <w:rPr>
      <w:b/>
      <w:bCs/>
      <w:smallCaps/>
      <w:color w:val="0F4761" w:themeColor="accent1" w:themeShade="BF"/>
      <w:spacing w:val="5"/>
    </w:rPr>
  </w:style>
  <w:style w:type="paragraph" w:styleId="Header">
    <w:name w:val="header"/>
    <w:basedOn w:val="Normal"/>
    <w:link w:val="HeaderChar"/>
    <w:uiPriority w:val="99"/>
    <w:unhideWhenUsed/>
    <w:rsid w:val="000E38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38CA"/>
  </w:style>
  <w:style w:type="paragraph" w:styleId="Footer">
    <w:name w:val="footer"/>
    <w:basedOn w:val="Normal"/>
    <w:link w:val="FooterChar"/>
    <w:uiPriority w:val="99"/>
    <w:unhideWhenUsed/>
    <w:rsid w:val="000E38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38CA"/>
  </w:style>
  <w:style w:type="paragraph" w:styleId="NormalWeb">
    <w:name w:val="Normal (Web)"/>
    <w:basedOn w:val="Normal"/>
    <w:uiPriority w:val="99"/>
    <w:unhideWhenUsed/>
    <w:rsid w:val="00AD1D98"/>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customStyle="1" w:styleId="uv3um">
    <w:name w:val="uv3um"/>
    <w:basedOn w:val="DefaultParagraphFont"/>
    <w:rsid w:val="00886F18"/>
  </w:style>
  <w:style w:type="character" w:styleId="Hyperlink">
    <w:name w:val="Hyperlink"/>
    <w:basedOn w:val="DefaultParagraphFont"/>
    <w:uiPriority w:val="99"/>
    <w:unhideWhenUsed/>
    <w:rsid w:val="003B38EA"/>
    <w:rPr>
      <w:color w:val="467886" w:themeColor="hyperlink"/>
      <w:u w:val="single"/>
    </w:rPr>
  </w:style>
  <w:style w:type="character" w:styleId="UnresolvedMention">
    <w:name w:val="Unresolved Mention"/>
    <w:basedOn w:val="DefaultParagraphFont"/>
    <w:uiPriority w:val="99"/>
    <w:semiHidden/>
    <w:unhideWhenUsed/>
    <w:rsid w:val="003B38EA"/>
    <w:rPr>
      <w:color w:val="605E5C"/>
      <w:shd w:val="clear" w:color="auto" w:fill="E1DFDD"/>
    </w:rPr>
  </w:style>
  <w:style w:type="table" w:styleId="TableGrid">
    <w:name w:val="Table Grid"/>
    <w:basedOn w:val="TableNormal"/>
    <w:uiPriority w:val="39"/>
    <w:rsid w:val="00790E6E"/>
    <w:pPr>
      <w:spacing w:after="0" w:line="240" w:lineRule="auto"/>
    </w:pPr>
    <w:tblPr>
      <w:tblInd w:w="148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D15D76"/>
    <w:pPr>
      <w:spacing w:after="0" w:line="240" w:lineRule="auto"/>
    </w:pPr>
    <w:rPr>
      <w:lang w:val="en-US" w:eastAsia="en-US"/>
    </w:rPr>
    <w:tblPr>
      <w:tblInd w:w="0" w:type="nil"/>
      <w:tblCellMar>
        <w:left w:w="0" w:type="dxa"/>
        <w:right w:w="0" w:type="dxa"/>
      </w:tblCellMar>
    </w:tblPr>
  </w:style>
  <w:style w:type="paragraph" w:styleId="TOCHeading">
    <w:name w:val="TOC Heading"/>
    <w:basedOn w:val="Heading1"/>
    <w:next w:val="Normal"/>
    <w:uiPriority w:val="39"/>
    <w:unhideWhenUsed/>
    <w:qFormat/>
    <w:rsid w:val="007F206C"/>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7F206C"/>
    <w:pPr>
      <w:spacing w:after="100"/>
    </w:pPr>
  </w:style>
  <w:style w:type="paragraph" w:styleId="TOC2">
    <w:name w:val="toc 2"/>
    <w:basedOn w:val="Normal"/>
    <w:next w:val="Normal"/>
    <w:autoRedefine/>
    <w:uiPriority w:val="39"/>
    <w:unhideWhenUsed/>
    <w:rsid w:val="007F206C"/>
    <w:pPr>
      <w:spacing w:after="100"/>
      <w:ind w:left="240"/>
    </w:pPr>
  </w:style>
  <w:style w:type="paragraph" w:styleId="TOC3">
    <w:name w:val="toc 3"/>
    <w:basedOn w:val="Normal"/>
    <w:next w:val="Normal"/>
    <w:autoRedefine/>
    <w:uiPriority w:val="39"/>
    <w:unhideWhenUsed/>
    <w:rsid w:val="007F206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593929">
      <w:bodyDiv w:val="1"/>
      <w:marLeft w:val="0"/>
      <w:marRight w:val="0"/>
      <w:marTop w:val="0"/>
      <w:marBottom w:val="0"/>
      <w:divBdr>
        <w:top w:val="none" w:sz="0" w:space="0" w:color="auto"/>
        <w:left w:val="none" w:sz="0" w:space="0" w:color="auto"/>
        <w:bottom w:val="none" w:sz="0" w:space="0" w:color="auto"/>
        <w:right w:val="none" w:sz="0" w:space="0" w:color="auto"/>
      </w:divBdr>
    </w:div>
    <w:div w:id="133062902">
      <w:bodyDiv w:val="1"/>
      <w:marLeft w:val="0"/>
      <w:marRight w:val="0"/>
      <w:marTop w:val="0"/>
      <w:marBottom w:val="0"/>
      <w:divBdr>
        <w:top w:val="none" w:sz="0" w:space="0" w:color="auto"/>
        <w:left w:val="none" w:sz="0" w:space="0" w:color="auto"/>
        <w:bottom w:val="none" w:sz="0" w:space="0" w:color="auto"/>
        <w:right w:val="none" w:sz="0" w:space="0" w:color="auto"/>
      </w:divBdr>
      <w:divsChild>
        <w:div w:id="1248154853">
          <w:marLeft w:val="547"/>
          <w:marRight w:val="0"/>
          <w:marTop w:val="134"/>
          <w:marBottom w:val="0"/>
          <w:divBdr>
            <w:top w:val="none" w:sz="0" w:space="0" w:color="auto"/>
            <w:left w:val="none" w:sz="0" w:space="0" w:color="auto"/>
            <w:bottom w:val="none" w:sz="0" w:space="0" w:color="auto"/>
            <w:right w:val="none" w:sz="0" w:space="0" w:color="auto"/>
          </w:divBdr>
        </w:div>
        <w:div w:id="1372149601">
          <w:marLeft w:val="547"/>
          <w:marRight w:val="0"/>
          <w:marTop w:val="134"/>
          <w:marBottom w:val="0"/>
          <w:divBdr>
            <w:top w:val="none" w:sz="0" w:space="0" w:color="auto"/>
            <w:left w:val="none" w:sz="0" w:space="0" w:color="auto"/>
            <w:bottom w:val="none" w:sz="0" w:space="0" w:color="auto"/>
            <w:right w:val="none" w:sz="0" w:space="0" w:color="auto"/>
          </w:divBdr>
        </w:div>
      </w:divsChild>
    </w:div>
    <w:div w:id="191917036">
      <w:bodyDiv w:val="1"/>
      <w:marLeft w:val="0"/>
      <w:marRight w:val="0"/>
      <w:marTop w:val="0"/>
      <w:marBottom w:val="0"/>
      <w:divBdr>
        <w:top w:val="none" w:sz="0" w:space="0" w:color="auto"/>
        <w:left w:val="none" w:sz="0" w:space="0" w:color="auto"/>
        <w:bottom w:val="none" w:sz="0" w:space="0" w:color="auto"/>
        <w:right w:val="none" w:sz="0" w:space="0" w:color="auto"/>
      </w:divBdr>
    </w:div>
    <w:div w:id="219944062">
      <w:bodyDiv w:val="1"/>
      <w:marLeft w:val="0"/>
      <w:marRight w:val="0"/>
      <w:marTop w:val="0"/>
      <w:marBottom w:val="0"/>
      <w:divBdr>
        <w:top w:val="none" w:sz="0" w:space="0" w:color="auto"/>
        <w:left w:val="none" w:sz="0" w:space="0" w:color="auto"/>
        <w:bottom w:val="none" w:sz="0" w:space="0" w:color="auto"/>
        <w:right w:val="none" w:sz="0" w:space="0" w:color="auto"/>
      </w:divBdr>
    </w:div>
    <w:div w:id="273682301">
      <w:bodyDiv w:val="1"/>
      <w:marLeft w:val="0"/>
      <w:marRight w:val="0"/>
      <w:marTop w:val="0"/>
      <w:marBottom w:val="0"/>
      <w:divBdr>
        <w:top w:val="none" w:sz="0" w:space="0" w:color="auto"/>
        <w:left w:val="none" w:sz="0" w:space="0" w:color="auto"/>
        <w:bottom w:val="none" w:sz="0" w:space="0" w:color="auto"/>
        <w:right w:val="none" w:sz="0" w:space="0" w:color="auto"/>
      </w:divBdr>
    </w:div>
    <w:div w:id="318047766">
      <w:bodyDiv w:val="1"/>
      <w:marLeft w:val="0"/>
      <w:marRight w:val="0"/>
      <w:marTop w:val="0"/>
      <w:marBottom w:val="0"/>
      <w:divBdr>
        <w:top w:val="none" w:sz="0" w:space="0" w:color="auto"/>
        <w:left w:val="none" w:sz="0" w:space="0" w:color="auto"/>
        <w:bottom w:val="none" w:sz="0" w:space="0" w:color="auto"/>
        <w:right w:val="none" w:sz="0" w:space="0" w:color="auto"/>
      </w:divBdr>
    </w:div>
    <w:div w:id="745297031">
      <w:bodyDiv w:val="1"/>
      <w:marLeft w:val="0"/>
      <w:marRight w:val="0"/>
      <w:marTop w:val="0"/>
      <w:marBottom w:val="0"/>
      <w:divBdr>
        <w:top w:val="none" w:sz="0" w:space="0" w:color="auto"/>
        <w:left w:val="none" w:sz="0" w:space="0" w:color="auto"/>
        <w:bottom w:val="none" w:sz="0" w:space="0" w:color="auto"/>
        <w:right w:val="none" w:sz="0" w:space="0" w:color="auto"/>
      </w:divBdr>
    </w:div>
    <w:div w:id="1157653365">
      <w:bodyDiv w:val="1"/>
      <w:marLeft w:val="0"/>
      <w:marRight w:val="0"/>
      <w:marTop w:val="0"/>
      <w:marBottom w:val="0"/>
      <w:divBdr>
        <w:top w:val="none" w:sz="0" w:space="0" w:color="auto"/>
        <w:left w:val="none" w:sz="0" w:space="0" w:color="auto"/>
        <w:bottom w:val="none" w:sz="0" w:space="0" w:color="auto"/>
        <w:right w:val="none" w:sz="0" w:space="0" w:color="auto"/>
      </w:divBdr>
    </w:div>
    <w:div w:id="1210145071">
      <w:bodyDiv w:val="1"/>
      <w:marLeft w:val="0"/>
      <w:marRight w:val="0"/>
      <w:marTop w:val="0"/>
      <w:marBottom w:val="0"/>
      <w:divBdr>
        <w:top w:val="none" w:sz="0" w:space="0" w:color="auto"/>
        <w:left w:val="none" w:sz="0" w:space="0" w:color="auto"/>
        <w:bottom w:val="none" w:sz="0" w:space="0" w:color="auto"/>
        <w:right w:val="none" w:sz="0" w:space="0" w:color="auto"/>
      </w:divBdr>
      <w:divsChild>
        <w:div w:id="137386839">
          <w:marLeft w:val="547"/>
          <w:marRight w:val="0"/>
          <w:marTop w:val="115"/>
          <w:marBottom w:val="0"/>
          <w:divBdr>
            <w:top w:val="none" w:sz="0" w:space="0" w:color="auto"/>
            <w:left w:val="none" w:sz="0" w:space="0" w:color="auto"/>
            <w:bottom w:val="none" w:sz="0" w:space="0" w:color="auto"/>
            <w:right w:val="none" w:sz="0" w:space="0" w:color="auto"/>
          </w:divBdr>
        </w:div>
        <w:div w:id="1500458874">
          <w:marLeft w:val="547"/>
          <w:marRight w:val="0"/>
          <w:marTop w:val="115"/>
          <w:marBottom w:val="0"/>
          <w:divBdr>
            <w:top w:val="none" w:sz="0" w:space="0" w:color="auto"/>
            <w:left w:val="none" w:sz="0" w:space="0" w:color="auto"/>
            <w:bottom w:val="none" w:sz="0" w:space="0" w:color="auto"/>
            <w:right w:val="none" w:sz="0" w:space="0" w:color="auto"/>
          </w:divBdr>
        </w:div>
      </w:divsChild>
    </w:div>
    <w:div w:id="1750345892">
      <w:bodyDiv w:val="1"/>
      <w:marLeft w:val="0"/>
      <w:marRight w:val="0"/>
      <w:marTop w:val="0"/>
      <w:marBottom w:val="0"/>
      <w:divBdr>
        <w:top w:val="none" w:sz="0" w:space="0" w:color="auto"/>
        <w:left w:val="none" w:sz="0" w:space="0" w:color="auto"/>
        <w:bottom w:val="none" w:sz="0" w:space="0" w:color="auto"/>
        <w:right w:val="none" w:sz="0" w:space="0" w:color="auto"/>
      </w:divBdr>
    </w:div>
    <w:div w:id="2083788772">
      <w:bodyDiv w:val="1"/>
      <w:marLeft w:val="0"/>
      <w:marRight w:val="0"/>
      <w:marTop w:val="0"/>
      <w:marBottom w:val="0"/>
      <w:divBdr>
        <w:top w:val="none" w:sz="0" w:space="0" w:color="auto"/>
        <w:left w:val="none" w:sz="0" w:space="0" w:color="auto"/>
        <w:bottom w:val="none" w:sz="0" w:space="0" w:color="auto"/>
        <w:right w:val="none" w:sz="0" w:space="0" w:color="auto"/>
      </w:divBdr>
    </w:div>
    <w:div w:id="2117823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mailto:2128581@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598B089-9F33-4030-8D12-41E8FE614739}">
  <we:reference id="wa104381727" version="1.0.1.0" store="en-US" storeType="OMEX"/>
  <we:alternateReferences>
    <we:reference id="wa104381727" version="1.0.1.0" store="wa104381727"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9CB07BF-B724-4FA1-80B3-F07A072145C4}">
  <ds:schemaRefs>
    <ds:schemaRef ds:uri="http://schemas.openxmlformats.org/officeDocument/2006/bibliography"/>
  </ds:schemaRefs>
</ds:datastoreItem>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Normal.dotm</Template>
  <TotalTime>469</TotalTime>
  <Pages>1</Pages>
  <Words>5272</Words>
  <Characters>30054</Characters>
  <Application>Microsoft Office Word</Application>
  <DocSecurity>4</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35256</CharactersWithSpaces>
  <SharedDoc>false</SharedDoc>
  <HLinks>
    <vt:vector size="210" baseType="variant">
      <vt:variant>
        <vt:i4>1966134</vt:i4>
      </vt:variant>
      <vt:variant>
        <vt:i4>203</vt:i4>
      </vt:variant>
      <vt:variant>
        <vt:i4>0</vt:i4>
      </vt:variant>
      <vt:variant>
        <vt:i4>5</vt:i4>
      </vt:variant>
      <vt:variant>
        <vt:lpwstr/>
      </vt:variant>
      <vt:variant>
        <vt:lpwstr>_Toc215232280</vt:lpwstr>
      </vt:variant>
      <vt:variant>
        <vt:i4>1114166</vt:i4>
      </vt:variant>
      <vt:variant>
        <vt:i4>197</vt:i4>
      </vt:variant>
      <vt:variant>
        <vt:i4>0</vt:i4>
      </vt:variant>
      <vt:variant>
        <vt:i4>5</vt:i4>
      </vt:variant>
      <vt:variant>
        <vt:lpwstr/>
      </vt:variant>
      <vt:variant>
        <vt:lpwstr>_Toc215232279</vt:lpwstr>
      </vt:variant>
      <vt:variant>
        <vt:i4>1114166</vt:i4>
      </vt:variant>
      <vt:variant>
        <vt:i4>191</vt:i4>
      </vt:variant>
      <vt:variant>
        <vt:i4>0</vt:i4>
      </vt:variant>
      <vt:variant>
        <vt:i4>5</vt:i4>
      </vt:variant>
      <vt:variant>
        <vt:lpwstr/>
      </vt:variant>
      <vt:variant>
        <vt:lpwstr>_Toc215232278</vt:lpwstr>
      </vt:variant>
      <vt:variant>
        <vt:i4>1114166</vt:i4>
      </vt:variant>
      <vt:variant>
        <vt:i4>185</vt:i4>
      </vt:variant>
      <vt:variant>
        <vt:i4>0</vt:i4>
      </vt:variant>
      <vt:variant>
        <vt:i4>5</vt:i4>
      </vt:variant>
      <vt:variant>
        <vt:lpwstr/>
      </vt:variant>
      <vt:variant>
        <vt:lpwstr>_Toc215232277</vt:lpwstr>
      </vt:variant>
      <vt:variant>
        <vt:i4>1114166</vt:i4>
      </vt:variant>
      <vt:variant>
        <vt:i4>179</vt:i4>
      </vt:variant>
      <vt:variant>
        <vt:i4>0</vt:i4>
      </vt:variant>
      <vt:variant>
        <vt:i4>5</vt:i4>
      </vt:variant>
      <vt:variant>
        <vt:lpwstr/>
      </vt:variant>
      <vt:variant>
        <vt:lpwstr>_Toc215232276</vt:lpwstr>
      </vt:variant>
      <vt:variant>
        <vt:i4>1114166</vt:i4>
      </vt:variant>
      <vt:variant>
        <vt:i4>173</vt:i4>
      </vt:variant>
      <vt:variant>
        <vt:i4>0</vt:i4>
      </vt:variant>
      <vt:variant>
        <vt:i4>5</vt:i4>
      </vt:variant>
      <vt:variant>
        <vt:lpwstr/>
      </vt:variant>
      <vt:variant>
        <vt:lpwstr>_Toc215232275</vt:lpwstr>
      </vt:variant>
      <vt:variant>
        <vt:i4>1114166</vt:i4>
      </vt:variant>
      <vt:variant>
        <vt:i4>167</vt:i4>
      </vt:variant>
      <vt:variant>
        <vt:i4>0</vt:i4>
      </vt:variant>
      <vt:variant>
        <vt:i4>5</vt:i4>
      </vt:variant>
      <vt:variant>
        <vt:lpwstr/>
      </vt:variant>
      <vt:variant>
        <vt:lpwstr>_Toc215232274</vt:lpwstr>
      </vt:variant>
      <vt:variant>
        <vt:i4>1114166</vt:i4>
      </vt:variant>
      <vt:variant>
        <vt:i4>161</vt:i4>
      </vt:variant>
      <vt:variant>
        <vt:i4>0</vt:i4>
      </vt:variant>
      <vt:variant>
        <vt:i4>5</vt:i4>
      </vt:variant>
      <vt:variant>
        <vt:lpwstr/>
      </vt:variant>
      <vt:variant>
        <vt:lpwstr>_Toc215232273</vt:lpwstr>
      </vt:variant>
      <vt:variant>
        <vt:i4>1114166</vt:i4>
      </vt:variant>
      <vt:variant>
        <vt:i4>155</vt:i4>
      </vt:variant>
      <vt:variant>
        <vt:i4>0</vt:i4>
      </vt:variant>
      <vt:variant>
        <vt:i4>5</vt:i4>
      </vt:variant>
      <vt:variant>
        <vt:lpwstr/>
      </vt:variant>
      <vt:variant>
        <vt:lpwstr>_Toc215232272</vt:lpwstr>
      </vt:variant>
      <vt:variant>
        <vt:i4>1114166</vt:i4>
      </vt:variant>
      <vt:variant>
        <vt:i4>149</vt:i4>
      </vt:variant>
      <vt:variant>
        <vt:i4>0</vt:i4>
      </vt:variant>
      <vt:variant>
        <vt:i4>5</vt:i4>
      </vt:variant>
      <vt:variant>
        <vt:lpwstr/>
      </vt:variant>
      <vt:variant>
        <vt:lpwstr>_Toc215232271</vt:lpwstr>
      </vt:variant>
      <vt:variant>
        <vt:i4>1114166</vt:i4>
      </vt:variant>
      <vt:variant>
        <vt:i4>143</vt:i4>
      </vt:variant>
      <vt:variant>
        <vt:i4>0</vt:i4>
      </vt:variant>
      <vt:variant>
        <vt:i4>5</vt:i4>
      </vt:variant>
      <vt:variant>
        <vt:lpwstr/>
      </vt:variant>
      <vt:variant>
        <vt:lpwstr>_Toc215232270</vt:lpwstr>
      </vt:variant>
      <vt:variant>
        <vt:i4>1048630</vt:i4>
      </vt:variant>
      <vt:variant>
        <vt:i4>137</vt:i4>
      </vt:variant>
      <vt:variant>
        <vt:i4>0</vt:i4>
      </vt:variant>
      <vt:variant>
        <vt:i4>5</vt:i4>
      </vt:variant>
      <vt:variant>
        <vt:lpwstr/>
      </vt:variant>
      <vt:variant>
        <vt:lpwstr>_Toc215232269</vt:lpwstr>
      </vt:variant>
      <vt:variant>
        <vt:i4>1048630</vt:i4>
      </vt:variant>
      <vt:variant>
        <vt:i4>131</vt:i4>
      </vt:variant>
      <vt:variant>
        <vt:i4>0</vt:i4>
      </vt:variant>
      <vt:variant>
        <vt:i4>5</vt:i4>
      </vt:variant>
      <vt:variant>
        <vt:lpwstr/>
      </vt:variant>
      <vt:variant>
        <vt:lpwstr>_Toc215232268</vt:lpwstr>
      </vt:variant>
      <vt:variant>
        <vt:i4>1048630</vt:i4>
      </vt:variant>
      <vt:variant>
        <vt:i4>125</vt:i4>
      </vt:variant>
      <vt:variant>
        <vt:i4>0</vt:i4>
      </vt:variant>
      <vt:variant>
        <vt:i4>5</vt:i4>
      </vt:variant>
      <vt:variant>
        <vt:lpwstr/>
      </vt:variant>
      <vt:variant>
        <vt:lpwstr>_Toc215232267</vt:lpwstr>
      </vt:variant>
      <vt:variant>
        <vt:i4>1048630</vt:i4>
      </vt:variant>
      <vt:variant>
        <vt:i4>119</vt:i4>
      </vt:variant>
      <vt:variant>
        <vt:i4>0</vt:i4>
      </vt:variant>
      <vt:variant>
        <vt:i4>5</vt:i4>
      </vt:variant>
      <vt:variant>
        <vt:lpwstr/>
      </vt:variant>
      <vt:variant>
        <vt:lpwstr>_Toc215232266</vt:lpwstr>
      </vt:variant>
      <vt:variant>
        <vt:i4>1048630</vt:i4>
      </vt:variant>
      <vt:variant>
        <vt:i4>113</vt:i4>
      </vt:variant>
      <vt:variant>
        <vt:i4>0</vt:i4>
      </vt:variant>
      <vt:variant>
        <vt:i4>5</vt:i4>
      </vt:variant>
      <vt:variant>
        <vt:lpwstr/>
      </vt:variant>
      <vt:variant>
        <vt:lpwstr>_Toc215232265</vt:lpwstr>
      </vt:variant>
      <vt:variant>
        <vt:i4>1048630</vt:i4>
      </vt:variant>
      <vt:variant>
        <vt:i4>107</vt:i4>
      </vt:variant>
      <vt:variant>
        <vt:i4>0</vt:i4>
      </vt:variant>
      <vt:variant>
        <vt:i4>5</vt:i4>
      </vt:variant>
      <vt:variant>
        <vt:lpwstr/>
      </vt:variant>
      <vt:variant>
        <vt:lpwstr>_Toc215232264</vt:lpwstr>
      </vt:variant>
      <vt:variant>
        <vt:i4>1048630</vt:i4>
      </vt:variant>
      <vt:variant>
        <vt:i4>101</vt:i4>
      </vt:variant>
      <vt:variant>
        <vt:i4>0</vt:i4>
      </vt:variant>
      <vt:variant>
        <vt:i4>5</vt:i4>
      </vt:variant>
      <vt:variant>
        <vt:lpwstr/>
      </vt:variant>
      <vt:variant>
        <vt:lpwstr>_Toc215232263</vt:lpwstr>
      </vt:variant>
      <vt:variant>
        <vt:i4>1048630</vt:i4>
      </vt:variant>
      <vt:variant>
        <vt:i4>95</vt:i4>
      </vt:variant>
      <vt:variant>
        <vt:i4>0</vt:i4>
      </vt:variant>
      <vt:variant>
        <vt:i4>5</vt:i4>
      </vt:variant>
      <vt:variant>
        <vt:lpwstr/>
      </vt:variant>
      <vt:variant>
        <vt:lpwstr>_Toc215232262</vt:lpwstr>
      </vt:variant>
      <vt:variant>
        <vt:i4>1048630</vt:i4>
      </vt:variant>
      <vt:variant>
        <vt:i4>89</vt:i4>
      </vt:variant>
      <vt:variant>
        <vt:i4>0</vt:i4>
      </vt:variant>
      <vt:variant>
        <vt:i4>5</vt:i4>
      </vt:variant>
      <vt:variant>
        <vt:lpwstr/>
      </vt:variant>
      <vt:variant>
        <vt:lpwstr>_Toc215232261</vt:lpwstr>
      </vt:variant>
      <vt:variant>
        <vt:i4>1048630</vt:i4>
      </vt:variant>
      <vt:variant>
        <vt:i4>83</vt:i4>
      </vt:variant>
      <vt:variant>
        <vt:i4>0</vt:i4>
      </vt:variant>
      <vt:variant>
        <vt:i4>5</vt:i4>
      </vt:variant>
      <vt:variant>
        <vt:lpwstr/>
      </vt:variant>
      <vt:variant>
        <vt:lpwstr>_Toc215232260</vt:lpwstr>
      </vt:variant>
      <vt:variant>
        <vt:i4>1245238</vt:i4>
      </vt:variant>
      <vt:variant>
        <vt:i4>77</vt:i4>
      </vt:variant>
      <vt:variant>
        <vt:i4>0</vt:i4>
      </vt:variant>
      <vt:variant>
        <vt:i4>5</vt:i4>
      </vt:variant>
      <vt:variant>
        <vt:lpwstr/>
      </vt:variant>
      <vt:variant>
        <vt:lpwstr>_Toc215232259</vt:lpwstr>
      </vt:variant>
      <vt:variant>
        <vt:i4>1245238</vt:i4>
      </vt:variant>
      <vt:variant>
        <vt:i4>71</vt:i4>
      </vt:variant>
      <vt:variant>
        <vt:i4>0</vt:i4>
      </vt:variant>
      <vt:variant>
        <vt:i4>5</vt:i4>
      </vt:variant>
      <vt:variant>
        <vt:lpwstr/>
      </vt:variant>
      <vt:variant>
        <vt:lpwstr>_Toc215232258</vt:lpwstr>
      </vt:variant>
      <vt:variant>
        <vt:i4>1245238</vt:i4>
      </vt:variant>
      <vt:variant>
        <vt:i4>65</vt:i4>
      </vt:variant>
      <vt:variant>
        <vt:i4>0</vt:i4>
      </vt:variant>
      <vt:variant>
        <vt:i4>5</vt:i4>
      </vt:variant>
      <vt:variant>
        <vt:lpwstr/>
      </vt:variant>
      <vt:variant>
        <vt:lpwstr>_Toc215232257</vt:lpwstr>
      </vt:variant>
      <vt:variant>
        <vt:i4>1245238</vt:i4>
      </vt:variant>
      <vt:variant>
        <vt:i4>59</vt:i4>
      </vt:variant>
      <vt:variant>
        <vt:i4>0</vt:i4>
      </vt:variant>
      <vt:variant>
        <vt:i4>5</vt:i4>
      </vt:variant>
      <vt:variant>
        <vt:lpwstr/>
      </vt:variant>
      <vt:variant>
        <vt:lpwstr>_Toc215232256</vt:lpwstr>
      </vt:variant>
      <vt:variant>
        <vt:i4>1245238</vt:i4>
      </vt:variant>
      <vt:variant>
        <vt:i4>53</vt:i4>
      </vt:variant>
      <vt:variant>
        <vt:i4>0</vt:i4>
      </vt:variant>
      <vt:variant>
        <vt:i4>5</vt:i4>
      </vt:variant>
      <vt:variant>
        <vt:lpwstr/>
      </vt:variant>
      <vt:variant>
        <vt:lpwstr>_Toc215232255</vt:lpwstr>
      </vt:variant>
      <vt:variant>
        <vt:i4>1245238</vt:i4>
      </vt:variant>
      <vt:variant>
        <vt:i4>47</vt:i4>
      </vt:variant>
      <vt:variant>
        <vt:i4>0</vt:i4>
      </vt:variant>
      <vt:variant>
        <vt:i4>5</vt:i4>
      </vt:variant>
      <vt:variant>
        <vt:lpwstr/>
      </vt:variant>
      <vt:variant>
        <vt:lpwstr>_Toc215232254</vt:lpwstr>
      </vt:variant>
      <vt:variant>
        <vt:i4>1245238</vt:i4>
      </vt:variant>
      <vt:variant>
        <vt:i4>41</vt:i4>
      </vt:variant>
      <vt:variant>
        <vt:i4>0</vt:i4>
      </vt:variant>
      <vt:variant>
        <vt:i4>5</vt:i4>
      </vt:variant>
      <vt:variant>
        <vt:lpwstr/>
      </vt:variant>
      <vt:variant>
        <vt:lpwstr>_Toc215232253</vt:lpwstr>
      </vt:variant>
      <vt:variant>
        <vt:i4>1245238</vt:i4>
      </vt:variant>
      <vt:variant>
        <vt:i4>35</vt:i4>
      </vt:variant>
      <vt:variant>
        <vt:i4>0</vt:i4>
      </vt:variant>
      <vt:variant>
        <vt:i4>5</vt:i4>
      </vt:variant>
      <vt:variant>
        <vt:lpwstr/>
      </vt:variant>
      <vt:variant>
        <vt:lpwstr>_Toc215232252</vt:lpwstr>
      </vt:variant>
      <vt:variant>
        <vt:i4>1245238</vt:i4>
      </vt:variant>
      <vt:variant>
        <vt:i4>29</vt:i4>
      </vt:variant>
      <vt:variant>
        <vt:i4>0</vt:i4>
      </vt:variant>
      <vt:variant>
        <vt:i4>5</vt:i4>
      </vt:variant>
      <vt:variant>
        <vt:lpwstr/>
      </vt:variant>
      <vt:variant>
        <vt:lpwstr>_Toc215232251</vt:lpwstr>
      </vt:variant>
      <vt:variant>
        <vt:i4>1245238</vt:i4>
      </vt:variant>
      <vt:variant>
        <vt:i4>23</vt:i4>
      </vt:variant>
      <vt:variant>
        <vt:i4>0</vt:i4>
      </vt:variant>
      <vt:variant>
        <vt:i4>5</vt:i4>
      </vt:variant>
      <vt:variant>
        <vt:lpwstr/>
      </vt:variant>
      <vt:variant>
        <vt:lpwstr>_Toc215232250</vt:lpwstr>
      </vt:variant>
      <vt:variant>
        <vt:i4>1179702</vt:i4>
      </vt:variant>
      <vt:variant>
        <vt:i4>17</vt:i4>
      </vt:variant>
      <vt:variant>
        <vt:i4>0</vt:i4>
      </vt:variant>
      <vt:variant>
        <vt:i4>5</vt:i4>
      </vt:variant>
      <vt:variant>
        <vt:lpwstr/>
      </vt:variant>
      <vt:variant>
        <vt:lpwstr>_Toc215232249</vt:lpwstr>
      </vt:variant>
      <vt:variant>
        <vt:i4>1179702</vt:i4>
      </vt:variant>
      <vt:variant>
        <vt:i4>11</vt:i4>
      </vt:variant>
      <vt:variant>
        <vt:i4>0</vt:i4>
      </vt:variant>
      <vt:variant>
        <vt:i4>5</vt:i4>
      </vt:variant>
      <vt:variant>
        <vt:lpwstr/>
      </vt:variant>
      <vt:variant>
        <vt:lpwstr>_Toc215232248</vt:lpwstr>
      </vt:variant>
      <vt:variant>
        <vt:i4>1179702</vt:i4>
      </vt:variant>
      <vt:variant>
        <vt:i4>5</vt:i4>
      </vt:variant>
      <vt:variant>
        <vt:i4>0</vt:i4>
      </vt:variant>
      <vt:variant>
        <vt:i4>5</vt:i4>
      </vt:variant>
      <vt:variant>
        <vt:lpwstr/>
      </vt:variant>
      <vt:variant>
        <vt:lpwstr>_Toc215232247</vt:lpwstr>
      </vt:variant>
      <vt:variant>
        <vt:i4>3145815</vt:i4>
      </vt:variant>
      <vt:variant>
        <vt:i4>0</vt:i4>
      </vt:variant>
      <vt:variant>
        <vt:i4>0</vt:i4>
      </vt:variant>
      <vt:variant>
        <vt:i4>5</vt:i4>
      </vt:variant>
      <vt:variant>
        <vt:lpwstr>mailto:2128581@student.uwtsd.ac.uk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Nomathemba Socikwa (2128581)</dc:creator>
  <cp:keywords/>
  <dc:description/>
  <cp:lastModifiedBy>Nomathemba Socikwa (2128581)</cp:lastModifiedBy>
  <cp:revision>335</cp:revision>
  <dcterms:created xsi:type="dcterms:W3CDTF">2025-07-20T04:02:00Z</dcterms:created>
  <dcterms:modified xsi:type="dcterms:W3CDTF">2025-11-28T14:23:00Z</dcterms:modified>
</cp:coreProperties>
</file>