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8D2D3A" w14:textId="77777777" w:rsidR="00DC6DD7" w:rsidRDefault="00DC6DD7" w:rsidP="00DC6DD7">
      <w:pPr>
        <w:jc w:val="center"/>
        <w:rPr>
          <w:sz w:val="34"/>
          <w:szCs w:val="34"/>
        </w:rPr>
      </w:pPr>
      <w:r>
        <w:rPr>
          <w:noProof/>
        </w:rPr>
        <w:drawing>
          <wp:inline distT="0" distB="0" distL="0" distR="0" wp14:anchorId="6B5A8A54" wp14:editId="620668FE">
            <wp:extent cx="2816225" cy="673100"/>
            <wp:effectExtent l="0" t="0" r="0" b="0"/>
            <wp:docPr id="555234785"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234785" name="Picture 1" descr="A black background with white text&#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16225" cy="673100"/>
                    </a:xfrm>
                    <a:prstGeom prst="rect">
                      <a:avLst/>
                    </a:prstGeom>
                    <a:noFill/>
                    <a:ln>
                      <a:noFill/>
                    </a:ln>
                  </pic:spPr>
                </pic:pic>
              </a:graphicData>
            </a:graphic>
          </wp:inline>
        </w:drawing>
      </w:r>
    </w:p>
    <w:p w14:paraId="620CCD5B" w14:textId="77777777" w:rsidR="00DC6DD7" w:rsidRPr="009C063A" w:rsidRDefault="00DC6DD7" w:rsidP="00DC6DD7">
      <w:pPr>
        <w:jc w:val="center"/>
        <w:rPr>
          <w:sz w:val="38"/>
          <w:szCs w:val="38"/>
        </w:rPr>
      </w:pPr>
      <w:r w:rsidRPr="009C063A">
        <w:rPr>
          <w:sz w:val="38"/>
          <w:szCs w:val="38"/>
        </w:rPr>
        <w:t>Master of Business Administration</w:t>
      </w:r>
    </w:p>
    <w:p w14:paraId="202EFA3F" w14:textId="77777777" w:rsidR="00DC6DD7" w:rsidRPr="009C063A" w:rsidRDefault="00DC6DD7" w:rsidP="00DC6DD7">
      <w:pPr>
        <w:jc w:val="center"/>
        <w:rPr>
          <w:sz w:val="32"/>
          <w:szCs w:val="32"/>
        </w:rPr>
      </w:pPr>
      <w:r w:rsidRPr="009C063A">
        <w:rPr>
          <w:sz w:val="32"/>
          <w:szCs w:val="32"/>
        </w:rPr>
        <w:t>International Business pathway</w:t>
      </w:r>
    </w:p>
    <w:p w14:paraId="454302BA" w14:textId="77777777" w:rsidR="00DC6DD7" w:rsidRDefault="00DC6DD7" w:rsidP="00DC6DD7">
      <w:pPr>
        <w:jc w:val="center"/>
        <w:rPr>
          <w:sz w:val="28"/>
          <w:szCs w:val="28"/>
        </w:rPr>
      </w:pPr>
    </w:p>
    <w:p w14:paraId="36CC6A1E" w14:textId="77777777" w:rsidR="00DC6DD7" w:rsidRDefault="00DC6DD7" w:rsidP="00DC6DD7">
      <w:pPr>
        <w:jc w:val="center"/>
        <w:rPr>
          <w:sz w:val="28"/>
          <w:szCs w:val="28"/>
        </w:rPr>
      </w:pPr>
      <w:r>
        <w:rPr>
          <w:noProof/>
          <w:sz w:val="28"/>
          <w:szCs w:val="28"/>
        </w:rPr>
        <w:drawing>
          <wp:inline distT="0" distB="0" distL="0" distR="0" wp14:anchorId="53E78819" wp14:editId="2AF6C093">
            <wp:extent cx="2257425" cy="2257425"/>
            <wp:effectExtent l="0" t="0" r="9525" b="9525"/>
            <wp:docPr id="732040943"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040943" name="Picture 3" descr="A screenshot of a computer&#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57425" cy="2257425"/>
                    </a:xfrm>
                    <a:prstGeom prst="rect">
                      <a:avLst/>
                    </a:prstGeom>
                    <a:noFill/>
                    <a:ln>
                      <a:noFill/>
                    </a:ln>
                  </pic:spPr>
                </pic:pic>
              </a:graphicData>
            </a:graphic>
          </wp:inline>
        </w:drawing>
      </w:r>
    </w:p>
    <w:p w14:paraId="3397C74D" w14:textId="77777777" w:rsidR="00DC6DD7" w:rsidRDefault="00DC6DD7" w:rsidP="00DC6DD7">
      <w:pPr>
        <w:jc w:val="center"/>
        <w:rPr>
          <w:sz w:val="28"/>
          <w:szCs w:val="28"/>
        </w:rPr>
      </w:pPr>
    </w:p>
    <w:p w14:paraId="5B0FE4DA" w14:textId="77777777" w:rsidR="00DC6DD7" w:rsidRPr="00DC6DD7" w:rsidRDefault="00DC6DD7" w:rsidP="00DC6DD7">
      <w:pPr>
        <w:jc w:val="center"/>
        <w:rPr>
          <w:rFonts w:ascii="Arial" w:hAnsi="Arial" w:cs="Arial"/>
          <w:color w:val="EE0000"/>
          <w:sz w:val="32"/>
          <w:szCs w:val="32"/>
        </w:rPr>
      </w:pPr>
      <w:r w:rsidRPr="00DC6DD7">
        <w:rPr>
          <w:rFonts w:ascii="Arial" w:hAnsi="Arial" w:cs="Arial"/>
          <w:b/>
          <w:bCs/>
          <w:color w:val="EE0000"/>
          <w:sz w:val="48"/>
          <w:szCs w:val="48"/>
        </w:rPr>
        <w:t>Contemporary employability skills</w:t>
      </w:r>
    </w:p>
    <w:p w14:paraId="0BCB64E0" w14:textId="77777777" w:rsidR="00DC6DD7" w:rsidRDefault="00DC6DD7" w:rsidP="00DC6DD7">
      <w:pPr>
        <w:jc w:val="center"/>
        <w:rPr>
          <w:rFonts w:ascii="Arial" w:hAnsi="Arial" w:cs="Arial"/>
          <w:color w:val="EE0000"/>
          <w:sz w:val="28"/>
          <w:szCs w:val="28"/>
        </w:rPr>
      </w:pPr>
      <w:r w:rsidRPr="00DC6DD7">
        <w:rPr>
          <w:rFonts w:ascii="Arial" w:hAnsi="Arial" w:cs="Arial"/>
          <w:sz w:val="28"/>
          <w:szCs w:val="28"/>
        </w:rPr>
        <w:t xml:space="preserve">Assessment </w:t>
      </w:r>
      <w:r w:rsidRPr="00DC6DD7">
        <w:rPr>
          <w:rFonts w:ascii="Arial" w:hAnsi="Arial" w:cs="Arial"/>
          <w:color w:val="EE0000"/>
          <w:sz w:val="28"/>
          <w:szCs w:val="28"/>
        </w:rPr>
        <w:t>1: Individual report</w:t>
      </w:r>
      <w:r w:rsidRPr="00DC6DD7">
        <w:rPr>
          <w:rFonts w:ascii="Arial" w:hAnsi="Arial" w:cs="Arial"/>
          <w:sz w:val="28"/>
          <w:szCs w:val="28"/>
        </w:rPr>
        <w:t xml:space="preserve">. Weight: </w:t>
      </w:r>
      <w:r w:rsidRPr="00DC6DD7">
        <w:rPr>
          <w:rFonts w:ascii="Arial" w:hAnsi="Arial" w:cs="Arial"/>
          <w:color w:val="EE0000"/>
          <w:sz w:val="28"/>
          <w:szCs w:val="28"/>
        </w:rPr>
        <w:t>50%</w:t>
      </w:r>
    </w:p>
    <w:p w14:paraId="41F25FA4" w14:textId="77777777" w:rsidR="00D617B9" w:rsidRPr="00DC6DD7" w:rsidRDefault="00D617B9" w:rsidP="00DC6DD7">
      <w:pPr>
        <w:jc w:val="center"/>
        <w:rPr>
          <w:rFonts w:ascii="Arial" w:hAnsi="Arial" w:cs="Arial"/>
          <w:sz w:val="28"/>
          <w:szCs w:val="28"/>
        </w:rPr>
      </w:pPr>
    </w:p>
    <w:p w14:paraId="14E9AB83" w14:textId="4E2958E2" w:rsidR="00DC6DD7" w:rsidRPr="00D617B9" w:rsidRDefault="00DC6DD7" w:rsidP="00DC6DD7">
      <w:pPr>
        <w:rPr>
          <w:rFonts w:ascii="Arial" w:hAnsi="Arial" w:cs="Arial"/>
          <w:sz w:val="32"/>
          <w:szCs w:val="32"/>
        </w:rPr>
      </w:pPr>
      <w:r w:rsidRPr="00D617B9">
        <w:rPr>
          <w:rFonts w:ascii="Arial" w:hAnsi="Arial" w:cs="Arial"/>
          <w:b/>
          <w:bCs/>
          <w:sz w:val="32"/>
          <w:szCs w:val="32"/>
        </w:rPr>
        <w:t>Module name:</w:t>
      </w:r>
      <w:r w:rsidRPr="00D617B9">
        <w:rPr>
          <w:rFonts w:ascii="Arial" w:hAnsi="Arial" w:cs="Arial"/>
          <w:b/>
          <w:bCs/>
          <w:sz w:val="32"/>
          <w:szCs w:val="32"/>
        </w:rPr>
        <w:t xml:space="preserve"> Strategic Management</w:t>
      </w:r>
    </w:p>
    <w:p w14:paraId="636574AA" w14:textId="066B068D" w:rsidR="00DC6DD7" w:rsidRPr="00D617B9" w:rsidRDefault="00DC6DD7" w:rsidP="00DC6DD7">
      <w:pPr>
        <w:rPr>
          <w:rFonts w:ascii="Arial" w:hAnsi="Arial" w:cs="Arial"/>
          <w:b/>
          <w:bCs/>
          <w:sz w:val="32"/>
          <w:szCs w:val="32"/>
        </w:rPr>
      </w:pPr>
      <w:r w:rsidRPr="00D617B9">
        <w:rPr>
          <w:rFonts w:ascii="Arial" w:hAnsi="Arial" w:cs="Arial"/>
          <w:b/>
          <w:bCs/>
          <w:sz w:val="32"/>
          <w:szCs w:val="32"/>
        </w:rPr>
        <w:t>Module code</w:t>
      </w:r>
      <w:r w:rsidRPr="00D617B9">
        <w:rPr>
          <w:rFonts w:ascii="Arial" w:hAnsi="Arial" w:cs="Arial"/>
          <w:sz w:val="32"/>
          <w:szCs w:val="32"/>
        </w:rPr>
        <w:t>:</w:t>
      </w:r>
      <w:r w:rsidRPr="00D617B9">
        <w:rPr>
          <w:rFonts w:ascii="Arial" w:hAnsi="Arial" w:cs="Arial"/>
          <w:sz w:val="32"/>
          <w:szCs w:val="32"/>
        </w:rPr>
        <w:t xml:space="preserve"> </w:t>
      </w:r>
      <w:r w:rsidRPr="00D617B9">
        <w:rPr>
          <w:rFonts w:ascii="Arial" w:hAnsi="Arial" w:cs="Arial"/>
          <w:b/>
          <w:bCs/>
          <w:sz w:val="32"/>
          <w:szCs w:val="32"/>
        </w:rPr>
        <w:t>LCMB7003</w:t>
      </w:r>
    </w:p>
    <w:p w14:paraId="6C6B6112" w14:textId="54576446" w:rsidR="00D617B9" w:rsidRPr="00D617B9" w:rsidRDefault="00DC6DD7" w:rsidP="00D617B9">
      <w:pPr>
        <w:pStyle w:val="p1"/>
        <w:rPr>
          <w:sz w:val="32"/>
          <w:szCs w:val="32"/>
        </w:rPr>
      </w:pPr>
      <w:r w:rsidRPr="00D617B9">
        <w:rPr>
          <w:b/>
          <w:bCs/>
          <w:sz w:val="32"/>
          <w:szCs w:val="32"/>
        </w:rPr>
        <w:t xml:space="preserve">Lecturer name: </w:t>
      </w:r>
      <w:r w:rsidR="00D617B9" w:rsidRPr="00D617B9">
        <w:rPr>
          <w:b/>
          <w:bCs/>
          <w:sz w:val="32"/>
          <w:szCs w:val="32"/>
        </w:rPr>
        <w:t xml:space="preserve">Dr. </w:t>
      </w:r>
      <w:r w:rsidR="00D617B9" w:rsidRPr="00D617B9">
        <w:rPr>
          <w:b/>
          <w:bCs/>
          <w:sz w:val="32"/>
          <w:szCs w:val="32"/>
        </w:rPr>
        <w:t>Hoang</w:t>
      </w:r>
      <w:r w:rsidR="00D617B9">
        <w:rPr>
          <w:b/>
          <w:bCs/>
          <w:sz w:val="32"/>
          <w:szCs w:val="32"/>
        </w:rPr>
        <w:t xml:space="preserve"> Dang</w:t>
      </w:r>
      <w:r w:rsidR="00D617B9" w:rsidRPr="00D617B9">
        <w:rPr>
          <w:b/>
          <w:bCs/>
          <w:sz w:val="32"/>
          <w:szCs w:val="32"/>
        </w:rPr>
        <w:t xml:space="preserve"> Nguyen</w:t>
      </w:r>
    </w:p>
    <w:p w14:paraId="463980D0" w14:textId="6E77DECE" w:rsidR="00DC6DD7" w:rsidRPr="00D617B9" w:rsidRDefault="00DC6DD7" w:rsidP="00DC6DD7">
      <w:pPr>
        <w:rPr>
          <w:rFonts w:ascii="Arial" w:hAnsi="Arial" w:cs="Arial"/>
          <w:b/>
          <w:bCs/>
          <w:sz w:val="32"/>
          <w:szCs w:val="32"/>
        </w:rPr>
      </w:pPr>
    </w:p>
    <w:p w14:paraId="270F8A59" w14:textId="77777777" w:rsidR="00DC6DD7" w:rsidRPr="00D617B9" w:rsidRDefault="00DC6DD7" w:rsidP="00DC6DD7">
      <w:pPr>
        <w:rPr>
          <w:rFonts w:ascii="Arial" w:hAnsi="Arial" w:cs="Arial"/>
          <w:b/>
          <w:bCs/>
          <w:sz w:val="32"/>
          <w:szCs w:val="32"/>
        </w:rPr>
      </w:pPr>
    </w:p>
    <w:p w14:paraId="1A3B498F" w14:textId="681A0489" w:rsidR="00DC6DD7" w:rsidRPr="00D617B9" w:rsidRDefault="00DC6DD7" w:rsidP="00DC6DD7">
      <w:pPr>
        <w:rPr>
          <w:rFonts w:ascii="Arial" w:hAnsi="Arial" w:cs="Arial"/>
          <w:b/>
          <w:bCs/>
          <w:sz w:val="32"/>
          <w:szCs w:val="32"/>
        </w:rPr>
      </w:pPr>
      <w:r w:rsidRPr="00D617B9">
        <w:rPr>
          <w:rFonts w:ascii="Arial" w:hAnsi="Arial" w:cs="Arial"/>
          <w:b/>
          <w:bCs/>
          <w:sz w:val="32"/>
          <w:szCs w:val="32"/>
        </w:rPr>
        <w:t>Student name:</w:t>
      </w:r>
      <w:r w:rsidRPr="00D617B9">
        <w:rPr>
          <w:rFonts w:ascii="Arial" w:hAnsi="Arial" w:cs="Arial"/>
          <w:b/>
          <w:bCs/>
          <w:sz w:val="32"/>
          <w:szCs w:val="32"/>
        </w:rPr>
        <w:t xml:space="preserve"> Yagnik Nayak</w:t>
      </w:r>
    </w:p>
    <w:p w14:paraId="6F81A287" w14:textId="6EA84A47" w:rsidR="00DC6DD7" w:rsidRPr="00D617B9" w:rsidRDefault="00DC6DD7" w:rsidP="00DC6DD7">
      <w:pPr>
        <w:rPr>
          <w:rFonts w:ascii="Arial" w:hAnsi="Arial" w:cs="Arial"/>
          <w:b/>
          <w:bCs/>
          <w:sz w:val="32"/>
          <w:szCs w:val="32"/>
        </w:rPr>
      </w:pPr>
      <w:r w:rsidRPr="00D617B9">
        <w:rPr>
          <w:rFonts w:ascii="Arial" w:hAnsi="Arial" w:cs="Arial"/>
          <w:b/>
          <w:bCs/>
          <w:sz w:val="32"/>
          <w:szCs w:val="32"/>
        </w:rPr>
        <w:t>Student ID:</w:t>
      </w:r>
      <w:r w:rsidRPr="00D617B9">
        <w:rPr>
          <w:rFonts w:ascii="Arial" w:hAnsi="Arial" w:cs="Arial"/>
          <w:b/>
          <w:bCs/>
          <w:sz w:val="32"/>
          <w:szCs w:val="32"/>
        </w:rPr>
        <w:t xml:space="preserve"> 2532710</w:t>
      </w:r>
    </w:p>
    <w:p w14:paraId="5B44FBFE" w14:textId="77777777" w:rsidR="00DC6DD7" w:rsidRPr="00D617B9" w:rsidRDefault="00DC6DD7" w:rsidP="00DC6DD7">
      <w:pPr>
        <w:rPr>
          <w:rFonts w:ascii="Arial" w:hAnsi="Arial" w:cs="Arial"/>
          <w:b/>
          <w:bCs/>
          <w:sz w:val="32"/>
          <w:szCs w:val="32"/>
        </w:rPr>
      </w:pPr>
    </w:p>
    <w:p w14:paraId="00842F25" w14:textId="0EBF874F" w:rsidR="00DC6DD7" w:rsidRPr="00D617B9" w:rsidRDefault="00DC6DD7" w:rsidP="00DC6DD7">
      <w:pPr>
        <w:rPr>
          <w:rFonts w:ascii="Arial" w:hAnsi="Arial" w:cs="Arial"/>
          <w:b/>
          <w:bCs/>
          <w:sz w:val="32"/>
          <w:szCs w:val="32"/>
        </w:rPr>
      </w:pPr>
      <w:r w:rsidRPr="00D617B9">
        <w:rPr>
          <w:rFonts w:ascii="Arial" w:hAnsi="Arial" w:cs="Arial"/>
          <w:b/>
          <w:bCs/>
          <w:sz w:val="32"/>
          <w:szCs w:val="32"/>
        </w:rPr>
        <w:t>Word count:</w:t>
      </w:r>
      <w:r w:rsidRPr="00D617B9">
        <w:rPr>
          <w:rFonts w:ascii="Arial" w:hAnsi="Arial" w:cs="Arial"/>
          <w:b/>
          <w:bCs/>
          <w:sz w:val="32"/>
          <w:szCs w:val="32"/>
        </w:rPr>
        <w:t xml:space="preserve"> 5400 Approx.</w:t>
      </w:r>
    </w:p>
    <w:p w14:paraId="6A11592F" w14:textId="5C4A1756" w:rsidR="00DC6DD7" w:rsidRPr="00D617B9" w:rsidRDefault="00DC6DD7" w:rsidP="00DC6DD7">
      <w:pPr>
        <w:rPr>
          <w:rFonts w:ascii="Arial" w:hAnsi="Arial" w:cs="Arial"/>
          <w:b/>
          <w:bCs/>
          <w:sz w:val="32"/>
          <w:szCs w:val="32"/>
        </w:rPr>
      </w:pPr>
      <w:r w:rsidRPr="00D617B9">
        <w:rPr>
          <w:rFonts w:ascii="Arial" w:hAnsi="Arial" w:cs="Arial"/>
          <w:b/>
          <w:bCs/>
          <w:sz w:val="32"/>
          <w:szCs w:val="32"/>
        </w:rPr>
        <w:t>Submission date:</w:t>
      </w:r>
      <w:r w:rsidRPr="00D617B9">
        <w:rPr>
          <w:rFonts w:ascii="Arial" w:hAnsi="Arial" w:cs="Arial"/>
          <w:b/>
          <w:bCs/>
          <w:sz w:val="32"/>
          <w:szCs w:val="32"/>
        </w:rPr>
        <w:t xml:space="preserve"> 12</w:t>
      </w:r>
      <w:r w:rsidRPr="00D617B9">
        <w:rPr>
          <w:rFonts w:ascii="Arial" w:hAnsi="Arial" w:cs="Arial"/>
          <w:b/>
          <w:bCs/>
          <w:sz w:val="32"/>
          <w:szCs w:val="32"/>
          <w:vertAlign w:val="superscript"/>
        </w:rPr>
        <w:t>th</w:t>
      </w:r>
      <w:r w:rsidRPr="00D617B9">
        <w:rPr>
          <w:rFonts w:ascii="Arial" w:hAnsi="Arial" w:cs="Arial"/>
          <w:b/>
          <w:bCs/>
          <w:sz w:val="32"/>
          <w:szCs w:val="32"/>
        </w:rPr>
        <w:t xml:space="preserve"> Aug 2026</w:t>
      </w:r>
    </w:p>
    <w:p w14:paraId="6874A592" w14:textId="77777777" w:rsidR="00DC6DD7" w:rsidRPr="00D617B9" w:rsidRDefault="00DC6DD7" w:rsidP="00DC6DD7">
      <w:pPr>
        <w:rPr>
          <w:rFonts w:ascii="Arial" w:hAnsi="Arial" w:cs="Arial"/>
          <w:sz w:val="32"/>
          <w:szCs w:val="32"/>
        </w:rPr>
      </w:pPr>
    </w:p>
    <w:p w14:paraId="4ABEA38B" w14:textId="77777777" w:rsidR="00DC6DD7" w:rsidRPr="00D617B9" w:rsidRDefault="00DC6DD7" w:rsidP="00DC6DD7">
      <w:pPr>
        <w:rPr>
          <w:sz w:val="32"/>
          <w:szCs w:val="32"/>
        </w:rPr>
      </w:pPr>
    </w:p>
    <w:p w14:paraId="7EC7C196" w14:textId="77777777" w:rsidR="00DC6DD7" w:rsidRPr="00D617B9" w:rsidRDefault="00DC6DD7" w:rsidP="00DC6DD7">
      <w:pPr>
        <w:rPr>
          <w:sz w:val="32"/>
          <w:szCs w:val="32"/>
        </w:rPr>
      </w:pPr>
    </w:p>
    <w:p w14:paraId="3E57DAF7" w14:textId="77777777" w:rsidR="00DC6DD7" w:rsidRDefault="00DC6DD7" w:rsidP="00DC6DD7">
      <w:pPr>
        <w:rPr>
          <w:sz w:val="28"/>
          <w:szCs w:val="28"/>
        </w:rPr>
      </w:pPr>
    </w:p>
    <w:p w14:paraId="54DDE989" w14:textId="77777777" w:rsidR="00DC6DD7" w:rsidRDefault="00DC6DD7" w:rsidP="00DC6DD7">
      <w:pPr>
        <w:rPr>
          <w:sz w:val="28"/>
          <w:szCs w:val="28"/>
        </w:rPr>
      </w:pPr>
    </w:p>
    <w:p w14:paraId="3772D149" w14:textId="77777777" w:rsidR="00DC6DD7" w:rsidRDefault="00DC6DD7" w:rsidP="00DC6DD7">
      <w:pPr>
        <w:rPr>
          <w:sz w:val="28"/>
          <w:szCs w:val="28"/>
        </w:rPr>
      </w:pPr>
    </w:p>
    <w:p w14:paraId="37873216" w14:textId="77777777" w:rsidR="00DC6DD7" w:rsidRDefault="00DC6DD7" w:rsidP="00DC6DD7">
      <w:pPr>
        <w:rPr>
          <w:sz w:val="28"/>
          <w:szCs w:val="28"/>
        </w:rPr>
      </w:pPr>
    </w:p>
    <w:p w14:paraId="0AA166B0" w14:textId="77777777" w:rsidR="00DC6DD7" w:rsidRDefault="00DC6DD7" w:rsidP="00DC6DD7">
      <w:pPr>
        <w:rPr>
          <w:sz w:val="28"/>
          <w:szCs w:val="28"/>
        </w:rPr>
      </w:pPr>
    </w:p>
    <w:p w14:paraId="5EEE5F46" w14:textId="77777777" w:rsidR="00DC6DD7" w:rsidRPr="00043B72" w:rsidRDefault="00DC6DD7" w:rsidP="00DC6DD7">
      <w:pPr>
        <w:rPr>
          <w:sz w:val="28"/>
          <w:szCs w:val="28"/>
        </w:rPr>
      </w:pPr>
    </w:p>
    <w:p w14:paraId="36974980" w14:textId="77777777" w:rsidR="00DC6DD7" w:rsidRPr="00DC6DD7" w:rsidRDefault="00DC6DD7" w:rsidP="00DC6DD7">
      <w:pPr>
        <w:pStyle w:val="Heading1"/>
        <w:rPr>
          <w:rFonts w:ascii="Arial" w:hAnsi="Arial" w:cs="Arial"/>
        </w:rPr>
      </w:pPr>
      <w:bookmarkStart w:id="0" w:name="_Toc237433525"/>
      <w:r w:rsidRPr="00DC6DD7">
        <w:rPr>
          <w:rFonts w:ascii="Arial" w:hAnsi="Arial" w:cs="Arial"/>
        </w:rPr>
        <w:t>AI use acknowledgement</w:t>
      </w:r>
      <w:bookmarkEnd w:id="0"/>
    </w:p>
    <w:p w14:paraId="4E739905" w14:textId="0CCF36A3" w:rsidR="00F60DDE" w:rsidRPr="00F60DDE" w:rsidRDefault="00F60DDE" w:rsidP="00F60DDE">
      <w:pPr>
        <w:pStyle w:val="Heading3"/>
        <w:rPr>
          <w:rFonts w:ascii="Arial" w:hAnsi="Arial" w:cs="Arial"/>
          <w:sz w:val="24"/>
          <w:szCs w:val="24"/>
        </w:rPr>
      </w:pPr>
      <w:bookmarkStart w:id="1" w:name="_Toc237433526"/>
      <w:r w:rsidRPr="00F60DDE">
        <w:rPr>
          <w:rFonts w:ascii="Arial" w:hAnsi="Arial" w:cs="Arial"/>
          <w:sz w:val="24"/>
          <w:szCs w:val="24"/>
        </w:rPr>
        <w:t xml:space="preserve">Acknowledgement </w:t>
      </w:r>
      <w:r w:rsidRPr="00F60DDE">
        <w:rPr>
          <w:rFonts w:ascii="Arial" w:hAnsi="Arial" w:cs="Arial"/>
          <w:sz w:val="24"/>
          <w:szCs w:val="24"/>
        </w:rPr>
        <w:t>1</w:t>
      </w:r>
      <w:r w:rsidRPr="00F60DDE">
        <w:rPr>
          <w:rFonts w:ascii="Arial" w:hAnsi="Arial" w:cs="Arial"/>
          <w:sz w:val="24"/>
          <w:szCs w:val="24"/>
        </w:rPr>
        <w:t>: ChatGPT (OpenAI)</w:t>
      </w:r>
      <w:bookmarkEnd w:id="1"/>
    </w:p>
    <w:p w14:paraId="43C22AE9" w14:textId="77777777" w:rsidR="00F60DDE" w:rsidRPr="00F60DDE" w:rsidRDefault="00F60DDE" w:rsidP="00F60DDE">
      <w:pPr>
        <w:pStyle w:val="ListParagraph"/>
      </w:pPr>
      <w:r w:rsidRPr="00F60DDE">
        <w:t>I acknowledge the use of ChatGPT (https://chatgpt.com/) on 11 August 2026 to research background information to support my analysis, including industry context, competitor positioning, and publicly available data on Chase UK and its competitors. I used the prompt(s):</w:t>
      </w:r>
    </w:p>
    <w:p w14:paraId="0AF4FB2C" w14:textId="77777777" w:rsidR="00F60DDE" w:rsidRPr="00F60DDE" w:rsidRDefault="00F60DDE" w:rsidP="00F60DDE">
      <w:pPr>
        <w:pStyle w:val="ListParagraph"/>
        <w:numPr>
          <w:ilvl w:val="0"/>
          <w:numId w:val="10"/>
        </w:numPr>
      </w:pPr>
      <w:r w:rsidRPr="00F60DDE">
        <w:t>Summarise the history and business model of Chase UK, including its launch date, mission, and revenue model.</w:t>
      </w:r>
    </w:p>
    <w:p w14:paraId="7354883E" w14:textId="77777777" w:rsidR="00F60DDE" w:rsidRPr="00F60DDE" w:rsidRDefault="00F60DDE" w:rsidP="00F60DDE">
      <w:pPr>
        <w:pStyle w:val="ListParagraph"/>
        <w:numPr>
          <w:ilvl w:val="0"/>
          <w:numId w:val="10"/>
        </w:numPr>
      </w:pPr>
      <w:r w:rsidRPr="00F60DDE">
        <w:t>Explain the current competitive landscape of UK retail banking, including Chase UK's key competitors such as Barclays, HSBC, Lloyds, NatWest, Monzo, Starling and Revolut.</w:t>
      </w:r>
    </w:p>
    <w:p w14:paraId="0CFBBABF" w14:textId="77777777" w:rsidR="00F60DDE" w:rsidRPr="00F60DDE" w:rsidRDefault="00F60DDE" w:rsidP="00F60DDE">
      <w:pPr>
        <w:pStyle w:val="ListParagraph"/>
        <w:numPr>
          <w:ilvl w:val="0"/>
          <w:numId w:val="10"/>
        </w:numPr>
      </w:pPr>
      <w:r w:rsidRPr="00F60DDE">
        <w:t>Outline recent regulatory and market developments affecting UK digital banking, such as Open Banking and consumer trends.</w:t>
      </w:r>
    </w:p>
    <w:p w14:paraId="5FE5C345" w14:textId="77777777" w:rsidR="00F60DDE" w:rsidRDefault="00F60DDE" w:rsidP="00F60DDE">
      <w:pPr>
        <w:pStyle w:val="ListParagraph"/>
      </w:pPr>
      <w:r>
        <w:t>I confirm that I have not presented any AI generated text as my own work. I confirm I have copies of my drafts, notes, and other resources I used before, and after the use of AI tools which I may be asked to provide in evidence.</w:t>
      </w:r>
    </w:p>
    <w:p w14:paraId="0A2E3585" w14:textId="5541FF23" w:rsidR="00C77182" w:rsidRPr="00F60DDE" w:rsidRDefault="00C77182" w:rsidP="00F60DDE">
      <w:pPr>
        <w:pStyle w:val="Heading3"/>
        <w:rPr>
          <w:rFonts w:ascii="Arial" w:hAnsi="Arial" w:cs="Arial"/>
          <w:sz w:val="24"/>
          <w:szCs w:val="24"/>
        </w:rPr>
      </w:pPr>
      <w:bookmarkStart w:id="2" w:name="_Toc237433527"/>
      <w:r w:rsidRPr="00F60DDE">
        <w:rPr>
          <w:rFonts w:ascii="Arial" w:hAnsi="Arial" w:cs="Arial"/>
          <w:sz w:val="24"/>
          <w:szCs w:val="24"/>
        </w:rPr>
        <w:t>Acknowledgement 2: ChatGPT (OpenAI)</w:t>
      </w:r>
      <w:bookmarkEnd w:id="2"/>
    </w:p>
    <w:p w14:paraId="29C7F2D4" w14:textId="77777777" w:rsidR="00C77182" w:rsidRPr="00F60DDE" w:rsidRDefault="00C77182" w:rsidP="00F60DDE">
      <w:r w:rsidRPr="00F60DDE">
        <w:t>I acknowledge the use of ChatGPT (</w:t>
      </w:r>
      <w:hyperlink r:id="rId10" w:history="1">
        <w:r w:rsidRPr="00F60DDE">
          <w:rPr>
            <w:rStyle w:val="Hyperlink"/>
            <w:rFonts w:ascii="Arial" w:eastAsiaTheme="majorEastAsia" w:hAnsi="Arial" w:cs="Arial"/>
          </w:rPr>
          <w:t>https://chatgpt.com/</w:t>
        </w:r>
      </w:hyperlink>
      <w:r w:rsidRPr="00F60DDE">
        <w:t>) on 11 August 2026 to generate the illustrative diagrams (Figures 1–11) used throughout this report, based on my own analysis and content for each framework. I used the prompt(s):</w:t>
      </w:r>
    </w:p>
    <w:p w14:paraId="76BB7BBD" w14:textId="77777777" w:rsidR="00C77182" w:rsidRPr="00F60DDE" w:rsidRDefault="00C77182" w:rsidP="00F60DDE">
      <w:pPr>
        <w:pStyle w:val="ListParagraph"/>
        <w:numPr>
          <w:ilvl w:val="0"/>
          <w:numId w:val="11"/>
        </w:numPr>
      </w:pPr>
      <w:r w:rsidRPr="00F60DDE">
        <w:t>Generate a 3D-style infographic of the PESTEL framework applied to Chase UK, showing the six factors I've identified: Political, Economic, Social, Technological, Environmental, and Legal.</w:t>
      </w:r>
    </w:p>
    <w:p w14:paraId="118701DE" w14:textId="77777777" w:rsidR="00C77182" w:rsidRPr="00F60DDE" w:rsidRDefault="00C77182" w:rsidP="00F60DDE">
      <w:pPr>
        <w:pStyle w:val="ListParagraph"/>
        <w:numPr>
          <w:ilvl w:val="0"/>
          <w:numId w:val="11"/>
        </w:numPr>
      </w:pPr>
      <w:r w:rsidRPr="00F60DDE">
        <w:t>Generate a professional 3D diagram of Porter's Five Forces, Ansoff's Matrix, and Porter's Generic Strategies, styled consistently, to visually summarise the strategic analysis in my report.</w:t>
      </w:r>
    </w:p>
    <w:p w14:paraId="035F4D09" w14:textId="77777777" w:rsidR="00C77182" w:rsidRPr="00F60DDE" w:rsidRDefault="00C77182" w:rsidP="00F60DDE">
      <w:pPr>
        <w:pStyle w:val="ListParagraph"/>
        <w:numPr>
          <w:ilvl w:val="0"/>
          <w:numId w:val="11"/>
        </w:numPr>
      </w:pPr>
      <w:r w:rsidRPr="00F60DDE">
        <w:t>Generate a competitor positioning map for Chase UK against Barclays, HSBC, Lloyds, NatWest, Monzo, Starling and Revolut, based on digital-first versus traditional and basic-banking versus broad-ecosystem positioning.</w:t>
      </w:r>
    </w:p>
    <w:p w14:paraId="3E07F88B" w14:textId="4EDA044F" w:rsidR="00F60DDE" w:rsidRPr="00F60DDE" w:rsidRDefault="00C77182" w:rsidP="00A226D5">
      <w:r w:rsidRPr="00F60DDE">
        <w:t>I confirm that I have not presented any AI generated text as my own work. I confirm I have copies of my drafts, notes, and other resources I used before, and after the use of AI tools which I may be asked to provide in evidence.</w:t>
      </w:r>
    </w:p>
    <w:p w14:paraId="124D5C65" w14:textId="77777777" w:rsidR="00F60DDE" w:rsidRDefault="00F60DDE" w:rsidP="00A226D5">
      <w:pPr>
        <w:rPr>
          <w:rFonts w:eastAsiaTheme="minorHAnsi"/>
        </w:rPr>
      </w:pPr>
    </w:p>
    <w:sdt>
      <w:sdtPr>
        <w:rPr>
          <w:rFonts w:asciiTheme="minorHAnsi" w:eastAsiaTheme="minorHAnsi" w:hAnsiTheme="minorHAnsi" w:cstheme="minorBidi"/>
          <w:b w:val="0"/>
          <w:bCs w:val="0"/>
          <w:color w:val="auto"/>
          <w:kern w:val="2"/>
          <w:sz w:val="24"/>
          <w:szCs w:val="24"/>
          <w14:ligatures w14:val="standardContextual"/>
        </w:rPr>
        <w:id w:val="-231852480"/>
        <w:docPartObj>
          <w:docPartGallery w:val="Table of Contents"/>
          <w:docPartUnique/>
        </w:docPartObj>
      </w:sdtPr>
      <w:sdtEndPr>
        <w:rPr>
          <w:rFonts w:ascii="Times New Roman" w:eastAsia="Times New Roman" w:hAnsi="Times New Roman" w:cs="Times New Roman"/>
          <w:noProof/>
          <w:kern w:val="0"/>
          <w14:ligatures w14:val="none"/>
        </w:rPr>
      </w:sdtEndPr>
      <w:sdtContent>
        <w:p w14:paraId="6C822883" w14:textId="36BED55B" w:rsidR="004F6C3C" w:rsidRDefault="004F6C3C">
          <w:pPr>
            <w:pStyle w:val="TOCHeading"/>
          </w:pPr>
          <w:r>
            <w:t>Table of Contents</w:t>
          </w:r>
        </w:p>
        <w:p w14:paraId="50275897" w14:textId="2C185B41" w:rsidR="00F60DDE" w:rsidRDefault="004F6C3C">
          <w:pPr>
            <w:pStyle w:val="TOC1"/>
            <w:tabs>
              <w:tab w:val="right" w:leader="dot" w:pos="9350"/>
            </w:tabs>
            <w:rPr>
              <w:rFonts w:eastAsiaTheme="minorEastAsia"/>
              <w:b w:val="0"/>
              <w:bCs w:val="0"/>
              <w:i w:val="0"/>
              <w:iCs w:val="0"/>
              <w:noProof/>
            </w:rPr>
          </w:pPr>
          <w:r>
            <w:rPr>
              <w:b w:val="0"/>
              <w:bCs w:val="0"/>
            </w:rPr>
            <w:fldChar w:fldCharType="begin"/>
          </w:r>
          <w:r>
            <w:instrText xml:space="preserve"> TOC \o "1-3" \h \z \u </w:instrText>
          </w:r>
          <w:r>
            <w:rPr>
              <w:b w:val="0"/>
              <w:bCs w:val="0"/>
            </w:rPr>
            <w:fldChar w:fldCharType="separate"/>
          </w:r>
          <w:hyperlink w:anchor="_Toc237433525" w:history="1">
            <w:r w:rsidR="00F60DDE" w:rsidRPr="00EB5AAD">
              <w:rPr>
                <w:rStyle w:val="Hyperlink"/>
                <w:rFonts w:ascii="Arial" w:hAnsi="Arial" w:cs="Arial"/>
                <w:noProof/>
              </w:rPr>
              <w:t>AI use acknowledgement</w:t>
            </w:r>
            <w:r w:rsidR="00F60DDE">
              <w:rPr>
                <w:noProof/>
                <w:webHidden/>
              </w:rPr>
              <w:tab/>
            </w:r>
            <w:r w:rsidR="00F60DDE">
              <w:rPr>
                <w:noProof/>
                <w:webHidden/>
              </w:rPr>
              <w:fldChar w:fldCharType="begin"/>
            </w:r>
            <w:r w:rsidR="00F60DDE">
              <w:rPr>
                <w:noProof/>
                <w:webHidden/>
              </w:rPr>
              <w:instrText xml:space="preserve"> PAGEREF _Toc237433525 \h </w:instrText>
            </w:r>
            <w:r w:rsidR="00F60DDE">
              <w:rPr>
                <w:noProof/>
                <w:webHidden/>
              </w:rPr>
            </w:r>
            <w:r w:rsidR="00F60DDE">
              <w:rPr>
                <w:noProof/>
                <w:webHidden/>
              </w:rPr>
              <w:fldChar w:fldCharType="separate"/>
            </w:r>
            <w:r w:rsidR="00F60DDE">
              <w:rPr>
                <w:noProof/>
                <w:webHidden/>
              </w:rPr>
              <w:t>2</w:t>
            </w:r>
            <w:r w:rsidR="00F60DDE">
              <w:rPr>
                <w:noProof/>
                <w:webHidden/>
              </w:rPr>
              <w:fldChar w:fldCharType="end"/>
            </w:r>
          </w:hyperlink>
        </w:p>
        <w:p w14:paraId="107E76D2" w14:textId="488D8A08" w:rsidR="00F60DDE" w:rsidRDefault="00F60DDE">
          <w:pPr>
            <w:pStyle w:val="TOC3"/>
            <w:tabs>
              <w:tab w:val="right" w:leader="dot" w:pos="9350"/>
            </w:tabs>
            <w:rPr>
              <w:rFonts w:eastAsiaTheme="minorEastAsia"/>
              <w:noProof/>
              <w:sz w:val="24"/>
              <w:szCs w:val="24"/>
            </w:rPr>
          </w:pPr>
          <w:hyperlink w:anchor="_Toc237433526" w:history="1">
            <w:r w:rsidRPr="00EB5AAD">
              <w:rPr>
                <w:rStyle w:val="Hyperlink"/>
                <w:rFonts w:ascii="Arial" w:hAnsi="Arial" w:cs="Arial"/>
                <w:noProof/>
              </w:rPr>
              <w:t>Acknowledgement 1: ChatGPT (OpenAI)</w:t>
            </w:r>
            <w:r>
              <w:rPr>
                <w:noProof/>
                <w:webHidden/>
              </w:rPr>
              <w:tab/>
            </w:r>
            <w:r>
              <w:rPr>
                <w:noProof/>
                <w:webHidden/>
              </w:rPr>
              <w:fldChar w:fldCharType="begin"/>
            </w:r>
            <w:r>
              <w:rPr>
                <w:noProof/>
                <w:webHidden/>
              </w:rPr>
              <w:instrText xml:space="preserve"> PAGEREF _Toc237433526 \h </w:instrText>
            </w:r>
            <w:r>
              <w:rPr>
                <w:noProof/>
                <w:webHidden/>
              </w:rPr>
            </w:r>
            <w:r>
              <w:rPr>
                <w:noProof/>
                <w:webHidden/>
              </w:rPr>
              <w:fldChar w:fldCharType="separate"/>
            </w:r>
            <w:r>
              <w:rPr>
                <w:noProof/>
                <w:webHidden/>
              </w:rPr>
              <w:t>2</w:t>
            </w:r>
            <w:r>
              <w:rPr>
                <w:noProof/>
                <w:webHidden/>
              </w:rPr>
              <w:fldChar w:fldCharType="end"/>
            </w:r>
          </w:hyperlink>
        </w:p>
        <w:p w14:paraId="5EA10139" w14:textId="7356ACCD" w:rsidR="00F60DDE" w:rsidRDefault="00F60DDE">
          <w:pPr>
            <w:pStyle w:val="TOC3"/>
            <w:tabs>
              <w:tab w:val="right" w:leader="dot" w:pos="9350"/>
            </w:tabs>
            <w:rPr>
              <w:rFonts w:eastAsiaTheme="minorEastAsia"/>
              <w:noProof/>
              <w:sz w:val="24"/>
              <w:szCs w:val="24"/>
            </w:rPr>
          </w:pPr>
          <w:hyperlink w:anchor="_Toc237433527" w:history="1">
            <w:r w:rsidRPr="00EB5AAD">
              <w:rPr>
                <w:rStyle w:val="Hyperlink"/>
                <w:rFonts w:ascii="Arial" w:hAnsi="Arial" w:cs="Arial"/>
                <w:noProof/>
              </w:rPr>
              <w:t>Acknowledgement 2: ChatGPT (OpenAI)</w:t>
            </w:r>
            <w:r>
              <w:rPr>
                <w:noProof/>
                <w:webHidden/>
              </w:rPr>
              <w:tab/>
            </w:r>
            <w:r>
              <w:rPr>
                <w:noProof/>
                <w:webHidden/>
              </w:rPr>
              <w:fldChar w:fldCharType="begin"/>
            </w:r>
            <w:r>
              <w:rPr>
                <w:noProof/>
                <w:webHidden/>
              </w:rPr>
              <w:instrText xml:space="preserve"> PAGEREF _Toc237433527 \h </w:instrText>
            </w:r>
            <w:r>
              <w:rPr>
                <w:noProof/>
                <w:webHidden/>
              </w:rPr>
            </w:r>
            <w:r>
              <w:rPr>
                <w:noProof/>
                <w:webHidden/>
              </w:rPr>
              <w:fldChar w:fldCharType="separate"/>
            </w:r>
            <w:r>
              <w:rPr>
                <w:noProof/>
                <w:webHidden/>
              </w:rPr>
              <w:t>2</w:t>
            </w:r>
            <w:r>
              <w:rPr>
                <w:noProof/>
                <w:webHidden/>
              </w:rPr>
              <w:fldChar w:fldCharType="end"/>
            </w:r>
          </w:hyperlink>
        </w:p>
        <w:p w14:paraId="61B8C49E" w14:textId="586FD670" w:rsidR="00F60DDE" w:rsidRDefault="00F60DDE">
          <w:pPr>
            <w:pStyle w:val="TOC1"/>
            <w:tabs>
              <w:tab w:val="right" w:leader="dot" w:pos="9350"/>
            </w:tabs>
            <w:rPr>
              <w:rFonts w:eastAsiaTheme="minorEastAsia"/>
              <w:b w:val="0"/>
              <w:bCs w:val="0"/>
              <w:i w:val="0"/>
              <w:iCs w:val="0"/>
              <w:noProof/>
            </w:rPr>
          </w:pPr>
          <w:hyperlink w:anchor="_Toc237433528" w:history="1">
            <w:r w:rsidRPr="00EB5AAD">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_Toc237433528 \h </w:instrText>
            </w:r>
            <w:r>
              <w:rPr>
                <w:noProof/>
                <w:webHidden/>
              </w:rPr>
            </w:r>
            <w:r>
              <w:rPr>
                <w:noProof/>
                <w:webHidden/>
              </w:rPr>
              <w:fldChar w:fldCharType="separate"/>
            </w:r>
            <w:r>
              <w:rPr>
                <w:noProof/>
                <w:webHidden/>
              </w:rPr>
              <w:t>5</w:t>
            </w:r>
            <w:r>
              <w:rPr>
                <w:noProof/>
                <w:webHidden/>
              </w:rPr>
              <w:fldChar w:fldCharType="end"/>
            </w:r>
          </w:hyperlink>
        </w:p>
        <w:p w14:paraId="085BC43C" w14:textId="062847EF" w:rsidR="00F60DDE" w:rsidRDefault="00F60DDE">
          <w:pPr>
            <w:pStyle w:val="TOC1"/>
            <w:tabs>
              <w:tab w:val="right" w:leader="dot" w:pos="9350"/>
            </w:tabs>
            <w:rPr>
              <w:rFonts w:eastAsiaTheme="minorEastAsia"/>
              <w:b w:val="0"/>
              <w:bCs w:val="0"/>
              <w:i w:val="0"/>
              <w:iCs w:val="0"/>
              <w:noProof/>
            </w:rPr>
          </w:pPr>
          <w:hyperlink w:anchor="_Toc237433529" w:history="1">
            <w:r w:rsidRPr="00EB5AAD">
              <w:rPr>
                <w:rStyle w:val="Hyperlink"/>
                <w:noProof/>
              </w:rPr>
              <w:t>EXTERNAL AND INTERNAL ANALYSIS</w:t>
            </w:r>
            <w:r>
              <w:rPr>
                <w:noProof/>
                <w:webHidden/>
              </w:rPr>
              <w:tab/>
            </w:r>
            <w:r>
              <w:rPr>
                <w:noProof/>
                <w:webHidden/>
              </w:rPr>
              <w:fldChar w:fldCharType="begin"/>
            </w:r>
            <w:r>
              <w:rPr>
                <w:noProof/>
                <w:webHidden/>
              </w:rPr>
              <w:instrText xml:space="preserve"> PAGEREF _Toc237433529 \h </w:instrText>
            </w:r>
            <w:r>
              <w:rPr>
                <w:noProof/>
                <w:webHidden/>
              </w:rPr>
            </w:r>
            <w:r>
              <w:rPr>
                <w:noProof/>
                <w:webHidden/>
              </w:rPr>
              <w:fldChar w:fldCharType="separate"/>
            </w:r>
            <w:r>
              <w:rPr>
                <w:noProof/>
                <w:webHidden/>
              </w:rPr>
              <w:t>7</w:t>
            </w:r>
            <w:r>
              <w:rPr>
                <w:noProof/>
                <w:webHidden/>
              </w:rPr>
              <w:fldChar w:fldCharType="end"/>
            </w:r>
          </w:hyperlink>
        </w:p>
        <w:p w14:paraId="4383D550" w14:textId="3A6F2DBD" w:rsidR="00F60DDE" w:rsidRDefault="00F60DDE">
          <w:pPr>
            <w:pStyle w:val="TOC2"/>
            <w:tabs>
              <w:tab w:val="right" w:leader="dot" w:pos="9350"/>
            </w:tabs>
            <w:rPr>
              <w:rFonts w:eastAsiaTheme="minorEastAsia"/>
              <w:b w:val="0"/>
              <w:bCs w:val="0"/>
              <w:noProof/>
              <w:sz w:val="24"/>
              <w:szCs w:val="24"/>
            </w:rPr>
          </w:pPr>
          <w:hyperlink w:anchor="_Toc237433530" w:history="1">
            <w:r w:rsidRPr="00EB5AAD">
              <w:rPr>
                <w:rStyle w:val="Hyperlink"/>
                <w:noProof/>
              </w:rPr>
              <w:t>2.1 External Environment: PESTEL Analysis</w:t>
            </w:r>
            <w:r>
              <w:rPr>
                <w:noProof/>
                <w:webHidden/>
              </w:rPr>
              <w:tab/>
            </w:r>
            <w:r>
              <w:rPr>
                <w:noProof/>
                <w:webHidden/>
              </w:rPr>
              <w:fldChar w:fldCharType="begin"/>
            </w:r>
            <w:r>
              <w:rPr>
                <w:noProof/>
                <w:webHidden/>
              </w:rPr>
              <w:instrText xml:space="preserve"> PAGEREF _Toc237433530 \h </w:instrText>
            </w:r>
            <w:r>
              <w:rPr>
                <w:noProof/>
                <w:webHidden/>
              </w:rPr>
            </w:r>
            <w:r>
              <w:rPr>
                <w:noProof/>
                <w:webHidden/>
              </w:rPr>
              <w:fldChar w:fldCharType="separate"/>
            </w:r>
            <w:r>
              <w:rPr>
                <w:noProof/>
                <w:webHidden/>
              </w:rPr>
              <w:t>7</w:t>
            </w:r>
            <w:r>
              <w:rPr>
                <w:noProof/>
                <w:webHidden/>
              </w:rPr>
              <w:fldChar w:fldCharType="end"/>
            </w:r>
          </w:hyperlink>
        </w:p>
        <w:p w14:paraId="339B3BA6" w14:textId="1F7C2187" w:rsidR="00F60DDE" w:rsidRDefault="00F60DDE">
          <w:pPr>
            <w:pStyle w:val="TOC2"/>
            <w:tabs>
              <w:tab w:val="right" w:leader="dot" w:pos="9350"/>
            </w:tabs>
            <w:rPr>
              <w:rFonts w:eastAsiaTheme="minorEastAsia"/>
              <w:b w:val="0"/>
              <w:bCs w:val="0"/>
              <w:noProof/>
              <w:sz w:val="24"/>
              <w:szCs w:val="24"/>
            </w:rPr>
          </w:pPr>
          <w:hyperlink w:anchor="_Toc237433531" w:history="1">
            <w:r w:rsidRPr="00EB5AAD">
              <w:rPr>
                <w:rStyle w:val="Hyperlink"/>
                <w:noProof/>
              </w:rPr>
              <w:t>2.2 Internal Environment: VRIO Analysis</w:t>
            </w:r>
            <w:r>
              <w:rPr>
                <w:noProof/>
                <w:webHidden/>
              </w:rPr>
              <w:tab/>
            </w:r>
            <w:r>
              <w:rPr>
                <w:noProof/>
                <w:webHidden/>
              </w:rPr>
              <w:fldChar w:fldCharType="begin"/>
            </w:r>
            <w:r>
              <w:rPr>
                <w:noProof/>
                <w:webHidden/>
              </w:rPr>
              <w:instrText xml:space="preserve"> PAGEREF _Toc237433531 \h </w:instrText>
            </w:r>
            <w:r>
              <w:rPr>
                <w:noProof/>
                <w:webHidden/>
              </w:rPr>
            </w:r>
            <w:r>
              <w:rPr>
                <w:noProof/>
                <w:webHidden/>
              </w:rPr>
              <w:fldChar w:fldCharType="separate"/>
            </w:r>
            <w:r>
              <w:rPr>
                <w:noProof/>
                <w:webHidden/>
              </w:rPr>
              <w:t>11</w:t>
            </w:r>
            <w:r>
              <w:rPr>
                <w:noProof/>
                <w:webHidden/>
              </w:rPr>
              <w:fldChar w:fldCharType="end"/>
            </w:r>
          </w:hyperlink>
        </w:p>
        <w:p w14:paraId="654C241F" w14:textId="552FBFA2" w:rsidR="00F60DDE" w:rsidRDefault="00F60DDE">
          <w:pPr>
            <w:pStyle w:val="TOC2"/>
            <w:tabs>
              <w:tab w:val="right" w:leader="dot" w:pos="9350"/>
            </w:tabs>
            <w:rPr>
              <w:rFonts w:eastAsiaTheme="minorEastAsia"/>
              <w:b w:val="0"/>
              <w:bCs w:val="0"/>
              <w:noProof/>
              <w:sz w:val="24"/>
              <w:szCs w:val="24"/>
            </w:rPr>
          </w:pPr>
          <w:hyperlink w:anchor="_Toc237433532" w:history="1">
            <w:r w:rsidRPr="00EB5AAD">
              <w:rPr>
                <w:rStyle w:val="Hyperlink"/>
                <w:noProof/>
              </w:rPr>
              <w:t>2.3 SWOT Analysis</w:t>
            </w:r>
            <w:r>
              <w:rPr>
                <w:noProof/>
                <w:webHidden/>
              </w:rPr>
              <w:tab/>
            </w:r>
            <w:r>
              <w:rPr>
                <w:noProof/>
                <w:webHidden/>
              </w:rPr>
              <w:fldChar w:fldCharType="begin"/>
            </w:r>
            <w:r>
              <w:rPr>
                <w:noProof/>
                <w:webHidden/>
              </w:rPr>
              <w:instrText xml:space="preserve"> PAGEREF _Toc237433532 \h </w:instrText>
            </w:r>
            <w:r>
              <w:rPr>
                <w:noProof/>
                <w:webHidden/>
              </w:rPr>
            </w:r>
            <w:r>
              <w:rPr>
                <w:noProof/>
                <w:webHidden/>
              </w:rPr>
              <w:fldChar w:fldCharType="separate"/>
            </w:r>
            <w:r>
              <w:rPr>
                <w:noProof/>
                <w:webHidden/>
              </w:rPr>
              <w:t>14</w:t>
            </w:r>
            <w:r>
              <w:rPr>
                <w:noProof/>
                <w:webHidden/>
              </w:rPr>
              <w:fldChar w:fldCharType="end"/>
            </w:r>
          </w:hyperlink>
        </w:p>
        <w:p w14:paraId="3512AAC7" w14:textId="20EC0C0F" w:rsidR="00F60DDE" w:rsidRDefault="00F60DDE">
          <w:pPr>
            <w:pStyle w:val="TOC1"/>
            <w:tabs>
              <w:tab w:val="right" w:leader="dot" w:pos="9350"/>
            </w:tabs>
            <w:rPr>
              <w:rFonts w:eastAsiaTheme="minorEastAsia"/>
              <w:b w:val="0"/>
              <w:bCs w:val="0"/>
              <w:i w:val="0"/>
              <w:iCs w:val="0"/>
              <w:noProof/>
            </w:rPr>
          </w:pPr>
          <w:hyperlink w:anchor="_Toc237433533" w:history="1">
            <w:r w:rsidRPr="00EB5AAD">
              <w:rPr>
                <w:rStyle w:val="Hyperlink"/>
                <w:noProof/>
              </w:rPr>
              <w:t>COMPREHENSIVE AND HOLISTIC VIEW OF THE ORGANISATION</w:t>
            </w:r>
            <w:r>
              <w:rPr>
                <w:noProof/>
                <w:webHidden/>
              </w:rPr>
              <w:tab/>
            </w:r>
            <w:r>
              <w:rPr>
                <w:noProof/>
                <w:webHidden/>
              </w:rPr>
              <w:fldChar w:fldCharType="begin"/>
            </w:r>
            <w:r>
              <w:rPr>
                <w:noProof/>
                <w:webHidden/>
              </w:rPr>
              <w:instrText xml:space="preserve"> PAGEREF _Toc237433533 \h </w:instrText>
            </w:r>
            <w:r>
              <w:rPr>
                <w:noProof/>
                <w:webHidden/>
              </w:rPr>
            </w:r>
            <w:r>
              <w:rPr>
                <w:noProof/>
                <w:webHidden/>
              </w:rPr>
              <w:fldChar w:fldCharType="separate"/>
            </w:r>
            <w:r>
              <w:rPr>
                <w:noProof/>
                <w:webHidden/>
              </w:rPr>
              <w:t>17</w:t>
            </w:r>
            <w:r>
              <w:rPr>
                <w:noProof/>
                <w:webHidden/>
              </w:rPr>
              <w:fldChar w:fldCharType="end"/>
            </w:r>
          </w:hyperlink>
        </w:p>
        <w:p w14:paraId="282E7541" w14:textId="39A4ACCE" w:rsidR="00F60DDE" w:rsidRDefault="00F60DDE">
          <w:pPr>
            <w:pStyle w:val="TOC2"/>
            <w:tabs>
              <w:tab w:val="right" w:leader="dot" w:pos="9350"/>
            </w:tabs>
            <w:rPr>
              <w:rFonts w:eastAsiaTheme="minorEastAsia"/>
              <w:b w:val="0"/>
              <w:bCs w:val="0"/>
              <w:noProof/>
              <w:sz w:val="24"/>
              <w:szCs w:val="24"/>
            </w:rPr>
          </w:pPr>
          <w:hyperlink w:anchor="_Toc237433534" w:history="1">
            <w:r w:rsidRPr="00EB5AAD">
              <w:rPr>
                <w:rStyle w:val="Hyperlink"/>
                <w:noProof/>
              </w:rPr>
              <w:t>3.1 CSR Strategy and Alignment with Business Objectives</w:t>
            </w:r>
            <w:r>
              <w:rPr>
                <w:noProof/>
                <w:webHidden/>
              </w:rPr>
              <w:tab/>
            </w:r>
            <w:r>
              <w:rPr>
                <w:noProof/>
                <w:webHidden/>
              </w:rPr>
              <w:fldChar w:fldCharType="begin"/>
            </w:r>
            <w:r>
              <w:rPr>
                <w:noProof/>
                <w:webHidden/>
              </w:rPr>
              <w:instrText xml:space="preserve"> PAGEREF _Toc237433534 \h </w:instrText>
            </w:r>
            <w:r>
              <w:rPr>
                <w:noProof/>
                <w:webHidden/>
              </w:rPr>
            </w:r>
            <w:r>
              <w:rPr>
                <w:noProof/>
                <w:webHidden/>
              </w:rPr>
              <w:fldChar w:fldCharType="separate"/>
            </w:r>
            <w:r>
              <w:rPr>
                <w:noProof/>
                <w:webHidden/>
              </w:rPr>
              <w:t>17</w:t>
            </w:r>
            <w:r>
              <w:rPr>
                <w:noProof/>
                <w:webHidden/>
              </w:rPr>
              <w:fldChar w:fldCharType="end"/>
            </w:r>
          </w:hyperlink>
        </w:p>
        <w:p w14:paraId="1954F3BD" w14:textId="1FBF6C9C" w:rsidR="00F60DDE" w:rsidRDefault="00F60DDE">
          <w:pPr>
            <w:pStyle w:val="TOC2"/>
            <w:tabs>
              <w:tab w:val="right" w:leader="dot" w:pos="9350"/>
            </w:tabs>
            <w:rPr>
              <w:rFonts w:eastAsiaTheme="minorEastAsia"/>
              <w:b w:val="0"/>
              <w:bCs w:val="0"/>
              <w:noProof/>
              <w:sz w:val="24"/>
              <w:szCs w:val="24"/>
            </w:rPr>
          </w:pPr>
          <w:hyperlink w:anchor="_Toc237433535" w:history="1">
            <w:r w:rsidRPr="00EB5AAD">
              <w:rPr>
                <w:rStyle w:val="Hyperlink"/>
                <w:noProof/>
              </w:rPr>
              <w:t>3.2 Balanced Scorecard</w:t>
            </w:r>
            <w:r>
              <w:rPr>
                <w:noProof/>
                <w:webHidden/>
              </w:rPr>
              <w:tab/>
            </w:r>
            <w:r>
              <w:rPr>
                <w:noProof/>
                <w:webHidden/>
              </w:rPr>
              <w:fldChar w:fldCharType="begin"/>
            </w:r>
            <w:r>
              <w:rPr>
                <w:noProof/>
                <w:webHidden/>
              </w:rPr>
              <w:instrText xml:space="preserve"> PAGEREF _Toc237433535 \h </w:instrText>
            </w:r>
            <w:r>
              <w:rPr>
                <w:noProof/>
                <w:webHidden/>
              </w:rPr>
            </w:r>
            <w:r>
              <w:rPr>
                <w:noProof/>
                <w:webHidden/>
              </w:rPr>
              <w:fldChar w:fldCharType="separate"/>
            </w:r>
            <w:r>
              <w:rPr>
                <w:noProof/>
                <w:webHidden/>
              </w:rPr>
              <w:t>18</w:t>
            </w:r>
            <w:r>
              <w:rPr>
                <w:noProof/>
                <w:webHidden/>
              </w:rPr>
              <w:fldChar w:fldCharType="end"/>
            </w:r>
          </w:hyperlink>
        </w:p>
        <w:p w14:paraId="6B176B2E" w14:textId="2849FB2A" w:rsidR="00F60DDE" w:rsidRDefault="00F60DDE">
          <w:pPr>
            <w:pStyle w:val="TOC1"/>
            <w:tabs>
              <w:tab w:val="right" w:leader="dot" w:pos="9350"/>
            </w:tabs>
            <w:rPr>
              <w:rFonts w:eastAsiaTheme="minorEastAsia"/>
              <w:b w:val="0"/>
              <w:bCs w:val="0"/>
              <w:i w:val="0"/>
              <w:iCs w:val="0"/>
              <w:noProof/>
            </w:rPr>
          </w:pPr>
          <w:hyperlink w:anchor="_Toc237433536" w:history="1">
            <w:r w:rsidRPr="00EB5AAD">
              <w:rPr>
                <w:rStyle w:val="Hyperlink"/>
                <w:noProof/>
              </w:rPr>
              <w:t>STRATEGIC CHOICES AND IMPLEMENTATION</w:t>
            </w:r>
            <w:r>
              <w:rPr>
                <w:noProof/>
                <w:webHidden/>
              </w:rPr>
              <w:tab/>
            </w:r>
            <w:r>
              <w:rPr>
                <w:noProof/>
                <w:webHidden/>
              </w:rPr>
              <w:fldChar w:fldCharType="begin"/>
            </w:r>
            <w:r>
              <w:rPr>
                <w:noProof/>
                <w:webHidden/>
              </w:rPr>
              <w:instrText xml:space="preserve"> PAGEREF _Toc237433536 \h </w:instrText>
            </w:r>
            <w:r>
              <w:rPr>
                <w:noProof/>
                <w:webHidden/>
              </w:rPr>
            </w:r>
            <w:r>
              <w:rPr>
                <w:noProof/>
                <w:webHidden/>
              </w:rPr>
              <w:fldChar w:fldCharType="separate"/>
            </w:r>
            <w:r>
              <w:rPr>
                <w:noProof/>
                <w:webHidden/>
              </w:rPr>
              <w:t>22</w:t>
            </w:r>
            <w:r>
              <w:rPr>
                <w:noProof/>
                <w:webHidden/>
              </w:rPr>
              <w:fldChar w:fldCharType="end"/>
            </w:r>
          </w:hyperlink>
        </w:p>
        <w:p w14:paraId="7C77B586" w14:textId="4CB76276" w:rsidR="00F60DDE" w:rsidRDefault="00F60DDE">
          <w:pPr>
            <w:pStyle w:val="TOC2"/>
            <w:tabs>
              <w:tab w:val="right" w:leader="dot" w:pos="9350"/>
            </w:tabs>
            <w:rPr>
              <w:rFonts w:eastAsiaTheme="minorEastAsia"/>
              <w:b w:val="0"/>
              <w:bCs w:val="0"/>
              <w:noProof/>
              <w:sz w:val="24"/>
              <w:szCs w:val="24"/>
            </w:rPr>
          </w:pPr>
          <w:hyperlink w:anchor="_Toc237433537" w:history="1">
            <w:r w:rsidRPr="00EB5AAD">
              <w:rPr>
                <w:rStyle w:val="Hyperlink"/>
                <w:noProof/>
              </w:rPr>
              <w:t>4.1 Business-Level Strategic Choice</w:t>
            </w:r>
            <w:r>
              <w:rPr>
                <w:noProof/>
                <w:webHidden/>
              </w:rPr>
              <w:tab/>
            </w:r>
            <w:r>
              <w:rPr>
                <w:noProof/>
                <w:webHidden/>
              </w:rPr>
              <w:fldChar w:fldCharType="begin"/>
            </w:r>
            <w:r>
              <w:rPr>
                <w:noProof/>
                <w:webHidden/>
              </w:rPr>
              <w:instrText xml:space="preserve"> PAGEREF _Toc237433537 \h </w:instrText>
            </w:r>
            <w:r>
              <w:rPr>
                <w:noProof/>
                <w:webHidden/>
              </w:rPr>
            </w:r>
            <w:r>
              <w:rPr>
                <w:noProof/>
                <w:webHidden/>
              </w:rPr>
              <w:fldChar w:fldCharType="separate"/>
            </w:r>
            <w:r>
              <w:rPr>
                <w:noProof/>
                <w:webHidden/>
              </w:rPr>
              <w:t>22</w:t>
            </w:r>
            <w:r>
              <w:rPr>
                <w:noProof/>
                <w:webHidden/>
              </w:rPr>
              <w:fldChar w:fldCharType="end"/>
            </w:r>
          </w:hyperlink>
        </w:p>
        <w:p w14:paraId="177BD297" w14:textId="3CED3298" w:rsidR="00F60DDE" w:rsidRDefault="00F60DDE">
          <w:pPr>
            <w:pStyle w:val="TOC2"/>
            <w:tabs>
              <w:tab w:val="right" w:leader="dot" w:pos="9350"/>
            </w:tabs>
            <w:rPr>
              <w:rFonts w:eastAsiaTheme="minorEastAsia"/>
              <w:b w:val="0"/>
              <w:bCs w:val="0"/>
              <w:noProof/>
              <w:sz w:val="24"/>
              <w:szCs w:val="24"/>
            </w:rPr>
          </w:pPr>
          <w:hyperlink w:anchor="_Toc237433538" w:history="1">
            <w:r w:rsidRPr="00EB5AAD">
              <w:rPr>
                <w:rStyle w:val="Hyperlink"/>
                <w:noProof/>
              </w:rPr>
              <w:t>4.2 Validating the Strategy: Five Forces and Ansoff's Matrix</w:t>
            </w:r>
            <w:r>
              <w:rPr>
                <w:noProof/>
                <w:webHidden/>
              </w:rPr>
              <w:tab/>
            </w:r>
            <w:r>
              <w:rPr>
                <w:noProof/>
                <w:webHidden/>
              </w:rPr>
              <w:fldChar w:fldCharType="begin"/>
            </w:r>
            <w:r>
              <w:rPr>
                <w:noProof/>
                <w:webHidden/>
              </w:rPr>
              <w:instrText xml:space="preserve"> PAGEREF _Toc237433538 \h </w:instrText>
            </w:r>
            <w:r>
              <w:rPr>
                <w:noProof/>
                <w:webHidden/>
              </w:rPr>
            </w:r>
            <w:r>
              <w:rPr>
                <w:noProof/>
                <w:webHidden/>
              </w:rPr>
              <w:fldChar w:fldCharType="separate"/>
            </w:r>
            <w:r>
              <w:rPr>
                <w:noProof/>
                <w:webHidden/>
              </w:rPr>
              <w:t>23</w:t>
            </w:r>
            <w:r>
              <w:rPr>
                <w:noProof/>
                <w:webHidden/>
              </w:rPr>
              <w:fldChar w:fldCharType="end"/>
            </w:r>
          </w:hyperlink>
        </w:p>
        <w:p w14:paraId="044A968B" w14:textId="05237812" w:rsidR="00F60DDE" w:rsidRDefault="00F60DDE">
          <w:pPr>
            <w:pStyle w:val="TOC2"/>
            <w:tabs>
              <w:tab w:val="right" w:leader="dot" w:pos="9350"/>
            </w:tabs>
            <w:rPr>
              <w:rFonts w:eastAsiaTheme="minorEastAsia"/>
              <w:b w:val="0"/>
              <w:bCs w:val="0"/>
              <w:noProof/>
              <w:sz w:val="24"/>
              <w:szCs w:val="24"/>
            </w:rPr>
          </w:pPr>
          <w:hyperlink w:anchor="_Toc237433539" w:history="1">
            <w:r w:rsidRPr="00EB5AAD">
              <w:rPr>
                <w:rStyle w:val="Hyperlink"/>
                <w:noProof/>
              </w:rPr>
              <w:t>4.3 Delivering Optimum Performance</w:t>
            </w:r>
            <w:r>
              <w:rPr>
                <w:noProof/>
                <w:webHidden/>
              </w:rPr>
              <w:tab/>
            </w:r>
            <w:r>
              <w:rPr>
                <w:noProof/>
                <w:webHidden/>
              </w:rPr>
              <w:fldChar w:fldCharType="begin"/>
            </w:r>
            <w:r>
              <w:rPr>
                <w:noProof/>
                <w:webHidden/>
              </w:rPr>
              <w:instrText xml:space="preserve"> PAGEREF _Toc237433539 \h </w:instrText>
            </w:r>
            <w:r>
              <w:rPr>
                <w:noProof/>
                <w:webHidden/>
              </w:rPr>
            </w:r>
            <w:r>
              <w:rPr>
                <w:noProof/>
                <w:webHidden/>
              </w:rPr>
              <w:fldChar w:fldCharType="separate"/>
            </w:r>
            <w:r>
              <w:rPr>
                <w:noProof/>
                <w:webHidden/>
              </w:rPr>
              <w:t>26</w:t>
            </w:r>
            <w:r>
              <w:rPr>
                <w:noProof/>
                <w:webHidden/>
              </w:rPr>
              <w:fldChar w:fldCharType="end"/>
            </w:r>
          </w:hyperlink>
        </w:p>
        <w:p w14:paraId="3C7E0200" w14:textId="7946309B" w:rsidR="00F60DDE" w:rsidRDefault="00F60DDE">
          <w:pPr>
            <w:pStyle w:val="TOC2"/>
            <w:tabs>
              <w:tab w:val="right" w:leader="dot" w:pos="9350"/>
            </w:tabs>
            <w:rPr>
              <w:rFonts w:eastAsiaTheme="minorEastAsia"/>
              <w:b w:val="0"/>
              <w:bCs w:val="0"/>
              <w:noProof/>
              <w:sz w:val="24"/>
              <w:szCs w:val="24"/>
            </w:rPr>
          </w:pPr>
          <w:hyperlink w:anchor="_Toc237433540" w:history="1">
            <w:r w:rsidRPr="00EB5AAD">
              <w:rPr>
                <w:rStyle w:val="Hyperlink"/>
                <w:noProof/>
              </w:rPr>
              <w:t>4.4 Implementation Challenges and Solutions</w:t>
            </w:r>
            <w:r>
              <w:rPr>
                <w:noProof/>
                <w:webHidden/>
              </w:rPr>
              <w:tab/>
            </w:r>
            <w:r>
              <w:rPr>
                <w:noProof/>
                <w:webHidden/>
              </w:rPr>
              <w:fldChar w:fldCharType="begin"/>
            </w:r>
            <w:r>
              <w:rPr>
                <w:noProof/>
                <w:webHidden/>
              </w:rPr>
              <w:instrText xml:space="preserve"> PAGEREF _Toc237433540 \h </w:instrText>
            </w:r>
            <w:r>
              <w:rPr>
                <w:noProof/>
                <w:webHidden/>
              </w:rPr>
            </w:r>
            <w:r>
              <w:rPr>
                <w:noProof/>
                <w:webHidden/>
              </w:rPr>
              <w:fldChar w:fldCharType="separate"/>
            </w:r>
            <w:r>
              <w:rPr>
                <w:noProof/>
                <w:webHidden/>
              </w:rPr>
              <w:t>27</w:t>
            </w:r>
            <w:r>
              <w:rPr>
                <w:noProof/>
                <w:webHidden/>
              </w:rPr>
              <w:fldChar w:fldCharType="end"/>
            </w:r>
          </w:hyperlink>
        </w:p>
        <w:p w14:paraId="491F99FC" w14:textId="2EE79291" w:rsidR="00F60DDE" w:rsidRDefault="00F60DDE">
          <w:pPr>
            <w:pStyle w:val="TOC1"/>
            <w:tabs>
              <w:tab w:val="right" w:leader="dot" w:pos="9350"/>
            </w:tabs>
            <w:rPr>
              <w:rFonts w:eastAsiaTheme="minorEastAsia"/>
              <w:b w:val="0"/>
              <w:bCs w:val="0"/>
              <w:i w:val="0"/>
              <w:iCs w:val="0"/>
              <w:noProof/>
            </w:rPr>
          </w:pPr>
          <w:hyperlink w:anchor="_Toc237433541" w:history="1">
            <w:r w:rsidRPr="00EB5AAD">
              <w:rPr>
                <w:rStyle w:val="Hyperlink"/>
                <w:noProof/>
              </w:rPr>
              <w:t>REFLECTIVE ACCOUNT</w:t>
            </w:r>
            <w:r>
              <w:rPr>
                <w:noProof/>
                <w:webHidden/>
              </w:rPr>
              <w:tab/>
            </w:r>
            <w:r>
              <w:rPr>
                <w:noProof/>
                <w:webHidden/>
              </w:rPr>
              <w:fldChar w:fldCharType="begin"/>
            </w:r>
            <w:r>
              <w:rPr>
                <w:noProof/>
                <w:webHidden/>
              </w:rPr>
              <w:instrText xml:space="preserve"> PAGEREF _Toc237433541 \h </w:instrText>
            </w:r>
            <w:r>
              <w:rPr>
                <w:noProof/>
                <w:webHidden/>
              </w:rPr>
            </w:r>
            <w:r>
              <w:rPr>
                <w:noProof/>
                <w:webHidden/>
              </w:rPr>
              <w:fldChar w:fldCharType="separate"/>
            </w:r>
            <w:r>
              <w:rPr>
                <w:noProof/>
                <w:webHidden/>
              </w:rPr>
              <w:t>29</w:t>
            </w:r>
            <w:r>
              <w:rPr>
                <w:noProof/>
                <w:webHidden/>
              </w:rPr>
              <w:fldChar w:fldCharType="end"/>
            </w:r>
          </w:hyperlink>
        </w:p>
        <w:p w14:paraId="5C63262C" w14:textId="4E168439" w:rsidR="00F60DDE" w:rsidRDefault="00F60DDE">
          <w:pPr>
            <w:pStyle w:val="TOC2"/>
            <w:tabs>
              <w:tab w:val="right" w:leader="dot" w:pos="9350"/>
            </w:tabs>
            <w:rPr>
              <w:rFonts w:eastAsiaTheme="minorEastAsia"/>
              <w:b w:val="0"/>
              <w:bCs w:val="0"/>
              <w:noProof/>
              <w:sz w:val="24"/>
              <w:szCs w:val="24"/>
            </w:rPr>
          </w:pPr>
          <w:hyperlink w:anchor="_Toc237433542" w:history="1">
            <w:r w:rsidRPr="00EB5AAD">
              <w:rPr>
                <w:rStyle w:val="Hyperlink"/>
                <w:noProof/>
              </w:rPr>
              <w:t>Description</w:t>
            </w:r>
            <w:r>
              <w:rPr>
                <w:noProof/>
                <w:webHidden/>
              </w:rPr>
              <w:tab/>
            </w:r>
            <w:r>
              <w:rPr>
                <w:noProof/>
                <w:webHidden/>
              </w:rPr>
              <w:fldChar w:fldCharType="begin"/>
            </w:r>
            <w:r>
              <w:rPr>
                <w:noProof/>
                <w:webHidden/>
              </w:rPr>
              <w:instrText xml:space="preserve"> PAGEREF _Toc237433542 \h </w:instrText>
            </w:r>
            <w:r>
              <w:rPr>
                <w:noProof/>
                <w:webHidden/>
              </w:rPr>
            </w:r>
            <w:r>
              <w:rPr>
                <w:noProof/>
                <w:webHidden/>
              </w:rPr>
              <w:fldChar w:fldCharType="separate"/>
            </w:r>
            <w:r>
              <w:rPr>
                <w:noProof/>
                <w:webHidden/>
              </w:rPr>
              <w:t>29</w:t>
            </w:r>
            <w:r>
              <w:rPr>
                <w:noProof/>
                <w:webHidden/>
              </w:rPr>
              <w:fldChar w:fldCharType="end"/>
            </w:r>
          </w:hyperlink>
        </w:p>
        <w:p w14:paraId="62BC46B7" w14:textId="0C1CCACD" w:rsidR="00F60DDE" w:rsidRDefault="00F60DDE">
          <w:pPr>
            <w:pStyle w:val="TOC2"/>
            <w:tabs>
              <w:tab w:val="right" w:leader="dot" w:pos="9350"/>
            </w:tabs>
            <w:rPr>
              <w:rFonts w:eastAsiaTheme="minorEastAsia"/>
              <w:b w:val="0"/>
              <w:bCs w:val="0"/>
              <w:noProof/>
              <w:sz w:val="24"/>
              <w:szCs w:val="24"/>
            </w:rPr>
          </w:pPr>
          <w:hyperlink w:anchor="_Toc237433543" w:history="1">
            <w:r w:rsidRPr="00EB5AAD">
              <w:rPr>
                <w:rStyle w:val="Hyperlink"/>
                <w:noProof/>
              </w:rPr>
              <w:t>Feelings</w:t>
            </w:r>
            <w:r>
              <w:rPr>
                <w:noProof/>
                <w:webHidden/>
              </w:rPr>
              <w:tab/>
            </w:r>
            <w:r>
              <w:rPr>
                <w:noProof/>
                <w:webHidden/>
              </w:rPr>
              <w:fldChar w:fldCharType="begin"/>
            </w:r>
            <w:r>
              <w:rPr>
                <w:noProof/>
                <w:webHidden/>
              </w:rPr>
              <w:instrText xml:space="preserve"> PAGEREF _Toc237433543 \h </w:instrText>
            </w:r>
            <w:r>
              <w:rPr>
                <w:noProof/>
                <w:webHidden/>
              </w:rPr>
            </w:r>
            <w:r>
              <w:rPr>
                <w:noProof/>
                <w:webHidden/>
              </w:rPr>
              <w:fldChar w:fldCharType="separate"/>
            </w:r>
            <w:r>
              <w:rPr>
                <w:noProof/>
                <w:webHidden/>
              </w:rPr>
              <w:t>29</w:t>
            </w:r>
            <w:r>
              <w:rPr>
                <w:noProof/>
                <w:webHidden/>
              </w:rPr>
              <w:fldChar w:fldCharType="end"/>
            </w:r>
          </w:hyperlink>
        </w:p>
        <w:p w14:paraId="6BF1C76D" w14:textId="6359AEAF" w:rsidR="00F60DDE" w:rsidRDefault="00F60DDE">
          <w:pPr>
            <w:pStyle w:val="TOC2"/>
            <w:tabs>
              <w:tab w:val="right" w:leader="dot" w:pos="9350"/>
            </w:tabs>
            <w:rPr>
              <w:rFonts w:eastAsiaTheme="minorEastAsia"/>
              <w:b w:val="0"/>
              <w:bCs w:val="0"/>
              <w:noProof/>
              <w:sz w:val="24"/>
              <w:szCs w:val="24"/>
            </w:rPr>
          </w:pPr>
          <w:hyperlink w:anchor="_Toc237433544" w:history="1">
            <w:r w:rsidRPr="00EB5AAD">
              <w:rPr>
                <w:rStyle w:val="Hyperlink"/>
                <w:noProof/>
              </w:rPr>
              <w:t>Evaluation</w:t>
            </w:r>
            <w:r>
              <w:rPr>
                <w:noProof/>
                <w:webHidden/>
              </w:rPr>
              <w:tab/>
            </w:r>
            <w:r>
              <w:rPr>
                <w:noProof/>
                <w:webHidden/>
              </w:rPr>
              <w:fldChar w:fldCharType="begin"/>
            </w:r>
            <w:r>
              <w:rPr>
                <w:noProof/>
                <w:webHidden/>
              </w:rPr>
              <w:instrText xml:space="preserve"> PAGEREF _Toc237433544 \h </w:instrText>
            </w:r>
            <w:r>
              <w:rPr>
                <w:noProof/>
                <w:webHidden/>
              </w:rPr>
            </w:r>
            <w:r>
              <w:rPr>
                <w:noProof/>
                <w:webHidden/>
              </w:rPr>
              <w:fldChar w:fldCharType="separate"/>
            </w:r>
            <w:r>
              <w:rPr>
                <w:noProof/>
                <w:webHidden/>
              </w:rPr>
              <w:t>30</w:t>
            </w:r>
            <w:r>
              <w:rPr>
                <w:noProof/>
                <w:webHidden/>
              </w:rPr>
              <w:fldChar w:fldCharType="end"/>
            </w:r>
          </w:hyperlink>
        </w:p>
        <w:p w14:paraId="357C7E7C" w14:textId="5019C0FF" w:rsidR="00F60DDE" w:rsidRDefault="00F60DDE">
          <w:pPr>
            <w:pStyle w:val="TOC2"/>
            <w:tabs>
              <w:tab w:val="right" w:leader="dot" w:pos="9350"/>
            </w:tabs>
            <w:rPr>
              <w:rFonts w:eastAsiaTheme="minorEastAsia"/>
              <w:b w:val="0"/>
              <w:bCs w:val="0"/>
              <w:noProof/>
              <w:sz w:val="24"/>
              <w:szCs w:val="24"/>
            </w:rPr>
          </w:pPr>
          <w:hyperlink w:anchor="_Toc237433545" w:history="1">
            <w:r w:rsidRPr="00EB5AAD">
              <w:rPr>
                <w:rStyle w:val="Hyperlink"/>
                <w:noProof/>
              </w:rPr>
              <w:t>Analysis</w:t>
            </w:r>
            <w:r>
              <w:rPr>
                <w:noProof/>
                <w:webHidden/>
              </w:rPr>
              <w:tab/>
            </w:r>
            <w:r>
              <w:rPr>
                <w:noProof/>
                <w:webHidden/>
              </w:rPr>
              <w:fldChar w:fldCharType="begin"/>
            </w:r>
            <w:r>
              <w:rPr>
                <w:noProof/>
                <w:webHidden/>
              </w:rPr>
              <w:instrText xml:space="preserve"> PAGEREF _Toc237433545 \h </w:instrText>
            </w:r>
            <w:r>
              <w:rPr>
                <w:noProof/>
                <w:webHidden/>
              </w:rPr>
            </w:r>
            <w:r>
              <w:rPr>
                <w:noProof/>
                <w:webHidden/>
              </w:rPr>
              <w:fldChar w:fldCharType="separate"/>
            </w:r>
            <w:r>
              <w:rPr>
                <w:noProof/>
                <w:webHidden/>
              </w:rPr>
              <w:t>30</w:t>
            </w:r>
            <w:r>
              <w:rPr>
                <w:noProof/>
                <w:webHidden/>
              </w:rPr>
              <w:fldChar w:fldCharType="end"/>
            </w:r>
          </w:hyperlink>
        </w:p>
        <w:p w14:paraId="040D2574" w14:textId="37712797" w:rsidR="00F60DDE" w:rsidRDefault="00F60DDE">
          <w:pPr>
            <w:pStyle w:val="TOC2"/>
            <w:tabs>
              <w:tab w:val="right" w:leader="dot" w:pos="9350"/>
            </w:tabs>
            <w:rPr>
              <w:rFonts w:eastAsiaTheme="minorEastAsia"/>
              <w:b w:val="0"/>
              <w:bCs w:val="0"/>
              <w:noProof/>
              <w:sz w:val="24"/>
              <w:szCs w:val="24"/>
            </w:rPr>
          </w:pPr>
          <w:hyperlink w:anchor="_Toc237433546" w:history="1">
            <w:r w:rsidRPr="00EB5AAD">
              <w:rPr>
                <w:rStyle w:val="Hyperlink"/>
                <w:noProof/>
              </w:rPr>
              <w:t>Conclusion</w:t>
            </w:r>
            <w:r>
              <w:rPr>
                <w:noProof/>
                <w:webHidden/>
              </w:rPr>
              <w:tab/>
            </w:r>
            <w:r>
              <w:rPr>
                <w:noProof/>
                <w:webHidden/>
              </w:rPr>
              <w:fldChar w:fldCharType="begin"/>
            </w:r>
            <w:r>
              <w:rPr>
                <w:noProof/>
                <w:webHidden/>
              </w:rPr>
              <w:instrText xml:space="preserve"> PAGEREF _Toc237433546 \h </w:instrText>
            </w:r>
            <w:r>
              <w:rPr>
                <w:noProof/>
                <w:webHidden/>
              </w:rPr>
            </w:r>
            <w:r>
              <w:rPr>
                <w:noProof/>
                <w:webHidden/>
              </w:rPr>
              <w:fldChar w:fldCharType="separate"/>
            </w:r>
            <w:r>
              <w:rPr>
                <w:noProof/>
                <w:webHidden/>
              </w:rPr>
              <w:t>31</w:t>
            </w:r>
            <w:r>
              <w:rPr>
                <w:noProof/>
                <w:webHidden/>
              </w:rPr>
              <w:fldChar w:fldCharType="end"/>
            </w:r>
          </w:hyperlink>
        </w:p>
        <w:p w14:paraId="076294C8" w14:textId="671CA013" w:rsidR="00F60DDE" w:rsidRDefault="00F60DDE">
          <w:pPr>
            <w:pStyle w:val="TOC2"/>
            <w:tabs>
              <w:tab w:val="right" w:leader="dot" w:pos="9350"/>
            </w:tabs>
            <w:rPr>
              <w:rFonts w:eastAsiaTheme="minorEastAsia"/>
              <w:b w:val="0"/>
              <w:bCs w:val="0"/>
              <w:noProof/>
              <w:sz w:val="24"/>
              <w:szCs w:val="24"/>
            </w:rPr>
          </w:pPr>
          <w:hyperlink w:anchor="_Toc237433547" w:history="1">
            <w:r w:rsidRPr="00EB5AAD">
              <w:rPr>
                <w:rStyle w:val="Hyperlink"/>
                <w:noProof/>
              </w:rPr>
              <w:t>Action Plan</w:t>
            </w:r>
            <w:r>
              <w:rPr>
                <w:noProof/>
                <w:webHidden/>
              </w:rPr>
              <w:tab/>
            </w:r>
            <w:r>
              <w:rPr>
                <w:noProof/>
                <w:webHidden/>
              </w:rPr>
              <w:fldChar w:fldCharType="begin"/>
            </w:r>
            <w:r>
              <w:rPr>
                <w:noProof/>
                <w:webHidden/>
              </w:rPr>
              <w:instrText xml:space="preserve"> PAGEREF _Toc237433547 \h </w:instrText>
            </w:r>
            <w:r>
              <w:rPr>
                <w:noProof/>
                <w:webHidden/>
              </w:rPr>
            </w:r>
            <w:r>
              <w:rPr>
                <w:noProof/>
                <w:webHidden/>
              </w:rPr>
              <w:fldChar w:fldCharType="separate"/>
            </w:r>
            <w:r>
              <w:rPr>
                <w:noProof/>
                <w:webHidden/>
              </w:rPr>
              <w:t>31</w:t>
            </w:r>
            <w:r>
              <w:rPr>
                <w:noProof/>
                <w:webHidden/>
              </w:rPr>
              <w:fldChar w:fldCharType="end"/>
            </w:r>
          </w:hyperlink>
        </w:p>
        <w:p w14:paraId="6BF274A0" w14:textId="3DAE8001" w:rsidR="00F60DDE" w:rsidRDefault="00F60DDE">
          <w:pPr>
            <w:pStyle w:val="TOC1"/>
            <w:tabs>
              <w:tab w:val="right" w:leader="dot" w:pos="9350"/>
            </w:tabs>
            <w:rPr>
              <w:rFonts w:eastAsiaTheme="minorEastAsia"/>
              <w:b w:val="0"/>
              <w:bCs w:val="0"/>
              <w:i w:val="0"/>
              <w:iCs w:val="0"/>
              <w:noProof/>
            </w:rPr>
          </w:pPr>
          <w:hyperlink w:anchor="_Toc237433548" w:history="1">
            <w:r w:rsidRPr="00EB5AAD">
              <w:rPr>
                <w:rStyle w:val="Hyperlink"/>
                <w:noProof/>
              </w:rPr>
              <w:t>REFERENCE</w:t>
            </w:r>
            <w:r>
              <w:rPr>
                <w:noProof/>
                <w:webHidden/>
              </w:rPr>
              <w:tab/>
            </w:r>
            <w:r>
              <w:rPr>
                <w:noProof/>
                <w:webHidden/>
              </w:rPr>
              <w:fldChar w:fldCharType="begin"/>
            </w:r>
            <w:r>
              <w:rPr>
                <w:noProof/>
                <w:webHidden/>
              </w:rPr>
              <w:instrText xml:space="preserve"> PAGEREF _Toc237433548 \h </w:instrText>
            </w:r>
            <w:r>
              <w:rPr>
                <w:noProof/>
                <w:webHidden/>
              </w:rPr>
            </w:r>
            <w:r>
              <w:rPr>
                <w:noProof/>
                <w:webHidden/>
              </w:rPr>
              <w:fldChar w:fldCharType="separate"/>
            </w:r>
            <w:r>
              <w:rPr>
                <w:noProof/>
                <w:webHidden/>
              </w:rPr>
              <w:t>31</w:t>
            </w:r>
            <w:r>
              <w:rPr>
                <w:noProof/>
                <w:webHidden/>
              </w:rPr>
              <w:fldChar w:fldCharType="end"/>
            </w:r>
          </w:hyperlink>
        </w:p>
        <w:p w14:paraId="4F711243" w14:textId="1E2AE9C2" w:rsidR="00F60DDE" w:rsidRDefault="00F60DDE">
          <w:pPr>
            <w:pStyle w:val="TOC1"/>
            <w:tabs>
              <w:tab w:val="right" w:leader="dot" w:pos="9350"/>
            </w:tabs>
            <w:rPr>
              <w:rFonts w:eastAsiaTheme="minorEastAsia"/>
              <w:b w:val="0"/>
              <w:bCs w:val="0"/>
              <w:i w:val="0"/>
              <w:iCs w:val="0"/>
              <w:noProof/>
            </w:rPr>
          </w:pPr>
          <w:hyperlink w:anchor="_Toc237433549" w:history="1">
            <w:r w:rsidRPr="00EB5AAD">
              <w:rPr>
                <w:rStyle w:val="Hyperlink"/>
                <w:noProof/>
              </w:rPr>
              <w:t>Appendices</w:t>
            </w:r>
            <w:r>
              <w:rPr>
                <w:noProof/>
                <w:webHidden/>
              </w:rPr>
              <w:tab/>
            </w:r>
            <w:r>
              <w:rPr>
                <w:noProof/>
                <w:webHidden/>
              </w:rPr>
              <w:fldChar w:fldCharType="begin"/>
            </w:r>
            <w:r>
              <w:rPr>
                <w:noProof/>
                <w:webHidden/>
              </w:rPr>
              <w:instrText xml:space="preserve"> PAGEREF _Toc237433549 \h </w:instrText>
            </w:r>
            <w:r>
              <w:rPr>
                <w:noProof/>
                <w:webHidden/>
              </w:rPr>
            </w:r>
            <w:r>
              <w:rPr>
                <w:noProof/>
                <w:webHidden/>
              </w:rPr>
              <w:fldChar w:fldCharType="separate"/>
            </w:r>
            <w:r>
              <w:rPr>
                <w:noProof/>
                <w:webHidden/>
              </w:rPr>
              <w:t>34</w:t>
            </w:r>
            <w:r>
              <w:rPr>
                <w:noProof/>
                <w:webHidden/>
              </w:rPr>
              <w:fldChar w:fldCharType="end"/>
            </w:r>
          </w:hyperlink>
        </w:p>
        <w:p w14:paraId="6DCDB7B3" w14:textId="3FD68302" w:rsidR="00557BC0" w:rsidRPr="004F6C3C" w:rsidRDefault="004F6C3C" w:rsidP="004F6C3C">
          <w:r>
            <w:rPr>
              <w:b/>
              <w:bCs/>
              <w:noProof/>
            </w:rPr>
            <w:fldChar w:fldCharType="end"/>
          </w:r>
        </w:p>
      </w:sdtContent>
    </w:sdt>
    <w:p w14:paraId="080D4611" w14:textId="77777777" w:rsidR="004F6C3C" w:rsidRDefault="004F6C3C" w:rsidP="00AC7D51">
      <w:pPr>
        <w:jc w:val="center"/>
        <w:rPr>
          <w:rFonts w:asciiTheme="minorBidi" w:hAnsiTheme="minorBidi"/>
          <w:b/>
          <w:bCs/>
          <w:sz w:val="28"/>
          <w:szCs w:val="28"/>
        </w:rPr>
      </w:pPr>
    </w:p>
    <w:p w14:paraId="0045AD35" w14:textId="77777777" w:rsidR="004F6C3C" w:rsidRDefault="004F6C3C">
      <w:pPr>
        <w:rPr>
          <w:rFonts w:asciiTheme="minorBidi" w:hAnsiTheme="minorBidi"/>
          <w:b/>
          <w:bCs/>
          <w:sz w:val="28"/>
          <w:szCs w:val="28"/>
        </w:rPr>
      </w:pPr>
      <w:r>
        <w:rPr>
          <w:rFonts w:asciiTheme="minorBidi" w:hAnsiTheme="minorBidi"/>
          <w:b/>
          <w:bCs/>
          <w:sz w:val="28"/>
          <w:szCs w:val="28"/>
        </w:rPr>
        <w:br w:type="page"/>
      </w:r>
    </w:p>
    <w:p w14:paraId="0C12721F" w14:textId="77777777" w:rsidR="00557BC0" w:rsidRDefault="00E52460" w:rsidP="00E52460">
      <w:pPr>
        <w:pStyle w:val="Heading1"/>
        <w:rPr>
          <w:rFonts w:ascii="Arial" w:hAnsi="Arial" w:cs="Arial"/>
        </w:rPr>
      </w:pPr>
      <w:bookmarkStart w:id="3" w:name="_Toc237433528"/>
      <w:r>
        <w:rPr>
          <w:rFonts w:ascii="Arial" w:hAnsi="Arial" w:cs="Arial"/>
        </w:rPr>
        <w:t>INTRODUCTION</w:t>
      </w:r>
      <w:bookmarkEnd w:id="3"/>
    </w:p>
    <w:p w14:paraId="2B4F37F9" w14:textId="77777777" w:rsidR="009B202C" w:rsidRDefault="00A400E5" w:rsidP="00DA719D">
      <w:pPr>
        <w:pStyle w:val="ListParagraph"/>
        <w:numPr>
          <w:ilvl w:val="0"/>
          <w:numId w:val="1"/>
        </w:numPr>
        <w:spacing w:line="360" w:lineRule="auto"/>
        <w:rPr>
          <w:rFonts w:ascii="Arial" w:hAnsi="Arial" w:cs="Arial"/>
        </w:rPr>
      </w:pPr>
      <w:r>
        <w:rPr>
          <w:rFonts w:ascii="Arial" w:hAnsi="Arial" w:cs="Arial"/>
        </w:rPr>
        <w:t>Chase UK, the retail banking arm of JPMorgan Chase &amp; Co., the largest bank in the United States, opened its doors as the first international retail banking business for the 227-year-old institution on 21 September 2021 (Chase UK, 2021). Late to the game, following Monzo and Starling and after Metro Bank was the UK's first new high-street license holder in more than 100 years (Ulam, 2025), Chase was not a small fintech start-up, but a digitally native challenger backed by the balance sheet of a global banking group that services more than 80 million American households (Chase UK, 2021).</w:t>
      </w:r>
    </w:p>
    <w:p w14:paraId="749FA32D" w14:textId="77777777" w:rsidR="009B202C" w:rsidRDefault="009B202C" w:rsidP="009B202C">
      <w:pPr>
        <w:pStyle w:val="ListParagraph"/>
        <w:spacing w:line="360" w:lineRule="auto"/>
        <w:rPr>
          <w:rFonts w:ascii="Arial" w:hAnsi="Arial" w:cs="Arial"/>
        </w:rPr>
      </w:pPr>
    </w:p>
    <w:p w14:paraId="3AB0B4A7" w14:textId="61739CB2" w:rsidR="00A400E5" w:rsidRDefault="009B202C" w:rsidP="009B202C">
      <w:pPr>
        <w:pStyle w:val="ListParagraph"/>
        <w:spacing w:line="360" w:lineRule="auto"/>
        <w:jc w:val="both"/>
        <w:rPr>
          <w:rFonts w:ascii="Arial" w:hAnsi="Arial" w:cs="Arial"/>
        </w:rPr>
      </w:pPr>
      <w:r>
        <w:rPr>
          <w:rFonts w:ascii="Arial" w:hAnsi="Arial" w:cs="Arial"/>
          <w:noProof/>
        </w:rPr>
        <w:drawing>
          <wp:inline distT="0" distB="0" distL="0" distR="0" wp14:anchorId="279884CC" wp14:editId="04643C6C">
            <wp:extent cx="5400675" cy="3600450"/>
            <wp:effectExtent l="0" t="0" r="0" b="6350"/>
            <wp:docPr id="2101230184" name="Picture 1" descr="A phone next to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230184" name="Picture 1" descr="A phone next to a phone&#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400675" cy="3600450"/>
                    </a:xfrm>
                    <a:prstGeom prst="rect">
                      <a:avLst/>
                    </a:prstGeom>
                  </pic:spPr>
                </pic:pic>
              </a:graphicData>
            </a:graphic>
          </wp:inline>
        </w:drawing>
      </w:r>
    </w:p>
    <w:p w14:paraId="5DAAB760" w14:textId="4580DC22" w:rsidR="00AE65A9" w:rsidRPr="00AE65A9" w:rsidRDefault="00AE65A9" w:rsidP="00AE65A9">
      <w:pPr>
        <w:pStyle w:val="ListParagraph"/>
        <w:spacing w:line="360" w:lineRule="auto"/>
        <w:jc w:val="center"/>
        <w:rPr>
          <w:rFonts w:ascii="Arial" w:hAnsi="Arial" w:cs="Arial"/>
        </w:rPr>
      </w:pPr>
      <w:r w:rsidRPr="00AE65A9">
        <w:rPr>
          <w:rFonts w:ascii="Arial" w:hAnsi="Arial" w:cs="Arial"/>
        </w:rPr>
        <w:t>Figure 1: Chase UK app and brand identity (illustrative, AI-generated, 2026).</w:t>
      </w:r>
    </w:p>
    <w:p w14:paraId="280F4506" w14:textId="77777777" w:rsidR="00A400E5" w:rsidRDefault="00A400E5" w:rsidP="00DA719D">
      <w:pPr>
        <w:pStyle w:val="ListParagraph"/>
        <w:spacing w:line="360" w:lineRule="auto"/>
        <w:rPr>
          <w:rFonts w:ascii="Arial" w:hAnsi="Arial" w:cs="Arial"/>
        </w:rPr>
      </w:pPr>
    </w:p>
    <w:p w14:paraId="65CBDB06" w14:textId="77777777" w:rsidR="009B202C" w:rsidRDefault="009B202C" w:rsidP="00DA719D">
      <w:pPr>
        <w:pStyle w:val="ListParagraph"/>
        <w:spacing w:line="360" w:lineRule="auto"/>
        <w:rPr>
          <w:rFonts w:ascii="Arial" w:hAnsi="Arial" w:cs="Arial"/>
        </w:rPr>
      </w:pPr>
    </w:p>
    <w:p w14:paraId="4FCDFC02" w14:textId="77777777" w:rsidR="009B202C" w:rsidRPr="007670E6" w:rsidRDefault="009B202C" w:rsidP="00DA719D">
      <w:pPr>
        <w:pStyle w:val="ListParagraph"/>
        <w:spacing w:line="360" w:lineRule="auto"/>
        <w:rPr>
          <w:rFonts w:ascii="Arial" w:hAnsi="Arial" w:cs="Arial"/>
        </w:rPr>
      </w:pPr>
    </w:p>
    <w:p w14:paraId="6CD7C3FB" w14:textId="77777777" w:rsidR="00A400E5" w:rsidRPr="007670E6" w:rsidRDefault="00A400E5" w:rsidP="00DA719D">
      <w:pPr>
        <w:pStyle w:val="ListParagraph"/>
        <w:numPr>
          <w:ilvl w:val="0"/>
          <w:numId w:val="1"/>
        </w:numPr>
        <w:spacing w:line="360" w:lineRule="auto"/>
        <w:rPr>
          <w:rFonts w:ascii="Arial" w:hAnsi="Arial" w:cs="Arial"/>
        </w:rPr>
      </w:pPr>
      <w:r>
        <w:rPr>
          <w:rFonts w:ascii="Arial" w:hAnsi="Arial" w:cs="Arial"/>
        </w:rPr>
        <w:t>The bank's mission statement focuses on providing “good value banking products with a straightforward experience through an easy-to-use app” (cited in Chase UK, 2022). This can be seen in the business model of offering a current account with no account fees, no branches, and monetizing the business via interchange revenue and the cross-selling of savings and investment products rather than the fees levied on account holders, with the first lending product (a credit card) coming out in 2025 (JPMorgan Chase, 2025a). Chase has grown from a single current account into an expanding suite of financial services, including savings, credit, and investments through its subsidiary, J.P. Morgan Personal Investing (formerly known as Nutmeg), which reached 2.8 million customers and over $35 billion in balances by early 2026 (JPMorgan Chase, 2025a).</w:t>
      </w:r>
    </w:p>
    <w:p w14:paraId="2C8654FE" w14:textId="77777777" w:rsidR="00A400E5" w:rsidRPr="007670E6" w:rsidRDefault="00A400E5" w:rsidP="00DA719D">
      <w:pPr>
        <w:pStyle w:val="ListParagraph"/>
        <w:spacing w:line="360" w:lineRule="auto"/>
        <w:rPr>
          <w:rFonts w:ascii="Arial" w:hAnsi="Arial" w:cs="Arial"/>
        </w:rPr>
      </w:pPr>
    </w:p>
    <w:p w14:paraId="387761D3" w14:textId="77777777" w:rsidR="00A400E5" w:rsidRPr="007670E6" w:rsidRDefault="00A400E5" w:rsidP="00DA719D">
      <w:pPr>
        <w:pStyle w:val="ListParagraph"/>
        <w:spacing w:line="360" w:lineRule="auto"/>
        <w:rPr>
          <w:rFonts w:ascii="Arial" w:hAnsi="Arial" w:cs="Arial"/>
        </w:rPr>
      </w:pPr>
    </w:p>
    <w:p w14:paraId="16390213" w14:textId="2B1D3E5A" w:rsidR="009B202C" w:rsidRDefault="00A400E5" w:rsidP="009B202C">
      <w:pPr>
        <w:pStyle w:val="ListParagraph"/>
        <w:numPr>
          <w:ilvl w:val="0"/>
          <w:numId w:val="1"/>
        </w:numPr>
        <w:spacing w:line="360" w:lineRule="auto"/>
        <w:rPr>
          <w:rFonts w:ascii="Arial" w:hAnsi="Arial" w:cs="Arial"/>
        </w:rPr>
      </w:pPr>
      <w:r>
        <w:rPr>
          <w:rFonts w:ascii="Arial" w:hAnsi="Arial" w:cs="Arial"/>
        </w:rPr>
        <w:t>The current account market is one of the most competitive retail-banking sectors in the UK, traditionally dominated by Barclays, HSBC, Lloyds and NatWest, and increasingly influenced by mobile-only brokers Starling and Monzo, as well as Revolut, Al-Harbi (2025) wrote. Open Banking regulation, a decline in the use of branches and increased consumer expectations of using apps for money management have transformed this market over the past decade (Chelladurai and IlanKumaran, 2026). While most competitors offer fee-free account, Chase differentiates itself more because of the sense of security that comes with an established global name, highly rated mobile app, and targeted cashback and savings incentives (Al-Harbi, 2025). In late 2025, Chase became profitable and is now a legitimate challenger to the likes of Monzo and Starling, despite intensifying competition with Revolut getting a full UK banking license in March 2026.</w:t>
      </w:r>
    </w:p>
    <w:p w14:paraId="699CD764" w14:textId="647A8C94" w:rsidR="009B202C" w:rsidRDefault="009B202C" w:rsidP="009B202C">
      <w:pPr>
        <w:spacing w:line="360" w:lineRule="auto"/>
        <w:jc w:val="center"/>
        <w:rPr>
          <w:rFonts w:ascii="Arial" w:hAnsi="Arial" w:cs="Arial"/>
        </w:rPr>
      </w:pPr>
      <w:r>
        <w:rPr>
          <w:rFonts w:ascii="Arial" w:hAnsi="Arial" w:cs="Arial"/>
          <w:noProof/>
          <w14:ligatures w14:val="standardContextual"/>
        </w:rPr>
        <w:drawing>
          <wp:inline distT="0" distB="0" distL="0" distR="0" wp14:anchorId="4C7006D2" wp14:editId="3DBC85C2">
            <wp:extent cx="4878234" cy="3252157"/>
            <wp:effectExtent l="0" t="0" r="0" b="0"/>
            <wp:docPr id="1221587688" name="Picture 3" descr="A chart of different colored circle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587688" name="Picture 3" descr="A chart of different colored circles with text&#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923144" cy="3282097"/>
                    </a:xfrm>
                    <a:prstGeom prst="rect">
                      <a:avLst/>
                    </a:prstGeom>
                  </pic:spPr>
                </pic:pic>
              </a:graphicData>
            </a:graphic>
          </wp:inline>
        </w:drawing>
      </w:r>
    </w:p>
    <w:p w14:paraId="74140BB4" w14:textId="78FC82DB" w:rsidR="00AE65A9" w:rsidRPr="00AE65A9" w:rsidRDefault="00AE65A9" w:rsidP="009B202C">
      <w:pPr>
        <w:spacing w:line="360" w:lineRule="auto"/>
        <w:jc w:val="center"/>
        <w:rPr>
          <w:rFonts w:ascii="Arial" w:hAnsi="Arial" w:cs="Arial"/>
        </w:rPr>
      </w:pPr>
      <w:r w:rsidRPr="00AE65A9">
        <w:rPr>
          <w:rFonts w:ascii="Arial" w:hAnsi="Arial" w:cs="Arial"/>
        </w:rPr>
        <w:t>Figure 2: Competitor positioning map for Chase UK in UK retail banking (Author's own, generated with ChatGPT image generation, 2026).</w:t>
      </w:r>
    </w:p>
    <w:p w14:paraId="2F634440" w14:textId="77777777" w:rsidR="009B202C" w:rsidRPr="009B202C" w:rsidRDefault="009B202C" w:rsidP="009B202C">
      <w:pPr>
        <w:spacing w:line="360" w:lineRule="auto"/>
        <w:rPr>
          <w:rFonts w:ascii="Arial" w:hAnsi="Arial" w:cs="Arial"/>
        </w:rPr>
      </w:pPr>
    </w:p>
    <w:p w14:paraId="6B6C9493" w14:textId="77777777" w:rsidR="00636FD5" w:rsidRPr="007670E6" w:rsidRDefault="00840CD2" w:rsidP="00DA719D">
      <w:pPr>
        <w:pStyle w:val="Heading1"/>
        <w:spacing w:line="360" w:lineRule="auto"/>
      </w:pPr>
      <w:bookmarkStart w:id="4" w:name="_Toc237433529"/>
      <w:r>
        <w:t>E</w:t>
      </w:r>
      <w:r>
        <w:t>XTERNAL AND INTERNAL ANALYSIS</w:t>
      </w:r>
      <w:bookmarkEnd w:id="4"/>
    </w:p>
    <w:p w14:paraId="3F8CA8EA" w14:textId="77777777" w:rsidR="00636FD5" w:rsidRPr="007670E6" w:rsidRDefault="00840CD2" w:rsidP="00DA719D">
      <w:pPr>
        <w:pStyle w:val="Heading2"/>
        <w:spacing w:line="360" w:lineRule="auto"/>
      </w:pPr>
      <w:bookmarkStart w:id="5" w:name="_Toc237433530"/>
      <w:r>
        <w:t>2.1 External Environment: PESTEL Analysis</w:t>
      </w:r>
      <w:bookmarkEnd w:id="5"/>
    </w:p>
    <w:p w14:paraId="2761AC9E" w14:textId="4AD5FFF3" w:rsidR="00102E53" w:rsidRDefault="00102E53" w:rsidP="00DA719D">
      <w:pPr>
        <w:pStyle w:val="ListParagraph"/>
        <w:numPr>
          <w:ilvl w:val="0"/>
          <w:numId w:val="2"/>
        </w:numPr>
        <w:spacing w:line="360" w:lineRule="auto"/>
        <w:rPr>
          <w:rFonts w:ascii="Arial" w:hAnsi="Arial" w:cs="Arial"/>
        </w:rPr>
      </w:pPr>
      <w:r>
        <w:rPr>
          <w:rFonts w:ascii="Arial" w:hAnsi="Arial" w:cs="Arial"/>
        </w:rPr>
        <w:t>Chase UK is situated in a retail-banking context that is characterised by fast-paced regulatory, technological and macro-economic evolution. As shown below, the political, economic, social, technological, environmental and legal aspects are identified below, and these opportunities and threats are distilled in section 2.3 of the SWOT analysis.</w:t>
      </w:r>
    </w:p>
    <w:p w14:paraId="32C5ED24" w14:textId="26EF1C50" w:rsidR="009B202C" w:rsidRDefault="009B202C" w:rsidP="009B202C">
      <w:pPr>
        <w:spacing w:line="360" w:lineRule="auto"/>
        <w:jc w:val="center"/>
        <w:rPr>
          <w:rFonts w:ascii="Arial" w:hAnsi="Arial" w:cs="Arial"/>
        </w:rPr>
      </w:pPr>
      <w:r>
        <w:rPr>
          <w:rFonts w:ascii="Arial" w:hAnsi="Arial" w:cs="Arial"/>
          <w:noProof/>
          <w14:ligatures w14:val="standardContextual"/>
        </w:rPr>
        <w:drawing>
          <wp:inline distT="0" distB="0" distL="0" distR="0" wp14:anchorId="3E1DEDD9" wp14:editId="76F8B173">
            <wp:extent cx="5843393" cy="3895595"/>
            <wp:effectExtent l="0" t="0" r="0" b="3810"/>
            <wp:docPr id="340831751" name="Picture 4" descr="A diagram of a circular shape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831751" name="Picture 4" descr="A diagram of a circular shape with text&#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857802" cy="3905201"/>
                    </a:xfrm>
                    <a:prstGeom prst="rect">
                      <a:avLst/>
                    </a:prstGeom>
                  </pic:spPr>
                </pic:pic>
              </a:graphicData>
            </a:graphic>
          </wp:inline>
        </w:drawing>
      </w:r>
    </w:p>
    <w:p w14:paraId="523376C6" w14:textId="3A0E8066" w:rsidR="00AE65A9" w:rsidRPr="00AE65A9" w:rsidRDefault="00AE65A9" w:rsidP="00AE65A9">
      <w:pPr>
        <w:spacing w:line="360" w:lineRule="auto"/>
        <w:jc w:val="center"/>
        <w:rPr>
          <w:rFonts w:ascii="Arial" w:hAnsi="Arial" w:cs="Arial"/>
        </w:rPr>
      </w:pPr>
      <w:r w:rsidRPr="00AE65A9">
        <w:rPr>
          <w:rFonts w:ascii="Arial" w:hAnsi="Arial" w:cs="Arial"/>
        </w:rPr>
        <w:t>Figure 3: PESTEL framework applied to Chase UK (Author's own, generated with ChatGPT image generation, 2026).</w:t>
      </w:r>
    </w:p>
    <w:p w14:paraId="6927E869" w14:textId="77777777" w:rsidR="00102E53" w:rsidRPr="00AE65A9" w:rsidRDefault="00102E53" w:rsidP="00AE65A9">
      <w:pPr>
        <w:spacing w:line="360" w:lineRule="auto"/>
        <w:jc w:val="center"/>
        <w:rPr>
          <w:rFonts w:ascii="Arial" w:hAnsi="Arial" w:cs="Arial"/>
        </w:rPr>
      </w:pPr>
    </w:p>
    <w:p w14:paraId="3B0BFB22" w14:textId="1C7F6005" w:rsidR="00102E53" w:rsidRPr="007670E6" w:rsidRDefault="00102E53" w:rsidP="00DA719D">
      <w:pPr>
        <w:pStyle w:val="ListParagraph"/>
        <w:numPr>
          <w:ilvl w:val="0"/>
          <w:numId w:val="2"/>
        </w:numPr>
        <w:spacing w:line="360" w:lineRule="auto"/>
        <w:rPr>
          <w:rFonts w:ascii="Arial" w:hAnsi="Arial" w:cs="Arial"/>
        </w:rPr>
      </w:pPr>
      <w:r>
        <w:rPr>
          <w:rFonts w:ascii="Arial" w:hAnsi="Arial" w:cs="Arial"/>
        </w:rPr>
        <w:t>Political: UK retail banking operates within a regulatory regime based on competition. The CMA is continuing to monitor the conduct of the nine largest ‘CMA9' banks, under the Retail Banking Market Investigation Order of 2017, and its communication with the Financial Conduct Authority (FCA) in January 2026 indicates that the CMA's focus on account-switching and payment-initiation rules is ongoing (Competition and Markets Authority, 2026). This allows for a pretty positive political environment around Challenger propositions like Chase, where the incumbent must remain "open" to new competitors. But as Clarke and Macartney (2025) reveal, the ‘noisy politics' that saw open banking imposed on the big banks in 2013-18 has been replaced, following Brexit, by ‘quiet politics' as the biggest incumbents took control by partnering and acquiring FinTech’s instead of going out of business. For Chase, it's a political tailwind that should be taken with a grain of salt, as there is still a lot of structural power in the hands of the CMA9.</w:t>
      </w:r>
    </w:p>
    <w:p w14:paraId="55AE0BE9" w14:textId="77777777" w:rsidR="00102E53" w:rsidRPr="007670E6" w:rsidRDefault="00102E53" w:rsidP="00DA719D">
      <w:pPr>
        <w:spacing w:line="360" w:lineRule="auto"/>
        <w:rPr>
          <w:rFonts w:ascii="Arial" w:hAnsi="Arial" w:cs="Arial"/>
        </w:rPr>
      </w:pPr>
    </w:p>
    <w:p w14:paraId="110BCB34" w14:textId="77777777" w:rsidR="00102E53" w:rsidRPr="007670E6" w:rsidRDefault="00102E53" w:rsidP="00DA719D">
      <w:pPr>
        <w:pStyle w:val="ListParagraph"/>
        <w:numPr>
          <w:ilvl w:val="0"/>
          <w:numId w:val="2"/>
        </w:numPr>
        <w:spacing w:line="360" w:lineRule="auto"/>
        <w:rPr>
          <w:rFonts w:ascii="Arial" w:hAnsi="Arial" w:cs="Arial"/>
        </w:rPr>
      </w:pPr>
      <w:r>
        <w:rPr>
          <w:rFonts w:ascii="Arial" w:hAnsi="Arial" w:cs="Arial"/>
        </w:rPr>
        <w:t>Economic: The Bank of England kept Bank Rate at 3.75% at their July 2026 meeting, and CPI inflation at around 2.6% and will likely increase further as the energy costs associated with the Middle East conflict work their way through the economy (Bank of England, 2026). Interest rates are a double-edged sword for Chase because, higher rates benefit the net interest income on its deposit base of over £20 billion, but the squeeze on the cost of living will also push consumers toward tightening their purse strings, and may also cause them to be more hesitant to switch their primary banking relationship during an uncertain economic climate, as would happen during a recession (Bank of England, 2026). Meanwhile, the financial squeeze makes a deal with no fees and no hassle, like Chase's, more attractive to the price-conscious shopper who wants to cut costs on basic banking.</w:t>
      </w:r>
    </w:p>
    <w:p w14:paraId="0C7F5067" w14:textId="77777777" w:rsidR="00102E53" w:rsidRPr="007670E6" w:rsidRDefault="00102E53" w:rsidP="00DA719D">
      <w:pPr>
        <w:spacing w:line="360" w:lineRule="auto"/>
        <w:rPr>
          <w:rFonts w:ascii="Arial" w:hAnsi="Arial" w:cs="Arial"/>
        </w:rPr>
      </w:pPr>
    </w:p>
    <w:p w14:paraId="0B3C2FFA" w14:textId="5CFA3247" w:rsidR="00102E53" w:rsidRPr="007670E6" w:rsidRDefault="00102E53" w:rsidP="00DA719D">
      <w:pPr>
        <w:pStyle w:val="ListParagraph"/>
        <w:numPr>
          <w:ilvl w:val="0"/>
          <w:numId w:val="2"/>
        </w:numPr>
        <w:spacing w:line="360" w:lineRule="auto"/>
        <w:rPr>
          <w:rFonts w:ascii="Arial" w:hAnsi="Arial" w:cs="Arial"/>
        </w:rPr>
      </w:pPr>
      <w:r>
        <w:rPr>
          <w:rFonts w:ascii="Arial" w:hAnsi="Arial" w:cs="Arial"/>
        </w:rPr>
        <w:t>Social: UK consumers are now more comfortable using an app as their primary banking channel, with digital-only banks not yet widely used as a primary bank as across all demographics. In the UTAUT-2 study of UK consumers, Ndlovu et al (2025) concluded that the perceived risk, trust, security and environmental concerns were all significant in driving behavioural intention to use digital only banks with an explanatory power of even a well-specified model was only moderate, highlighting the continued hesitation for some segments. Younger, money-conscious shoppers appreciate the cashback reward, round-up savings and ability to connect with J.P. Morgan Personal Investing, while older and less tech-savvy customers are loyal to the branches. Finally, Chase's position as a division of a global recognised bank rather than an independent start-up seems to lower the perceived-risk barrier outlined in Ndlovu et al.'s (2025) model, which further extends the reason why Chase has been able to generate their deposit base and volume relatively fast.</w:t>
      </w:r>
    </w:p>
    <w:p w14:paraId="1F0931E9" w14:textId="77777777" w:rsidR="00102E53" w:rsidRPr="007670E6" w:rsidRDefault="00102E53" w:rsidP="00DA719D">
      <w:pPr>
        <w:spacing w:line="360" w:lineRule="auto"/>
        <w:rPr>
          <w:rFonts w:ascii="Arial" w:hAnsi="Arial" w:cs="Arial"/>
        </w:rPr>
      </w:pPr>
    </w:p>
    <w:p w14:paraId="3ECC71F0" w14:textId="6CBAA0DF" w:rsidR="00102E53" w:rsidRPr="007670E6" w:rsidRDefault="00102E53" w:rsidP="00DA719D">
      <w:pPr>
        <w:pStyle w:val="ListParagraph"/>
        <w:numPr>
          <w:ilvl w:val="0"/>
          <w:numId w:val="2"/>
        </w:numPr>
        <w:spacing w:line="360" w:lineRule="auto"/>
        <w:rPr>
          <w:rFonts w:ascii="Arial" w:hAnsi="Arial" w:cs="Arial"/>
        </w:rPr>
      </w:pPr>
      <w:r>
        <w:rPr>
          <w:rFonts w:ascii="Arial" w:hAnsi="Arial" w:cs="Arial"/>
        </w:rPr>
        <w:t>Technological: APIs for open banking and cloud-based systems are still at the heart of competition. The FCA's Open Banking strategy also states that in 2025 there were 16.1 million people who were active users of open banking payments and account information services, with payments increasing by 53% that year, and that the FCA is expected to use new rule-making powers in 2026 under the forthcoming Treasury legislation (Financial Conduct Authority, 2025a). Chase's own tech strategy is also enhanced by its scale: JPMorganChase says it has a technology budget of about $19.8 billion for the year, and over 450 uses of artificial intelligence are in production across the bank, including in the areas of fraud, personalisation, and credit decisioning (JPMorganChase, 2026a). This is an expensive technology that uses artificial intelligence, and smaller challenger banks in the UK, like Monzo or Starling, do not have the ability to duplicate. This is a technology that gives chase a lasting advantage and is explored further in the VRIO analysis below.</w:t>
      </w:r>
    </w:p>
    <w:p w14:paraId="443BEA2A" w14:textId="77777777" w:rsidR="00102E53" w:rsidRPr="007670E6" w:rsidRDefault="00102E53" w:rsidP="00DA719D">
      <w:pPr>
        <w:spacing w:line="360" w:lineRule="auto"/>
        <w:rPr>
          <w:rFonts w:ascii="Arial" w:hAnsi="Arial" w:cs="Arial"/>
        </w:rPr>
      </w:pPr>
    </w:p>
    <w:p w14:paraId="49932F44" w14:textId="77777777" w:rsidR="00102E53" w:rsidRPr="007670E6" w:rsidRDefault="00102E53" w:rsidP="00DA719D">
      <w:pPr>
        <w:pStyle w:val="ListParagraph"/>
        <w:numPr>
          <w:ilvl w:val="0"/>
          <w:numId w:val="2"/>
        </w:numPr>
        <w:spacing w:line="360" w:lineRule="auto"/>
        <w:rPr>
          <w:rFonts w:ascii="Arial" w:hAnsi="Arial" w:cs="Arial"/>
        </w:rPr>
      </w:pPr>
      <w:r>
        <w:rPr>
          <w:rFonts w:ascii="Arial" w:hAnsi="Arial" w:cs="Arial"/>
        </w:rPr>
        <w:t>There are also environmental benefits, as digital-only banks have a lower direct carbon footprint than their branch banking counterparts because they don't require a nationwide branch network, though this benefit is being offset by the increased energy use of the cloud computing and artificial-intelligence platforms that support digital banking. The Financial Conduct Authority (FCA) is still working on expectations for climate-risk governance and sustainable finance disclosure as part of its overall strategic priorities in the sector (2024). Despite not having branch estate to decarbonise, Chase is nonetheless compelled to climate-risk governance and reporting through the group-level framework of JPMorgan Chase.</w:t>
      </w:r>
    </w:p>
    <w:p w14:paraId="2E890DA9" w14:textId="77777777" w:rsidR="00102E53" w:rsidRPr="007670E6" w:rsidRDefault="00102E53" w:rsidP="00DA719D">
      <w:pPr>
        <w:spacing w:line="360" w:lineRule="auto"/>
        <w:rPr>
          <w:rFonts w:ascii="Arial" w:hAnsi="Arial" w:cs="Arial"/>
        </w:rPr>
      </w:pPr>
    </w:p>
    <w:p w14:paraId="0350600E" w14:textId="5ADDCA95" w:rsidR="00636FD5" w:rsidRPr="007670E6" w:rsidRDefault="00102E53" w:rsidP="00DA719D">
      <w:pPr>
        <w:pStyle w:val="ListParagraph"/>
        <w:numPr>
          <w:ilvl w:val="0"/>
          <w:numId w:val="2"/>
        </w:numPr>
        <w:spacing w:line="360" w:lineRule="auto"/>
        <w:rPr>
          <w:rFonts w:ascii="Arial" w:hAnsi="Arial" w:cs="Arial"/>
        </w:rPr>
      </w:pPr>
      <w:r>
        <w:rPr>
          <w:rFonts w:ascii="Arial" w:hAnsi="Arial" w:cs="Arial"/>
        </w:rPr>
        <w:t>Legal: Chase is regulated and authorised by the FCA, and the Prudential Regulation Authority, meaning it must meet the FCA's new Consumer Duty regulatory framework, which introduces tougher standards for firms to demonstrate good outcomes for customers since 2022-24, as well as operational-resilience rules that mandate that firms set impact tolerances for critical business services (Financial Conduct Authority, 2024). Under the Financial Services Compensation Scheme, customer deposits are insured to £120,000 per person, which equates Chase with the same protection as incumbent banks, and helps to bridge the gap between the newer entrants and the trust banks. The CMA's continued monitoring of the Open Banking Roadmap, which was submitted in September 2024, also requires the largest banks to continue keeping the infrastructure on which Chase relies to provide services to customers (Competition and Markets Authority, 2026).</w:t>
      </w:r>
    </w:p>
    <w:p w14:paraId="3D81A478" w14:textId="77777777" w:rsidR="00636FD5" w:rsidRPr="007670E6" w:rsidRDefault="00840CD2" w:rsidP="00DA719D">
      <w:pPr>
        <w:pStyle w:val="Heading2"/>
        <w:spacing w:line="360" w:lineRule="auto"/>
      </w:pPr>
      <w:bookmarkStart w:id="6" w:name="_Toc237433531"/>
      <w:r>
        <w:t>2.2 Internal Environment: VRIO Analysis</w:t>
      </w:r>
      <w:bookmarkEnd w:id="6"/>
    </w:p>
    <w:p w14:paraId="66C6C4BF" w14:textId="07159971" w:rsidR="00636FD5" w:rsidRPr="007670E6" w:rsidRDefault="000E3B1A" w:rsidP="00DA719D">
      <w:pPr>
        <w:spacing w:line="360" w:lineRule="auto"/>
        <w:rPr>
          <w:rFonts w:ascii="Arial" w:hAnsi="Arial" w:cs="Arial"/>
        </w:rPr>
      </w:pPr>
      <w:r>
        <w:rPr>
          <w:rStyle w:val="cursor-pointer"/>
          <w:rFonts w:ascii="Arial" w:eastAsiaTheme="majorEastAsia" w:hAnsi="Arial" w:cs="Arial"/>
        </w:rPr>
        <w:t>The VRIO framework is used to determine whether a company can achieve sustainable competitive advantage (SCA) by combining valuable, rare, costly to imitate, and well-organized resources and capabilities (VRIO, 1991 cited in Simamora, Rahayu and Dirgantari, 2024).</w:t>
      </w:r>
      <w:r>
        <w:rPr>
          <w:rFonts w:ascii="Arial" w:hAnsi="Arial" w:cs="Arial"/>
        </w:rPr>
        <w:t xml:space="preserve"> </w:t>
      </w:r>
      <w:r>
        <w:rPr>
          <w:rStyle w:val="cursor-pointer"/>
          <w:rFonts w:ascii="Arial" w:eastAsiaTheme="majorEastAsia" w:hAnsi="Arial" w:cs="Arial"/>
        </w:rPr>
        <w:t>Table 1 illustrates this for four resources which are most critical to Chase UK's competitive position.</w:t>
      </w:r>
    </w:p>
    <w:tbl>
      <w:tblPr>
        <w:tblW w:w="8500" w:type="dxa"/>
        <w:tblBorders>
          <w:top w:val="single" w:sz="4" w:space="0" w:color="808080"/>
          <w:left w:val="single" w:sz="4" w:space="0" w:color="808080"/>
          <w:bottom w:val="single" w:sz="4" w:space="0" w:color="808080"/>
          <w:right w:val="single" w:sz="4" w:space="0" w:color="808080"/>
          <w:insideH w:val="single" w:sz="4" w:space="0" w:color="808080"/>
          <w:insideV w:val="single" w:sz="4" w:space="0" w:color="808080"/>
        </w:tblBorders>
        <w:tblLook w:val="04A0" w:firstRow="1" w:lastRow="0" w:firstColumn="1" w:lastColumn="0" w:noHBand="0" w:noVBand="1"/>
      </w:tblPr>
      <w:tblGrid>
        <w:gridCol w:w="2188"/>
        <w:gridCol w:w="1204"/>
        <w:gridCol w:w="803"/>
        <w:gridCol w:w="990"/>
        <w:gridCol w:w="1403"/>
        <w:gridCol w:w="1912"/>
      </w:tblGrid>
      <w:tr w:rsidR="00636FD5" w14:paraId="7E2A12E7" w14:textId="77777777">
        <w:tc>
          <w:tcPr>
            <w:tcW w:w="2400" w:type="dxa"/>
            <w:shd w:val="clear" w:color="auto" w:fill="D9D9D9"/>
            <w:vAlign w:val="center"/>
          </w:tcPr>
          <w:p w14:paraId="7276BCCF" w14:textId="77777777" w:rsidR="00636FD5" w:rsidRDefault="00840CD2" w:rsidP="00DA719D">
            <w:pPr>
              <w:spacing w:after="60" w:line="360" w:lineRule="auto"/>
              <w:rPr>
                <w:rFonts w:ascii="Arial" w:hAnsi="Arial" w:cs="Arial"/>
                <w:sz w:val="20"/>
              </w:rPr>
            </w:pPr>
            <w:r>
              <w:rPr>
                <w:rFonts w:ascii="Arial" w:hAnsi="Arial" w:cs="Arial"/>
                <w:b/>
                <w:bCs/>
              </w:rPr>
              <w:t>Resource</w:t>
            </w:r>
          </w:p>
        </w:tc>
        <w:tc>
          <w:tcPr>
            <w:tcW w:w="900" w:type="dxa"/>
            <w:shd w:val="clear" w:color="auto" w:fill="D9D9D9"/>
            <w:vAlign w:val="center"/>
          </w:tcPr>
          <w:p w14:paraId="503640D7" w14:textId="77777777" w:rsidR="00636FD5" w:rsidRDefault="00840CD2" w:rsidP="00DA719D">
            <w:pPr>
              <w:spacing w:after="60" w:line="360" w:lineRule="auto"/>
              <w:rPr>
                <w:rFonts w:ascii="Arial" w:hAnsi="Arial" w:cs="Arial"/>
                <w:sz w:val="20"/>
              </w:rPr>
            </w:pPr>
            <w:r>
              <w:rPr>
                <w:rFonts w:ascii="Arial" w:hAnsi="Arial" w:cs="Arial"/>
                <w:b/>
                <w:bCs/>
              </w:rPr>
              <w:t>Valuable</w:t>
            </w:r>
          </w:p>
        </w:tc>
        <w:tc>
          <w:tcPr>
            <w:tcW w:w="900" w:type="dxa"/>
            <w:shd w:val="clear" w:color="auto" w:fill="D9D9D9"/>
            <w:vAlign w:val="center"/>
          </w:tcPr>
          <w:p w14:paraId="4C626AAC" w14:textId="77777777" w:rsidR="00636FD5" w:rsidRDefault="00840CD2" w:rsidP="00DA719D">
            <w:pPr>
              <w:spacing w:after="60" w:line="360" w:lineRule="auto"/>
              <w:rPr>
                <w:rFonts w:ascii="Arial" w:hAnsi="Arial" w:cs="Arial"/>
                <w:sz w:val="20"/>
              </w:rPr>
            </w:pPr>
            <w:r>
              <w:rPr>
                <w:rFonts w:ascii="Arial" w:hAnsi="Arial" w:cs="Arial"/>
                <w:b/>
                <w:bCs/>
              </w:rPr>
              <w:t>Rare</w:t>
            </w:r>
          </w:p>
        </w:tc>
        <w:tc>
          <w:tcPr>
            <w:tcW w:w="900" w:type="dxa"/>
            <w:shd w:val="clear" w:color="auto" w:fill="D9D9D9"/>
            <w:vAlign w:val="center"/>
          </w:tcPr>
          <w:p w14:paraId="76A317E8" w14:textId="77777777" w:rsidR="00636FD5" w:rsidRDefault="00840CD2" w:rsidP="00DA719D">
            <w:pPr>
              <w:spacing w:after="60" w:line="360" w:lineRule="auto"/>
              <w:rPr>
                <w:rFonts w:ascii="Arial" w:hAnsi="Arial" w:cs="Arial"/>
                <w:sz w:val="20"/>
              </w:rPr>
            </w:pPr>
            <w:r>
              <w:rPr>
                <w:rFonts w:ascii="Arial" w:hAnsi="Arial" w:cs="Arial"/>
                <w:b/>
                <w:bCs/>
              </w:rPr>
              <w:t>Costly to Imitate</w:t>
            </w:r>
          </w:p>
        </w:tc>
        <w:tc>
          <w:tcPr>
            <w:tcW w:w="900" w:type="dxa"/>
            <w:shd w:val="clear" w:color="auto" w:fill="D9D9D9"/>
            <w:vAlign w:val="center"/>
          </w:tcPr>
          <w:p w14:paraId="69D90DCC" w14:textId="77777777" w:rsidR="00636FD5" w:rsidRDefault="00840CD2" w:rsidP="00DA719D">
            <w:pPr>
              <w:spacing w:after="60" w:line="360" w:lineRule="auto"/>
              <w:rPr>
                <w:rFonts w:ascii="Arial" w:hAnsi="Arial" w:cs="Arial"/>
                <w:sz w:val="20"/>
              </w:rPr>
            </w:pPr>
            <w:r>
              <w:rPr>
                <w:rFonts w:ascii="Arial" w:hAnsi="Arial" w:cs="Arial"/>
                <w:b/>
                <w:bCs/>
              </w:rPr>
              <w:t>Organised</w:t>
            </w:r>
          </w:p>
        </w:tc>
        <w:tc>
          <w:tcPr>
            <w:tcW w:w="2500" w:type="dxa"/>
            <w:shd w:val="clear" w:color="auto" w:fill="D9D9D9"/>
            <w:vAlign w:val="center"/>
          </w:tcPr>
          <w:p w14:paraId="46F34850" w14:textId="77777777" w:rsidR="00636FD5" w:rsidRDefault="00840CD2" w:rsidP="00DA719D">
            <w:pPr>
              <w:spacing w:after="60" w:line="360" w:lineRule="auto"/>
              <w:rPr>
                <w:rFonts w:ascii="Arial" w:hAnsi="Arial" w:cs="Arial"/>
                <w:sz w:val="20"/>
              </w:rPr>
            </w:pPr>
            <w:r>
              <w:rPr>
                <w:rFonts w:ascii="Arial" w:hAnsi="Arial" w:cs="Arial"/>
                <w:b/>
                <w:bCs/>
              </w:rPr>
              <w:t>Competitive Implication</w:t>
            </w:r>
          </w:p>
        </w:tc>
      </w:tr>
      <w:tr w:rsidR="00636FD5" w14:paraId="1B9166A0" w14:textId="77777777">
        <w:tc>
          <w:tcPr>
            <w:tcW w:w="2400" w:type="dxa"/>
            <w:vAlign w:val="center"/>
          </w:tcPr>
          <w:p w14:paraId="2F243310" w14:textId="77777777" w:rsidR="00636FD5" w:rsidRDefault="00840CD2" w:rsidP="00DA719D">
            <w:pPr>
              <w:spacing w:after="60" w:line="360" w:lineRule="auto"/>
              <w:rPr>
                <w:rFonts w:ascii="Arial" w:hAnsi="Arial" w:cs="Arial"/>
                <w:sz w:val="20"/>
              </w:rPr>
            </w:pPr>
            <w:r>
              <w:rPr>
                <w:rFonts w:ascii="Arial" w:hAnsi="Arial" w:cs="Arial"/>
              </w:rPr>
              <w:t>Parental balance sheet and capital backing (JPMorgan Chase)</w:t>
            </w:r>
          </w:p>
        </w:tc>
        <w:tc>
          <w:tcPr>
            <w:tcW w:w="900" w:type="dxa"/>
            <w:vAlign w:val="center"/>
          </w:tcPr>
          <w:p w14:paraId="1AC7AC21" w14:textId="77777777" w:rsidR="00636FD5" w:rsidRDefault="00840CD2" w:rsidP="00DA719D">
            <w:pPr>
              <w:spacing w:after="60" w:line="360" w:lineRule="auto"/>
              <w:rPr>
                <w:rFonts w:ascii="Arial" w:hAnsi="Arial" w:cs="Arial"/>
                <w:sz w:val="20"/>
              </w:rPr>
            </w:pPr>
            <w:r>
              <w:rPr>
                <w:rFonts w:ascii="Arial" w:hAnsi="Arial" w:cs="Arial"/>
              </w:rPr>
              <w:t>Yes</w:t>
            </w:r>
          </w:p>
        </w:tc>
        <w:tc>
          <w:tcPr>
            <w:tcW w:w="900" w:type="dxa"/>
            <w:vAlign w:val="center"/>
          </w:tcPr>
          <w:p w14:paraId="7923341E" w14:textId="77777777" w:rsidR="00636FD5" w:rsidRDefault="00840CD2" w:rsidP="00DA719D">
            <w:pPr>
              <w:spacing w:after="60" w:line="360" w:lineRule="auto"/>
              <w:rPr>
                <w:rFonts w:ascii="Arial" w:hAnsi="Arial" w:cs="Arial"/>
                <w:sz w:val="20"/>
              </w:rPr>
            </w:pPr>
            <w:r>
              <w:rPr>
                <w:rFonts w:ascii="Arial" w:hAnsi="Arial" w:cs="Arial"/>
              </w:rPr>
              <w:t>Yes</w:t>
            </w:r>
          </w:p>
        </w:tc>
        <w:tc>
          <w:tcPr>
            <w:tcW w:w="900" w:type="dxa"/>
            <w:vAlign w:val="center"/>
          </w:tcPr>
          <w:p w14:paraId="569363B3" w14:textId="77777777" w:rsidR="00636FD5" w:rsidRDefault="00840CD2" w:rsidP="00DA719D">
            <w:pPr>
              <w:spacing w:after="60" w:line="360" w:lineRule="auto"/>
              <w:rPr>
                <w:rFonts w:ascii="Arial" w:hAnsi="Arial" w:cs="Arial"/>
                <w:sz w:val="20"/>
              </w:rPr>
            </w:pPr>
            <w:r>
              <w:rPr>
                <w:rFonts w:ascii="Arial" w:hAnsi="Arial" w:cs="Arial"/>
              </w:rPr>
              <w:t>Yes</w:t>
            </w:r>
          </w:p>
        </w:tc>
        <w:tc>
          <w:tcPr>
            <w:tcW w:w="900" w:type="dxa"/>
            <w:vAlign w:val="center"/>
          </w:tcPr>
          <w:p w14:paraId="6F64AD28" w14:textId="77777777" w:rsidR="00636FD5" w:rsidRDefault="00840CD2" w:rsidP="00DA719D">
            <w:pPr>
              <w:spacing w:after="60" w:line="360" w:lineRule="auto"/>
              <w:rPr>
                <w:rFonts w:ascii="Arial" w:hAnsi="Arial" w:cs="Arial"/>
                <w:sz w:val="20"/>
              </w:rPr>
            </w:pPr>
            <w:r>
              <w:rPr>
                <w:rFonts w:ascii="Arial" w:hAnsi="Arial" w:cs="Arial"/>
              </w:rPr>
              <w:t>Yes</w:t>
            </w:r>
          </w:p>
        </w:tc>
        <w:tc>
          <w:tcPr>
            <w:tcW w:w="2500" w:type="dxa"/>
            <w:vAlign w:val="center"/>
          </w:tcPr>
          <w:p w14:paraId="0453BD4A" w14:textId="77777777" w:rsidR="00636FD5" w:rsidRDefault="00840CD2" w:rsidP="00DA719D">
            <w:pPr>
              <w:spacing w:after="60" w:line="360" w:lineRule="auto"/>
              <w:rPr>
                <w:rFonts w:ascii="Arial" w:hAnsi="Arial" w:cs="Arial"/>
                <w:sz w:val="20"/>
              </w:rPr>
            </w:pPr>
            <w:r>
              <w:rPr>
                <w:rFonts w:ascii="Arial" w:hAnsi="Arial" w:cs="Arial"/>
              </w:rPr>
              <w:t>Sustained competitive advantage</w:t>
            </w:r>
          </w:p>
        </w:tc>
      </w:tr>
      <w:tr w:rsidR="00636FD5" w14:paraId="771E7B1F" w14:textId="77777777">
        <w:tc>
          <w:tcPr>
            <w:tcW w:w="2400" w:type="dxa"/>
            <w:vAlign w:val="center"/>
          </w:tcPr>
          <w:p w14:paraId="341AB815" w14:textId="77777777" w:rsidR="00636FD5" w:rsidRDefault="00840CD2" w:rsidP="00DA719D">
            <w:pPr>
              <w:spacing w:after="60" w:line="360" w:lineRule="auto"/>
              <w:rPr>
                <w:rFonts w:ascii="Arial" w:hAnsi="Arial" w:cs="Arial"/>
                <w:sz w:val="20"/>
              </w:rPr>
            </w:pPr>
            <w:r>
              <w:rPr>
                <w:rFonts w:ascii="Arial" w:hAnsi="Arial" w:cs="Arial"/>
              </w:rPr>
              <w:t>Cloud-native, AI-enabled technology platform</w:t>
            </w:r>
          </w:p>
        </w:tc>
        <w:tc>
          <w:tcPr>
            <w:tcW w:w="900" w:type="dxa"/>
            <w:vAlign w:val="center"/>
          </w:tcPr>
          <w:p w14:paraId="0014BAB3" w14:textId="77777777" w:rsidR="00636FD5" w:rsidRDefault="00840CD2" w:rsidP="00DA719D">
            <w:pPr>
              <w:spacing w:after="60" w:line="360" w:lineRule="auto"/>
              <w:rPr>
                <w:rFonts w:ascii="Arial" w:hAnsi="Arial" w:cs="Arial"/>
                <w:sz w:val="20"/>
              </w:rPr>
            </w:pPr>
            <w:r>
              <w:rPr>
                <w:rFonts w:ascii="Arial" w:hAnsi="Arial" w:cs="Arial"/>
              </w:rPr>
              <w:t>Yes</w:t>
            </w:r>
          </w:p>
        </w:tc>
        <w:tc>
          <w:tcPr>
            <w:tcW w:w="900" w:type="dxa"/>
            <w:vAlign w:val="center"/>
          </w:tcPr>
          <w:p w14:paraId="364B19ED" w14:textId="77777777" w:rsidR="00636FD5" w:rsidRDefault="00840CD2" w:rsidP="00DA719D">
            <w:pPr>
              <w:spacing w:after="60" w:line="360" w:lineRule="auto"/>
              <w:rPr>
                <w:rFonts w:ascii="Arial" w:hAnsi="Arial" w:cs="Arial"/>
                <w:sz w:val="20"/>
              </w:rPr>
            </w:pPr>
            <w:r>
              <w:rPr>
                <w:rFonts w:ascii="Arial" w:hAnsi="Arial" w:cs="Arial"/>
              </w:rPr>
              <w:t>Yes</w:t>
            </w:r>
          </w:p>
        </w:tc>
        <w:tc>
          <w:tcPr>
            <w:tcW w:w="900" w:type="dxa"/>
            <w:vAlign w:val="center"/>
          </w:tcPr>
          <w:p w14:paraId="7A2E7C13" w14:textId="77777777" w:rsidR="00636FD5" w:rsidRDefault="00840CD2" w:rsidP="00DA719D">
            <w:pPr>
              <w:spacing w:after="60" w:line="360" w:lineRule="auto"/>
              <w:rPr>
                <w:rFonts w:ascii="Arial" w:hAnsi="Arial" w:cs="Arial"/>
                <w:sz w:val="20"/>
              </w:rPr>
            </w:pPr>
            <w:r>
              <w:rPr>
                <w:rFonts w:ascii="Arial" w:hAnsi="Arial" w:cs="Arial"/>
              </w:rPr>
              <w:t>Partly</w:t>
            </w:r>
          </w:p>
        </w:tc>
        <w:tc>
          <w:tcPr>
            <w:tcW w:w="900" w:type="dxa"/>
            <w:vAlign w:val="center"/>
          </w:tcPr>
          <w:p w14:paraId="645AF0B7" w14:textId="77777777" w:rsidR="00636FD5" w:rsidRDefault="00840CD2" w:rsidP="00DA719D">
            <w:pPr>
              <w:spacing w:after="60" w:line="360" w:lineRule="auto"/>
              <w:rPr>
                <w:rFonts w:ascii="Arial" w:hAnsi="Arial" w:cs="Arial"/>
                <w:sz w:val="20"/>
              </w:rPr>
            </w:pPr>
            <w:r>
              <w:rPr>
                <w:rFonts w:ascii="Arial" w:hAnsi="Arial" w:cs="Arial"/>
              </w:rPr>
              <w:t>Yes</w:t>
            </w:r>
          </w:p>
        </w:tc>
        <w:tc>
          <w:tcPr>
            <w:tcW w:w="2500" w:type="dxa"/>
            <w:vAlign w:val="center"/>
          </w:tcPr>
          <w:p w14:paraId="0FD19A70" w14:textId="77777777" w:rsidR="00636FD5" w:rsidRDefault="00840CD2" w:rsidP="00DA719D">
            <w:pPr>
              <w:spacing w:after="60" w:line="360" w:lineRule="auto"/>
              <w:rPr>
                <w:rFonts w:ascii="Arial" w:hAnsi="Arial" w:cs="Arial"/>
                <w:sz w:val="20"/>
              </w:rPr>
            </w:pPr>
            <w:r>
              <w:rPr>
                <w:rFonts w:ascii="Arial" w:hAnsi="Arial" w:cs="Arial"/>
              </w:rPr>
              <w:t>Temporary competitive advantage</w:t>
            </w:r>
          </w:p>
        </w:tc>
      </w:tr>
      <w:tr w:rsidR="00636FD5" w14:paraId="42B2B558" w14:textId="77777777">
        <w:tc>
          <w:tcPr>
            <w:tcW w:w="2400" w:type="dxa"/>
            <w:vAlign w:val="center"/>
          </w:tcPr>
          <w:p w14:paraId="67665C8E" w14:textId="77777777" w:rsidR="00636FD5" w:rsidRDefault="00840CD2" w:rsidP="00DA719D">
            <w:pPr>
              <w:spacing w:after="60" w:line="360" w:lineRule="auto"/>
              <w:rPr>
                <w:rFonts w:ascii="Arial" w:hAnsi="Arial" w:cs="Arial"/>
                <w:sz w:val="20"/>
              </w:rPr>
            </w:pPr>
            <w:r>
              <w:rPr>
                <w:rFonts w:ascii="Arial" w:hAnsi="Arial" w:cs="Arial"/>
              </w:rPr>
              <w:t>Global Chase/JPMorgan brand and reputation</w:t>
            </w:r>
          </w:p>
        </w:tc>
        <w:tc>
          <w:tcPr>
            <w:tcW w:w="900" w:type="dxa"/>
            <w:vAlign w:val="center"/>
          </w:tcPr>
          <w:p w14:paraId="5CF99D02" w14:textId="77777777" w:rsidR="00636FD5" w:rsidRDefault="00840CD2" w:rsidP="00DA719D">
            <w:pPr>
              <w:spacing w:after="60" w:line="360" w:lineRule="auto"/>
              <w:rPr>
                <w:rFonts w:ascii="Arial" w:hAnsi="Arial" w:cs="Arial"/>
                <w:sz w:val="20"/>
              </w:rPr>
            </w:pPr>
            <w:r>
              <w:rPr>
                <w:rFonts w:ascii="Arial" w:hAnsi="Arial" w:cs="Arial"/>
              </w:rPr>
              <w:t>Yes</w:t>
            </w:r>
          </w:p>
        </w:tc>
        <w:tc>
          <w:tcPr>
            <w:tcW w:w="900" w:type="dxa"/>
            <w:vAlign w:val="center"/>
          </w:tcPr>
          <w:p w14:paraId="6F09455E" w14:textId="77777777" w:rsidR="00636FD5" w:rsidRDefault="00840CD2" w:rsidP="00DA719D">
            <w:pPr>
              <w:spacing w:after="60" w:line="360" w:lineRule="auto"/>
              <w:rPr>
                <w:rFonts w:ascii="Arial" w:hAnsi="Arial" w:cs="Arial"/>
                <w:sz w:val="20"/>
              </w:rPr>
            </w:pPr>
            <w:r>
              <w:rPr>
                <w:rFonts w:ascii="Arial" w:hAnsi="Arial" w:cs="Arial"/>
              </w:rPr>
              <w:t>No</w:t>
            </w:r>
          </w:p>
        </w:tc>
        <w:tc>
          <w:tcPr>
            <w:tcW w:w="900" w:type="dxa"/>
            <w:vAlign w:val="center"/>
          </w:tcPr>
          <w:p w14:paraId="51B719B7" w14:textId="77777777" w:rsidR="00636FD5" w:rsidRDefault="00840CD2" w:rsidP="00DA719D">
            <w:pPr>
              <w:spacing w:after="60" w:line="360" w:lineRule="auto"/>
              <w:rPr>
                <w:rFonts w:ascii="Arial" w:hAnsi="Arial" w:cs="Arial"/>
                <w:sz w:val="20"/>
              </w:rPr>
            </w:pPr>
            <w:r>
              <w:rPr>
                <w:rFonts w:ascii="Arial" w:hAnsi="Arial" w:cs="Arial"/>
              </w:rPr>
              <w:t>Partly</w:t>
            </w:r>
          </w:p>
        </w:tc>
        <w:tc>
          <w:tcPr>
            <w:tcW w:w="900" w:type="dxa"/>
            <w:vAlign w:val="center"/>
          </w:tcPr>
          <w:p w14:paraId="786250FA" w14:textId="77777777" w:rsidR="00636FD5" w:rsidRDefault="00840CD2" w:rsidP="00DA719D">
            <w:pPr>
              <w:spacing w:after="60" w:line="360" w:lineRule="auto"/>
              <w:rPr>
                <w:rFonts w:ascii="Arial" w:hAnsi="Arial" w:cs="Arial"/>
                <w:sz w:val="20"/>
              </w:rPr>
            </w:pPr>
            <w:r>
              <w:rPr>
                <w:rFonts w:ascii="Arial" w:hAnsi="Arial" w:cs="Arial"/>
              </w:rPr>
              <w:t>Yes</w:t>
            </w:r>
          </w:p>
        </w:tc>
        <w:tc>
          <w:tcPr>
            <w:tcW w:w="2500" w:type="dxa"/>
            <w:vAlign w:val="center"/>
          </w:tcPr>
          <w:p w14:paraId="6EC97C4E" w14:textId="77777777" w:rsidR="00636FD5" w:rsidRDefault="00840CD2" w:rsidP="00DA719D">
            <w:pPr>
              <w:spacing w:after="60" w:line="360" w:lineRule="auto"/>
              <w:rPr>
                <w:rFonts w:ascii="Arial" w:hAnsi="Arial" w:cs="Arial"/>
                <w:sz w:val="20"/>
              </w:rPr>
            </w:pPr>
            <w:r>
              <w:rPr>
                <w:rFonts w:ascii="Arial" w:hAnsi="Arial" w:cs="Arial"/>
              </w:rPr>
              <w:t>Temporary competitive advantage</w:t>
            </w:r>
          </w:p>
        </w:tc>
      </w:tr>
      <w:tr w:rsidR="00636FD5" w14:paraId="2EFC2244" w14:textId="77777777">
        <w:tc>
          <w:tcPr>
            <w:tcW w:w="2400" w:type="dxa"/>
            <w:vAlign w:val="center"/>
          </w:tcPr>
          <w:p w14:paraId="5CE3D84B" w14:textId="77777777" w:rsidR="00636FD5" w:rsidRDefault="00840CD2" w:rsidP="00DA719D">
            <w:pPr>
              <w:spacing w:after="60" w:line="360" w:lineRule="auto"/>
              <w:rPr>
                <w:rFonts w:ascii="Arial" w:hAnsi="Arial" w:cs="Arial"/>
                <w:sz w:val="20"/>
              </w:rPr>
            </w:pPr>
            <w:r>
              <w:rPr>
                <w:rFonts w:ascii="Arial" w:hAnsi="Arial" w:cs="Arial"/>
              </w:rPr>
              <w:t>Integrated investment offer (J.P. Morgan Personal Investing)</w:t>
            </w:r>
          </w:p>
        </w:tc>
        <w:tc>
          <w:tcPr>
            <w:tcW w:w="900" w:type="dxa"/>
            <w:vAlign w:val="center"/>
          </w:tcPr>
          <w:p w14:paraId="2BEDA198" w14:textId="77777777" w:rsidR="00636FD5" w:rsidRDefault="00840CD2" w:rsidP="00DA719D">
            <w:pPr>
              <w:spacing w:after="60" w:line="360" w:lineRule="auto"/>
              <w:rPr>
                <w:rFonts w:ascii="Arial" w:hAnsi="Arial" w:cs="Arial"/>
                <w:sz w:val="20"/>
              </w:rPr>
            </w:pPr>
            <w:r>
              <w:rPr>
                <w:rFonts w:ascii="Arial" w:hAnsi="Arial" w:cs="Arial"/>
              </w:rPr>
              <w:t>Yes</w:t>
            </w:r>
          </w:p>
        </w:tc>
        <w:tc>
          <w:tcPr>
            <w:tcW w:w="900" w:type="dxa"/>
            <w:vAlign w:val="center"/>
          </w:tcPr>
          <w:p w14:paraId="565D10B8" w14:textId="77777777" w:rsidR="00636FD5" w:rsidRDefault="00840CD2" w:rsidP="00DA719D">
            <w:pPr>
              <w:spacing w:after="60" w:line="360" w:lineRule="auto"/>
              <w:rPr>
                <w:rFonts w:ascii="Arial" w:hAnsi="Arial" w:cs="Arial"/>
                <w:sz w:val="20"/>
              </w:rPr>
            </w:pPr>
            <w:r>
              <w:rPr>
                <w:rFonts w:ascii="Arial" w:hAnsi="Arial" w:cs="Arial"/>
              </w:rPr>
              <w:t>Yes</w:t>
            </w:r>
          </w:p>
        </w:tc>
        <w:tc>
          <w:tcPr>
            <w:tcW w:w="900" w:type="dxa"/>
            <w:vAlign w:val="center"/>
          </w:tcPr>
          <w:p w14:paraId="4B574E24" w14:textId="77777777" w:rsidR="00636FD5" w:rsidRDefault="00840CD2" w:rsidP="00DA719D">
            <w:pPr>
              <w:spacing w:after="60" w:line="360" w:lineRule="auto"/>
              <w:rPr>
                <w:rFonts w:ascii="Arial" w:hAnsi="Arial" w:cs="Arial"/>
                <w:sz w:val="20"/>
              </w:rPr>
            </w:pPr>
            <w:r>
              <w:rPr>
                <w:rFonts w:ascii="Arial" w:hAnsi="Arial" w:cs="Arial"/>
              </w:rPr>
              <w:t>Partly</w:t>
            </w:r>
          </w:p>
        </w:tc>
        <w:tc>
          <w:tcPr>
            <w:tcW w:w="900" w:type="dxa"/>
            <w:vAlign w:val="center"/>
          </w:tcPr>
          <w:p w14:paraId="6F5D991C" w14:textId="77777777" w:rsidR="00636FD5" w:rsidRDefault="00840CD2" w:rsidP="00DA719D">
            <w:pPr>
              <w:spacing w:after="60" w:line="360" w:lineRule="auto"/>
              <w:rPr>
                <w:rFonts w:ascii="Arial" w:hAnsi="Arial" w:cs="Arial"/>
                <w:sz w:val="20"/>
              </w:rPr>
            </w:pPr>
            <w:r>
              <w:rPr>
                <w:rFonts w:ascii="Arial" w:hAnsi="Arial" w:cs="Arial"/>
              </w:rPr>
              <w:t>Yes</w:t>
            </w:r>
          </w:p>
        </w:tc>
        <w:tc>
          <w:tcPr>
            <w:tcW w:w="2500" w:type="dxa"/>
            <w:vAlign w:val="center"/>
          </w:tcPr>
          <w:p w14:paraId="74C7C5CC" w14:textId="77777777" w:rsidR="00636FD5" w:rsidRDefault="00840CD2" w:rsidP="00DA719D">
            <w:pPr>
              <w:spacing w:after="60" w:line="360" w:lineRule="auto"/>
              <w:rPr>
                <w:rFonts w:ascii="Arial" w:hAnsi="Arial" w:cs="Arial"/>
                <w:sz w:val="20"/>
              </w:rPr>
            </w:pPr>
            <w:r>
              <w:rPr>
                <w:rFonts w:ascii="Arial" w:hAnsi="Arial" w:cs="Arial"/>
              </w:rPr>
              <w:t>Temporary competitive advantage</w:t>
            </w:r>
          </w:p>
        </w:tc>
      </w:tr>
      <w:tr w:rsidR="00636FD5" w14:paraId="5BBE0E33" w14:textId="77777777">
        <w:tc>
          <w:tcPr>
            <w:tcW w:w="2400" w:type="dxa"/>
            <w:vAlign w:val="center"/>
          </w:tcPr>
          <w:p w14:paraId="19BB479F" w14:textId="77777777" w:rsidR="00636FD5" w:rsidRDefault="00840CD2" w:rsidP="00DA719D">
            <w:pPr>
              <w:spacing w:after="60" w:line="360" w:lineRule="auto"/>
              <w:rPr>
                <w:rFonts w:ascii="Arial" w:hAnsi="Arial" w:cs="Arial"/>
                <w:sz w:val="20"/>
              </w:rPr>
            </w:pPr>
            <w:r>
              <w:rPr>
                <w:rFonts w:ascii="Arial" w:hAnsi="Arial" w:cs="Arial"/>
              </w:rPr>
              <w:t>UK banking licence and FSCS protection</w:t>
            </w:r>
          </w:p>
        </w:tc>
        <w:tc>
          <w:tcPr>
            <w:tcW w:w="900" w:type="dxa"/>
            <w:vAlign w:val="center"/>
          </w:tcPr>
          <w:p w14:paraId="40B76C17" w14:textId="77777777" w:rsidR="00636FD5" w:rsidRDefault="00840CD2" w:rsidP="00DA719D">
            <w:pPr>
              <w:spacing w:after="60" w:line="360" w:lineRule="auto"/>
              <w:rPr>
                <w:rFonts w:ascii="Arial" w:hAnsi="Arial" w:cs="Arial"/>
                <w:sz w:val="20"/>
              </w:rPr>
            </w:pPr>
            <w:r>
              <w:rPr>
                <w:rFonts w:ascii="Arial" w:hAnsi="Arial" w:cs="Arial"/>
              </w:rPr>
              <w:t>Yes</w:t>
            </w:r>
          </w:p>
        </w:tc>
        <w:tc>
          <w:tcPr>
            <w:tcW w:w="900" w:type="dxa"/>
            <w:vAlign w:val="center"/>
          </w:tcPr>
          <w:p w14:paraId="57BA7337" w14:textId="77777777" w:rsidR="00636FD5" w:rsidRDefault="00840CD2" w:rsidP="00DA719D">
            <w:pPr>
              <w:spacing w:after="60" w:line="360" w:lineRule="auto"/>
              <w:rPr>
                <w:rFonts w:ascii="Arial" w:hAnsi="Arial" w:cs="Arial"/>
                <w:sz w:val="20"/>
              </w:rPr>
            </w:pPr>
            <w:r>
              <w:rPr>
                <w:rFonts w:ascii="Arial" w:hAnsi="Arial" w:cs="Arial"/>
              </w:rPr>
              <w:t>No</w:t>
            </w:r>
          </w:p>
        </w:tc>
        <w:tc>
          <w:tcPr>
            <w:tcW w:w="900" w:type="dxa"/>
            <w:vAlign w:val="center"/>
          </w:tcPr>
          <w:p w14:paraId="26E2DC0D" w14:textId="77777777" w:rsidR="00636FD5" w:rsidRDefault="00840CD2" w:rsidP="00DA719D">
            <w:pPr>
              <w:spacing w:after="60" w:line="360" w:lineRule="auto"/>
              <w:rPr>
                <w:rFonts w:ascii="Arial" w:hAnsi="Arial" w:cs="Arial"/>
                <w:sz w:val="20"/>
              </w:rPr>
            </w:pPr>
            <w:r>
              <w:rPr>
                <w:rFonts w:ascii="Arial" w:hAnsi="Arial" w:cs="Arial"/>
              </w:rPr>
              <w:t>No</w:t>
            </w:r>
          </w:p>
        </w:tc>
        <w:tc>
          <w:tcPr>
            <w:tcW w:w="900" w:type="dxa"/>
            <w:vAlign w:val="center"/>
          </w:tcPr>
          <w:p w14:paraId="682094BE" w14:textId="77777777" w:rsidR="00636FD5" w:rsidRDefault="00840CD2" w:rsidP="00DA719D">
            <w:pPr>
              <w:spacing w:after="60" w:line="360" w:lineRule="auto"/>
              <w:rPr>
                <w:rFonts w:ascii="Arial" w:hAnsi="Arial" w:cs="Arial"/>
                <w:sz w:val="20"/>
              </w:rPr>
            </w:pPr>
            <w:r>
              <w:rPr>
                <w:rFonts w:ascii="Arial" w:hAnsi="Arial" w:cs="Arial"/>
              </w:rPr>
              <w:t>Yes</w:t>
            </w:r>
          </w:p>
        </w:tc>
        <w:tc>
          <w:tcPr>
            <w:tcW w:w="2500" w:type="dxa"/>
            <w:vAlign w:val="center"/>
          </w:tcPr>
          <w:p w14:paraId="44F73BCD" w14:textId="77777777" w:rsidR="00636FD5" w:rsidRDefault="00840CD2" w:rsidP="00DA719D">
            <w:pPr>
              <w:spacing w:after="60" w:line="360" w:lineRule="auto"/>
              <w:rPr>
                <w:rFonts w:ascii="Arial" w:hAnsi="Arial" w:cs="Arial"/>
                <w:sz w:val="20"/>
              </w:rPr>
            </w:pPr>
            <w:r>
              <w:rPr>
                <w:rFonts w:ascii="Arial" w:hAnsi="Arial" w:cs="Arial"/>
              </w:rPr>
              <w:t>Competitive parity</w:t>
            </w:r>
          </w:p>
        </w:tc>
      </w:tr>
    </w:tbl>
    <w:p w14:paraId="2533957E" w14:textId="77777777" w:rsidR="00636FD5" w:rsidRDefault="00636FD5" w:rsidP="00DA719D">
      <w:pPr>
        <w:spacing w:line="360" w:lineRule="auto"/>
        <w:rPr>
          <w:rFonts w:ascii="Arial" w:hAnsi="Arial" w:cs="Arial"/>
        </w:rPr>
      </w:pPr>
    </w:p>
    <w:p w14:paraId="46FAC9E1" w14:textId="77777777" w:rsidR="00636FD5" w:rsidRDefault="00840CD2" w:rsidP="00176E94">
      <w:pPr>
        <w:spacing w:line="360" w:lineRule="auto"/>
        <w:jc w:val="center"/>
      </w:pPr>
      <w:r>
        <w:rPr>
          <w:rFonts w:ascii="Arial" w:hAnsi="Arial" w:cs="Arial"/>
        </w:rPr>
        <w:t>Table 1: VRIO analysis of Chase UK's principal resources and capabilities.</w:t>
      </w:r>
    </w:p>
    <w:p w14:paraId="1E1FA50A" w14:textId="77777777" w:rsidR="00636FD5" w:rsidRDefault="00636FD5" w:rsidP="00DA719D">
      <w:pPr>
        <w:spacing w:line="360" w:lineRule="auto"/>
        <w:rPr>
          <w:rFonts w:ascii="Arial" w:hAnsi="Arial" w:cs="Arial"/>
        </w:rPr>
      </w:pPr>
    </w:p>
    <w:p w14:paraId="3F0B447A" w14:textId="697D9A0E" w:rsidR="00636FD5" w:rsidRPr="007670E6" w:rsidRDefault="00840CD2" w:rsidP="00DA719D">
      <w:pPr>
        <w:spacing w:line="360" w:lineRule="auto"/>
        <w:rPr>
          <w:rFonts w:ascii="Arial" w:hAnsi="Arial" w:cs="Arial"/>
        </w:rPr>
      </w:pPr>
      <w:r>
        <w:rPr>
          <w:rFonts w:ascii="Arial" w:hAnsi="Arial" w:cs="Arial"/>
          <w:b/>
          <w:bCs/>
        </w:rPr>
        <w:t>Financial backing:</w:t>
      </w:r>
      <w:r>
        <w:rPr>
          <w:rStyle w:val="Heading1Char"/>
          <w:rFonts w:ascii="Arial" w:hAnsi="Arial" w:cs="Arial"/>
          <w:sz w:val="24"/>
          <w:szCs w:val="24"/>
        </w:rPr>
        <w:t xml:space="preserve"> </w:t>
      </w:r>
      <w:r>
        <w:rPr>
          <w:rStyle w:val="cursor-pointer"/>
          <w:rFonts w:ascii="Arial" w:eastAsiaTheme="majorEastAsia" w:hAnsi="Arial" w:cs="Arial"/>
        </w:rPr>
        <w:t>Balance sheet of its parent is Chase UK's most valuable and rarest resource.</w:t>
      </w:r>
      <w:r>
        <w:rPr>
          <w:rFonts w:ascii="Arial" w:hAnsi="Arial" w:cs="Arial"/>
        </w:rPr>
        <w:t xml:space="preserve"> </w:t>
      </w:r>
      <w:r>
        <w:rPr>
          <w:rStyle w:val="cursor-pointer"/>
          <w:rFonts w:ascii="Arial" w:eastAsiaTheme="majorEastAsia" w:hAnsi="Arial" w:cs="Arial"/>
        </w:rPr>
        <w:t>JPMorgan Chase had total assets of $4.425 trillion, net income of $57.0 billion, and a Common Equity Tier 1 (CET1) capital ratio of 14.6% for 2025, which provides Chase with a level of funding that is unavailable to a challenger bank operating in the United Kingdom alone (JPMorgan Chase, 2025b).</w:t>
      </w:r>
      <w:r>
        <w:rPr>
          <w:rFonts w:ascii="Arial" w:hAnsi="Arial" w:cs="Arial"/>
        </w:rPr>
        <w:t xml:space="preserve"> </w:t>
      </w:r>
      <w:r>
        <w:rPr>
          <w:rStyle w:val="cursor-pointer"/>
          <w:rFonts w:ascii="Arial" w:eastAsiaTheme="majorEastAsia" w:hAnsi="Arial" w:cs="Arial"/>
        </w:rPr>
        <w:t>This is because the resource enabled the company to make a significant investment while still being scalable towards a profitable busines</w:t>
      </w:r>
      <w:r>
        <w:rPr>
          <w:rStyle w:val="cursor-pointer"/>
          <w:rFonts w:ascii="Arial" w:eastAsiaTheme="majorEastAsia" w:hAnsi="Arial" w:cs="Arial"/>
        </w:rPr>
        <w:t xml:space="preserve">s by the end of 2025, which is something that can't be maintained by the pure-play </w:t>
      </w:r>
      <w:r>
        <w:rPr>
          <w:rStyle w:val="cursor-pointer"/>
          <w:rFonts w:ascii="Arial" w:hAnsi="Arial" w:cs="Arial"/>
        </w:rPr>
        <w:t>FinTech’s</w:t>
      </w:r>
      <w:r>
        <w:rPr>
          <w:rStyle w:val="cursor-pointer"/>
          <w:rFonts w:ascii="Arial" w:eastAsiaTheme="majorEastAsia" w:hAnsi="Arial" w:cs="Arial"/>
        </w:rPr>
        <w:t xml:space="preserve"> who are reliant on the investment rounds of the venture-capital model.</w:t>
      </w:r>
      <w:r>
        <w:rPr>
          <w:rFonts w:ascii="Arial" w:hAnsi="Arial" w:cs="Arial"/>
        </w:rPr>
        <w:t xml:space="preserve"> </w:t>
      </w:r>
      <w:r>
        <w:rPr>
          <w:rStyle w:val="cursor-pointer"/>
          <w:rFonts w:ascii="Arial" w:eastAsiaTheme="majorEastAsia" w:hAnsi="Arial" w:cs="Arial"/>
        </w:rPr>
        <w:t xml:space="preserve">It is rare among UK entrants, hard to imitate, well organised around the growth strategy of chase and </w:t>
      </w:r>
      <w:r>
        <w:rPr>
          <w:rStyle w:val="cursor-pointer"/>
          <w:rFonts w:ascii="Arial" w:hAnsi="Arial" w:cs="Arial"/>
        </w:rPr>
        <w:t>it</w:t>
      </w:r>
      <w:r>
        <w:rPr>
          <w:rStyle w:val="cursor-pointer"/>
          <w:rFonts w:ascii="Arial" w:eastAsiaTheme="majorEastAsia" w:hAnsi="Arial" w:cs="Arial"/>
        </w:rPr>
        <w:t xml:space="preserve"> provides a source of sustained competitive </w:t>
      </w:r>
      <w:r>
        <w:rPr>
          <w:rStyle w:val="cursor-pointer"/>
          <w:rFonts w:ascii="Arial" w:hAnsi="Arial" w:cs="Arial"/>
        </w:rPr>
        <w:t>advantage.</w:t>
      </w:r>
    </w:p>
    <w:p w14:paraId="2E4EDFFA" w14:textId="77777777" w:rsidR="00636FD5" w:rsidRPr="007670E6" w:rsidRDefault="00636FD5" w:rsidP="00DA719D">
      <w:pPr>
        <w:spacing w:line="360" w:lineRule="auto"/>
        <w:rPr>
          <w:rFonts w:ascii="Arial" w:hAnsi="Arial" w:cs="Arial"/>
        </w:rPr>
      </w:pPr>
    </w:p>
    <w:p w14:paraId="50120A2B" w14:textId="1CAD7961" w:rsidR="000E3B1A" w:rsidRPr="007670E6" w:rsidRDefault="00840CD2" w:rsidP="00DA719D">
      <w:pPr>
        <w:spacing w:line="360" w:lineRule="auto"/>
        <w:rPr>
          <w:rFonts w:ascii="Arial" w:hAnsi="Arial" w:cs="Arial"/>
        </w:rPr>
      </w:pPr>
      <w:r>
        <w:rPr>
          <w:rFonts w:ascii="Arial" w:hAnsi="Arial" w:cs="Arial"/>
          <w:b/>
          <w:bCs/>
        </w:rPr>
        <w:t xml:space="preserve">Technology and AI platform: </w:t>
      </w:r>
      <w:r>
        <w:rPr>
          <w:rFonts w:ascii="Arial" w:hAnsi="Arial" w:cs="Arial"/>
        </w:rPr>
        <w:t>JPMorganChase's cloud-native core banking platform and access to its group-wide artificial intelligence programme come in at a value that is above most UK retail banks' $4.3 billion annual tech budget and over 450 production uses of artificial intelligence, respectively (JPMorganChase, 2026a). However, research on small banks in the field of digital transformation proves that information systems and technological capabilities, if properly organized, can be a valid resource for realizing competitive advantag</w:t>
      </w:r>
      <w:r>
        <w:rPr>
          <w:rFonts w:ascii="Arial" w:hAnsi="Arial" w:cs="Arial"/>
        </w:rPr>
        <w:t xml:space="preserve">e instead of achieving competitive parity (Simamora, Rahayu and Dirgantari, 2024) this suggests that it can be considered as a VRIO resource of chase. The primary risk is that of being able to be imitated: UK competitors like Monzo, Starling and Revolut are all cloud-native and tech agile, and Chase's tech advantage is more of a competitive edge for the short term and is reliant on ongoing reinvestment at the group level. </w:t>
      </w:r>
    </w:p>
    <w:p w14:paraId="22F343A0" w14:textId="5F1CEEE2" w:rsidR="00636FD5" w:rsidRPr="007670E6" w:rsidRDefault="00636FD5" w:rsidP="00DA719D">
      <w:pPr>
        <w:spacing w:line="360" w:lineRule="auto"/>
        <w:rPr>
          <w:rFonts w:ascii="Arial" w:hAnsi="Arial" w:cs="Arial"/>
        </w:rPr>
      </w:pPr>
    </w:p>
    <w:p w14:paraId="697627BD" w14:textId="77777777" w:rsidR="00636FD5" w:rsidRPr="007670E6" w:rsidRDefault="00636FD5" w:rsidP="00DA719D">
      <w:pPr>
        <w:spacing w:line="360" w:lineRule="auto"/>
        <w:rPr>
          <w:rFonts w:ascii="Arial" w:hAnsi="Arial" w:cs="Arial"/>
        </w:rPr>
      </w:pPr>
    </w:p>
    <w:p w14:paraId="74DF7CF6" w14:textId="5EA4D916" w:rsidR="00636FD5" w:rsidRPr="007670E6" w:rsidRDefault="00840CD2" w:rsidP="00DA719D">
      <w:pPr>
        <w:spacing w:line="360" w:lineRule="auto"/>
        <w:rPr>
          <w:rFonts w:ascii="Arial" w:hAnsi="Arial" w:cs="Arial"/>
        </w:rPr>
      </w:pPr>
      <w:r>
        <w:rPr>
          <w:rFonts w:ascii="Arial" w:hAnsi="Arial" w:cs="Arial"/>
          <w:b/>
          <w:bCs/>
        </w:rPr>
        <w:t xml:space="preserve">Brand and trust: </w:t>
      </w:r>
      <w:r>
        <w:rPr>
          <w:rStyle w:val="cursor-pointer"/>
          <w:rFonts w:ascii="Arial" w:eastAsiaTheme="majorEastAsia" w:hAnsi="Arial" w:cs="Arial"/>
        </w:rPr>
        <w:t>In the context of perceived-risk barrier, which Ndlovu et al. (2025) consider a major hurdle in adopting digital-only banks in the UK, Chase's brand recognition is valuable.</w:t>
      </w:r>
      <w:r>
        <w:rPr>
          <w:rFonts w:ascii="Arial" w:hAnsi="Arial" w:cs="Arial"/>
        </w:rPr>
        <w:t xml:space="preserve"> </w:t>
      </w:r>
      <w:r>
        <w:rPr>
          <w:rStyle w:val="cursor-pointer"/>
          <w:rFonts w:ascii="Arial" w:eastAsiaTheme="majorEastAsia" w:hAnsi="Arial" w:cs="Arial"/>
        </w:rPr>
        <w:t xml:space="preserve">It is somewhat rare, however, because other UK financial institutions – HSBC, Barclays, Lloyds and NatWest – have similarly established brands in the UK, and it is </w:t>
      </w:r>
      <w:r>
        <w:rPr>
          <w:rStyle w:val="cursor-pointer"/>
          <w:rFonts w:ascii="Arial" w:hAnsi="Arial" w:cs="Arial"/>
        </w:rPr>
        <w:t>easy</w:t>
      </w:r>
      <w:r>
        <w:rPr>
          <w:rStyle w:val="cursor-pointer"/>
          <w:rFonts w:ascii="Arial" w:eastAsiaTheme="majorEastAsia" w:hAnsi="Arial" w:cs="Arial"/>
        </w:rPr>
        <w:t xml:space="preserve"> to imitate in theory, but much harder in practice, because it takes a very long time to build.</w:t>
      </w:r>
      <w:r>
        <w:rPr>
          <w:rFonts w:ascii="Arial" w:hAnsi="Arial" w:cs="Arial"/>
        </w:rPr>
        <w:t xml:space="preserve"> </w:t>
      </w:r>
      <w:r>
        <w:rPr>
          <w:rStyle w:val="cursor-pointer"/>
          <w:rFonts w:ascii="Arial" w:eastAsiaTheme="majorEastAsia" w:hAnsi="Arial" w:cs="Arial"/>
        </w:rPr>
        <w:t>Chase is spending a lot of money organisationally to enable this global br</w:t>
      </w:r>
      <w:r>
        <w:rPr>
          <w:rStyle w:val="cursor-pointer"/>
          <w:rFonts w:ascii="Arial" w:eastAsiaTheme="majorEastAsia" w:hAnsi="Arial" w:cs="Arial"/>
        </w:rPr>
        <w:t xml:space="preserve">and to be trusted locally, and so </w:t>
      </w:r>
      <w:r>
        <w:rPr>
          <w:rStyle w:val="cursor-pointer"/>
          <w:rFonts w:ascii="Arial" w:hAnsi="Arial" w:cs="Arial"/>
        </w:rPr>
        <w:t>far,</w:t>
      </w:r>
      <w:r>
        <w:rPr>
          <w:rStyle w:val="cursor-pointer"/>
          <w:rFonts w:ascii="Arial" w:eastAsiaTheme="majorEastAsia" w:hAnsi="Arial" w:cs="Arial"/>
        </w:rPr>
        <w:t xml:space="preserve"> it's giving the organisation a competitive edge at the expense of others.</w:t>
      </w:r>
    </w:p>
    <w:p w14:paraId="3CC9DA82" w14:textId="77777777" w:rsidR="00636FD5" w:rsidRPr="007670E6" w:rsidRDefault="00636FD5" w:rsidP="00DA719D">
      <w:pPr>
        <w:spacing w:line="360" w:lineRule="auto"/>
        <w:rPr>
          <w:rFonts w:ascii="Arial" w:hAnsi="Arial" w:cs="Arial"/>
        </w:rPr>
      </w:pPr>
    </w:p>
    <w:p w14:paraId="2A1295AE" w14:textId="3D81E7BD" w:rsidR="000E3B1A" w:rsidRPr="007670E6" w:rsidRDefault="00840CD2" w:rsidP="00DA719D">
      <w:pPr>
        <w:spacing w:line="360" w:lineRule="auto"/>
        <w:rPr>
          <w:rFonts w:ascii="Arial" w:hAnsi="Arial" w:cs="Arial"/>
        </w:rPr>
      </w:pPr>
      <w:r>
        <w:rPr>
          <w:rFonts w:ascii="Arial" w:hAnsi="Arial" w:cs="Arial"/>
          <w:b/>
          <w:bCs/>
        </w:rPr>
        <w:t xml:space="preserve">Cross-selling ecosystem: </w:t>
      </w:r>
      <w:r>
        <w:rPr>
          <w:rFonts w:ascii="Arial" w:hAnsi="Arial" w:cs="Arial"/>
        </w:rPr>
        <w:t>The Chase J.P. Morgan Personal Investing (formerly known as Nutmeg) cross sell: This is a useful, moderately rare cross sell that is already working for the bank and has already been built – as few digital-only UK challenger banks can boast a FCA-regulated investment platform of this scale and value, with J.P. Morgan Chase's cross sell having reached 2.8 million customers and over $35 billion in balances by early 2026 (JPMorgan Chase, 2025a). It's moderately easy to replicate, since it was more of an acquis</w:t>
      </w:r>
      <w:r>
        <w:rPr>
          <w:rFonts w:ascii="Arial" w:hAnsi="Arial" w:cs="Arial"/>
        </w:rPr>
        <w:t xml:space="preserve">ition and integration programme than organic growth, and it's certainly focused on the goal Chase has set for itself of being a 'one-stop shop' for spending, saving and investing. It thus serves to temporary competitive advantage which may develop into a lasting one, as integration progresses. </w:t>
      </w:r>
    </w:p>
    <w:p w14:paraId="26D091B5" w14:textId="2605103A" w:rsidR="00636FD5" w:rsidRPr="007670E6" w:rsidRDefault="00636FD5" w:rsidP="00DA719D">
      <w:pPr>
        <w:spacing w:line="360" w:lineRule="auto"/>
        <w:rPr>
          <w:rFonts w:ascii="Arial" w:hAnsi="Arial" w:cs="Arial"/>
        </w:rPr>
      </w:pPr>
    </w:p>
    <w:p w14:paraId="2A72967C" w14:textId="77777777" w:rsidR="00636FD5" w:rsidRPr="007670E6" w:rsidRDefault="00636FD5" w:rsidP="00DA719D">
      <w:pPr>
        <w:spacing w:line="360" w:lineRule="auto"/>
        <w:rPr>
          <w:rFonts w:ascii="Arial" w:hAnsi="Arial" w:cs="Arial"/>
        </w:rPr>
      </w:pPr>
    </w:p>
    <w:p w14:paraId="0903E2B3" w14:textId="77777777" w:rsidR="00636FD5" w:rsidRPr="007670E6" w:rsidRDefault="00840CD2" w:rsidP="00DA719D">
      <w:pPr>
        <w:pStyle w:val="Heading2"/>
        <w:spacing w:line="360" w:lineRule="auto"/>
      </w:pPr>
      <w:bookmarkStart w:id="7" w:name="_Toc237433532"/>
      <w:r>
        <w:t>2.3 SWOT Analysis</w:t>
      </w:r>
      <w:bookmarkEnd w:id="7"/>
    </w:p>
    <w:p w14:paraId="66C1E0F9" w14:textId="5CFF0D65" w:rsidR="00636FD5" w:rsidRDefault="000E3B1A" w:rsidP="00DA719D">
      <w:pPr>
        <w:spacing w:line="360" w:lineRule="auto"/>
        <w:rPr>
          <w:rFonts w:ascii="Arial" w:hAnsi="Arial" w:cs="Arial"/>
        </w:rPr>
      </w:pPr>
      <w:r>
        <w:rPr>
          <w:rFonts w:ascii="Arial" w:hAnsi="Arial" w:cs="Arial"/>
        </w:rPr>
        <w:br/>
        <w:t>Combining the external opportunities and threats identified in the PESTEL analysis with the internal strengths and weaknesses identified in the VRIO analysis, table 2 summarizes the overall strategic position of Chase UK.</w:t>
      </w:r>
    </w:p>
    <w:p w14:paraId="3140E376" w14:textId="77777777" w:rsidR="009B202C" w:rsidRDefault="009B202C" w:rsidP="00DA719D">
      <w:pPr>
        <w:spacing w:line="360" w:lineRule="auto"/>
        <w:rPr>
          <w:rFonts w:ascii="Arial" w:hAnsi="Arial" w:cs="Arial"/>
        </w:rPr>
      </w:pPr>
    </w:p>
    <w:p w14:paraId="6A639DAE" w14:textId="77777777" w:rsidR="009B202C" w:rsidRDefault="009B202C" w:rsidP="00DA719D">
      <w:pPr>
        <w:spacing w:line="360" w:lineRule="auto"/>
        <w:rPr>
          <w:rFonts w:ascii="Arial" w:hAnsi="Arial" w:cs="Arial"/>
        </w:rPr>
      </w:pPr>
    </w:p>
    <w:p w14:paraId="7D133D29" w14:textId="31D81B94" w:rsidR="009B202C" w:rsidRDefault="009B202C" w:rsidP="009B202C">
      <w:pPr>
        <w:spacing w:line="360" w:lineRule="auto"/>
        <w:jc w:val="center"/>
        <w:rPr>
          <w:rFonts w:ascii="Arial" w:hAnsi="Arial" w:cs="Arial"/>
        </w:rPr>
      </w:pPr>
      <w:r>
        <w:rPr>
          <w:rFonts w:ascii="Arial" w:hAnsi="Arial" w:cs="Arial"/>
          <w:noProof/>
          <w14:ligatures w14:val="standardContextual"/>
        </w:rPr>
        <w:drawing>
          <wp:inline distT="0" distB="0" distL="0" distR="0" wp14:anchorId="4AA6BB1B" wp14:editId="0AA4FFDF">
            <wp:extent cx="5943600" cy="3962400"/>
            <wp:effectExtent l="0" t="0" r="0" b="0"/>
            <wp:docPr id="710025003" name="Picture 5" descr="A diagram of a swot analysi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025003" name="Picture 5" descr="A diagram of a swot analysis&#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7A701E0C" w14:textId="2CD8442D" w:rsidR="00AE65A9" w:rsidRDefault="00AE65A9" w:rsidP="009B202C">
      <w:pPr>
        <w:spacing w:line="360" w:lineRule="auto"/>
        <w:jc w:val="center"/>
        <w:rPr>
          <w:rFonts w:ascii="Arial" w:hAnsi="Arial" w:cs="Arial"/>
        </w:rPr>
      </w:pPr>
      <w:r w:rsidRPr="00AE65A9">
        <w:rPr>
          <w:rFonts w:ascii="Arial" w:hAnsi="Arial" w:cs="Arial"/>
        </w:rPr>
        <w:t>Figure 4: SWOT summary for Chase UK (Author's own, generated with ChatGPT image generation, 2026).</w:t>
      </w:r>
    </w:p>
    <w:p w14:paraId="37911F4E" w14:textId="77777777" w:rsidR="00176E94" w:rsidRPr="00AE65A9" w:rsidRDefault="00176E94" w:rsidP="009B202C">
      <w:pPr>
        <w:spacing w:line="360" w:lineRule="auto"/>
        <w:jc w:val="center"/>
        <w:rPr>
          <w:rFonts w:ascii="Arial" w:hAnsi="Arial" w:cs="Arial"/>
        </w:rPr>
      </w:pPr>
    </w:p>
    <w:p w14:paraId="32543A35" w14:textId="77777777" w:rsidR="009B202C" w:rsidRDefault="009B202C" w:rsidP="00DA719D">
      <w:pPr>
        <w:spacing w:line="360" w:lineRule="auto"/>
        <w:rPr>
          <w:rFonts w:ascii="Arial" w:hAnsi="Arial" w:cs="Arial"/>
        </w:rPr>
      </w:pPr>
    </w:p>
    <w:p w14:paraId="4FD307AE" w14:textId="77777777" w:rsidR="007670E6" w:rsidRPr="007670E6" w:rsidRDefault="007670E6" w:rsidP="00DA719D">
      <w:pPr>
        <w:spacing w:line="360" w:lineRule="auto"/>
        <w:rPr>
          <w:rFonts w:ascii="Arial" w:hAnsi="Arial" w:cs="Arial"/>
        </w:rPr>
      </w:pPr>
    </w:p>
    <w:p w14:paraId="6505B69F" w14:textId="77777777" w:rsidR="000E3B1A" w:rsidRPr="007670E6" w:rsidRDefault="000E3B1A" w:rsidP="00DA719D">
      <w:pPr>
        <w:spacing w:line="360" w:lineRule="auto"/>
        <w:rPr>
          <w:rFonts w:ascii="Arial" w:hAnsi="Arial" w:cs="Arial"/>
        </w:rPr>
      </w:pPr>
    </w:p>
    <w:p w14:paraId="3FFDF694" w14:textId="77777777" w:rsidR="000E3B1A" w:rsidRPr="007670E6" w:rsidRDefault="000E3B1A" w:rsidP="00DA719D">
      <w:pPr>
        <w:spacing w:line="360" w:lineRule="auto"/>
        <w:rPr>
          <w:rFonts w:ascii="Arial" w:hAnsi="Arial" w:cs="Arial"/>
        </w:rPr>
      </w:pPr>
    </w:p>
    <w:p w14:paraId="6AC8E3B5" w14:textId="77777777" w:rsidR="000E3B1A" w:rsidRDefault="000E3B1A" w:rsidP="00DA719D">
      <w:pPr>
        <w:spacing w:line="360" w:lineRule="auto"/>
        <w:rPr>
          <w:rFonts w:ascii="Arial" w:hAnsi="Arial" w:cs="Arial"/>
        </w:rPr>
      </w:pPr>
    </w:p>
    <w:tbl>
      <w:tblPr>
        <w:tblW w:w="9400" w:type="dxa"/>
        <w:tblBorders>
          <w:top w:val="single" w:sz="4" w:space="0" w:color="808080"/>
          <w:left w:val="single" w:sz="4" w:space="0" w:color="808080"/>
          <w:bottom w:val="single" w:sz="4" w:space="0" w:color="808080"/>
          <w:right w:val="single" w:sz="4" w:space="0" w:color="808080"/>
          <w:insideH w:val="single" w:sz="4" w:space="0" w:color="808080"/>
          <w:insideV w:val="single" w:sz="4" w:space="0" w:color="808080"/>
        </w:tblBorders>
        <w:tblLook w:val="04A0" w:firstRow="1" w:lastRow="0" w:firstColumn="1" w:lastColumn="0" w:noHBand="0" w:noVBand="1"/>
      </w:tblPr>
      <w:tblGrid>
        <w:gridCol w:w="4700"/>
        <w:gridCol w:w="4700"/>
      </w:tblGrid>
      <w:tr w:rsidR="00636FD5" w14:paraId="3531D5C6" w14:textId="77777777">
        <w:tc>
          <w:tcPr>
            <w:tcW w:w="4700" w:type="dxa"/>
            <w:shd w:val="clear" w:color="auto" w:fill="D9D9D9"/>
            <w:vAlign w:val="center"/>
          </w:tcPr>
          <w:p w14:paraId="36E09889" w14:textId="77777777" w:rsidR="00636FD5" w:rsidRDefault="00840CD2" w:rsidP="00DA719D">
            <w:pPr>
              <w:spacing w:after="60" w:line="360" w:lineRule="auto"/>
              <w:rPr>
                <w:rFonts w:ascii="Arial" w:hAnsi="Arial" w:cs="Arial"/>
                <w:sz w:val="20"/>
              </w:rPr>
            </w:pPr>
            <w:r>
              <w:rPr>
                <w:rFonts w:ascii="Arial" w:hAnsi="Arial" w:cs="Arial"/>
                <w:b/>
                <w:bCs/>
              </w:rPr>
              <w:t>STRENGTHS</w:t>
            </w:r>
          </w:p>
        </w:tc>
        <w:tc>
          <w:tcPr>
            <w:tcW w:w="4700" w:type="dxa"/>
            <w:shd w:val="clear" w:color="auto" w:fill="D9D9D9"/>
            <w:vAlign w:val="center"/>
          </w:tcPr>
          <w:p w14:paraId="61487EB5" w14:textId="77777777" w:rsidR="00636FD5" w:rsidRDefault="00840CD2" w:rsidP="00DA719D">
            <w:pPr>
              <w:spacing w:after="60" w:line="360" w:lineRule="auto"/>
              <w:rPr>
                <w:rFonts w:ascii="Arial" w:hAnsi="Arial" w:cs="Arial"/>
                <w:sz w:val="20"/>
              </w:rPr>
            </w:pPr>
            <w:r>
              <w:rPr>
                <w:rFonts w:ascii="Arial" w:hAnsi="Arial" w:cs="Arial"/>
                <w:b/>
                <w:bCs/>
              </w:rPr>
              <w:t>WEAKNESSES</w:t>
            </w:r>
          </w:p>
        </w:tc>
      </w:tr>
      <w:tr w:rsidR="00636FD5" w14:paraId="2489F1DF" w14:textId="77777777">
        <w:tc>
          <w:tcPr>
            <w:tcW w:w="4700" w:type="dxa"/>
          </w:tcPr>
          <w:p w14:paraId="4C031EDE" w14:textId="1807F7FD" w:rsidR="000E3B1A" w:rsidRPr="000E3B1A" w:rsidRDefault="000E3B1A" w:rsidP="00DA719D">
            <w:pPr>
              <w:pStyle w:val="ListParagraph"/>
              <w:numPr>
                <w:ilvl w:val="0"/>
                <w:numId w:val="3"/>
              </w:numPr>
              <w:spacing w:line="360" w:lineRule="auto"/>
              <w:rPr>
                <w:rStyle w:val="cursor-pointer"/>
                <w:rFonts w:ascii="Geist Fallback" w:hAnsi="Geist Fallback"/>
                <w:sz w:val="23"/>
                <w:szCs w:val="23"/>
              </w:rPr>
            </w:pPr>
            <w:r>
              <w:rPr>
                <w:rStyle w:val="cursor-pointer"/>
                <w:rFonts w:ascii="Geist Fallback" w:hAnsi="Geist Fallback"/>
                <w:sz w:val="23"/>
                <w:szCs w:val="23"/>
              </w:rPr>
              <w:t>Deep balance sheet of the parents and patient capital (JPMorgan Chase, 2025b)</w:t>
            </w:r>
            <w:r>
              <w:rPr>
                <w:rFonts w:ascii="Geist Fallback" w:hAnsi="Geist Fallback"/>
                <w:sz w:val="23"/>
                <w:szCs w:val="23"/>
              </w:rPr>
              <w:t xml:space="preserve"> </w:t>
            </w:r>
          </w:p>
          <w:p w14:paraId="6321A02E" w14:textId="5C62E6AC" w:rsidR="000E3B1A" w:rsidRPr="000E3B1A" w:rsidRDefault="000E3B1A" w:rsidP="00DA719D">
            <w:pPr>
              <w:pStyle w:val="ListParagraph"/>
              <w:numPr>
                <w:ilvl w:val="0"/>
                <w:numId w:val="3"/>
              </w:numPr>
              <w:spacing w:line="360" w:lineRule="auto"/>
              <w:rPr>
                <w:rFonts w:ascii="Geist Fallback" w:hAnsi="Geist Fallback"/>
                <w:sz w:val="23"/>
                <w:szCs w:val="23"/>
              </w:rPr>
            </w:pPr>
            <w:r>
              <w:rPr>
                <w:rStyle w:val="cursor-pointer"/>
                <w:rFonts w:ascii="Geist Fallback" w:hAnsi="Geist Fallback"/>
                <w:sz w:val="23"/>
                <w:szCs w:val="23"/>
              </w:rPr>
              <w:t>AI-powered, cloud-based technology platform (JPMorganChase, 2026a; Simamora, Rahayu and Dirgantari, 2024)</w:t>
            </w:r>
            <w:r>
              <w:rPr>
                <w:rFonts w:ascii="Geist Fallback" w:hAnsi="Geist Fallback"/>
                <w:sz w:val="23"/>
                <w:szCs w:val="23"/>
              </w:rPr>
              <w:t xml:space="preserve"> </w:t>
            </w:r>
          </w:p>
          <w:p w14:paraId="3A407921" w14:textId="075A6BCC" w:rsidR="000E3B1A" w:rsidRPr="000E3B1A" w:rsidRDefault="000E3B1A" w:rsidP="00DA719D">
            <w:pPr>
              <w:pStyle w:val="ListParagraph"/>
              <w:numPr>
                <w:ilvl w:val="0"/>
                <w:numId w:val="3"/>
              </w:numPr>
              <w:spacing w:line="360" w:lineRule="auto"/>
              <w:rPr>
                <w:rFonts w:ascii="Geist Fallback" w:hAnsi="Geist Fallback"/>
                <w:sz w:val="23"/>
                <w:szCs w:val="23"/>
              </w:rPr>
            </w:pPr>
            <w:r>
              <w:rPr>
                <w:rStyle w:val="cursor-pointer"/>
                <w:rFonts w:ascii="Geist Fallback" w:hAnsi="Geist Fallback"/>
                <w:sz w:val="23"/>
                <w:szCs w:val="23"/>
              </w:rPr>
              <w:t>Strong Global Brand that minimizes perceived risk (Ndlovu et al., 2025)</w:t>
            </w:r>
            <w:r>
              <w:rPr>
                <w:rFonts w:ascii="Geist Fallback" w:hAnsi="Geist Fallback"/>
                <w:sz w:val="23"/>
                <w:szCs w:val="23"/>
              </w:rPr>
              <w:t xml:space="preserve"> </w:t>
            </w:r>
          </w:p>
          <w:p w14:paraId="68BDB0BF" w14:textId="503271B1" w:rsidR="000E3B1A" w:rsidRPr="000E3B1A" w:rsidRDefault="000E3B1A" w:rsidP="00DA719D">
            <w:pPr>
              <w:pStyle w:val="ListParagraph"/>
              <w:numPr>
                <w:ilvl w:val="0"/>
                <w:numId w:val="3"/>
              </w:numPr>
              <w:spacing w:line="360" w:lineRule="auto"/>
              <w:rPr>
                <w:rFonts w:ascii="Geist Fallback" w:hAnsi="Geist Fallback"/>
                <w:sz w:val="23"/>
                <w:szCs w:val="23"/>
              </w:rPr>
            </w:pPr>
            <w:r>
              <w:rPr>
                <w:rStyle w:val="cursor-pointer"/>
                <w:rFonts w:ascii="Geist Fallback" w:hAnsi="Geist Fallback"/>
                <w:sz w:val="23"/>
                <w:szCs w:val="23"/>
              </w:rPr>
              <w:t>The bank, J.P. Morgan Chase, has an integrated investment offer via J.P. Morgan Personal Investing (2025a).</w:t>
            </w:r>
            <w:r>
              <w:rPr>
                <w:rFonts w:ascii="Geist Fallback" w:hAnsi="Geist Fallback"/>
                <w:sz w:val="23"/>
                <w:szCs w:val="23"/>
              </w:rPr>
              <w:t xml:space="preserve"> </w:t>
            </w:r>
          </w:p>
          <w:p w14:paraId="5032331F" w14:textId="2D89405E" w:rsidR="000E3B1A" w:rsidRDefault="000E3B1A" w:rsidP="00DA719D">
            <w:pPr>
              <w:pStyle w:val="ListParagraph"/>
              <w:numPr>
                <w:ilvl w:val="0"/>
                <w:numId w:val="3"/>
              </w:numPr>
              <w:spacing w:line="360" w:lineRule="auto"/>
            </w:pPr>
            <w:r>
              <w:rPr>
                <w:rStyle w:val="cursor-pointer"/>
                <w:rFonts w:ascii="Geist Fallback" w:hAnsi="Geist Fallback"/>
                <w:sz w:val="23"/>
                <w:szCs w:val="23"/>
              </w:rPr>
              <w:t>FSCS protected deposits and a full UK banking license</w:t>
            </w:r>
            <w:r>
              <w:rPr>
                <w:rFonts w:ascii="Geist Fallback" w:hAnsi="Geist Fallback"/>
                <w:sz w:val="23"/>
                <w:szCs w:val="23"/>
              </w:rPr>
              <w:t xml:space="preserve"> </w:t>
            </w:r>
          </w:p>
          <w:p w14:paraId="53E2D59C" w14:textId="30DFFB89" w:rsidR="000E3B1A" w:rsidRDefault="000E3B1A" w:rsidP="00DA719D">
            <w:pPr>
              <w:spacing w:after="40" w:line="360" w:lineRule="auto"/>
              <w:ind w:left="180" w:hanging="180"/>
              <w:rPr>
                <w:rFonts w:ascii="Arial" w:hAnsi="Arial" w:cs="Arial"/>
                <w:sz w:val="20"/>
              </w:rPr>
            </w:pPr>
          </w:p>
          <w:p w14:paraId="2CAB5108" w14:textId="37D4929C" w:rsidR="00636FD5" w:rsidRDefault="00636FD5" w:rsidP="00DA719D">
            <w:pPr>
              <w:spacing w:after="40" w:line="360" w:lineRule="auto"/>
              <w:ind w:left="180" w:hanging="180"/>
              <w:rPr>
                <w:rFonts w:ascii="Arial" w:hAnsi="Arial" w:cs="Arial"/>
                <w:sz w:val="20"/>
              </w:rPr>
            </w:pPr>
          </w:p>
        </w:tc>
        <w:tc>
          <w:tcPr>
            <w:tcW w:w="4700" w:type="dxa"/>
          </w:tcPr>
          <w:p w14:paraId="255B3CF8" w14:textId="77777777" w:rsidR="000E3B1A" w:rsidRPr="000E3B1A" w:rsidRDefault="000E3B1A" w:rsidP="00DA719D">
            <w:pPr>
              <w:pStyle w:val="ListParagraph"/>
              <w:numPr>
                <w:ilvl w:val="0"/>
                <w:numId w:val="4"/>
              </w:numPr>
              <w:spacing w:line="360" w:lineRule="auto"/>
              <w:rPr>
                <w:rFonts w:ascii="Geist Fallback" w:hAnsi="Geist Fallback"/>
                <w:sz w:val="23"/>
                <w:szCs w:val="23"/>
              </w:rPr>
            </w:pPr>
            <w:r>
              <w:rPr>
                <w:rStyle w:val="cursor-pointer"/>
                <w:rFonts w:ascii="Geist Fallback" w:hAnsi="Geist Fallback"/>
                <w:sz w:val="23"/>
                <w:szCs w:val="23"/>
              </w:rPr>
              <w:t>Limited appeal to those who are less digitally savvy (Ndlovu et al. 2025)</w:t>
            </w:r>
            <w:r>
              <w:rPr>
                <w:rFonts w:ascii="Geist Fallback" w:hAnsi="Geist Fallback"/>
                <w:sz w:val="23"/>
                <w:szCs w:val="23"/>
              </w:rPr>
              <w:t xml:space="preserve"> </w:t>
            </w:r>
          </w:p>
          <w:p w14:paraId="0C734A29" w14:textId="77777777" w:rsidR="000E3B1A" w:rsidRPr="000E3B1A" w:rsidRDefault="000E3B1A" w:rsidP="00DA719D">
            <w:pPr>
              <w:pStyle w:val="ListParagraph"/>
              <w:numPr>
                <w:ilvl w:val="0"/>
                <w:numId w:val="4"/>
              </w:numPr>
              <w:spacing w:line="360" w:lineRule="auto"/>
              <w:rPr>
                <w:rFonts w:ascii="Geist Fallback" w:hAnsi="Geist Fallback"/>
                <w:sz w:val="23"/>
                <w:szCs w:val="23"/>
              </w:rPr>
            </w:pPr>
            <w:r>
              <w:rPr>
                <w:rStyle w:val="cursor-pointer"/>
                <w:rFonts w:ascii="Geist Fallback" w:hAnsi="Geist Fallback"/>
                <w:sz w:val="23"/>
                <w:szCs w:val="23"/>
              </w:rPr>
              <w:t>Less customer base than Monzo and Revolut (c.2 million and c.10 million respectively)</w:t>
            </w:r>
            <w:r>
              <w:rPr>
                <w:rFonts w:ascii="Geist Fallback" w:hAnsi="Geist Fallback"/>
                <w:sz w:val="23"/>
                <w:szCs w:val="23"/>
              </w:rPr>
              <w:t xml:space="preserve"> </w:t>
            </w:r>
          </w:p>
          <w:p w14:paraId="24AE976C" w14:textId="77777777" w:rsidR="000E3B1A" w:rsidRPr="000E3B1A" w:rsidRDefault="000E3B1A" w:rsidP="00DA719D">
            <w:pPr>
              <w:pStyle w:val="ListParagraph"/>
              <w:numPr>
                <w:ilvl w:val="0"/>
                <w:numId w:val="4"/>
              </w:numPr>
              <w:spacing w:line="360" w:lineRule="auto"/>
              <w:rPr>
                <w:rFonts w:ascii="Geist Fallback" w:hAnsi="Geist Fallback"/>
                <w:sz w:val="23"/>
                <w:szCs w:val="23"/>
              </w:rPr>
            </w:pPr>
            <w:r>
              <w:rPr>
                <w:rStyle w:val="cursor-pointer"/>
                <w:rFonts w:ascii="Geist Fallback" w:hAnsi="Geist Fallback"/>
                <w:sz w:val="23"/>
                <w:szCs w:val="23"/>
              </w:rPr>
              <w:t>Limited product portfolio - no mortgage offering, limited lending</w:t>
            </w:r>
            <w:r>
              <w:rPr>
                <w:rFonts w:ascii="Geist Fallback" w:hAnsi="Geist Fallback"/>
                <w:sz w:val="23"/>
                <w:szCs w:val="23"/>
              </w:rPr>
              <w:t xml:space="preserve"> </w:t>
            </w:r>
          </w:p>
          <w:p w14:paraId="1A8AF7BD" w14:textId="77777777" w:rsidR="000E3B1A" w:rsidRPr="000E3B1A" w:rsidRDefault="000E3B1A" w:rsidP="00DA719D">
            <w:pPr>
              <w:pStyle w:val="ListParagraph"/>
              <w:numPr>
                <w:ilvl w:val="0"/>
                <w:numId w:val="4"/>
              </w:numPr>
              <w:spacing w:line="360" w:lineRule="auto"/>
              <w:rPr>
                <w:rStyle w:val="cursor-pointer"/>
                <w:rFonts w:ascii="Geist Fallback" w:hAnsi="Geist Fallback"/>
                <w:sz w:val="23"/>
                <w:szCs w:val="23"/>
              </w:rPr>
            </w:pPr>
            <w:r>
              <w:rPr>
                <w:rStyle w:val="cursor-pointer"/>
                <w:rFonts w:ascii="Geist Fallback" w:hAnsi="Geist Fallback"/>
                <w:sz w:val="23"/>
                <w:szCs w:val="23"/>
              </w:rPr>
              <w:t>Marketing budgets need to remain high to maintain product sales, which are largely dependent on them.</w:t>
            </w:r>
          </w:p>
          <w:p w14:paraId="27601BDF" w14:textId="58F3C2F4" w:rsidR="000E3B1A" w:rsidRDefault="000E3B1A" w:rsidP="00DA719D">
            <w:pPr>
              <w:pStyle w:val="ListParagraph"/>
              <w:numPr>
                <w:ilvl w:val="0"/>
                <w:numId w:val="4"/>
              </w:numPr>
              <w:spacing w:line="360" w:lineRule="auto"/>
            </w:pPr>
            <w:r>
              <w:rPr>
                <w:rStyle w:val="cursor-pointer"/>
                <w:rFonts w:ascii="Geist Fallback" w:hAnsi="Geist Fallback"/>
                <w:sz w:val="23"/>
                <w:szCs w:val="23"/>
              </w:rPr>
              <w:t>Customer growth depends largely on marketing, and marketing budgets must remain high.</w:t>
            </w:r>
            <w:r>
              <w:rPr>
                <w:rFonts w:ascii="Geist Fallback" w:hAnsi="Geist Fallback"/>
                <w:sz w:val="23"/>
                <w:szCs w:val="23"/>
              </w:rPr>
              <w:t xml:space="preserve"> </w:t>
            </w:r>
          </w:p>
          <w:p w14:paraId="43506BCF" w14:textId="421C55D7" w:rsidR="000E3B1A" w:rsidRDefault="000E3B1A" w:rsidP="00DA719D">
            <w:pPr>
              <w:spacing w:after="40" w:line="360" w:lineRule="auto"/>
              <w:ind w:left="180" w:hanging="180"/>
              <w:rPr>
                <w:rFonts w:ascii="Arial" w:hAnsi="Arial" w:cs="Arial"/>
                <w:sz w:val="20"/>
              </w:rPr>
            </w:pPr>
          </w:p>
          <w:p w14:paraId="6CD78EB0" w14:textId="7F5EA829" w:rsidR="00636FD5" w:rsidRDefault="00636FD5" w:rsidP="00DA719D">
            <w:pPr>
              <w:spacing w:after="40" w:line="360" w:lineRule="auto"/>
              <w:ind w:left="180" w:hanging="180"/>
              <w:rPr>
                <w:rFonts w:ascii="Arial" w:hAnsi="Arial" w:cs="Arial"/>
                <w:sz w:val="20"/>
              </w:rPr>
            </w:pPr>
          </w:p>
        </w:tc>
      </w:tr>
      <w:tr w:rsidR="00636FD5" w14:paraId="28D94EBF" w14:textId="77777777">
        <w:tc>
          <w:tcPr>
            <w:tcW w:w="4700" w:type="dxa"/>
            <w:shd w:val="clear" w:color="auto" w:fill="D9D9D9"/>
            <w:vAlign w:val="center"/>
          </w:tcPr>
          <w:p w14:paraId="5B10BC1F" w14:textId="77777777" w:rsidR="00636FD5" w:rsidRDefault="00840CD2" w:rsidP="00DA719D">
            <w:pPr>
              <w:spacing w:after="60" w:line="360" w:lineRule="auto"/>
              <w:rPr>
                <w:rFonts w:ascii="Arial" w:hAnsi="Arial" w:cs="Arial"/>
                <w:sz w:val="20"/>
              </w:rPr>
            </w:pPr>
            <w:r>
              <w:rPr>
                <w:rFonts w:ascii="Arial" w:hAnsi="Arial" w:cs="Arial"/>
                <w:b/>
                <w:bCs/>
              </w:rPr>
              <w:t>OPPORTUNITIES</w:t>
            </w:r>
          </w:p>
        </w:tc>
        <w:tc>
          <w:tcPr>
            <w:tcW w:w="4700" w:type="dxa"/>
            <w:shd w:val="clear" w:color="auto" w:fill="D9D9D9"/>
            <w:vAlign w:val="center"/>
          </w:tcPr>
          <w:p w14:paraId="2C0DCF60" w14:textId="77777777" w:rsidR="00636FD5" w:rsidRDefault="00840CD2" w:rsidP="00DA719D">
            <w:pPr>
              <w:spacing w:after="60" w:line="360" w:lineRule="auto"/>
              <w:rPr>
                <w:rFonts w:ascii="Arial" w:hAnsi="Arial" w:cs="Arial"/>
                <w:sz w:val="20"/>
              </w:rPr>
            </w:pPr>
            <w:r>
              <w:rPr>
                <w:rFonts w:ascii="Arial" w:hAnsi="Arial" w:cs="Arial"/>
                <w:b/>
                <w:bCs/>
              </w:rPr>
              <w:t>THREATS</w:t>
            </w:r>
          </w:p>
        </w:tc>
      </w:tr>
      <w:tr w:rsidR="00636FD5" w14:paraId="7494EF37" w14:textId="77777777">
        <w:tc>
          <w:tcPr>
            <w:tcW w:w="4700" w:type="dxa"/>
          </w:tcPr>
          <w:p w14:paraId="5D0DEF82" w14:textId="77777777" w:rsidR="00BF5301" w:rsidRPr="00BF5301" w:rsidRDefault="00BF5301" w:rsidP="00DA719D">
            <w:pPr>
              <w:pStyle w:val="ListParagraph"/>
              <w:numPr>
                <w:ilvl w:val="0"/>
                <w:numId w:val="5"/>
              </w:numPr>
              <w:spacing w:after="40" w:line="360" w:lineRule="auto"/>
              <w:rPr>
                <w:rFonts w:ascii="Arial" w:hAnsi="Arial" w:cs="Arial"/>
              </w:rPr>
            </w:pPr>
            <w:r>
              <w:rPr>
                <w:rStyle w:val="cursor-pointer"/>
                <w:rFonts w:ascii="Arial" w:hAnsi="Arial" w:cs="Arial"/>
              </w:rPr>
              <w:t>New account-to-account payment revenue – potential from FCA/HM Treasury open banking legislation in 2026 (Financial Conduct Authority, 2025a)</w:t>
            </w:r>
            <w:r>
              <w:rPr>
                <w:rFonts w:ascii="Arial" w:hAnsi="Arial" w:cs="Arial"/>
              </w:rPr>
              <w:t xml:space="preserve"> </w:t>
            </w:r>
          </w:p>
          <w:p w14:paraId="1499DA9E" w14:textId="51336377" w:rsidR="00BF5301" w:rsidRPr="00BF5301" w:rsidRDefault="00BF5301" w:rsidP="00DA719D">
            <w:pPr>
              <w:pStyle w:val="ListParagraph"/>
              <w:numPr>
                <w:ilvl w:val="0"/>
                <w:numId w:val="5"/>
              </w:numPr>
              <w:spacing w:after="40" w:line="360" w:lineRule="auto"/>
              <w:rPr>
                <w:rFonts w:ascii="Arial" w:hAnsi="Arial" w:cs="Arial"/>
              </w:rPr>
            </w:pPr>
            <w:r>
              <w:rPr>
                <w:rStyle w:val="cursor-pointer"/>
                <w:rFonts w:ascii="Arial" w:hAnsi="Arial" w:cs="Arial"/>
              </w:rPr>
              <w:t>For the CMA9, incumbent bank data is kept open to Chase, if the CMA continues to supervise it (Competition and Markets Authority, 2026)</w:t>
            </w:r>
            <w:r>
              <w:rPr>
                <w:rFonts w:ascii="Arial" w:hAnsi="Arial" w:cs="Arial"/>
              </w:rPr>
              <w:t xml:space="preserve"> </w:t>
            </w:r>
          </w:p>
          <w:p w14:paraId="49ECE44F" w14:textId="4CB5121C" w:rsidR="00BF5301" w:rsidRPr="00BF5301" w:rsidRDefault="00BF5301" w:rsidP="00DA719D">
            <w:pPr>
              <w:pStyle w:val="ListParagraph"/>
              <w:numPr>
                <w:ilvl w:val="0"/>
                <w:numId w:val="5"/>
              </w:numPr>
              <w:spacing w:after="40" w:line="360" w:lineRule="auto"/>
              <w:rPr>
                <w:rStyle w:val="cursor-pointer"/>
                <w:rFonts w:ascii="Arial" w:hAnsi="Arial" w:cs="Arial"/>
              </w:rPr>
            </w:pPr>
            <w:r>
              <w:rPr>
                <w:rStyle w:val="cursor-pointer"/>
                <w:rFonts w:ascii="Arial" w:hAnsi="Arial" w:cs="Arial"/>
              </w:rPr>
              <w:t>Cost-of-living pressure and rate environment working in favor of fee-free accounts (Bank of England, 2026)</w:t>
            </w:r>
            <w:r>
              <w:rPr>
                <w:rFonts w:ascii="Arial" w:hAnsi="Arial" w:cs="Arial"/>
              </w:rPr>
              <w:t xml:space="preserve"> </w:t>
            </w:r>
            <w:r>
              <w:rPr>
                <w:rStyle w:val="cursor-pointer"/>
                <w:rFonts w:ascii="Arial" w:hAnsi="Arial" w:cs="Arial"/>
              </w:rPr>
              <w:t>–</w:t>
            </w:r>
          </w:p>
          <w:p w14:paraId="33AECA0F" w14:textId="15895C24" w:rsidR="00BF5301" w:rsidRPr="00BF5301" w:rsidRDefault="00BF5301" w:rsidP="00DA719D">
            <w:pPr>
              <w:pStyle w:val="ListParagraph"/>
              <w:numPr>
                <w:ilvl w:val="0"/>
                <w:numId w:val="5"/>
              </w:numPr>
              <w:spacing w:after="40" w:line="360" w:lineRule="auto"/>
              <w:rPr>
                <w:rFonts w:ascii="Arial" w:hAnsi="Arial" w:cs="Arial"/>
              </w:rPr>
            </w:pPr>
            <w:r>
              <w:rPr>
                <w:rStyle w:val="cursor-pointer"/>
                <w:rFonts w:ascii="Arial" w:hAnsi="Arial" w:cs="Arial"/>
              </w:rPr>
              <w:t>Taking the loans business to market after the credit card launch in 2025.</w:t>
            </w:r>
          </w:p>
          <w:p w14:paraId="0BB8F9BF" w14:textId="1F77EFED" w:rsidR="00636FD5" w:rsidRDefault="00636FD5" w:rsidP="00DA719D">
            <w:pPr>
              <w:spacing w:after="40" w:line="360" w:lineRule="auto"/>
              <w:ind w:left="180" w:hanging="180"/>
              <w:rPr>
                <w:rFonts w:ascii="Arial" w:hAnsi="Arial" w:cs="Arial"/>
                <w:sz w:val="20"/>
              </w:rPr>
            </w:pPr>
          </w:p>
        </w:tc>
        <w:tc>
          <w:tcPr>
            <w:tcW w:w="4700" w:type="dxa"/>
          </w:tcPr>
          <w:p w14:paraId="5251C6AA" w14:textId="3C8EA6E2" w:rsidR="00636FD5" w:rsidRPr="00BF5301" w:rsidRDefault="00840CD2" w:rsidP="00DA719D">
            <w:pPr>
              <w:pStyle w:val="ListParagraph"/>
              <w:numPr>
                <w:ilvl w:val="0"/>
                <w:numId w:val="6"/>
              </w:numPr>
              <w:spacing w:after="40" w:line="360" w:lineRule="auto"/>
              <w:rPr>
                <w:rFonts w:ascii="Arial" w:hAnsi="Arial" w:cs="Arial"/>
                <w:sz w:val="20"/>
              </w:rPr>
            </w:pPr>
            <w:r>
              <w:rPr>
                <w:rFonts w:ascii="Arial" w:hAnsi="Arial" w:cs="Arial"/>
              </w:rPr>
              <w:t>Revolut's full UK banking licence from March 2026, intensifying competition for digitally native customers</w:t>
            </w:r>
          </w:p>
          <w:p w14:paraId="263F3D07" w14:textId="1E525DB6" w:rsidR="00636FD5" w:rsidRPr="00BF5301" w:rsidRDefault="00840CD2" w:rsidP="00DA719D">
            <w:pPr>
              <w:pStyle w:val="ListParagraph"/>
              <w:numPr>
                <w:ilvl w:val="0"/>
                <w:numId w:val="6"/>
              </w:numPr>
              <w:spacing w:after="40" w:line="360" w:lineRule="auto"/>
              <w:rPr>
                <w:rFonts w:ascii="Arial" w:hAnsi="Arial" w:cs="Arial"/>
                <w:sz w:val="20"/>
              </w:rPr>
            </w:pPr>
            <w:r>
              <w:rPr>
                <w:rFonts w:ascii="Arial" w:hAnsi="Arial" w:cs="Arial"/>
              </w:rPr>
              <w:t>Incumbent banks reasserting market power through fintech partnerships rather than losing share (Clarke and Macartney, 2025)</w:t>
            </w:r>
          </w:p>
          <w:p w14:paraId="63150424" w14:textId="6AB63313" w:rsidR="00636FD5" w:rsidRPr="00BF5301" w:rsidRDefault="00840CD2" w:rsidP="00DA719D">
            <w:pPr>
              <w:pStyle w:val="ListParagraph"/>
              <w:numPr>
                <w:ilvl w:val="0"/>
                <w:numId w:val="6"/>
              </w:numPr>
              <w:spacing w:after="40" w:line="360" w:lineRule="auto"/>
              <w:rPr>
                <w:rFonts w:ascii="Arial" w:hAnsi="Arial" w:cs="Arial"/>
                <w:sz w:val="20"/>
              </w:rPr>
            </w:pPr>
            <w:r>
              <w:rPr>
                <w:rFonts w:ascii="Arial" w:hAnsi="Arial" w:cs="Arial"/>
              </w:rPr>
              <w:t>Rising and volatile inflation pressuring household spending and account-switching behaviour (Bank of England, 2026)</w:t>
            </w:r>
          </w:p>
          <w:p w14:paraId="384CC7AC" w14:textId="7D905DC9" w:rsidR="00636FD5" w:rsidRPr="00BF5301" w:rsidRDefault="00840CD2" w:rsidP="00DA719D">
            <w:pPr>
              <w:pStyle w:val="ListParagraph"/>
              <w:numPr>
                <w:ilvl w:val="0"/>
                <w:numId w:val="6"/>
              </w:numPr>
              <w:spacing w:after="40" w:line="360" w:lineRule="auto"/>
              <w:rPr>
                <w:rFonts w:ascii="Arial" w:hAnsi="Arial" w:cs="Arial"/>
                <w:sz w:val="20"/>
              </w:rPr>
            </w:pPr>
            <w:r>
              <w:rPr>
                <w:rFonts w:ascii="Arial" w:hAnsi="Arial" w:cs="Arial"/>
              </w:rPr>
              <w:t>Tightening Consumer Duty and operational-resilience obligations raising compliance costs (Financial Conduct Authority, 2024)</w:t>
            </w:r>
          </w:p>
        </w:tc>
      </w:tr>
    </w:tbl>
    <w:p w14:paraId="10AA1A1A" w14:textId="77777777" w:rsidR="00636FD5" w:rsidRDefault="00636FD5" w:rsidP="00DA719D">
      <w:pPr>
        <w:spacing w:line="360" w:lineRule="auto"/>
        <w:rPr>
          <w:rFonts w:ascii="Arial" w:hAnsi="Arial" w:cs="Arial"/>
        </w:rPr>
      </w:pPr>
    </w:p>
    <w:p w14:paraId="101F7A6E" w14:textId="77777777" w:rsidR="00176E94" w:rsidRDefault="00176E94" w:rsidP="00176E94">
      <w:pPr>
        <w:spacing w:line="360" w:lineRule="auto"/>
        <w:jc w:val="center"/>
      </w:pPr>
      <w:r>
        <w:rPr>
          <w:rFonts w:ascii="Arial" w:hAnsi="Arial" w:cs="Arial"/>
        </w:rPr>
        <w:t>Table 2: SWOT analysis of Chase UK.</w:t>
      </w:r>
    </w:p>
    <w:p w14:paraId="6A9FD0F0" w14:textId="77777777" w:rsidR="00176E94" w:rsidRDefault="00176E94" w:rsidP="00DA719D">
      <w:pPr>
        <w:spacing w:line="360" w:lineRule="auto"/>
        <w:rPr>
          <w:rFonts w:ascii="Arial" w:hAnsi="Arial" w:cs="Arial"/>
        </w:rPr>
      </w:pPr>
    </w:p>
    <w:p w14:paraId="50352433" w14:textId="623DB7CF" w:rsidR="00BF5301" w:rsidRPr="00BF5301" w:rsidRDefault="00BF5301" w:rsidP="00DA719D">
      <w:pPr>
        <w:spacing w:line="360" w:lineRule="auto"/>
        <w:rPr>
          <w:rFonts w:ascii="Arial" w:hAnsi="Arial" w:cs="Arial"/>
        </w:rPr>
      </w:pPr>
      <w:r>
        <w:rPr>
          <w:rFonts w:ascii="Arial" w:hAnsi="Arial" w:cs="Arial"/>
        </w:rPr>
        <w:t xml:space="preserve">Chase UK's SWOT indicates a bank that has turned an unusual and difficult-to-replicate resource base from its parents into market share in the UK but has a competitive edge in a crowded space where technical differentiation is only short-lived and the regulatory tail is competing for the wind. Yet, while the CMA9's size may make it more likely than others to be swallowed by partnership instead of by competition, as Clarke and Macartney observe, that isn't necessarily the case in the medium term: it just gives Chase more time to get to know Monzo, Starling and the newly licensed Revolut. </w:t>
      </w:r>
    </w:p>
    <w:p w14:paraId="623A5C0D" w14:textId="77777777" w:rsidR="00636FD5" w:rsidRPr="007670E6" w:rsidRDefault="00840CD2" w:rsidP="00DA719D">
      <w:pPr>
        <w:pStyle w:val="Heading1"/>
        <w:spacing w:line="360" w:lineRule="auto"/>
      </w:pPr>
      <w:bookmarkStart w:id="8" w:name="_Toc237433533"/>
      <w:r>
        <w:t>COMPREHENSIVE AND HOLISTIC VIEW OF THE ORGANISATION</w:t>
      </w:r>
      <w:bookmarkEnd w:id="8"/>
    </w:p>
    <w:p w14:paraId="73EA5B53" w14:textId="77777777" w:rsidR="00636FD5" w:rsidRPr="007670E6" w:rsidRDefault="00840CD2" w:rsidP="00DA719D">
      <w:pPr>
        <w:pStyle w:val="Heading2"/>
        <w:spacing w:line="360" w:lineRule="auto"/>
      </w:pPr>
      <w:bookmarkStart w:id="9" w:name="_Toc237433534"/>
      <w:r>
        <w:t>3.1 CSR Strategy and Alignment with Business Objectives</w:t>
      </w:r>
      <w:bookmarkEnd w:id="9"/>
    </w:p>
    <w:p w14:paraId="159A9CF8" w14:textId="77777777" w:rsidR="00BA14BD" w:rsidRDefault="00BA14BD" w:rsidP="00BA14BD">
      <w:pPr>
        <w:spacing w:line="360" w:lineRule="auto"/>
        <w:jc w:val="center"/>
        <w:rPr>
          <w:rStyle w:val="cursor-pointer"/>
          <w:rFonts w:ascii="Arial" w:eastAsiaTheme="majorEastAsia" w:hAnsi="Arial" w:cs="Arial"/>
        </w:rPr>
      </w:pPr>
      <w:r>
        <w:rPr>
          <w:rFonts w:ascii="Arial" w:eastAsiaTheme="majorEastAsia" w:hAnsi="Arial" w:cs="Arial"/>
          <w:noProof/>
          <w14:ligatures w14:val="standardContextual"/>
        </w:rPr>
        <w:drawing>
          <wp:inline distT="0" distB="0" distL="0" distR="0" wp14:anchorId="09BC7224" wp14:editId="36FFADAB">
            <wp:extent cx="5943600" cy="3962400"/>
            <wp:effectExtent l="0" t="0" r="0" b="0"/>
            <wp:docPr id="1050470684" name="Picture 6" descr="A diagram of a globe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470684" name="Picture 6" descr="A diagram of a globe with text&#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56758368" w14:textId="02131570" w:rsidR="00AE65A9" w:rsidRDefault="00AE65A9" w:rsidP="00BA14BD">
      <w:pPr>
        <w:spacing w:line="360" w:lineRule="auto"/>
        <w:jc w:val="center"/>
        <w:rPr>
          <w:rFonts w:ascii="Arial" w:hAnsi="Arial" w:cs="Arial"/>
        </w:rPr>
      </w:pPr>
      <w:r w:rsidRPr="00AE65A9">
        <w:rPr>
          <w:rFonts w:ascii="Arial" w:hAnsi="Arial" w:cs="Arial"/>
        </w:rPr>
        <w:t>Figure 5: CSR strategy pillars and business alignment, Chase UK (Author's own, generated with ChatGPT image generation, 2026).</w:t>
      </w:r>
    </w:p>
    <w:p w14:paraId="045ED1F9" w14:textId="77777777" w:rsidR="00AE65A9" w:rsidRPr="00AE65A9" w:rsidRDefault="00AE65A9" w:rsidP="00BA14BD">
      <w:pPr>
        <w:spacing w:line="360" w:lineRule="auto"/>
        <w:jc w:val="center"/>
        <w:rPr>
          <w:rStyle w:val="cursor-pointer"/>
          <w:rFonts w:ascii="Arial" w:eastAsiaTheme="majorEastAsia" w:hAnsi="Arial" w:cs="Arial"/>
        </w:rPr>
      </w:pPr>
    </w:p>
    <w:p w14:paraId="4A88097A" w14:textId="114B6CD3" w:rsidR="00BF5301" w:rsidRPr="007670E6" w:rsidRDefault="00BF5301" w:rsidP="00DA719D">
      <w:pPr>
        <w:spacing w:line="360" w:lineRule="auto"/>
        <w:rPr>
          <w:rStyle w:val="cursor-pointer"/>
          <w:rFonts w:ascii="Arial" w:hAnsi="Arial" w:cs="Arial"/>
        </w:rPr>
      </w:pPr>
      <w:r>
        <w:rPr>
          <w:rStyle w:val="cursor-pointer"/>
          <w:rFonts w:ascii="Arial" w:eastAsiaTheme="majorEastAsia" w:hAnsi="Arial" w:cs="Arial"/>
        </w:rPr>
        <w:t xml:space="preserve">Chase UK does not issue a separate corporate social responsibility (CSR) </w:t>
      </w:r>
      <w:r>
        <w:rPr>
          <w:rStyle w:val="cursor-pointer"/>
          <w:rFonts w:ascii="Arial" w:hAnsi="Arial" w:cs="Arial"/>
        </w:rPr>
        <w:t>report but</w:t>
      </w:r>
      <w:r>
        <w:rPr>
          <w:rStyle w:val="cursor-pointer"/>
          <w:rFonts w:ascii="Arial" w:eastAsiaTheme="majorEastAsia" w:hAnsi="Arial" w:cs="Arial"/>
        </w:rPr>
        <w:t xml:space="preserve"> rather takes on the group-wide strategy of JPMorgan Chase.</w:t>
      </w:r>
      <w:r>
        <w:rPr>
          <w:rFonts w:ascii="Arial" w:hAnsi="Arial" w:cs="Arial"/>
        </w:rPr>
        <w:t xml:space="preserve"> </w:t>
      </w:r>
      <w:r>
        <w:rPr>
          <w:rStyle w:val="cursor-pointer"/>
          <w:rFonts w:ascii="Arial" w:eastAsiaTheme="majorEastAsia" w:hAnsi="Arial" w:cs="Arial"/>
        </w:rPr>
        <w:t>At the group level, the American Dream Initiative pledges to provide increased access to capital, training and/or tools for 10 million small businesses, expand financial-education programs by reaching approximately 5 million customers, students and/or small businesses, and provide more than $10 billion in credit and capital to affordable housing since 2021 (JPMorgan Chase, 2025b).</w:t>
      </w:r>
      <w:r>
        <w:rPr>
          <w:rFonts w:ascii="Arial" w:hAnsi="Arial" w:cs="Arial"/>
        </w:rPr>
        <w:t xml:space="preserve"> </w:t>
      </w:r>
      <w:r>
        <w:rPr>
          <w:rStyle w:val="cursor-pointer"/>
          <w:rFonts w:ascii="Arial" w:eastAsiaTheme="majorEastAsia" w:hAnsi="Arial" w:cs="Arial"/>
        </w:rPr>
        <w:t>This is in addition to the firmwide goal to invest $2.5 trillion in the next decade in clean energy and sustainable development (JPMorganChase, 2026b).</w:t>
      </w:r>
      <w:r>
        <w:rPr>
          <w:rFonts w:ascii="Arial" w:hAnsi="Arial" w:cs="Arial"/>
        </w:rPr>
        <w:t xml:space="preserve"> </w:t>
      </w:r>
      <w:r>
        <w:rPr>
          <w:rStyle w:val="cursor-pointer"/>
          <w:rFonts w:ascii="Arial" w:eastAsiaTheme="majorEastAsia" w:hAnsi="Arial" w:cs="Arial"/>
        </w:rPr>
        <w:t>The branchless, app-only banking approach is offered as an inherently greener business model for Chase UK, and its efforts to reach the UK, like Chase Money Skills, deliver financial-education material directly to customers from the app.</w:t>
      </w:r>
    </w:p>
    <w:p w14:paraId="5CD4D2F9" w14:textId="67269E59" w:rsidR="00636FD5" w:rsidRPr="007670E6" w:rsidRDefault="00BF5301" w:rsidP="00DA719D">
      <w:pPr>
        <w:spacing w:line="360" w:lineRule="auto"/>
        <w:rPr>
          <w:rFonts w:ascii="Arial" w:hAnsi="Arial" w:cs="Arial"/>
        </w:rPr>
      </w:pPr>
      <w:r>
        <w:rPr>
          <w:rStyle w:val="cursor-pointer"/>
          <w:rFonts w:ascii="Arial" w:eastAsiaTheme="majorEastAsia" w:hAnsi="Arial" w:cs="Arial"/>
        </w:rPr>
        <w:t>This convergence of CSR and business goals is only partial; critically, it does not extend to all goals.</w:t>
      </w:r>
      <w:r>
        <w:rPr>
          <w:rFonts w:ascii="Arial" w:hAnsi="Arial" w:cs="Arial"/>
        </w:rPr>
        <w:t xml:space="preserve"> </w:t>
      </w:r>
      <w:r>
        <w:rPr>
          <w:rStyle w:val="cursor-pointer"/>
          <w:rFonts w:ascii="Arial" w:eastAsiaTheme="majorEastAsia" w:hAnsi="Arial" w:cs="Arial"/>
        </w:rPr>
        <w:t>Some of the efforts that are most directly aligned with commercial objectives are seamlessly embedded in the business model, such as the financial-education content that helps foster trust and engagement within the Chase app.</w:t>
      </w:r>
      <w:r>
        <w:rPr>
          <w:rFonts w:ascii="Arial" w:hAnsi="Arial" w:cs="Arial"/>
        </w:rPr>
        <w:t xml:space="preserve"> </w:t>
      </w:r>
      <w:r>
        <w:rPr>
          <w:rStyle w:val="cursor-pointer"/>
          <w:rFonts w:ascii="Arial" w:eastAsiaTheme="majorEastAsia" w:hAnsi="Arial" w:cs="Arial"/>
        </w:rPr>
        <w:t xml:space="preserve">Nevertheless, group-level </w:t>
      </w:r>
      <w:r>
        <w:rPr>
          <w:rStyle w:val="cursor-pointer"/>
          <w:rFonts w:ascii="Arial" w:hAnsi="Arial" w:cs="Arial"/>
        </w:rPr>
        <w:t>programmes</w:t>
      </w:r>
      <w:r>
        <w:rPr>
          <w:rStyle w:val="cursor-pointer"/>
          <w:rFonts w:ascii="Arial" w:eastAsiaTheme="majorEastAsia" w:hAnsi="Arial" w:cs="Arial"/>
        </w:rPr>
        <w:t xml:space="preserve"> like the American Dream Initiative are largely driven by US priorities and are not broken down into UK-wide, externally verifiable targets making it hard to accurately measure the extent to which these </w:t>
      </w:r>
      <w:r>
        <w:rPr>
          <w:rStyle w:val="cursor-pointer"/>
          <w:rFonts w:ascii="Arial" w:hAnsi="Arial" w:cs="Arial"/>
        </w:rPr>
        <w:t xml:space="preserve">programs </w:t>
      </w:r>
      <w:r>
        <w:rPr>
          <w:rStyle w:val="cursor-pointer"/>
          <w:rFonts w:ascii="Arial" w:eastAsiaTheme="majorEastAsia" w:hAnsi="Arial" w:cs="Arial"/>
        </w:rPr>
        <w:t>are delivered in the UK market, as opposed to being symbolically linked to the Chase brand.</w:t>
      </w:r>
      <w:r>
        <w:rPr>
          <w:rFonts w:ascii="Arial" w:hAnsi="Arial" w:cs="Arial"/>
        </w:rPr>
        <w:t xml:space="preserve"> </w:t>
      </w:r>
      <w:r>
        <w:rPr>
          <w:rStyle w:val="cursor-pointer"/>
          <w:rFonts w:ascii="Arial" w:eastAsiaTheme="majorEastAsia" w:hAnsi="Arial" w:cs="Arial"/>
        </w:rPr>
        <w:t>Based on their analysis of the CSR reporting of European banks, Costa and Di Pillo (2024) conclude that in the banking sector, a disconnect exists between CSR expectations and perceptions of a bank's sustainability performance overall, and the disconnect can be bridged by having banks publish comparable CSR metrics at the customer level, not just the parent level.</w:t>
      </w:r>
      <w:r>
        <w:rPr>
          <w:rFonts w:ascii="Arial" w:hAnsi="Arial" w:cs="Arial"/>
        </w:rPr>
        <w:t xml:space="preserve"> </w:t>
      </w:r>
      <w:r>
        <w:rPr>
          <w:rStyle w:val="cursor-pointer"/>
          <w:rFonts w:ascii="Arial" w:eastAsiaTheme="majorEastAsia" w:hAnsi="Arial" w:cs="Arial"/>
        </w:rPr>
        <w:t>When looking at CSR, efficiency and risk, the authors Jouini, Chouchen and Messai (2025) find that there is a ‘vicious circle' at play: higher CSR commitment is not always correlated with higher operational efficiency, but CSR is correlated with lower credit risk; this means that when assessing Chase UK's CSR activity, risk and reputational benefits should be considered over cost efficiency.</w:t>
      </w:r>
      <w:r>
        <w:rPr>
          <w:rFonts w:ascii="Arial" w:hAnsi="Arial" w:cs="Arial"/>
        </w:rPr>
        <w:t xml:space="preserve"> </w:t>
      </w:r>
      <w:r>
        <w:rPr>
          <w:rStyle w:val="cursor-pointer"/>
          <w:rFonts w:ascii="Arial" w:eastAsiaTheme="majorEastAsia" w:hAnsi="Arial" w:cs="Arial"/>
        </w:rPr>
        <w:t>In this sense, the CSR alignment of the bank Chase UK would be stronger if it had explicitly defined UK-specific commitments, such as those concerning the carbon footprint and social footprint of its own customers, rather than relying on the bank's commitments at the global level of JPMorgan Chase.</w:t>
      </w:r>
    </w:p>
    <w:p w14:paraId="6BAE9304" w14:textId="77777777" w:rsidR="00636FD5" w:rsidRPr="007670E6" w:rsidRDefault="00840CD2" w:rsidP="00DA719D">
      <w:pPr>
        <w:pStyle w:val="Heading2"/>
        <w:spacing w:line="360" w:lineRule="auto"/>
      </w:pPr>
      <w:bookmarkStart w:id="10" w:name="_Toc237433535"/>
      <w:r>
        <w:t>3.2 Balanced Scorecard</w:t>
      </w:r>
      <w:bookmarkEnd w:id="10"/>
    </w:p>
    <w:p w14:paraId="0B238FB9" w14:textId="30E4C349" w:rsidR="00636FD5" w:rsidRDefault="00B55E8A" w:rsidP="00DA719D">
      <w:pPr>
        <w:spacing w:line="360" w:lineRule="auto"/>
        <w:rPr>
          <w:rStyle w:val="cursor-pointer"/>
          <w:rFonts w:ascii="Arial" w:eastAsiaTheme="majorEastAsia" w:hAnsi="Arial" w:cs="Arial"/>
        </w:rPr>
      </w:pPr>
      <w:r>
        <w:rPr>
          <w:rStyle w:val="cursor-pointer"/>
          <w:rFonts w:ascii="Arial" w:eastAsiaTheme="majorEastAsia" w:hAnsi="Arial" w:cs="Arial"/>
        </w:rPr>
        <w:t>A relevant framework for converting Chase UK's mission into a balanced set of financial and non-financial measures, across four perspectives, is the balanced scorecard (BSC) (Kaplan and Norton, 1992).</w:t>
      </w:r>
      <w:r>
        <w:rPr>
          <w:rFonts w:ascii="Arial" w:hAnsi="Arial" w:cs="Arial"/>
        </w:rPr>
        <w:t xml:space="preserve"> </w:t>
      </w:r>
      <w:r>
        <w:rPr>
          <w:rStyle w:val="cursor-pointer"/>
          <w:rFonts w:ascii="Arial" w:eastAsiaTheme="majorEastAsia" w:hAnsi="Arial" w:cs="Arial"/>
        </w:rPr>
        <w:t>These findings echo the material impact of fintech growth on all four perspectives of the balanced scorecard of banks competing with digital firms, as shown by Pham and Nguyen (2025), and the increased relationship between the Learning and Growth perspective and overall organisation performance in commercial banks due to artificial intelligence and knowledge-management practices, which is also relevant to an AI-enabled challenger like Chase, as explained by Mahboub and Ghanem (2024).</w:t>
      </w:r>
      <w:r>
        <w:rPr>
          <w:rFonts w:ascii="Arial" w:hAnsi="Arial" w:cs="Arial"/>
        </w:rPr>
        <w:t xml:space="preserve"> </w:t>
      </w:r>
      <w:r>
        <w:rPr>
          <w:rStyle w:val="cursor-pointer"/>
          <w:rFonts w:ascii="Arial" w:eastAsiaTheme="majorEastAsia" w:hAnsi="Arial" w:cs="Arial"/>
        </w:rPr>
        <w:t>Table 3 uses the framework to help chase UK.</w:t>
      </w:r>
    </w:p>
    <w:p w14:paraId="027B78EC" w14:textId="77777777" w:rsidR="00BA14BD" w:rsidRDefault="00BA14BD" w:rsidP="00DA719D">
      <w:pPr>
        <w:spacing w:line="360" w:lineRule="auto"/>
        <w:rPr>
          <w:rStyle w:val="cursor-pointer"/>
          <w:rFonts w:ascii="Arial" w:eastAsiaTheme="majorEastAsia" w:hAnsi="Arial" w:cs="Arial"/>
        </w:rPr>
      </w:pPr>
    </w:p>
    <w:p w14:paraId="61316822" w14:textId="7FB831B2" w:rsidR="00BA14BD" w:rsidRDefault="00BA14BD" w:rsidP="00BA14BD">
      <w:pPr>
        <w:spacing w:line="360" w:lineRule="auto"/>
        <w:jc w:val="center"/>
        <w:rPr>
          <w:rStyle w:val="cursor-pointer"/>
          <w:rFonts w:ascii="Arial" w:eastAsiaTheme="majorEastAsia" w:hAnsi="Arial" w:cs="Arial"/>
        </w:rPr>
      </w:pPr>
      <w:r>
        <w:rPr>
          <w:rFonts w:ascii="Arial" w:eastAsiaTheme="majorEastAsia" w:hAnsi="Arial" w:cs="Arial"/>
          <w:noProof/>
          <w14:ligatures w14:val="standardContextual"/>
        </w:rPr>
        <w:drawing>
          <wp:inline distT="0" distB="0" distL="0" distR="0" wp14:anchorId="58578508" wp14:editId="54FADD11">
            <wp:extent cx="5943600" cy="3962400"/>
            <wp:effectExtent l="0" t="0" r="0" b="0"/>
            <wp:docPr id="1794812899" name="Picture 7" descr="A diagram of a vision and strateg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812899" name="Picture 7" descr="A diagram of a vision and strategy&#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43E0B147" w14:textId="0DEE4EDA" w:rsidR="00AE65A9" w:rsidRDefault="00AE65A9" w:rsidP="00BA14BD">
      <w:pPr>
        <w:spacing w:line="360" w:lineRule="auto"/>
        <w:jc w:val="center"/>
        <w:rPr>
          <w:rFonts w:ascii="Arial" w:hAnsi="Arial" w:cs="Arial"/>
        </w:rPr>
      </w:pPr>
      <w:r w:rsidRPr="00AE65A9">
        <w:rPr>
          <w:rFonts w:ascii="Arial" w:hAnsi="Arial" w:cs="Arial"/>
        </w:rPr>
        <w:t>Figure 6: Balanced Scorecard perspectives applied to Chase UK (Author's own, generated with ChatGPT image generation, 2026).</w:t>
      </w:r>
    </w:p>
    <w:p w14:paraId="3432B40E" w14:textId="77777777" w:rsidR="00AE65A9" w:rsidRPr="00AE65A9" w:rsidRDefault="00AE65A9" w:rsidP="00BA14BD">
      <w:pPr>
        <w:spacing w:line="360" w:lineRule="auto"/>
        <w:jc w:val="center"/>
        <w:rPr>
          <w:rStyle w:val="cursor-pointer"/>
          <w:rFonts w:ascii="Arial" w:eastAsiaTheme="majorEastAsia" w:hAnsi="Arial" w:cs="Arial"/>
        </w:rPr>
      </w:pPr>
    </w:p>
    <w:p w14:paraId="1EA84765" w14:textId="77777777" w:rsidR="007670E6" w:rsidRPr="00AE65A9" w:rsidRDefault="007670E6" w:rsidP="00DA719D">
      <w:pPr>
        <w:spacing w:line="360" w:lineRule="auto"/>
        <w:rPr>
          <w:rStyle w:val="cursor-pointer"/>
          <w:rFonts w:ascii="Arial" w:eastAsiaTheme="majorEastAsia" w:hAnsi="Arial" w:cs="Arial"/>
        </w:rPr>
      </w:pPr>
    </w:p>
    <w:p w14:paraId="60FCB812" w14:textId="77777777" w:rsidR="007670E6" w:rsidRDefault="007670E6" w:rsidP="00DA719D">
      <w:pPr>
        <w:spacing w:line="360" w:lineRule="auto"/>
        <w:rPr>
          <w:rStyle w:val="cursor-pointer"/>
          <w:rFonts w:ascii="Arial" w:eastAsiaTheme="majorEastAsia" w:hAnsi="Arial" w:cs="Arial"/>
        </w:rPr>
      </w:pPr>
    </w:p>
    <w:p w14:paraId="44236880" w14:textId="77777777" w:rsidR="007670E6" w:rsidRDefault="007670E6" w:rsidP="00DA719D">
      <w:pPr>
        <w:spacing w:line="360" w:lineRule="auto"/>
        <w:rPr>
          <w:rStyle w:val="cursor-pointer"/>
          <w:rFonts w:ascii="Arial" w:eastAsiaTheme="majorEastAsia" w:hAnsi="Arial" w:cs="Arial"/>
        </w:rPr>
      </w:pPr>
    </w:p>
    <w:p w14:paraId="72FD05B7" w14:textId="77777777" w:rsidR="007670E6" w:rsidRPr="007670E6" w:rsidRDefault="007670E6" w:rsidP="00DA719D">
      <w:pPr>
        <w:spacing w:line="360" w:lineRule="auto"/>
        <w:rPr>
          <w:rFonts w:ascii="Arial" w:hAnsi="Arial" w:cs="Arial"/>
        </w:rPr>
      </w:pPr>
    </w:p>
    <w:tbl>
      <w:tblPr>
        <w:tblW w:w="8500" w:type="dxa"/>
        <w:tblBorders>
          <w:top w:val="single" w:sz="4" w:space="0" w:color="808080"/>
          <w:left w:val="single" w:sz="4" w:space="0" w:color="808080"/>
          <w:bottom w:val="single" w:sz="4" w:space="0" w:color="808080"/>
          <w:right w:val="single" w:sz="4" w:space="0" w:color="808080"/>
          <w:insideH w:val="single" w:sz="4" w:space="0" w:color="808080"/>
          <w:insideV w:val="single" w:sz="4" w:space="0" w:color="808080"/>
        </w:tblBorders>
        <w:tblLook w:val="04A0" w:firstRow="1" w:lastRow="0" w:firstColumn="1" w:lastColumn="0" w:noHBand="0" w:noVBand="1"/>
      </w:tblPr>
      <w:tblGrid>
        <w:gridCol w:w="1564"/>
        <w:gridCol w:w="1688"/>
        <w:gridCol w:w="1684"/>
        <w:gridCol w:w="1394"/>
        <w:gridCol w:w="2170"/>
      </w:tblGrid>
      <w:tr w:rsidR="00636FD5" w14:paraId="0362618A" w14:textId="77777777">
        <w:tc>
          <w:tcPr>
            <w:tcW w:w="1100" w:type="dxa"/>
            <w:shd w:val="clear" w:color="auto" w:fill="D9D9D9"/>
            <w:vAlign w:val="center"/>
          </w:tcPr>
          <w:p w14:paraId="6E4D5437" w14:textId="77777777" w:rsidR="00636FD5" w:rsidRDefault="00840CD2" w:rsidP="00DA719D">
            <w:pPr>
              <w:spacing w:after="60" w:line="360" w:lineRule="auto"/>
              <w:rPr>
                <w:rFonts w:ascii="Arial" w:hAnsi="Arial" w:cs="Arial"/>
                <w:sz w:val="20"/>
              </w:rPr>
            </w:pPr>
            <w:r>
              <w:rPr>
                <w:rFonts w:ascii="Arial" w:hAnsi="Arial" w:cs="Arial"/>
                <w:b/>
                <w:bCs/>
              </w:rPr>
              <w:t>Perspective</w:t>
            </w:r>
          </w:p>
        </w:tc>
        <w:tc>
          <w:tcPr>
            <w:tcW w:w="1900" w:type="dxa"/>
            <w:shd w:val="clear" w:color="auto" w:fill="D9D9D9"/>
            <w:vAlign w:val="center"/>
          </w:tcPr>
          <w:p w14:paraId="27A4C209" w14:textId="77777777" w:rsidR="00636FD5" w:rsidRDefault="00840CD2" w:rsidP="00DA719D">
            <w:pPr>
              <w:spacing w:after="60" w:line="360" w:lineRule="auto"/>
              <w:rPr>
                <w:rFonts w:ascii="Arial" w:hAnsi="Arial" w:cs="Arial"/>
                <w:sz w:val="20"/>
              </w:rPr>
            </w:pPr>
            <w:r>
              <w:rPr>
                <w:rFonts w:ascii="Arial" w:hAnsi="Arial" w:cs="Arial"/>
                <w:b/>
                <w:bCs/>
              </w:rPr>
              <w:t>Objective</w:t>
            </w:r>
          </w:p>
        </w:tc>
        <w:tc>
          <w:tcPr>
            <w:tcW w:w="1550" w:type="dxa"/>
            <w:shd w:val="clear" w:color="auto" w:fill="D9D9D9"/>
            <w:vAlign w:val="center"/>
          </w:tcPr>
          <w:p w14:paraId="76B49714" w14:textId="77777777" w:rsidR="00636FD5" w:rsidRDefault="00840CD2" w:rsidP="00DA719D">
            <w:pPr>
              <w:spacing w:after="60" w:line="360" w:lineRule="auto"/>
              <w:rPr>
                <w:rFonts w:ascii="Arial" w:hAnsi="Arial" w:cs="Arial"/>
                <w:sz w:val="20"/>
              </w:rPr>
            </w:pPr>
            <w:r>
              <w:rPr>
                <w:rFonts w:ascii="Arial" w:hAnsi="Arial" w:cs="Arial"/>
                <w:b/>
                <w:bCs/>
              </w:rPr>
              <w:t>Key Performance Indicator</w:t>
            </w:r>
          </w:p>
        </w:tc>
        <w:tc>
          <w:tcPr>
            <w:tcW w:w="1400" w:type="dxa"/>
            <w:shd w:val="clear" w:color="auto" w:fill="D9D9D9"/>
            <w:vAlign w:val="center"/>
          </w:tcPr>
          <w:p w14:paraId="0914C2DF" w14:textId="77777777" w:rsidR="00636FD5" w:rsidRDefault="00840CD2" w:rsidP="00DA719D">
            <w:pPr>
              <w:spacing w:after="60" w:line="360" w:lineRule="auto"/>
              <w:rPr>
                <w:rFonts w:ascii="Arial" w:hAnsi="Arial" w:cs="Arial"/>
                <w:sz w:val="20"/>
              </w:rPr>
            </w:pPr>
            <w:r>
              <w:rPr>
                <w:rFonts w:ascii="Arial" w:hAnsi="Arial" w:cs="Arial"/>
                <w:b/>
                <w:bCs/>
              </w:rPr>
              <w:t>Target</w:t>
            </w:r>
          </w:p>
        </w:tc>
        <w:tc>
          <w:tcPr>
            <w:tcW w:w="2150" w:type="dxa"/>
            <w:shd w:val="clear" w:color="auto" w:fill="D9D9D9"/>
            <w:vAlign w:val="center"/>
          </w:tcPr>
          <w:p w14:paraId="7C848800" w14:textId="77777777" w:rsidR="00636FD5" w:rsidRDefault="00840CD2" w:rsidP="00DA719D">
            <w:pPr>
              <w:spacing w:after="60" w:line="360" w:lineRule="auto"/>
              <w:rPr>
                <w:rFonts w:ascii="Arial" w:hAnsi="Arial" w:cs="Arial"/>
                <w:sz w:val="20"/>
              </w:rPr>
            </w:pPr>
            <w:r>
              <w:rPr>
                <w:rFonts w:ascii="Arial" w:hAnsi="Arial" w:cs="Arial"/>
                <w:b/>
                <w:bCs/>
              </w:rPr>
              <w:t>Initiative</w:t>
            </w:r>
          </w:p>
        </w:tc>
      </w:tr>
      <w:tr w:rsidR="00636FD5" w14:paraId="3DE6A794" w14:textId="77777777">
        <w:tc>
          <w:tcPr>
            <w:tcW w:w="1100" w:type="dxa"/>
            <w:vAlign w:val="center"/>
          </w:tcPr>
          <w:p w14:paraId="70449012" w14:textId="77777777" w:rsidR="00636FD5" w:rsidRDefault="00840CD2" w:rsidP="00DA719D">
            <w:pPr>
              <w:spacing w:after="60" w:line="360" w:lineRule="auto"/>
              <w:rPr>
                <w:rFonts w:ascii="Arial" w:hAnsi="Arial" w:cs="Arial"/>
                <w:sz w:val="20"/>
              </w:rPr>
            </w:pPr>
            <w:r>
              <w:rPr>
                <w:rFonts w:ascii="Arial" w:hAnsi="Arial" w:cs="Arial"/>
                <w:b/>
                <w:bCs/>
              </w:rPr>
              <w:t>Financial</w:t>
            </w:r>
          </w:p>
        </w:tc>
        <w:tc>
          <w:tcPr>
            <w:tcW w:w="1900" w:type="dxa"/>
            <w:vAlign w:val="center"/>
          </w:tcPr>
          <w:p w14:paraId="1157F170" w14:textId="77777777" w:rsidR="00636FD5" w:rsidRDefault="00840CD2" w:rsidP="00DA719D">
            <w:pPr>
              <w:spacing w:after="60" w:line="360" w:lineRule="auto"/>
              <w:rPr>
                <w:rFonts w:ascii="Arial" w:hAnsi="Arial" w:cs="Arial"/>
                <w:sz w:val="20"/>
              </w:rPr>
            </w:pPr>
            <w:r>
              <w:rPr>
                <w:rFonts w:ascii="Arial" w:hAnsi="Arial" w:cs="Arial"/>
              </w:rPr>
              <w:t>Grow revenue and profitability sustainably beyond interchange income</w:t>
            </w:r>
          </w:p>
        </w:tc>
        <w:tc>
          <w:tcPr>
            <w:tcW w:w="1550" w:type="dxa"/>
            <w:vAlign w:val="center"/>
          </w:tcPr>
          <w:p w14:paraId="75D60291" w14:textId="77777777" w:rsidR="00636FD5" w:rsidRDefault="00840CD2" w:rsidP="00DA719D">
            <w:pPr>
              <w:spacing w:after="60" w:line="360" w:lineRule="auto"/>
              <w:rPr>
                <w:rFonts w:ascii="Arial" w:hAnsi="Arial" w:cs="Arial"/>
                <w:sz w:val="20"/>
              </w:rPr>
            </w:pPr>
            <w:r>
              <w:rPr>
                <w:rFonts w:ascii="Arial" w:hAnsi="Arial" w:cs="Arial"/>
              </w:rPr>
              <w:t>Deposit growth (£); net interest margin</w:t>
            </w:r>
          </w:p>
        </w:tc>
        <w:tc>
          <w:tcPr>
            <w:tcW w:w="1400" w:type="dxa"/>
            <w:vAlign w:val="center"/>
          </w:tcPr>
          <w:p w14:paraId="2E2D6D50" w14:textId="77777777" w:rsidR="00636FD5" w:rsidRDefault="00840CD2" w:rsidP="00DA719D">
            <w:pPr>
              <w:spacing w:after="60" w:line="360" w:lineRule="auto"/>
              <w:rPr>
                <w:rFonts w:ascii="Arial" w:hAnsi="Arial" w:cs="Arial"/>
                <w:sz w:val="20"/>
              </w:rPr>
            </w:pPr>
            <w:r>
              <w:rPr>
                <w:rFonts w:ascii="Arial" w:hAnsi="Arial" w:cs="Arial"/>
              </w:rPr>
              <w:t>Grow deposits beyond £25 billion by 2027</w:t>
            </w:r>
          </w:p>
        </w:tc>
        <w:tc>
          <w:tcPr>
            <w:tcW w:w="2150" w:type="dxa"/>
            <w:vAlign w:val="center"/>
          </w:tcPr>
          <w:p w14:paraId="1FC75A79" w14:textId="77777777" w:rsidR="00636FD5" w:rsidRDefault="00840CD2" w:rsidP="00DA719D">
            <w:pPr>
              <w:spacing w:after="60" w:line="360" w:lineRule="auto"/>
              <w:rPr>
                <w:rFonts w:ascii="Arial" w:hAnsi="Arial" w:cs="Arial"/>
                <w:sz w:val="20"/>
              </w:rPr>
            </w:pPr>
            <w:r>
              <w:rPr>
                <w:rFonts w:ascii="Arial" w:hAnsi="Arial" w:cs="Arial"/>
              </w:rPr>
              <w:t>Expand the 2025 credit card and personal-lending range to diversify revenue</w:t>
            </w:r>
          </w:p>
        </w:tc>
      </w:tr>
      <w:tr w:rsidR="00636FD5" w14:paraId="17D17FDA" w14:textId="77777777">
        <w:tc>
          <w:tcPr>
            <w:tcW w:w="1100" w:type="dxa"/>
            <w:vAlign w:val="center"/>
          </w:tcPr>
          <w:p w14:paraId="54B7A784" w14:textId="77777777" w:rsidR="00636FD5" w:rsidRDefault="00840CD2" w:rsidP="00DA719D">
            <w:pPr>
              <w:spacing w:after="60" w:line="360" w:lineRule="auto"/>
              <w:rPr>
                <w:rFonts w:ascii="Arial" w:hAnsi="Arial" w:cs="Arial"/>
                <w:sz w:val="20"/>
              </w:rPr>
            </w:pPr>
            <w:r>
              <w:rPr>
                <w:rFonts w:ascii="Arial" w:hAnsi="Arial" w:cs="Arial"/>
                <w:b/>
                <w:bCs/>
              </w:rPr>
              <w:t>Customer</w:t>
            </w:r>
          </w:p>
        </w:tc>
        <w:tc>
          <w:tcPr>
            <w:tcW w:w="1900" w:type="dxa"/>
            <w:vAlign w:val="center"/>
          </w:tcPr>
          <w:p w14:paraId="24A2491F" w14:textId="77777777" w:rsidR="00636FD5" w:rsidRDefault="00840CD2" w:rsidP="00DA719D">
            <w:pPr>
              <w:spacing w:after="60" w:line="360" w:lineRule="auto"/>
              <w:rPr>
                <w:rFonts w:ascii="Arial" w:hAnsi="Arial" w:cs="Arial"/>
                <w:sz w:val="20"/>
              </w:rPr>
            </w:pPr>
            <w:r>
              <w:rPr>
                <w:rFonts w:ascii="Arial" w:hAnsi="Arial" w:cs="Arial"/>
              </w:rPr>
              <w:t>Deepen primary-bank relationships and customer trust</w:t>
            </w:r>
          </w:p>
        </w:tc>
        <w:tc>
          <w:tcPr>
            <w:tcW w:w="1550" w:type="dxa"/>
            <w:vAlign w:val="center"/>
          </w:tcPr>
          <w:p w14:paraId="00DBFFC2" w14:textId="77777777" w:rsidR="00636FD5" w:rsidRDefault="00840CD2" w:rsidP="00DA719D">
            <w:pPr>
              <w:spacing w:after="60" w:line="360" w:lineRule="auto"/>
              <w:rPr>
                <w:rFonts w:ascii="Arial" w:hAnsi="Arial" w:cs="Arial"/>
                <w:sz w:val="20"/>
              </w:rPr>
            </w:pPr>
            <w:r>
              <w:rPr>
                <w:rFonts w:ascii="Arial" w:hAnsi="Arial" w:cs="Arial"/>
              </w:rPr>
              <w:t>Primary-account conversion rate; app-store rating</w:t>
            </w:r>
          </w:p>
        </w:tc>
        <w:tc>
          <w:tcPr>
            <w:tcW w:w="1400" w:type="dxa"/>
            <w:vAlign w:val="center"/>
          </w:tcPr>
          <w:p w14:paraId="12EF729F" w14:textId="77777777" w:rsidR="00636FD5" w:rsidRDefault="00840CD2" w:rsidP="00DA719D">
            <w:pPr>
              <w:spacing w:after="60" w:line="360" w:lineRule="auto"/>
              <w:rPr>
                <w:rFonts w:ascii="Arial" w:hAnsi="Arial" w:cs="Arial"/>
                <w:sz w:val="20"/>
              </w:rPr>
            </w:pPr>
            <w:r>
              <w:rPr>
                <w:rFonts w:ascii="Arial" w:hAnsi="Arial" w:cs="Arial"/>
              </w:rPr>
              <w:t>Convert a majority of the c.2 million customer base to primary-account status</w:t>
            </w:r>
          </w:p>
        </w:tc>
        <w:tc>
          <w:tcPr>
            <w:tcW w:w="2150" w:type="dxa"/>
            <w:vAlign w:val="center"/>
          </w:tcPr>
          <w:p w14:paraId="070CF9A2" w14:textId="77777777" w:rsidR="00636FD5" w:rsidRDefault="00840CD2" w:rsidP="00DA719D">
            <w:pPr>
              <w:spacing w:after="60" w:line="360" w:lineRule="auto"/>
              <w:rPr>
                <w:rFonts w:ascii="Arial" w:hAnsi="Arial" w:cs="Arial"/>
                <w:sz w:val="20"/>
              </w:rPr>
            </w:pPr>
            <w:r>
              <w:rPr>
                <w:rFonts w:ascii="Arial" w:hAnsi="Arial" w:cs="Arial"/>
              </w:rPr>
              <w:t>Extend cashback rewards and cross-sell J.P. Morgan Personal Investing</w:t>
            </w:r>
          </w:p>
        </w:tc>
      </w:tr>
      <w:tr w:rsidR="00636FD5" w14:paraId="3564D19C" w14:textId="77777777">
        <w:tc>
          <w:tcPr>
            <w:tcW w:w="1100" w:type="dxa"/>
            <w:vAlign w:val="center"/>
          </w:tcPr>
          <w:p w14:paraId="5B228EAB" w14:textId="77777777" w:rsidR="00636FD5" w:rsidRDefault="00840CD2" w:rsidP="00DA719D">
            <w:pPr>
              <w:spacing w:after="60" w:line="360" w:lineRule="auto"/>
              <w:rPr>
                <w:rFonts w:ascii="Arial" w:hAnsi="Arial" w:cs="Arial"/>
                <w:sz w:val="20"/>
              </w:rPr>
            </w:pPr>
            <w:r>
              <w:rPr>
                <w:rFonts w:ascii="Arial" w:hAnsi="Arial" w:cs="Arial"/>
                <w:b/>
                <w:bCs/>
              </w:rPr>
              <w:t>Internal Business Process</w:t>
            </w:r>
          </w:p>
        </w:tc>
        <w:tc>
          <w:tcPr>
            <w:tcW w:w="1900" w:type="dxa"/>
            <w:vAlign w:val="center"/>
          </w:tcPr>
          <w:p w14:paraId="57C82EB8" w14:textId="77777777" w:rsidR="00636FD5" w:rsidRDefault="00840CD2" w:rsidP="00DA719D">
            <w:pPr>
              <w:spacing w:after="60" w:line="360" w:lineRule="auto"/>
              <w:rPr>
                <w:rFonts w:ascii="Arial" w:hAnsi="Arial" w:cs="Arial"/>
                <w:sz w:val="20"/>
              </w:rPr>
            </w:pPr>
            <w:r>
              <w:rPr>
                <w:rFonts w:ascii="Arial" w:hAnsi="Arial" w:cs="Arial"/>
              </w:rPr>
              <w:t>Maintain resilient, compliant, and efficient digital operations</w:t>
            </w:r>
          </w:p>
        </w:tc>
        <w:tc>
          <w:tcPr>
            <w:tcW w:w="1550" w:type="dxa"/>
            <w:vAlign w:val="center"/>
          </w:tcPr>
          <w:p w14:paraId="35B51CFD" w14:textId="77777777" w:rsidR="00636FD5" w:rsidRDefault="00840CD2" w:rsidP="00DA719D">
            <w:pPr>
              <w:spacing w:after="60" w:line="360" w:lineRule="auto"/>
              <w:rPr>
                <w:rFonts w:ascii="Arial" w:hAnsi="Arial" w:cs="Arial"/>
                <w:sz w:val="20"/>
              </w:rPr>
            </w:pPr>
            <w:r>
              <w:rPr>
                <w:rFonts w:ascii="Arial" w:hAnsi="Arial" w:cs="Arial"/>
              </w:rPr>
              <w:t>App uptime (%); AI-detected fraud losses prevented</w:t>
            </w:r>
          </w:p>
        </w:tc>
        <w:tc>
          <w:tcPr>
            <w:tcW w:w="1400" w:type="dxa"/>
            <w:vAlign w:val="center"/>
          </w:tcPr>
          <w:p w14:paraId="0025EF14" w14:textId="77777777" w:rsidR="00636FD5" w:rsidRDefault="00840CD2" w:rsidP="00DA719D">
            <w:pPr>
              <w:spacing w:after="60" w:line="360" w:lineRule="auto"/>
              <w:rPr>
                <w:rFonts w:ascii="Arial" w:hAnsi="Arial" w:cs="Arial"/>
                <w:sz w:val="20"/>
              </w:rPr>
            </w:pPr>
            <w:r>
              <w:rPr>
                <w:rFonts w:ascii="Arial" w:hAnsi="Arial" w:cs="Arial"/>
              </w:rPr>
              <w:t>Sustain 99.9% app availability; reduce fraud losses year-on-year</w:t>
            </w:r>
          </w:p>
        </w:tc>
        <w:tc>
          <w:tcPr>
            <w:tcW w:w="2150" w:type="dxa"/>
            <w:vAlign w:val="center"/>
          </w:tcPr>
          <w:p w14:paraId="4A518B96" w14:textId="77777777" w:rsidR="00636FD5" w:rsidRDefault="00840CD2" w:rsidP="00DA719D">
            <w:pPr>
              <w:spacing w:after="60" w:line="360" w:lineRule="auto"/>
              <w:rPr>
                <w:rFonts w:ascii="Arial" w:hAnsi="Arial" w:cs="Arial"/>
                <w:sz w:val="20"/>
              </w:rPr>
            </w:pPr>
            <w:r>
              <w:rPr>
                <w:rFonts w:ascii="Arial" w:hAnsi="Arial" w:cs="Arial"/>
              </w:rPr>
              <w:t>Deploy JPMorganChase's group-wide AI fraud-detection tools locally</w:t>
            </w:r>
          </w:p>
        </w:tc>
      </w:tr>
      <w:tr w:rsidR="00636FD5" w14:paraId="135EA609" w14:textId="77777777">
        <w:tc>
          <w:tcPr>
            <w:tcW w:w="1100" w:type="dxa"/>
            <w:vAlign w:val="center"/>
          </w:tcPr>
          <w:p w14:paraId="77CA26E9" w14:textId="77777777" w:rsidR="00636FD5" w:rsidRDefault="00840CD2" w:rsidP="00DA719D">
            <w:pPr>
              <w:spacing w:after="60" w:line="360" w:lineRule="auto"/>
              <w:rPr>
                <w:rFonts w:ascii="Arial" w:hAnsi="Arial" w:cs="Arial"/>
                <w:sz w:val="20"/>
              </w:rPr>
            </w:pPr>
            <w:r>
              <w:rPr>
                <w:rFonts w:ascii="Arial" w:hAnsi="Arial" w:cs="Arial"/>
                <w:b/>
                <w:bCs/>
              </w:rPr>
              <w:t>Learning and Growth</w:t>
            </w:r>
          </w:p>
        </w:tc>
        <w:tc>
          <w:tcPr>
            <w:tcW w:w="1900" w:type="dxa"/>
            <w:vAlign w:val="center"/>
          </w:tcPr>
          <w:p w14:paraId="21439F4C" w14:textId="77777777" w:rsidR="00636FD5" w:rsidRDefault="00840CD2" w:rsidP="00DA719D">
            <w:pPr>
              <w:spacing w:after="60" w:line="360" w:lineRule="auto"/>
              <w:rPr>
                <w:rFonts w:ascii="Arial" w:hAnsi="Arial" w:cs="Arial"/>
                <w:sz w:val="20"/>
              </w:rPr>
            </w:pPr>
            <w:r>
              <w:rPr>
                <w:rFonts w:ascii="Arial" w:hAnsi="Arial" w:cs="Arial"/>
              </w:rPr>
              <w:t>Build UK data, AI, and compliance capability</w:t>
            </w:r>
          </w:p>
        </w:tc>
        <w:tc>
          <w:tcPr>
            <w:tcW w:w="1550" w:type="dxa"/>
            <w:vAlign w:val="center"/>
          </w:tcPr>
          <w:p w14:paraId="3A42FA9B" w14:textId="77777777" w:rsidR="00636FD5" w:rsidRDefault="00840CD2" w:rsidP="00DA719D">
            <w:pPr>
              <w:spacing w:after="60" w:line="360" w:lineRule="auto"/>
              <w:rPr>
                <w:rFonts w:ascii="Arial" w:hAnsi="Arial" w:cs="Arial"/>
                <w:sz w:val="20"/>
              </w:rPr>
            </w:pPr>
            <w:r>
              <w:rPr>
                <w:rFonts w:ascii="Arial" w:hAnsi="Arial" w:cs="Arial"/>
              </w:rPr>
              <w:t>Staff trained in AI/data tools (%); employee retention rate</w:t>
            </w:r>
          </w:p>
        </w:tc>
        <w:tc>
          <w:tcPr>
            <w:tcW w:w="1400" w:type="dxa"/>
            <w:vAlign w:val="center"/>
          </w:tcPr>
          <w:p w14:paraId="3694D78A" w14:textId="77777777" w:rsidR="00636FD5" w:rsidRDefault="00840CD2" w:rsidP="00DA719D">
            <w:pPr>
              <w:spacing w:after="60" w:line="360" w:lineRule="auto"/>
              <w:rPr>
                <w:rFonts w:ascii="Arial" w:hAnsi="Arial" w:cs="Arial"/>
                <w:sz w:val="20"/>
              </w:rPr>
            </w:pPr>
            <w:r>
              <w:rPr>
                <w:rFonts w:ascii="Arial" w:hAnsi="Arial" w:cs="Arial"/>
              </w:rPr>
              <w:t>Increase annual AI/data upskilling coverage among UK staff</w:t>
            </w:r>
          </w:p>
        </w:tc>
        <w:tc>
          <w:tcPr>
            <w:tcW w:w="2150" w:type="dxa"/>
            <w:vAlign w:val="center"/>
          </w:tcPr>
          <w:p w14:paraId="071D8AB3" w14:textId="77777777" w:rsidR="00636FD5" w:rsidRDefault="00840CD2" w:rsidP="00DA719D">
            <w:pPr>
              <w:spacing w:after="60" w:line="360" w:lineRule="auto"/>
              <w:rPr>
                <w:rFonts w:ascii="Arial" w:hAnsi="Arial" w:cs="Arial"/>
                <w:sz w:val="20"/>
              </w:rPr>
            </w:pPr>
            <w:r>
              <w:rPr>
                <w:rFonts w:ascii="Arial" w:hAnsi="Arial" w:cs="Arial"/>
              </w:rPr>
              <w:t>Extend JPMorgan's global technology-training programmes to Chase UK teams</w:t>
            </w:r>
          </w:p>
        </w:tc>
      </w:tr>
    </w:tbl>
    <w:p w14:paraId="311452CE" w14:textId="77777777" w:rsidR="00636FD5" w:rsidRDefault="00636FD5" w:rsidP="00DA719D">
      <w:pPr>
        <w:spacing w:line="360" w:lineRule="auto"/>
        <w:rPr>
          <w:rFonts w:ascii="Arial" w:hAnsi="Arial" w:cs="Arial"/>
        </w:rPr>
      </w:pPr>
    </w:p>
    <w:p w14:paraId="73B970C4" w14:textId="77777777" w:rsidR="00636FD5" w:rsidRDefault="00840CD2" w:rsidP="00176E94">
      <w:pPr>
        <w:spacing w:line="360" w:lineRule="auto"/>
        <w:jc w:val="center"/>
      </w:pPr>
      <w:r>
        <w:rPr>
          <w:rFonts w:ascii="Arial" w:hAnsi="Arial" w:cs="Arial"/>
        </w:rPr>
        <w:t>Table 3: Balanced scorecard for Chase UK, adapted from Kaplan and Norton (1992).</w:t>
      </w:r>
    </w:p>
    <w:p w14:paraId="2C27F76E" w14:textId="77777777" w:rsidR="00636FD5" w:rsidRDefault="00636FD5" w:rsidP="00176E94">
      <w:pPr>
        <w:spacing w:line="360" w:lineRule="auto"/>
        <w:jc w:val="center"/>
        <w:rPr>
          <w:rFonts w:ascii="Arial" w:hAnsi="Arial" w:cs="Arial"/>
        </w:rPr>
      </w:pPr>
    </w:p>
    <w:p w14:paraId="433EF064" w14:textId="3B70DC6D" w:rsidR="00636FD5" w:rsidRPr="007670E6" w:rsidRDefault="00840CD2" w:rsidP="00DA719D">
      <w:pPr>
        <w:spacing w:line="360" w:lineRule="auto"/>
        <w:rPr>
          <w:rFonts w:ascii="Arial" w:hAnsi="Arial" w:cs="Arial"/>
        </w:rPr>
      </w:pPr>
      <w:r>
        <w:rPr>
          <w:rFonts w:ascii="Arial" w:hAnsi="Arial" w:cs="Arial"/>
          <w:b/>
          <w:bCs/>
        </w:rPr>
        <w:t xml:space="preserve">Financial: </w:t>
      </w:r>
      <w:r>
        <w:rPr>
          <w:rStyle w:val="cursor-pointer"/>
          <w:rFonts w:ascii="Arial" w:eastAsiaTheme="majorEastAsia" w:hAnsi="Arial" w:cs="Arial"/>
        </w:rPr>
        <w:t>Chase UK's financial goal is to continue to grow profitably, outside of the fee-free interchange income, as the number of deposits it holds over £20 billion (Bank of England, 2026).</w:t>
      </w:r>
      <w:r>
        <w:rPr>
          <w:rFonts w:ascii="Arial" w:hAnsi="Arial" w:cs="Arial"/>
        </w:rPr>
        <w:t xml:space="preserve"> </w:t>
      </w:r>
      <w:r>
        <w:rPr>
          <w:rStyle w:val="cursor-pointer"/>
          <w:rFonts w:ascii="Arial" w:eastAsiaTheme="majorEastAsia" w:hAnsi="Arial" w:cs="Arial"/>
        </w:rPr>
        <w:t>The two key levers are growing net interest margin, and diversifying into lending, after the 2025 credit card launch; otherwise, Chase would be vulnerable to any future drop in volume of card spending.</w:t>
      </w:r>
    </w:p>
    <w:p w14:paraId="6098F1A3" w14:textId="2E5641A3" w:rsidR="00636FD5" w:rsidRPr="007670E6" w:rsidRDefault="00840CD2" w:rsidP="00DA719D">
      <w:pPr>
        <w:spacing w:line="360" w:lineRule="auto"/>
        <w:rPr>
          <w:rFonts w:ascii="Arial" w:hAnsi="Arial" w:cs="Arial"/>
        </w:rPr>
      </w:pPr>
      <w:r>
        <w:rPr>
          <w:rFonts w:ascii="Arial" w:hAnsi="Arial" w:cs="Arial"/>
          <w:b/>
          <w:bCs/>
        </w:rPr>
        <w:t xml:space="preserve">Customer: </w:t>
      </w:r>
      <w:r>
        <w:rPr>
          <w:rStyle w:val="cursor-pointer"/>
          <w:rFonts w:ascii="Arial" w:eastAsiaTheme="majorEastAsia" w:hAnsi="Arial" w:cs="Arial"/>
        </w:rPr>
        <w:t>The customer objective is to make sure that Chase's nearly 2 million UK customers' secondary account is a cashback account and that their primary account is their main banking relationship as it is key to long-term deposit stability and cross sell.</w:t>
      </w:r>
      <w:r>
        <w:rPr>
          <w:rFonts w:ascii="Arial" w:hAnsi="Arial" w:cs="Arial"/>
        </w:rPr>
        <w:t xml:space="preserve"> </w:t>
      </w:r>
      <w:r>
        <w:rPr>
          <w:rStyle w:val="cursor-pointer"/>
          <w:rFonts w:ascii="Arial" w:eastAsiaTheme="majorEastAsia" w:hAnsi="Arial" w:cs="Arial"/>
        </w:rPr>
        <w:t xml:space="preserve">This is tightly tied to the perceived-risk and trust barriers reported by Ndlovu et al (2025) in section 2.1, so account numbers are not the only metrics that should be measured. KPIs should also measure the percentage of customers who use chase as their primary </w:t>
      </w:r>
      <w:r>
        <w:rPr>
          <w:rStyle w:val="cursor-pointer"/>
          <w:rFonts w:ascii="Arial" w:eastAsiaTheme="majorEastAsia" w:hAnsi="Arial" w:cs="Arial"/>
        </w:rPr>
        <w:t>bank.</w:t>
      </w:r>
    </w:p>
    <w:p w14:paraId="667AD4BA" w14:textId="77777777" w:rsidR="00636FD5" w:rsidRPr="007670E6" w:rsidRDefault="00636FD5" w:rsidP="00DA719D">
      <w:pPr>
        <w:spacing w:line="360" w:lineRule="auto"/>
        <w:rPr>
          <w:rFonts w:ascii="Arial" w:hAnsi="Arial" w:cs="Arial"/>
        </w:rPr>
      </w:pPr>
    </w:p>
    <w:p w14:paraId="113FCD99" w14:textId="3DB1A6D9" w:rsidR="00636FD5" w:rsidRPr="007670E6" w:rsidRDefault="00840CD2" w:rsidP="00DA719D">
      <w:pPr>
        <w:spacing w:line="360" w:lineRule="auto"/>
        <w:rPr>
          <w:rFonts w:ascii="Arial" w:hAnsi="Arial" w:cs="Arial"/>
        </w:rPr>
      </w:pPr>
      <w:r>
        <w:rPr>
          <w:rFonts w:ascii="Arial" w:hAnsi="Arial" w:cs="Arial"/>
          <w:b/>
          <w:bCs/>
        </w:rPr>
        <w:t xml:space="preserve">Internal Business Process: </w:t>
      </w:r>
      <w:r>
        <w:rPr>
          <w:rFonts w:ascii="Arial" w:hAnsi="Arial" w:cs="Arial"/>
        </w:rPr>
        <w:br/>
      </w:r>
      <w:r>
        <w:rPr>
          <w:rStyle w:val="cursor-pointer"/>
          <w:rFonts w:ascii="Arial" w:eastAsiaTheme="majorEastAsia" w:hAnsi="Arial" w:cs="Arial"/>
        </w:rPr>
        <w:t xml:space="preserve">Reliability and fraud prevention are crucial aspects of a branchless bank's </w:t>
      </w:r>
      <w:r>
        <w:rPr>
          <w:rStyle w:val="cursor-pointer"/>
          <w:rFonts w:ascii="Arial" w:hAnsi="Arial" w:cs="Arial"/>
        </w:rPr>
        <w:t>license</w:t>
      </w:r>
      <w:r>
        <w:rPr>
          <w:rStyle w:val="cursor-pointer"/>
          <w:rFonts w:ascii="Arial" w:eastAsiaTheme="majorEastAsia" w:hAnsi="Arial" w:cs="Arial"/>
        </w:rPr>
        <w:t>, as when a customer encounters problems with the app, there is no way to go to a branch.</w:t>
      </w:r>
      <w:r>
        <w:rPr>
          <w:rFonts w:ascii="Arial" w:hAnsi="Arial" w:cs="Arial"/>
        </w:rPr>
        <w:t xml:space="preserve"> </w:t>
      </w:r>
      <w:r>
        <w:rPr>
          <w:rStyle w:val="cursor-pointer"/>
          <w:rFonts w:ascii="Arial" w:eastAsiaTheme="majorEastAsia" w:hAnsi="Arial" w:cs="Arial"/>
        </w:rPr>
        <w:t xml:space="preserve">Chase UK can leverage </w:t>
      </w:r>
      <w:r>
        <w:rPr>
          <w:rStyle w:val="cursor-pointer"/>
          <w:rFonts w:ascii="Arial" w:hAnsi="Arial" w:cs="Arial"/>
        </w:rPr>
        <w:t>JPMorgan Chase’s</w:t>
      </w:r>
      <w:r>
        <w:rPr>
          <w:rStyle w:val="cursor-pointer"/>
          <w:rFonts w:ascii="Arial" w:eastAsiaTheme="majorEastAsia" w:hAnsi="Arial" w:cs="Arial"/>
        </w:rPr>
        <w:t xml:space="preserve"> global AI fraud detection capability, which is part of a $19.8 billion budget for AI worldwide and has over 450 production AI use cases (JPMorganChase, 2026a), for its own AI-based uptime and fraud KPIs while avoiding having to develop this capability on its own.</w:t>
      </w:r>
    </w:p>
    <w:p w14:paraId="57BF1AE2" w14:textId="77777777" w:rsidR="00636FD5" w:rsidRPr="007670E6" w:rsidRDefault="00636FD5" w:rsidP="00DA719D">
      <w:pPr>
        <w:spacing w:line="360" w:lineRule="auto"/>
        <w:rPr>
          <w:rFonts w:ascii="Arial" w:hAnsi="Arial" w:cs="Arial"/>
        </w:rPr>
      </w:pPr>
    </w:p>
    <w:p w14:paraId="597721B2" w14:textId="25B115AB" w:rsidR="00636FD5" w:rsidRPr="007670E6" w:rsidRDefault="00840CD2" w:rsidP="00DA719D">
      <w:pPr>
        <w:spacing w:line="360" w:lineRule="auto"/>
        <w:rPr>
          <w:rFonts w:ascii="Arial" w:hAnsi="Arial" w:cs="Arial"/>
        </w:rPr>
      </w:pPr>
      <w:r>
        <w:rPr>
          <w:rFonts w:ascii="Arial" w:hAnsi="Arial" w:cs="Arial"/>
          <w:b/>
          <w:bCs/>
        </w:rPr>
        <w:t xml:space="preserve">Learning and Growth: </w:t>
      </w:r>
      <w:r>
        <w:rPr>
          <w:rStyle w:val="cursor-pointer"/>
          <w:rFonts w:ascii="Arial" w:eastAsiaTheme="majorEastAsia" w:hAnsi="Arial" w:cs="Arial"/>
        </w:rPr>
        <w:t>Continued investment in UK staff capability and skills in areas such as AI, data, and regulatory compliance is essential for sustained performance across the other three perspectives, including learning and growth.</w:t>
      </w:r>
      <w:r>
        <w:rPr>
          <w:rFonts w:ascii="Arial" w:hAnsi="Arial" w:cs="Arial"/>
        </w:rPr>
        <w:t xml:space="preserve"> </w:t>
      </w:r>
      <w:r>
        <w:rPr>
          <w:rStyle w:val="cursor-pointer"/>
          <w:rFonts w:ascii="Arial" w:eastAsiaTheme="majorEastAsia" w:hAnsi="Arial" w:cs="Arial"/>
        </w:rPr>
        <w:t>Mahboub and Ghanem (2024) conclude that integrating AI with a structured knowledge-management practice provides a marked increase in the overall contribution of this perspective to Chase UK's bank performance, and that the UK’s plans to expand JPMorgan's global technology-training program</w:t>
      </w:r>
      <w:r>
        <w:rPr>
          <w:rStyle w:val="cursor-pointer"/>
          <w:rFonts w:ascii="Arial" w:hAnsi="Arial" w:cs="Arial"/>
        </w:rPr>
        <w:t xml:space="preserve">s </w:t>
      </w:r>
      <w:r>
        <w:rPr>
          <w:rStyle w:val="cursor-pointer"/>
          <w:rFonts w:ascii="Arial" w:eastAsiaTheme="majorEastAsia" w:hAnsi="Arial" w:cs="Arial"/>
        </w:rPr>
        <w:t>into t</w:t>
      </w:r>
      <w:r>
        <w:rPr>
          <w:rStyle w:val="cursor-pointer"/>
          <w:rFonts w:ascii="Arial" w:eastAsiaTheme="majorEastAsia" w:hAnsi="Arial" w:cs="Arial"/>
        </w:rPr>
        <w:t>he UK represent a strategy to boost that contribution.</w:t>
      </w:r>
    </w:p>
    <w:p w14:paraId="4A54A273" w14:textId="77777777" w:rsidR="00636FD5" w:rsidRPr="007670E6" w:rsidRDefault="00636FD5" w:rsidP="00DA719D">
      <w:pPr>
        <w:spacing w:line="360" w:lineRule="auto"/>
        <w:rPr>
          <w:rFonts w:ascii="Arial" w:hAnsi="Arial" w:cs="Arial"/>
        </w:rPr>
      </w:pPr>
    </w:p>
    <w:p w14:paraId="65A6F4B3" w14:textId="77777777" w:rsidR="00B55E8A" w:rsidRPr="007670E6" w:rsidRDefault="00B55E8A" w:rsidP="00DA719D">
      <w:pPr>
        <w:spacing w:line="360" w:lineRule="auto"/>
        <w:rPr>
          <w:rStyle w:val="cursor-pointer"/>
          <w:rFonts w:ascii="Arial" w:hAnsi="Arial" w:cs="Arial"/>
        </w:rPr>
      </w:pPr>
      <w:r>
        <w:rPr>
          <w:rFonts w:ascii="Arial" w:hAnsi="Arial" w:cs="Arial"/>
        </w:rPr>
        <w:br/>
      </w:r>
      <w:r>
        <w:rPr>
          <w:rStyle w:val="cursor-pointer"/>
          <w:rFonts w:ascii="Arial" w:eastAsiaTheme="majorEastAsia" w:hAnsi="Arial" w:cs="Arial"/>
        </w:rPr>
        <w:t>The underlying logic of the scorecard is that by investing in AI and employee capacity, companies will improve fraud prevention and app reliability, thereby increasing customer trust and conversion of primary accounts, which will lead to increased deposits and profitability (Kaplan and Norton, 1992).</w:t>
      </w:r>
      <w:r>
        <w:rPr>
          <w:rFonts w:ascii="Arial" w:hAnsi="Arial" w:cs="Arial"/>
        </w:rPr>
        <w:t xml:space="preserve"> </w:t>
      </w:r>
      <w:r>
        <w:rPr>
          <w:rStyle w:val="cursor-pointer"/>
          <w:rFonts w:ascii="Arial" w:eastAsiaTheme="majorEastAsia" w:hAnsi="Arial" w:cs="Arial"/>
        </w:rPr>
        <w:t>With the gap identified in section 3.1, the perspective of Learning and Growth might benefit from being expanded to feature a sustainability/community-impact indicator specifically applicable to the UK, instead of remaining outside the performance-management system entirely, to ensure that non-financial CSR obligations are measured as rigorously as commercial KPIs.</w:t>
      </w:r>
    </w:p>
    <w:p w14:paraId="211DDF01" w14:textId="4F615FD9" w:rsidR="00636FD5" w:rsidRPr="007670E6" w:rsidRDefault="00840CD2" w:rsidP="00DA719D">
      <w:pPr>
        <w:pStyle w:val="Heading1"/>
        <w:spacing w:line="360" w:lineRule="auto"/>
      </w:pPr>
      <w:bookmarkStart w:id="11" w:name="_Toc237433536"/>
      <w:r>
        <w:t>STRATEGIC CHOICES AND IMPLEMENTATION</w:t>
      </w:r>
      <w:bookmarkEnd w:id="11"/>
    </w:p>
    <w:p w14:paraId="1200F8DE" w14:textId="77777777" w:rsidR="00636FD5" w:rsidRPr="007670E6" w:rsidRDefault="00840CD2" w:rsidP="00DA719D">
      <w:pPr>
        <w:pStyle w:val="Heading2"/>
        <w:spacing w:line="360" w:lineRule="auto"/>
      </w:pPr>
      <w:bookmarkStart w:id="12" w:name="_Toc237433537"/>
      <w:r>
        <w:t>4.1 Business-Level Strategic Choice</w:t>
      </w:r>
      <w:bookmarkEnd w:id="12"/>
    </w:p>
    <w:p w14:paraId="2DD45FCB" w14:textId="42598E9D" w:rsidR="00636FD5" w:rsidRDefault="002A613D" w:rsidP="00DA719D">
      <w:pPr>
        <w:spacing w:line="360" w:lineRule="auto"/>
        <w:rPr>
          <w:rStyle w:val="cursor-pointer"/>
          <w:rFonts w:ascii="Arial" w:eastAsiaTheme="majorEastAsia" w:hAnsi="Arial" w:cs="Arial"/>
        </w:rPr>
      </w:pPr>
      <w:r>
        <w:rPr>
          <w:rStyle w:val="cursor-pointer"/>
          <w:rFonts w:ascii="Arial" w:eastAsiaTheme="majorEastAsia" w:hAnsi="Arial" w:cs="Arial"/>
        </w:rPr>
        <w:t>In terms of the business level, Chase UK displays two generic strategic postures that were identified by Porter (1985) cited in Musau and Muathe (2025), cost leadership and differentiation.</w:t>
      </w:r>
      <w:r>
        <w:rPr>
          <w:rFonts w:ascii="Arial" w:hAnsi="Arial" w:cs="Arial"/>
        </w:rPr>
        <w:t xml:space="preserve"> </w:t>
      </w:r>
      <w:r>
        <w:rPr>
          <w:rStyle w:val="cursor-pointer"/>
          <w:rFonts w:ascii="Arial" w:eastAsiaTheme="majorEastAsia" w:hAnsi="Arial" w:cs="Arial"/>
        </w:rPr>
        <w:t>A pure cost-leader approach would no longer be viable for Chase: fee-free accounts have become standard practice at the challenger banks in the UK and it would not be possible to compete solely by the price of the account without a defensible advantage.</w:t>
      </w:r>
      <w:r>
        <w:rPr>
          <w:rFonts w:ascii="Arial" w:hAnsi="Arial" w:cs="Arial"/>
        </w:rPr>
        <w:t xml:space="preserve"> </w:t>
      </w:r>
      <w:r>
        <w:rPr>
          <w:rStyle w:val="cursor-pointer"/>
          <w:rFonts w:ascii="Arial" w:eastAsiaTheme="majorEastAsia" w:hAnsi="Arial" w:cs="Arial"/>
        </w:rPr>
        <w:t>Differentiation, based on the brand security of a globally recognised parent, an AI enhanced app experience and an integrated investment offer via J.P. Morgan Personal Investing, all which challengers based solely in the UK cannot match is the more appropriate strategic play.</w:t>
      </w:r>
      <w:r>
        <w:rPr>
          <w:rFonts w:ascii="Arial" w:hAnsi="Arial" w:cs="Arial"/>
        </w:rPr>
        <w:t xml:space="preserve"> </w:t>
      </w:r>
      <w:r>
        <w:rPr>
          <w:rStyle w:val="cursor-pointer"/>
          <w:rFonts w:ascii="Arial" w:eastAsiaTheme="majorEastAsia" w:hAnsi="Arial" w:cs="Arial"/>
        </w:rPr>
        <w:t>Differentiation as a differentiator is supported by a study by Musau and Muathe (2025) on digital transformation strategy among commercial banks and their findings indicate that differentiated digital transformation initiatives, and not competitive banks based on cost, is the best predictor of sustainable competitive advantage in banking markets disrupted by fintech competitors.</w:t>
      </w:r>
    </w:p>
    <w:p w14:paraId="290FDD7E" w14:textId="77777777" w:rsidR="00BA14BD" w:rsidRDefault="00BA14BD" w:rsidP="00DA719D">
      <w:pPr>
        <w:spacing w:line="360" w:lineRule="auto"/>
        <w:rPr>
          <w:rStyle w:val="cursor-pointer"/>
          <w:rFonts w:ascii="Arial" w:eastAsiaTheme="majorEastAsia" w:hAnsi="Arial" w:cs="Arial"/>
        </w:rPr>
      </w:pPr>
    </w:p>
    <w:p w14:paraId="41A5A244" w14:textId="0D5254D0" w:rsidR="00BA14BD" w:rsidRDefault="00BA14BD" w:rsidP="00DA719D">
      <w:pPr>
        <w:spacing w:line="360" w:lineRule="auto"/>
        <w:rPr>
          <w:rFonts w:ascii="Arial" w:hAnsi="Arial" w:cs="Arial"/>
        </w:rPr>
      </w:pPr>
      <w:r>
        <w:rPr>
          <w:rFonts w:ascii="Arial" w:hAnsi="Arial" w:cs="Arial"/>
          <w:noProof/>
          <w14:ligatures w14:val="standardContextual"/>
        </w:rPr>
        <w:drawing>
          <wp:inline distT="0" distB="0" distL="0" distR="0" wp14:anchorId="2A8C6789" wp14:editId="0D74CD76">
            <wp:extent cx="5943600" cy="3962400"/>
            <wp:effectExtent l="0" t="0" r="0" b="0"/>
            <wp:docPr id="1550085595" name="Picture 8" descr="A diagram of a company's strateg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085595" name="Picture 8" descr="A diagram of a company's strategy&#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5B0A58A0" w14:textId="6B04932B" w:rsidR="00AE65A9" w:rsidRDefault="00AE65A9" w:rsidP="00AE65A9">
      <w:pPr>
        <w:spacing w:line="360" w:lineRule="auto"/>
        <w:jc w:val="center"/>
        <w:rPr>
          <w:rFonts w:ascii="Arial" w:hAnsi="Arial" w:cs="Arial"/>
        </w:rPr>
      </w:pPr>
      <w:r w:rsidRPr="00AE65A9">
        <w:rPr>
          <w:rFonts w:ascii="Arial" w:hAnsi="Arial" w:cs="Arial"/>
        </w:rPr>
        <w:t>Figure 7: Porter's generic strategies matrix (Author's own, generated with ChatGPT image generation, 2026).</w:t>
      </w:r>
    </w:p>
    <w:p w14:paraId="5767A337" w14:textId="77777777" w:rsidR="00AE65A9" w:rsidRPr="00AE65A9" w:rsidRDefault="00AE65A9" w:rsidP="00AE65A9">
      <w:pPr>
        <w:spacing w:line="360" w:lineRule="auto"/>
        <w:jc w:val="center"/>
        <w:rPr>
          <w:rFonts w:ascii="Arial" w:hAnsi="Arial" w:cs="Arial"/>
        </w:rPr>
      </w:pPr>
    </w:p>
    <w:p w14:paraId="476BAFA2" w14:textId="77777777" w:rsidR="00636FD5" w:rsidRPr="007670E6" w:rsidRDefault="00840CD2" w:rsidP="00DA719D">
      <w:pPr>
        <w:pStyle w:val="Heading2"/>
        <w:spacing w:line="360" w:lineRule="auto"/>
      </w:pPr>
      <w:bookmarkStart w:id="13" w:name="_Toc237433538"/>
      <w:r>
        <w:t>4.2 Validating the Strategy: Five Forces and Ansoff's Matrix</w:t>
      </w:r>
      <w:bookmarkEnd w:id="13"/>
    </w:p>
    <w:p w14:paraId="20DE0B0F" w14:textId="060AFE35" w:rsidR="00636FD5" w:rsidRDefault="00EE344B" w:rsidP="00DA719D">
      <w:pPr>
        <w:spacing w:line="360" w:lineRule="auto"/>
        <w:rPr>
          <w:rStyle w:val="cursor-pointer"/>
          <w:rFonts w:ascii="Arial" w:eastAsiaTheme="majorEastAsia" w:hAnsi="Arial" w:cs="Arial"/>
        </w:rPr>
      </w:pPr>
      <w:r>
        <w:rPr>
          <w:rStyle w:val="cursor-pointer"/>
          <w:rFonts w:ascii="Arial" w:eastAsiaTheme="majorEastAsia" w:hAnsi="Arial" w:cs="Arial"/>
        </w:rPr>
        <w:t>In terms of Porter's Five Forces (section 2.1), the position for differentiation is justified.</w:t>
      </w:r>
      <w:r>
        <w:rPr>
          <w:rFonts w:ascii="Arial" w:hAnsi="Arial" w:cs="Arial"/>
        </w:rPr>
        <w:t xml:space="preserve"> </w:t>
      </w:r>
      <w:r>
        <w:rPr>
          <w:rStyle w:val="cursor-pointer"/>
          <w:rFonts w:ascii="Arial" w:eastAsiaTheme="majorEastAsia" w:hAnsi="Arial" w:cs="Arial"/>
        </w:rPr>
        <w:t>However, the danger of new entrants is high, as the UK's Revolut is due to receive a full banking license in March 2026 (see section 2.3) and any ‘new' or ‘digital’ advantage will soon be washed away.</w:t>
      </w:r>
      <w:r>
        <w:rPr>
          <w:rFonts w:ascii="Arial" w:hAnsi="Arial" w:cs="Arial"/>
        </w:rPr>
        <w:t xml:space="preserve"> </w:t>
      </w:r>
      <w:r>
        <w:rPr>
          <w:rStyle w:val="cursor-pointer"/>
          <w:rFonts w:ascii="Arial" w:eastAsiaTheme="majorEastAsia" w:hAnsi="Arial" w:cs="Arial"/>
        </w:rPr>
        <w:t>Undifferentiated propositions also have a constant churn risk as buyer power is also high with the Current Account Switch Service in the UK which allows customers to switch up their existing account within seven working days.</w:t>
      </w:r>
      <w:r>
        <w:rPr>
          <w:rFonts w:ascii="Arial" w:hAnsi="Arial" w:cs="Arial"/>
        </w:rPr>
        <w:t xml:space="preserve"> </w:t>
      </w:r>
      <w:r>
        <w:rPr>
          <w:rStyle w:val="cursor-pointer"/>
          <w:rFonts w:ascii="Arial" w:eastAsiaTheme="majorEastAsia" w:hAnsi="Arial" w:cs="Arial"/>
        </w:rPr>
        <w:t>Competition is fierce with the CMA9 and challenger banks, and Clarke and Macartney (2025) illustrate how challengers are taking the shape of a partnership rather than a deal that results in a loss of share, leaving the incumbent banks to win over customers through their own merits rather than regulatory pressure.</w:t>
      </w:r>
    </w:p>
    <w:p w14:paraId="4A41E746" w14:textId="37E200B0" w:rsidR="00BA14BD" w:rsidRDefault="00BA14BD" w:rsidP="00BA14BD">
      <w:pPr>
        <w:spacing w:line="360" w:lineRule="auto"/>
        <w:jc w:val="center"/>
        <w:rPr>
          <w:rFonts w:ascii="Arial" w:hAnsi="Arial" w:cs="Arial"/>
        </w:rPr>
      </w:pPr>
      <w:r>
        <w:rPr>
          <w:rFonts w:ascii="Arial" w:hAnsi="Arial" w:cs="Arial"/>
          <w:noProof/>
          <w14:ligatures w14:val="standardContextual"/>
        </w:rPr>
        <w:drawing>
          <wp:inline distT="0" distB="0" distL="0" distR="0" wp14:anchorId="74413162" wp14:editId="3449C76F">
            <wp:extent cx="5943600" cy="3962400"/>
            <wp:effectExtent l="0" t="0" r="0" b="0"/>
            <wp:docPr id="1756326393" name="Picture 9" descr="A diagram of a company's five for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326393" name="Picture 9" descr="A diagram of a company's five forces&#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536526D2" w14:textId="23346393" w:rsidR="00AE65A9" w:rsidRPr="00AE65A9" w:rsidRDefault="00AE65A9" w:rsidP="00BA14BD">
      <w:pPr>
        <w:spacing w:line="360" w:lineRule="auto"/>
        <w:jc w:val="center"/>
        <w:rPr>
          <w:rFonts w:ascii="Arial" w:hAnsi="Arial" w:cs="Arial"/>
        </w:rPr>
      </w:pPr>
      <w:r w:rsidRPr="00AE65A9">
        <w:rPr>
          <w:rFonts w:ascii="Arial" w:hAnsi="Arial" w:cs="Arial"/>
        </w:rPr>
        <w:t>Figure 8: Porter's Five Forces applied to Chase UK (Author's own, generated with ChatGPT image generation, 2026).</w:t>
      </w:r>
    </w:p>
    <w:p w14:paraId="0E0848AF" w14:textId="77777777" w:rsidR="00BA14BD" w:rsidRDefault="00BA14BD" w:rsidP="00DA719D">
      <w:pPr>
        <w:spacing w:line="360" w:lineRule="auto"/>
        <w:rPr>
          <w:rStyle w:val="cursor-pointer"/>
          <w:rFonts w:ascii="Arial" w:eastAsiaTheme="majorEastAsia" w:hAnsi="Arial" w:cs="Arial"/>
        </w:rPr>
      </w:pPr>
    </w:p>
    <w:p w14:paraId="3A0E9191" w14:textId="45EF727F" w:rsidR="00EE344B" w:rsidRDefault="00EE344B" w:rsidP="00DA719D">
      <w:pPr>
        <w:spacing w:line="360" w:lineRule="auto"/>
        <w:rPr>
          <w:rFonts w:ascii="Arial" w:hAnsi="Arial" w:cs="Arial"/>
        </w:rPr>
      </w:pPr>
      <w:r>
        <w:rPr>
          <w:rStyle w:val="cursor-pointer"/>
          <w:rFonts w:ascii="Arial" w:eastAsiaTheme="majorEastAsia" w:hAnsi="Arial" w:cs="Arial"/>
        </w:rPr>
        <w:t>To complement the differentiation strategy, Ansoff's Matrix (Ansoff, 1957) is helpful in determining the growth vector.</w:t>
      </w:r>
      <w:r>
        <w:rPr>
          <w:rFonts w:ascii="Arial" w:hAnsi="Arial" w:cs="Arial"/>
        </w:rPr>
        <w:t xml:space="preserve"> </w:t>
      </w:r>
      <w:r>
        <w:rPr>
          <w:rStyle w:val="cursor-pointer"/>
          <w:rFonts w:ascii="Arial" w:eastAsiaTheme="majorEastAsia" w:hAnsi="Arial" w:cs="Arial"/>
        </w:rPr>
        <w:t>The current offering of Chase UK is a market penetration offering existing product (fee-free current account) offered to existing market (UK retail banking customers) through a cashback and referral scheme.</w:t>
      </w:r>
      <w:r>
        <w:rPr>
          <w:rFonts w:ascii="Arial" w:hAnsi="Arial" w:cs="Arial"/>
        </w:rPr>
        <w:t xml:space="preserve"> </w:t>
      </w:r>
      <w:r>
        <w:rPr>
          <w:rStyle w:val="cursor-pointer"/>
          <w:rFonts w:ascii="Arial" w:eastAsiaTheme="majorEastAsia" w:hAnsi="Arial" w:cs="Arial"/>
        </w:rPr>
        <w:t>But with only some 2 million users compared with Monzo and Revolut, both of which have approximately 10 million users, penetration is unlikely to bridge that gap.</w:t>
      </w:r>
      <w:r>
        <w:rPr>
          <w:rFonts w:ascii="Arial" w:hAnsi="Arial" w:cs="Arial"/>
        </w:rPr>
        <w:t xml:space="preserve"> </w:t>
      </w:r>
      <w:r>
        <w:rPr>
          <w:rStyle w:val="cursor-pointer"/>
          <w:rFonts w:ascii="Arial" w:eastAsiaTheme="majorEastAsia" w:hAnsi="Arial" w:cs="Arial"/>
        </w:rPr>
        <w:t>The 2025 credit card launch and the enhanced product integration in the Chase app are moves towards product development – the creation of new products in the current UK market, not in new markets and segments.</w:t>
      </w:r>
      <w:r>
        <w:rPr>
          <w:rFonts w:ascii="Arial" w:hAnsi="Arial" w:cs="Arial"/>
        </w:rPr>
        <w:t xml:space="preserve"> </w:t>
      </w:r>
      <w:r>
        <w:rPr>
          <w:rStyle w:val="cursor-pointer"/>
          <w:rFonts w:ascii="Arial" w:eastAsiaTheme="majorEastAsia" w:hAnsi="Arial" w:cs="Arial"/>
        </w:rPr>
        <w:t>It's the least risky of Ansoff's options, which are market development or diversification, because it's not an acquisition of new kinds of customers that Chase would need to do, but a development of an existing brand relationship.</w:t>
      </w:r>
      <w:r>
        <w:rPr>
          <w:rFonts w:ascii="Arial" w:hAnsi="Arial" w:cs="Arial"/>
        </w:rPr>
        <w:t xml:space="preserve"> </w:t>
      </w:r>
    </w:p>
    <w:p w14:paraId="216EED2C" w14:textId="5DEFD1A4" w:rsidR="00BA14BD" w:rsidRDefault="00BA14BD" w:rsidP="00DA719D">
      <w:pPr>
        <w:spacing w:line="360" w:lineRule="auto"/>
        <w:rPr>
          <w:rFonts w:ascii="Arial" w:hAnsi="Arial" w:cs="Arial"/>
        </w:rPr>
      </w:pPr>
      <w:r>
        <w:rPr>
          <w:rFonts w:ascii="Arial" w:hAnsi="Arial" w:cs="Arial"/>
          <w:noProof/>
          <w14:ligatures w14:val="standardContextual"/>
        </w:rPr>
        <w:drawing>
          <wp:inline distT="0" distB="0" distL="0" distR="0" wp14:anchorId="544A5878" wp14:editId="5DA23EA2">
            <wp:extent cx="5943600" cy="3962400"/>
            <wp:effectExtent l="0" t="0" r="0" b="0"/>
            <wp:docPr id="1301321359" name="Picture 10" descr="A diagram of a company's company's company's company's company's company's company's company's company's company's company's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321359" name="Picture 10" descr="A diagram of a company's company's company's company's company's company's company's company's company's company's company's company'&#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10FA9B9E" w14:textId="7AA858F4" w:rsidR="00AE65A9" w:rsidRPr="00AE65A9" w:rsidRDefault="00AE65A9" w:rsidP="00AE65A9">
      <w:pPr>
        <w:spacing w:line="360" w:lineRule="auto"/>
        <w:jc w:val="center"/>
        <w:rPr>
          <w:rFonts w:ascii="Arial" w:hAnsi="Arial" w:cs="Arial"/>
        </w:rPr>
      </w:pPr>
      <w:r w:rsidRPr="00AE65A9">
        <w:rPr>
          <w:rFonts w:ascii="Arial" w:hAnsi="Arial" w:cs="Arial"/>
        </w:rPr>
        <w:t>Figure 9: Ansoff's Matrix applied to Chase UK (Author's own, generated with ChatGPT image generation, 2026).</w:t>
      </w:r>
    </w:p>
    <w:p w14:paraId="17DB92FA" w14:textId="77777777" w:rsidR="00BA14BD" w:rsidRDefault="00BA14BD" w:rsidP="00DA719D">
      <w:pPr>
        <w:pStyle w:val="Heading2"/>
        <w:spacing w:line="360" w:lineRule="auto"/>
      </w:pPr>
    </w:p>
    <w:p w14:paraId="6261C807" w14:textId="6ED90D2E" w:rsidR="00636FD5" w:rsidRPr="007670E6" w:rsidRDefault="00840CD2" w:rsidP="00DA719D">
      <w:pPr>
        <w:pStyle w:val="Heading2"/>
        <w:spacing w:line="360" w:lineRule="auto"/>
      </w:pPr>
      <w:bookmarkStart w:id="14" w:name="_Toc237433539"/>
      <w:r>
        <w:t>4.3 Delivering Optimum Performance</w:t>
      </w:r>
      <w:bookmarkEnd w:id="14"/>
    </w:p>
    <w:p w14:paraId="422FF980" w14:textId="4B628D32" w:rsidR="00AE65A9" w:rsidRDefault="00E81CCD" w:rsidP="00AE65A9">
      <w:pPr>
        <w:spacing w:line="360" w:lineRule="auto"/>
        <w:rPr>
          <w:rStyle w:val="cursor-pointer"/>
          <w:rFonts w:ascii="Arial" w:eastAsiaTheme="majorEastAsia" w:hAnsi="Arial" w:cs="Arial"/>
        </w:rPr>
      </w:pPr>
      <w:r>
        <w:rPr>
          <w:rFonts w:ascii="Arial" w:eastAsiaTheme="majorEastAsia" w:hAnsi="Arial" w:cs="Arial"/>
          <w:noProof/>
          <w14:ligatures w14:val="standardContextual"/>
        </w:rPr>
        <w:drawing>
          <wp:inline distT="0" distB="0" distL="0" distR="0" wp14:anchorId="1E913D38" wp14:editId="5F567CEA">
            <wp:extent cx="5791200" cy="3860800"/>
            <wp:effectExtent l="0" t="0" r="0" b="0"/>
            <wp:docPr id="979526446" name="Picture 11" descr="A diagram of a company's performance manag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526446" name="Picture 11" descr="A diagram of a company's performance management&#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95891" cy="3863927"/>
                    </a:xfrm>
                    <a:prstGeom prst="rect">
                      <a:avLst/>
                    </a:prstGeom>
                  </pic:spPr>
                </pic:pic>
              </a:graphicData>
            </a:graphic>
          </wp:inline>
        </w:drawing>
      </w:r>
    </w:p>
    <w:p w14:paraId="1A935534" w14:textId="13EA9954" w:rsidR="00AE65A9" w:rsidRPr="00AE65A9" w:rsidRDefault="00AE65A9" w:rsidP="00AE65A9">
      <w:pPr>
        <w:spacing w:line="360" w:lineRule="auto"/>
        <w:jc w:val="center"/>
        <w:rPr>
          <w:rStyle w:val="cursor-pointer"/>
          <w:rFonts w:ascii="Arial" w:eastAsiaTheme="majorEastAsia" w:hAnsi="Arial" w:cs="Arial"/>
        </w:rPr>
      </w:pPr>
      <w:r w:rsidRPr="00AE65A9">
        <w:rPr>
          <w:rFonts w:ascii="Arial" w:hAnsi="Arial" w:cs="Arial"/>
        </w:rPr>
        <w:t>Figure 10: Strategy-to-performance chain, Chase UK (Author's own, generated with ChatGPT image generation, 2026).</w:t>
      </w:r>
    </w:p>
    <w:p w14:paraId="7A7038CE" w14:textId="77777777" w:rsidR="00AE65A9" w:rsidRDefault="00AE65A9" w:rsidP="00DA719D">
      <w:pPr>
        <w:spacing w:line="360" w:lineRule="auto"/>
        <w:rPr>
          <w:rStyle w:val="cursor-pointer"/>
          <w:rFonts w:ascii="Arial" w:eastAsiaTheme="majorEastAsia" w:hAnsi="Arial" w:cs="Arial"/>
        </w:rPr>
      </w:pPr>
    </w:p>
    <w:p w14:paraId="71B50011" w14:textId="79D4F963" w:rsidR="00EE344B" w:rsidRPr="00AE65A9" w:rsidRDefault="00EE344B" w:rsidP="00DA719D">
      <w:pPr>
        <w:spacing w:line="360" w:lineRule="auto"/>
        <w:rPr>
          <w:rFonts w:ascii="Arial" w:eastAsiaTheme="majorEastAsia" w:hAnsi="Arial" w:cs="Arial"/>
        </w:rPr>
      </w:pPr>
      <w:r>
        <w:rPr>
          <w:rStyle w:val="cursor-pointer"/>
          <w:rFonts w:ascii="Arial" w:eastAsiaTheme="majorEastAsia" w:hAnsi="Arial" w:cs="Arial"/>
        </w:rPr>
        <w:t>The differentiation strategy supported by product development provides a sustainable competitive advantage to Chase UK if it can transform the VRIO-rare assets it has identified in section 2.2, which include its balance sheet and AI systems, into propositions competitors may not be able to replicate.</w:t>
      </w:r>
      <w:r>
        <w:rPr>
          <w:rFonts w:ascii="Arial" w:hAnsi="Arial" w:cs="Arial"/>
        </w:rPr>
        <w:t xml:space="preserve"> </w:t>
      </w:r>
      <w:r>
        <w:rPr>
          <w:rStyle w:val="cursor-pointer"/>
          <w:rFonts w:ascii="Arial" w:eastAsiaTheme="majorEastAsia" w:hAnsi="Arial" w:cs="Arial"/>
        </w:rPr>
        <w:t>This logic can be applied to real-world example: Capital One had previously been a credit card company and saw a change in its business from a single product to an integrated bank, enabling it to focus on a digital customer experience instead of price as a differentiator (Scaled Agile, Inc., cited in Alotaibi and Alrwais, 2025), with their Agile transformation since 2013 cited as a key element of this shift (Scaled Agile, Inc., cited in Alotaibi and Alrwais, 2025).</w:t>
      </w:r>
      <w:r>
        <w:rPr>
          <w:rFonts w:ascii="Arial" w:hAnsi="Arial" w:cs="Arial"/>
        </w:rPr>
        <w:t xml:space="preserve"> </w:t>
      </w:r>
      <w:r>
        <w:rPr>
          <w:rStyle w:val="cursor-pointer"/>
          <w:rFonts w:ascii="Arial" w:eastAsiaTheme="majorEastAsia" w:hAnsi="Arial" w:cs="Arial"/>
        </w:rPr>
        <w:t>The alternative for Chase is to continue to expand the cross-sell of banking, credit and investment offerings to deepen the relationship within a single app, aided by the perceived risk reduction and trust that a recognised parent brand can build, rather than just a lower fee.</w:t>
      </w:r>
      <w:r>
        <w:rPr>
          <w:rFonts w:ascii="Arial" w:hAnsi="Arial" w:cs="Arial"/>
        </w:rPr>
        <w:t xml:space="preserve"> </w:t>
      </w:r>
    </w:p>
    <w:p w14:paraId="1E9B7E3D" w14:textId="470E200C" w:rsidR="00636FD5" w:rsidRPr="007670E6" w:rsidRDefault="00840CD2" w:rsidP="00DA719D">
      <w:pPr>
        <w:pStyle w:val="Heading2"/>
        <w:spacing w:line="360" w:lineRule="auto"/>
      </w:pPr>
      <w:bookmarkStart w:id="15" w:name="_Toc237433540"/>
      <w:r>
        <w:t>4.4 Implementation Challenges and Solutions</w:t>
      </w:r>
      <w:bookmarkEnd w:id="15"/>
    </w:p>
    <w:p w14:paraId="22501BCD" w14:textId="1540A623" w:rsidR="00EE344B" w:rsidRDefault="00EE344B" w:rsidP="00DA719D">
      <w:pPr>
        <w:spacing w:line="360" w:lineRule="auto"/>
        <w:rPr>
          <w:rStyle w:val="cursor-pointer"/>
          <w:rFonts w:ascii="Arial" w:eastAsiaTheme="majorEastAsia" w:hAnsi="Arial" w:cs="Arial"/>
        </w:rPr>
      </w:pPr>
      <w:r>
        <w:rPr>
          <w:rStyle w:val="cursor-pointer"/>
          <w:rFonts w:ascii="Arial" w:eastAsiaTheme="majorEastAsia" w:hAnsi="Arial" w:cs="Arial"/>
        </w:rPr>
        <w:t>A well-validated strategy is still not effective if the strategy is not well implemented; Chase UK has two implementation risks.</w:t>
      </w:r>
      <w:r>
        <w:rPr>
          <w:rFonts w:ascii="Arial" w:hAnsi="Arial" w:cs="Arial"/>
        </w:rPr>
        <w:t xml:space="preserve"> </w:t>
      </w:r>
      <w:r>
        <w:rPr>
          <w:rStyle w:val="cursor-pointer"/>
          <w:rFonts w:ascii="Arial" w:eastAsiaTheme="majorEastAsia" w:hAnsi="Arial" w:cs="Arial"/>
        </w:rPr>
        <w:t>First, a survey by Ulrich-Diener, Dvouletý and Špaček (2025) of 407 bank decision makers suggests that the degree of actual digitalisation of a bank is significantly lessened by technology and regulatory complexity as it leads to both legal and organisational challenges that slow down delivery and high effort when developing new products.</w:t>
      </w:r>
      <w:r>
        <w:rPr>
          <w:rFonts w:ascii="Arial" w:hAnsi="Arial" w:cs="Arial"/>
        </w:rPr>
        <w:t xml:space="preserve"> </w:t>
      </w:r>
      <w:r>
        <w:rPr>
          <w:rStyle w:val="cursor-pointer"/>
          <w:rFonts w:ascii="Arial" w:eastAsiaTheme="majorEastAsia" w:hAnsi="Arial" w:cs="Arial"/>
        </w:rPr>
        <w:t>For Chase, this translates to the Consumer Duty and operational-resilience requirements in section 2.1, meaning that every new product or a changed functionality, like a credit card or a scaled-up loan, will need to pass FCA conduct and prudential tests before going to market, or else risk being limited in scope or, in some cases, never launched.</w:t>
      </w:r>
      <w:r>
        <w:rPr>
          <w:rFonts w:ascii="Arial" w:hAnsi="Arial" w:cs="Arial"/>
        </w:rPr>
        <w:t xml:space="preserve"> </w:t>
      </w:r>
      <w:r>
        <w:rPr>
          <w:rStyle w:val="cursor-pointer"/>
          <w:rFonts w:ascii="Arial" w:eastAsiaTheme="majorEastAsia" w:hAnsi="Arial" w:cs="Arial"/>
        </w:rPr>
        <w:t>Second, the same study reveals that personal involvement (active participation by both employees and customers in driving digital development) has a significant positive impact on the successful digitalisation, suggesting that Chase's UK technology and customer-service teams should instead be part of the product design process, not merely be handed features centrally developed by the US parent.</w:t>
      </w:r>
    </w:p>
    <w:p w14:paraId="22938F1B" w14:textId="77777777" w:rsidR="00E81CCD" w:rsidRDefault="00E81CCD" w:rsidP="00DA719D">
      <w:pPr>
        <w:spacing w:line="360" w:lineRule="auto"/>
        <w:rPr>
          <w:rStyle w:val="cursor-pointer"/>
          <w:rFonts w:ascii="Arial" w:eastAsiaTheme="majorEastAsia" w:hAnsi="Arial" w:cs="Arial"/>
        </w:rPr>
      </w:pPr>
    </w:p>
    <w:p w14:paraId="42A90E54" w14:textId="00255B8F" w:rsidR="00E81CCD" w:rsidRDefault="00E81CCD" w:rsidP="00E81CCD">
      <w:pPr>
        <w:spacing w:line="360" w:lineRule="auto"/>
        <w:jc w:val="center"/>
        <w:rPr>
          <w:rStyle w:val="cursor-pointer"/>
          <w:rFonts w:ascii="Arial" w:eastAsiaTheme="majorEastAsia" w:hAnsi="Arial" w:cs="Arial"/>
        </w:rPr>
      </w:pPr>
      <w:r>
        <w:rPr>
          <w:rFonts w:ascii="Arial" w:eastAsiaTheme="majorEastAsia" w:hAnsi="Arial" w:cs="Arial"/>
          <w:noProof/>
          <w14:ligatures w14:val="standardContextual"/>
        </w:rPr>
        <w:drawing>
          <wp:inline distT="0" distB="0" distL="0" distR="0" wp14:anchorId="34361A8C" wp14:editId="539A3E57">
            <wp:extent cx="5943600" cy="3474720"/>
            <wp:effectExtent l="0" t="0" r="0" b="5080"/>
            <wp:docPr id="1787560389" name="Picture 12" descr="A diagram of a pyram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560389" name="Picture 12" descr="A diagram of a pyramid&#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943600" cy="3474720"/>
                    </a:xfrm>
                    <a:prstGeom prst="rect">
                      <a:avLst/>
                    </a:prstGeom>
                  </pic:spPr>
                </pic:pic>
              </a:graphicData>
            </a:graphic>
          </wp:inline>
        </w:drawing>
      </w:r>
    </w:p>
    <w:p w14:paraId="6B657DE3" w14:textId="77777777" w:rsidR="00AE65A9" w:rsidRPr="00AE65A9" w:rsidRDefault="00AE65A9" w:rsidP="00AE65A9">
      <w:pPr>
        <w:jc w:val="center"/>
        <w:rPr>
          <w:rFonts w:ascii="Arial" w:hAnsi="Arial" w:cs="Arial"/>
        </w:rPr>
      </w:pPr>
      <w:r w:rsidRPr="00AE65A9">
        <w:rPr>
          <w:rStyle w:val="Emphasis"/>
          <w:rFonts w:ascii="Arial" w:eastAsiaTheme="majorEastAsia" w:hAnsi="Arial" w:cs="Arial"/>
        </w:rPr>
        <w:t>Figure 11: SAFe implementation framework (Author's own, generated with ChatGPT image generation, 2026).</w:t>
      </w:r>
    </w:p>
    <w:p w14:paraId="51C158EC" w14:textId="77777777" w:rsidR="00AE65A9" w:rsidRPr="007670E6" w:rsidRDefault="00AE65A9" w:rsidP="00E81CCD">
      <w:pPr>
        <w:spacing w:line="360" w:lineRule="auto"/>
        <w:jc w:val="center"/>
        <w:rPr>
          <w:rStyle w:val="cursor-pointer"/>
          <w:rFonts w:ascii="Arial" w:eastAsiaTheme="majorEastAsia" w:hAnsi="Arial" w:cs="Arial"/>
        </w:rPr>
      </w:pPr>
    </w:p>
    <w:p w14:paraId="5263E84C" w14:textId="77777777" w:rsidR="00EE344B" w:rsidRPr="007670E6" w:rsidRDefault="00EE344B" w:rsidP="00DA719D">
      <w:pPr>
        <w:spacing w:line="360" w:lineRule="auto"/>
        <w:rPr>
          <w:rStyle w:val="cursor-pointer"/>
          <w:rFonts w:ascii="Arial" w:eastAsiaTheme="majorEastAsia" w:hAnsi="Arial" w:cs="Arial"/>
        </w:rPr>
      </w:pPr>
    </w:p>
    <w:p w14:paraId="2B6A57B3" w14:textId="4893CBBF" w:rsidR="00EE344B" w:rsidRPr="007670E6" w:rsidRDefault="00EE344B" w:rsidP="00DA719D">
      <w:pPr>
        <w:spacing w:line="360" w:lineRule="auto"/>
        <w:rPr>
          <w:rStyle w:val="cursor-pointer"/>
          <w:rFonts w:ascii="Arial" w:hAnsi="Arial" w:cs="Arial"/>
        </w:rPr>
      </w:pPr>
      <w:r>
        <w:rPr>
          <w:rStyle w:val="cursor-pointer"/>
          <w:rFonts w:ascii="Arial" w:hAnsi="Arial" w:cs="Arial"/>
        </w:rPr>
        <w:t>Both</w:t>
      </w:r>
      <w:r>
        <w:rPr>
          <w:rStyle w:val="cursor-pointer"/>
          <w:rFonts w:ascii="Arial" w:eastAsiaTheme="majorEastAsia" w:hAnsi="Arial" w:cs="Arial"/>
        </w:rPr>
        <w:t xml:space="preserve"> risks are addressed in one go with the Scaled Agile Framework (SAFe).</w:t>
      </w:r>
      <w:r>
        <w:rPr>
          <w:rFonts w:ascii="Arial" w:hAnsi="Arial" w:cs="Arial"/>
        </w:rPr>
        <w:t xml:space="preserve"> </w:t>
      </w:r>
      <w:r>
        <w:rPr>
          <w:rStyle w:val="cursor-pointer"/>
          <w:rFonts w:ascii="Arial" w:eastAsiaTheme="majorEastAsia" w:hAnsi="Arial" w:cs="Arial"/>
        </w:rPr>
        <w:t xml:space="preserve">Alotaibi and Alrwais (2025) report that SAFe's iterative and cross-functional approach </w:t>
      </w:r>
      <w:r>
        <w:rPr>
          <w:rStyle w:val="cursor-pointer"/>
          <w:rFonts w:ascii="Arial" w:hAnsi="Arial" w:cs="Arial"/>
        </w:rPr>
        <w:t>enable</w:t>
      </w:r>
      <w:r>
        <w:rPr>
          <w:rStyle w:val="cursor-pointer"/>
          <w:rFonts w:ascii="Arial" w:eastAsiaTheme="majorEastAsia" w:hAnsi="Arial" w:cs="Arial"/>
        </w:rPr>
        <w:t xml:space="preserve"> regulated financial institutions to integrate compliance and security testing into every development increment, eliminating the need to hold back the launch because of regulation, and that SAFe's Agile Release Trains provide frontline and technology personnel with structured, direct input into what is built next.</w:t>
      </w:r>
      <w:r>
        <w:rPr>
          <w:rFonts w:ascii="Arial" w:hAnsi="Arial" w:cs="Arial"/>
        </w:rPr>
        <w:t xml:space="preserve"> </w:t>
      </w:r>
      <w:r>
        <w:rPr>
          <w:rStyle w:val="cursor-pointer"/>
          <w:rFonts w:ascii="Arial" w:eastAsiaTheme="majorEastAsia" w:hAnsi="Arial" w:cs="Arial"/>
        </w:rPr>
        <w:t>Not a hypothetical, but Standard Bank's SAFe transformation reduced its time-to-market from 700 days to 30 days and boosted its productivity by 50% (Scaled Agile, Inc, cited in Alotaibi and Alrwais, 2025) and Capital One's use of SAFe has raised their employee engagement by nearly 20% (Scaled Agile, Inc, cited in Alotaibi and Alrwais, 2025).</w:t>
      </w:r>
      <w:r>
        <w:rPr>
          <w:rFonts w:ascii="Arial" w:hAnsi="Arial" w:cs="Arial"/>
        </w:rPr>
        <w:t xml:space="preserve"> </w:t>
      </w:r>
      <w:r>
        <w:rPr>
          <w:rStyle w:val="cursor-pointer"/>
          <w:rFonts w:ascii="Arial" w:eastAsiaTheme="majorEastAsia" w:hAnsi="Arial" w:cs="Arial"/>
        </w:rPr>
        <w:t>The two implementation barriers discussed above could be combined in a single change in the organisation: extending a SAFe-style delivery model to the UK product teams would allow it to launch differentiated features, such as new personal-lending products, or invest more deeply in the integration of investment products, at a rate compatible with the pace of technology investment at the group level by Chase UK, without infringing on the timelines of the UK regulators.</w:t>
      </w:r>
    </w:p>
    <w:p w14:paraId="5400A2F4" w14:textId="6815E7CB" w:rsidR="00636FD5" w:rsidRPr="007670E6" w:rsidRDefault="00840CD2" w:rsidP="00DA719D">
      <w:pPr>
        <w:pStyle w:val="Heading1"/>
        <w:spacing w:line="360" w:lineRule="auto"/>
      </w:pPr>
      <w:bookmarkStart w:id="16" w:name="_Toc237433541"/>
      <w:r>
        <w:t>REFLECTIVE ACCOUNT</w:t>
      </w:r>
      <w:bookmarkEnd w:id="16"/>
    </w:p>
    <w:p w14:paraId="37785138" w14:textId="77777777" w:rsidR="00636FD5" w:rsidRPr="007670E6" w:rsidRDefault="00840CD2" w:rsidP="00DA719D">
      <w:pPr>
        <w:pStyle w:val="Heading2"/>
        <w:spacing w:line="360" w:lineRule="auto"/>
      </w:pPr>
      <w:bookmarkStart w:id="17" w:name="_Toc237433542"/>
      <w:r>
        <w:t>Description</w:t>
      </w:r>
      <w:bookmarkEnd w:id="17"/>
    </w:p>
    <w:p w14:paraId="1DD09E5F" w14:textId="7DE9FF8A" w:rsidR="00636FD5" w:rsidRPr="007670E6" w:rsidRDefault="00EE344B" w:rsidP="00DA719D">
      <w:pPr>
        <w:spacing w:line="360" w:lineRule="auto"/>
        <w:rPr>
          <w:rFonts w:ascii="Arial" w:hAnsi="Arial" w:cs="Arial"/>
        </w:rPr>
      </w:pPr>
      <w:r>
        <w:rPr>
          <w:rStyle w:val="cursor-pointer"/>
          <w:rFonts w:ascii="Arial" w:eastAsiaTheme="majorEastAsia" w:hAnsi="Arial" w:cs="Arial"/>
        </w:rPr>
        <w:t>In this report I had to research and analyze a strategic evaluation of Chase UK, based on a range of frameworks: PESTEL, VRIO, SWOT, The Balanced Scorecard and Porter's 5 Forces which was combined with Ansoff's Matrix for strategic choice.</w:t>
      </w:r>
      <w:r>
        <w:rPr>
          <w:rFonts w:ascii="Arial" w:hAnsi="Arial" w:cs="Arial"/>
        </w:rPr>
        <w:t xml:space="preserve"> </w:t>
      </w:r>
      <w:r>
        <w:rPr>
          <w:rStyle w:val="cursor-pointer"/>
          <w:rFonts w:ascii="Arial" w:eastAsiaTheme="majorEastAsia" w:hAnsi="Arial" w:cs="Arial"/>
        </w:rPr>
        <w:t>My journey started with the choice of Chase UK which was a ‘case’ that was not a ‘no-brainer' since it is a digitally native subsidiary of a well-established, global parent bank.</w:t>
      </w:r>
      <w:r>
        <w:rPr>
          <w:rFonts w:ascii="Arial" w:hAnsi="Arial" w:cs="Arial"/>
        </w:rPr>
        <w:t xml:space="preserve"> </w:t>
      </w:r>
      <w:r>
        <w:rPr>
          <w:rStyle w:val="cursor-pointer"/>
          <w:rFonts w:ascii="Arial" w:eastAsiaTheme="majorEastAsia" w:hAnsi="Arial" w:cs="Arial"/>
        </w:rPr>
        <w:t>I then worked from framework to framework, doing background research on the current regulatory, economic and competitor information and then applying each model, checking all information (e.g. deposit figures, technology spend, regulatory deadlines etc.) against its source before incorporating the information into the analysis</w:t>
      </w:r>
      <w:r>
        <w:rPr>
          <w:rFonts w:ascii="Arial" w:hAnsi="Arial" w:cs="Arial"/>
        </w:rPr>
        <w:t>.</w:t>
      </w:r>
    </w:p>
    <w:p w14:paraId="675871DC" w14:textId="77777777" w:rsidR="00636FD5" w:rsidRPr="007670E6" w:rsidRDefault="00636FD5" w:rsidP="00DA719D">
      <w:pPr>
        <w:spacing w:line="360" w:lineRule="auto"/>
        <w:rPr>
          <w:rFonts w:ascii="Arial" w:hAnsi="Arial" w:cs="Arial"/>
        </w:rPr>
      </w:pPr>
    </w:p>
    <w:p w14:paraId="4714EC79" w14:textId="77777777" w:rsidR="00636FD5" w:rsidRPr="007670E6" w:rsidRDefault="00840CD2" w:rsidP="00DA719D">
      <w:pPr>
        <w:pStyle w:val="Heading2"/>
        <w:spacing w:line="360" w:lineRule="auto"/>
      </w:pPr>
      <w:bookmarkStart w:id="18" w:name="_Toc237433543"/>
      <w:r>
        <w:t>Feelings</w:t>
      </w:r>
      <w:bookmarkEnd w:id="18"/>
    </w:p>
    <w:p w14:paraId="2DE7A538" w14:textId="6073C0AB" w:rsidR="00EE344B" w:rsidRPr="007670E6" w:rsidRDefault="00EE344B" w:rsidP="00DA719D">
      <w:pPr>
        <w:spacing w:line="360" w:lineRule="auto"/>
        <w:rPr>
          <w:rFonts w:ascii="Arial" w:hAnsi="Arial" w:cs="Arial"/>
        </w:rPr>
      </w:pPr>
      <w:r>
        <w:rPr>
          <w:rStyle w:val="cursor-pointer"/>
          <w:rFonts w:ascii="Arial" w:eastAsiaTheme="majorEastAsia" w:hAnsi="Arial" w:cs="Arial"/>
        </w:rPr>
        <w:t>Initially I felt confident as the frameworks were known from previous learning.</w:t>
      </w:r>
      <w:r>
        <w:rPr>
          <w:rFonts w:ascii="Arial" w:hAnsi="Arial" w:cs="Arial"/>
        </w:rPr>
        <w:t xml:space="preserve"> </w:t>
      </w:r>
      <w:r>
        <w:rPr>
          <w:rStyle w:val="cursor-pointer"/>
          <w:rFonts w:ascii="Arial" w:eastAsiaTheme="majorEastAsia" w:hAnsi="Arial" w:cs="Arial"/>
        </w:rPr>
        <w:t>It's a confidence that was put to the test in the very early stages when I initially cited one source in the wrong place – in this instance, information regarding the Consumer Duty and operational-resilience deadlines for the FCA were from a page that was dealing with a historical review of retail banking, which is different from the one under way.</w:t>
      </w:r>
      <w:r>
        <w:rPr>
          <w:rFonts w:ascii="Arial" w:hAnsi="Arial" w:cs="Arial"/>
        </w:rPr>
        <w:t xml:space="preserve"> </w:t>
      </w:r>
      <w:r>
        <w:rPr>
          <w:rStyle w:val="cursor-pointer"/>
          <w:rFonts w:ascii="Arial" w:eastAsiaTheme="majorEastAsia" w:hAnsi="Arial" w:cs="Arial"/>
        </w:rPr>
        <w:t>This was not comfortable as it meant that a fact that I had already documented in the report was now on the wrong support.</w:t>
      </w:r>
      <w:r>
        <w:rPr>
          <w:rFonts w:ascii="Arial" w:hAnsi="Arial" w:cs="Arial"/>
        </w:rPr>
        <w:t xml:space="preserve"> </w:t>
      </w:r>
      <w:r>
        <w:rPr>
          <w:rStyle w:val="cursor-pointer"/>
          <w:rFonts w:ascii="Arial" w:eastAsiaTheme="majorEastAsia" w:hAnsi="Arial" w:cs="Arial"/>
        </w:rPr>
        <w:t>In parallel, I started to develop a sense of “trust but confirm” when preparing claims, as I now opened every source before committing to any claim, increasing my confidence as I wouldn't assume.</w:t>
      </w:r>
      <w:r>
        <w:rPr>
          <w:rFonts w:ascii="Arial" w:hAnsi="Arial" w:cs="Arial"/>
        </w:rPr>
        <w:t xml:space="preserve"> </w:t>
      </w:r>
    </w:p>
    <w:p w14:paraId="64801CF8" w14:textId="77777777" w:rsidR="00636FD5" w:rsidRPr="007670E6" w:rsidRDefault="00636FD5" w:rsidP="00DA719D">
      <w:pPr>
        <w:spacing w:line="360" w:lineRule="auto"/>
        <w:rPr>
          <w:rFonts w:ascii="Arial" w:hAnsi="Arial" w:cs="Arial"/>
        </w:rPr>
      </w:pPr>
    </w:p>
    <w:p w14:paraId="21E44284" w14:textId="77777777" w:rsidR="00636FD5" w:rsidRPr="007670E6" w:rsidRDefault="00840CD2" w:rsidP="00DA719D">
      <w:pPr>
        <w:pStyle w:val="Heading2"/>
        <w:spacing w:line="360" w:lineRule="auto"/>
      </w:pPr>
      <w:bookmarkStart w:id="19" w:name="_Toc237433544"/>
      <w:r>
        <w:t>Evaluation</w:t>
      </w:r>
      <w:bookmarkEnd w:id="19"/>
    </w:p>
    <w:p w14:paraId="6025EF87" w14:textId="32353A71" w:rsidR="00EE344B" w:rsidRPr="007670E6" w:rsidRDefault="00EE344B" w:rsidP="00DA719D">
      <w:pPr>
        <w:spacing w:line="360" w:lineRule="auto"/>
        <w:rPr>
          <w:rStyle w:val="cursor-pointer"/>
          <w:rFonts w:ascii="Arial" w:hAnsi="Arial" w:cs="Arial"/>
        </w:rPr>
      </w:pPr>
      <w:r>
        <w:rPr>
          <w:rFonts w:ascii="Arial" w:hAnsi="Arial" w:cs="Arial"/>
        </w:rPr>
        <w:br/>
      </w:r>
      <w:r>
        <w:rPr>
          <w:rStyle w:val="cursor-pointer"/>
          <w:rFonts w:ascii="Arial" w:eastAsiaTheme="majorEastAsia" w:hAnsi="Arial" w:cs="Arial"/>
        </w:rPr>
        <w:t xml:space="preserve">The best thing about the process was going through it and making sure that every reference </w:t>
      </w:r>
      <w:r>
        <w:rPr>
          <w:rStyle w:val="cursor-pointer"/>
          <w:rFonts w:ascii="Arial" w:hAnsi="Arial" w:cs="Arial"/>
        </w:rPr>
        <w:t>said</w:t>
      </w:r>
      <w:r>
        <w:rPr>
          <w:rStyle w:val="cursor-pointer"/>
          <w:rFonts w:ascii="Arial" w:eastAsiaTheme="majorEastAsia" w:hAnsi="Arial" w:cs="Arial"/>
        </w:rPr>
        <w:t xml:space="preserve"> what it said, as opposed to relying on an abbreviated snippet of a search result or something that seemed like a good title.</w:t>
      </w:r>
      <w:r>
        <w:rPr>
          <w:rFonts w:ascii="Arial" w:hAnsi="Arial" w:cs="Arial"/>
        </w:rPr>
        <w:t xml:space="preserve"> </w:t>
      </w:r>
      <w:r>
        <w:rPr>
          <w:rStyle w:val="cursor-pointer"/>
          <w:rFonts w:ascii="Arial" w:eastAsiaTheme="majorEastAsia" w:hAnsi="Arial" w:cs="Arial"/>
        </w:rPr>
        <w:t>Not only did I get the citation I posted on the wrong page, but I also got a second statistic: The specific dollar amount of which JPMorgan was saving on fraud prevention, which I had quoted along with the citation and came from a third-party commentary site.</w:t>
      </w:r>
      <w:r>
        <w:rPr>
          <w:rFonts w:ascii="Arial" w:hAnsi="Arial" w:cs="Arial"/>
        </w:rPr>
        <w:t xml:space="preserve"> </w:t>
      </w:r>
      <w:r>
        <w:rPr>
          <w:rStyle w:val="cursor-pointer"/>
          <w:rFonts w:ascii="Arial" w:eastAsiaTheme="majorEastAsia" w:hAnsi="Arial" w:cs="Arial"/>
        </w:rPr>
        <w:t>It was a minor editing change, but an important one: replacing it with a number I could check directly with the original text would have detracted from the credibility of the entire report.</w:t>
      </w:r>
      <w:r>
        <w:rPr>
          <w:rFonts w:ascii="Arial" w:hAnsi="Arial" w:cs="Arial"/>
        </w:rPr>
        <w:t xml:space="preserve"> </w:t>
      </w:r>
      <w:r>
        <w:rPr>
          <w:rStyle w:val="cursor-pointer"/>
          <w:rFonts w:ascii="Arial" w:eastAsiaTheme="majorEastAsia" w:hAnsi="Arial" w:cs="Arial"/>
        </w:rPr>
        <w:t>The other thing that didn't work out as well for me was my old method of doing analysis first and then looking for the evidence; it was useful only in the later sections because in the earlier section, I could not be bothered to write the analysis until I had an open source of evidence in front of me.</w:t>
      </w:r>
    </w:p>
    <w:p w14:paraId="2CFF958E" w14:textId="383B9091" w:rsidR="00636FD5" w:rsidRPr="007670E6" w:rsidRDefault="00840CD2" w:rsidP="00DA719D">
      <w:pPr>
        <w:pStyle w:val="Heading2"/>
        <w:spacing w:line="360" w:lineRule="auto"/>
      </w:pPr>
      <w:bookmarkStart w:id="20" w:name="_Toc237433545"/>
      <w:r>
        <w:t>Analysis</w:t>
      </w:r>
      <w:bookmarkEnd w:id="20"/>
    </w:p>
    <w:p w14:paraId="3752AA11" w14:textId="3B7881DD" w:rsidR="00636FD5" w:rsidRPr="007670E6" w:rsidRDefault="00EE344B" w:rsidP="00DA719D">
      <w:pPr>
        <w:spacing w:line="360" w:lineRule="auto"/>
        <w:rPr>
          <w:rFonts w:ascii="Arial" w:hAnsi="Arial" w:cs="Arial"/>
        </w:rPr>
      </w:pPr>
      <w:r>
        <w:rPr>
          <w:rStyle w:val="cursor-pointer"/>
          <w:rFonts w:ascii="Arial" w:eastAsiaTheme="majorEastAsia" w:hAnsi="Arial" w:cs="Arial"/>
        </w:rPr>
        <w:t>The reason for these problems lies in the fact that I believe that 'the link is live' was taken as analogous to 'the link supports this particular claim'.</w:t>
      </w:r>
      <w:r>
        <w:rPr>
          <w:rFonts w:ascii="Arial" w:hAnsi="Arial" w:cs="Arial"/>
        </w:rPr>
        <w:t xml:space="preserve"> </w:t>
      </w:r>
      <w:r>
        <w:rPr>
          <w:rStyle w:val="cursor-pointer"/>
          <w:rFonts w:ascii="Arial" w:eastAsiaTheme="majorEastAsia" w:hAnsi="Arial" w:cs="Arial"/>
        </w:rPr>
        <w:t>A working and reputable URL from a regulator or a company is not proof that the exact page discusses the exact detail being cited, only by clicking on the URL and reading the exact paragraph will that be known.</w:t>
      </w:r>
      <w:r>
        <w:rPr>
          <w:rFonts w:ascii="Arial" w:hAnsi="Arial" w:cs="Arial"/>
        </w:rPr>
        <w:t xml:space="preserve"> </w:t>
      </w:r>
      <w:r>
        <w:rPr>
          <w:rStyle w:val="cursor-pointer"/>
          <w:rFonts w:ascii="Arial" w:eastAsiaTheme="majorEastAsia" w:hAnsi="Arial" w:cs="Arial"/>
        </w:rPr>
        <w:t>This is important more in a Level 7 report than in others because it is one of the criteria in the assessment explicitly stating the requirement to show evidence of research and reflected-upon reading, and a citation that actually didn't say quite what the report says it says would not meet the requirement in that regard.</w:t>
      </w:r>
      <w:r>
        <w:rPr>
          <w:rFonts w:ascii="Arial" w:hAnsi="Arial" w:cs="Arial"/>
        </w:rPr>
        <w:t xml:space="preserve"> </w:t>
      </w:r>
      <w:r>
        <w:rPr>
          <w:rStyle w:val="cursor-pointer"/>
          <w:rFonts w:ascii="Arial" w:eastAsiaTheme="majorEastAsia" w:hAnsi="Arial" w:cs="Arial"/>
        </w:rPr>
        <w:t>I also found that the same organisation had multiple documents published in the same year, such as two documents from JPMorgan Chase in 2025, and two documents from JPMorganChase in 2026, which meant that there were multiple instances where the author year citation would be pointing to the wrong document; this required the discipline of adding a/b suffixes throughout, and having to check all instances with the correct source, which I was not expecting to do at the start.</w:t>
      </w:r>
    </w:p>
    <w:p w14:paraId="79530CE3" w14:textId="77777777" w:rsidR="00636FD5" w:rsidRPr="007670E6" w:rsidRDefault="00840CD2" w:rsidP="00DA719D">
      <w:pPr>
        <w:pStyle w:val="Heading2"/>
        <w:spacing w:line="360" w:lineRule="auto"/>
      </w:pPr>
      <w:bookmarkStart w:id="21" w:name="_Toc237433546"/>
      <w:r>
        <w:t>Conclusion</w:t>
      </w:r>
      <w:bookmarkEnd w:id="21"/>
    </w:p>
    <w:p w14:paraId="4FEBF6FA" w14:textId="09666DC4" w:rsidR="00EE344B" w:rsidRPr="007670E6" w:rsidRDefault="00EE344B" w:rsidP="00DA719D">
      <w:pPr>
        <w:spacing w:line="360" w:lineRule="auto"/>
        <w:rPr>
          <w:rFonts w:ascii="Arial" w:hAnsi="Arial" w:cs="Arial"/>
        </w:rPr>
      </w:pPr>
      <w:r>
        <w:rPr>
          <w:rStyle w:val="cursor-pointer"/>
          <w:rFonts w:ascii="Arial" w:eastAsiaTheme="majorEastAsia" w:hAnsi="Arial" w:cs="Arial"/>
        </w:rPr>
        <w:t>I could have skipped the citations and source problems altogether by checking all my sources at the time they were used, not at the end of the writing.</w:t>
      </w:r>
      <w:r>
        <w:rPr>
          <w:rFonts w:ascii="Arial" w:hAnsi="Arial" w:cs="Arial"/>
        </w:rPr>
        <w:t xml:space="preserve"> </w:t>
      </w:r>
      <w:r>
        <w:rPr>
          <w:rStyle w:val="cursor-pointer"/>
          <w:rFonts w:ascii="Arial" w:eastAsiaTheme="majorEastAsia" w:hAnsi="Arial" w:cs="Arial"/>
        </w:rPr>
        <w:t>Also, I realize that my initial attempt at the BSC table was too wide for the page margin, another mistake but one that was made because I didn't proofread my presentation before I did it.</w:t>
      </w:r>
      <w:r>
        <w:rPr>
          <w:rFonts w:ascii="Arial" w:hAnsi="Arial" w:cs="Arial"/>
        </w:rPr>
        <w:t xml:space="preserve"> </w:t>
      </w:r>
      <w:r>
        <w:rPr>
          <w:rStyle w:val="cursor-pointer"/>
          <w:rFonts w:ascii="Arial" w:eastAsiaTheme="majorEastAsia" w:hAnsi="Arial" w:cs="Arial"/>
        </w:rPr>
        <w:t>What I would do differently would be a short verification step, after writing each subsection and before writing more of it (which would be a lot cheaper than discovering problems at the end of the report when a lot more of it was already built on the same foundation), so that the actual source could be opened, the specific claim checked, and the claim formatting confirmed.</w:t>
      </w:r>
      <w:r>
        <w:rPr>
          <w:rFonts w:ascii="Arial" w:hAnsi="Arial" w:cs="Arial"/>
        </w:rPr>
        <w:t xml:space="preserve"> </w:t>
      </w:r>
    </w:p>
    <w:p w14:paraId="2D72BA48" w14:textId="544A2921" w:rsidR="00636FD5" w:rsidRPr="007670E6" w:rsidRDefault="00840CD2" w:rsidP="00DA719D">
      <w:pPr>
        <w:pStyle w:val="Heading2"/>
        <w:spacing w:line="360" w:lineRule="auto"/>
      </w:pPr>
      <w:bookmarkStart w:id="22" w:name="_Toc237433547"/>
      <w:r>
        <w:t>Action Plan</w:t>
      </w:r>
      <w:bookmarkEnd w:id="22"/>
    </w:p>
    <w:p w14:paraId="7F51CDE5" w14:textId="1C3DAD34" w:rsidR="007670E6" w:rsidRPr="007670E6" w:rsidRDefault="007670E6" w:rsidP="00DA719D">
      <w:pPr>
        <w:spacing w:line="360" w:lineRule="auto"/>
        <w:rPr>
          <w:rFonts w:ascii="Arial" w:hAnsi="Arial" w:cs="Arial"/>
        </w:rPr>
      </w:pPr>
      <w:r>
        <w:rPr>
          <w:rFonts w:ascii="Arial" w:hAnsi="Arial" w:cs="Arial"/>
        </w:rPr>
        <w:t>For the rest of this assignment and for subsequent reports that use multiple frameworks, I will: (1) verify each source—by opening it and locating the specific claim before finalizing any citation, rather than by using snippets from search results; (2) actively vary my sources for each section, rather than automatically relying on sources I have already used; (3) check tables and other formatted elements to ensure they render properly within the page margins before treating a section as complete; and (4) research before writing analytical paragraphs, not first writing and then finding my evidence to support it; the above ordering was what led to the misattribution that I identified.</w:t>
      </w:r>
    </w:p>
    <w:p w14:paraId="545C0B44" w14:textId="1E338B18" w:rsidR="00E52460" w:rsidRPr="007670E6" w:rsidRDefault="00267901" w:rsidP="007670E6">
      <w:pPr>
        <w:pStyle w:val="Heading1"/>
      </w:pPr>
      <w:bookmarkStart w:id="23" w:name="_Toc237433548"/>
      <w:r>
        <w:t>REFERENCE</w:t>
      </w:r>
      <w:bookmarkEnd w:id="23"/>
    </w:p>
    <w:p w14:paraId="6A29099D" w14:textId="77777777" w:rsidR="00267901" w:rsidRPr="007670E6" w:rsidRDefault="00267901" w:rsidP="007670E6">
      <w:pPr>
        <w:spacing w:line="360" w:lineRule="auto"/>
        <w:rPr>
          <w:rFonts w:ascii="Arial" w:hAnsi="Arial" w:cs="Arial"/>
        </w:rPr>
      </w:pPr>
      <w:r>
        <w:rPr>
          <w:rStyle w:val="Strong"/>
          <w:rFonts w:ascii="Arial" w:hAnsi="Arial" w:cs="Arial"/>
        </w:rPr>
        <w:t>Al-Harbi, A. (2025)</w:t>
      </w:r>
      <w:r>
        <w:rPr>
          <w:rFonts w:ascii="Arial" w:hAnsi="Arial" w:cs="Arial"/>
        </w:rPr>
        <w:t xml:space="preserve"> 'The global rise of neobanks and challenger banks: disruption in the banking sector', </w:t>
      </w:r>
      <w:r>
        <w:rPr>
          <w:rStyle w:val="Emphasis"/>
          <w:rFonts w:ascii="Arial" w:hAnsi="Arial" w:cs="Arial"/>
        </w:rPr>
        <w:t>Journal of Business, Economics and Finance (JBEF)</w:t>
      </w:r>
      <w:r>
        <w:rPr>
          <w:rFonts w:ascii="Arial" w:hAnsi="Arial" w:cs="Arial"/>
        </w:rPr>
        <w:t>, 14(1), pp.15–24.</w:t>
      </w:r>
      <w:r>
        <w:rPr>
          <w:rFonts w:ascii="Arial" w:hAnsi="Arial" w:cs="Arial"/>
        </w:rPr>
        <w:br/>
        <w:t xml:space="preserve">Link: </w:t>
      </w:r>
      <w:hyperlink r:id="rId22" w:history="1">
        <w:r>
          <w:rPr>
            <w:rStyle w:val="Hyperlink"/>
            <w:rFonts w:ascii="Arial" w:hAnsi="Arial" w:cs="Arial"/>
          </w:rPr>
          <w:t>https://pressacademia.org/archives/jbef/v14/i1/2.pdf</w:t>
        </w:r>
      </w:hyperlink>
    </w:p>
    <w:p w14:paraId="4362CB0A" w14:textId="77777777" w:rsidR="00636FD5" w:rsidRPr="007670E6" w:rsidRDefault="00840CD2" w:rsidP="007670E6">
      <w:pPr>
        <w:spacing w:line="360" w:lineRule="auto"/>
        <w:rPr>
          <w:rFonts w:ascii="Arial" w:hAnsi="Arial" w:cs="Arial"/>
        </w:rPr>
      </w:pPr>
      <w:r>
        <w:rPr>
          <w:rStyle w:val="Strong"/>
          <w:rFonts w:ascii="Arial" w:hAnsi="Arial" w:cs="Arial"/>
        </w:rPr>
        <w:t>Alotaibi, D.D.A. and Alrwais, O. (2025)</w:t>
      </w:r>
      <w:r>
        <w:rPr>
          <w:rFonts w:ascii="Arial" w:hAnsi="Arial" w:cs="Arial"/>
        </w:rPr>
        <w:t xml:space="preserve"> 'Leveraging Scaled Agile Framework to Develop Information Systems in Finance Field', </w:t>
      </w:r>
      <w:r>
        <w:rPr>
          <w:rStyle w:val="Emphasis"/>
          <w:rFonts w:ascii="Arial" w:hAnsi="Arial" w:cs="Arial"/>
        </w:rPr>
        <w:t>Journal of Engineering, Technology, and Applied Science</w:t>
      </w:r>
      <w:r>
        <w:rPr>
          <w:rFonts w:ascii="Arial" w:hAnsi="Arial" w:cs="Arial"/>
        </w:rPr>
        <w:t xml:space="preserve">, 7(1), pp.12–17. Available at: </w:t>
      </w:r>
      <w:hyperlink r:id="rId23" w:history="1">
        <w:r w:rsidR="00636FD5">
          <w:rPr>
            <w:rStyle w:val="Hyperlink"/>
            <w:rFonts w:ascii="Arial" w:hAnsi="Arial" w:cs="Arial"/>
          </w:rPr>
          <w:t>https://doi.org/10.36079/lamintang.jetas-0701.791</w:t>
        </w:r>
      </w:hyperlink>
    </w:p>
    <w:p w14:paraId="401413E7" w14:textId="77777777" w:rsidR="00636FD5" w:rsidRPr="007670E6" w:rsidRDefault="00840CD2" w:rsidP="007670E6">
      <w:pPr>
        <w:spacing w:line="360" w:lineRule="auto"/>
        <w:rPr>
          <w:rFonts w:ascii="Arial" w:hAnsi="Arial" w:cs="Arial"/>
        </w:rPr>
      </w:pPr>
      <w:r>
        <w:rPr>
          <w:rStyle w:val="Strong"/>
          <w:rFonts w:ascii="Arial" w:hAnsi="Arial" w:cs="Arial"/>
        </w:rPr>
        <w:t>Ansoff, I. (1957)</w:t>
      </w:r>
      <w:r>
        <w:rPr>
          <w:rFonts w:ascii="Arial" w:hAnsi="Arial" w:cs="Arial"/>
        </w:rPr>
        <w:t xml:space="preserve"> 'Strategies for Diversification', </w:t>
      </w:r>
      <w:r>
        <w:rPr>
          <w:rStyle w:val="Emphasis"/>
          <w:rFonts w:ascii="Arial" w:hAnsi="Arial" w:cs="Arial"/>
        </w:rPr>
        <w:t>Harvard Business Review</w:t>
      </w:r>
      <w:r>
        <w:rPr>
          <w:rFonts w:ascii="Arial" w:hAnsi="Arial" w:cs="Arial"/>
        </w:rPr>
        <w:t xml:space="preserve">, 35(5), pp.113–124. Available at: </w:t>
      </w:r>
      <w:hyperlink r:id="rId24" w:history="1">
        <w:r w:rsidR="00636FD5">
          <w:rPr>
            <w:rStyle w:val="Hyperlink"/>
            <w:rFonts w:ascii="Arial" w:hAnsi="Arial" w:cs="Arial"/>
          </w:rPr>
          <w:t>https://archive.org/stream/strategiesfordiversificationansoff1957hbr/Strategies%20for%20Diversification-Ansoff1957-HBR_djvu.txt</w:t>
        </w:r>
      </w:hyperlink>
    </w:p>
    <w:p w14:paraId="5D4C5384" w14:textId="77777777" w:rsidR="00636FD5" w:rsidRPr="007670E6" w:rsidRDefault="00840CD2" w:rsidP="007670E6">
      <w:pPr>
        <w:spacing w:line="360" w:lineRule="auto"/>
        <w:rPr>
          <w:rFonts w:ascii="Arial" w:hAnsi="Arial" w:cs="Arial"/>
        </w:rPr>
      </w:pPr>
      <w:r>
        <w:rPr>
          <w:rStyle w:val="Strong"/>
          <w:rFonts w:ascii="Arial" w:hAnsi="Arial" w:cs="Arial"/>
        </w:rPr>
        <w:t>Bank of England (2026)</w:t>
      </w:r>
      <w:r>
        <w:rPr>
          <w:rFonts w:ascii="Arial" w:hAnsi="Arial" w:cs="Arial"/>
        </w:rPr>
        <w:t xml:space="preserve"> Bank Rate maintained at 3.75% – July 2026 Monetary Policy Summary and Minutes. Available at: </w:t>
      </w:r>
      <w:hyperlink r:id="rId25" w:history="1">
        <w:r w:rsidR="00636FD5">
          <w:rPr>
            <w:rStyle w:val="Hyperlink"/>
            <w:rFonts w:ascii="Arial" w:hAnsi="Arial" w:cs="Arial"/>
          </w:rPr>
          <w:t>https://www.bankofengland.co.uk/monetary-policy-summary-and-minutes/2026/july-2026</w:t>
        </w:r>
      </w:hyperlink>
    </w:p>
    <w:p w14:paraId="542CDD8C" w14:textId="77777777" w:rsidR="00267901" w:rsidRPr="007670E6" w:rsidRDefault="00267901" w:rsidP="007670E6">
      <w:pPr>
        <w:spacing w:line="360" w:lineRule="auto"/>
        <w:rPr>
          <w:rFonts w:ascii="Arial" w:hAnsi="Arial" w:cs="Arial"/>
        </w:rPr>
      </w:pPr>
      <w:r>
        <w:rPr>
          <w:rStyle w:val="Strong"/>
          <w:rFonts w:ascii="Arial" w:hAnsi="Arial" w:cs="Arial"/>
        </w:rPr>
        <w:t>Chase UK (2021)</w:t>
      </w:r>
      <w:r>
        <w:rPr>
          <w:rFonts w:ascii="Arial" w:hAnsi="Arial" w:cs="Arial"/>
        </w:rPr>
        <w:t xml:space="preserve"> </w:t>
      </w:r>
      <w:r>
        <w:rPr>
          <w:rStyle w:val="Emphasis"/>
          <w:rFonts w:ascii="Arial" w:hAnsi="Arial" w:cs="Arial"/>
        </w:rPr>
        <w:t>Chase Arrives in the U.K. to Offer Consumers a Simple, Rewarding Banking Experience</w:t>
      </w:r>
      <w:r>
        <w:rPr>
          <w:rFonts w:ascii="Arial" w:hAnsi="Arial" w:cs="Arial"/>
        </w:rPr>
        <w:t xml:space="preserve"> [Press release]. Available at: </w:t>
      </w:r>
      <w:hyperlink r:id="rId26" w:history="1">
        <w:r>
          <w:rPr>
            <w:rStyle w:val="Hyperlink"/>
            <w:rFonts w:ascii="Arial" w:hAnsi="Arial" w:cs="Arial"/>
          </w:rPr>
          <w:t>https://www.chase.co.uk/gb/en/media/chase-arrives-in-the-uk/</w:t>
        </w:r>
      </w:hyperlink>
    </w:p>
    <w:p w14:paraId="583C2198" w14:textId="77777777" w:rsidR="00267901" w:rsidRPr="007670E6" w:rsidRDefault="00267901" w:rsidP="007670E6">
      <w:pPr>
        <w:spacing w:line="360" w:lineRule="auto"/>
        <w:rPr>
          <w:rFonts w:ascii="Arial" w:hAnsi="Arial" w:cs="Arial"/>
        </w:rPr>
      </w:pPr>
      <w:r>
        <w:rPr>
          <w:rStyle w:val="Strong"/>
          <w:rFonts w:ascii="Arial" w:hAnsi="Arial" w:cs="Arial"/>
        </w:rPr>
        <w:t>Chase UK (2022)</w:t>
      </w:r>
      <w:r>
        <w:rPr>
          <w:rFonts w:ascii="Arial" w:hAnsi="Arial" w:cs="Arial"/>
        </w:rPr>
        <w:t xml:space="preserve"> </w:t>
      </w:r>
      <w:r>
        <w:rPr>
          <w:rStyle w:val="Emphasis"/>
          <w:rFonts w:ascii="Arial" w:hAnsi="Arial" w:cs="Arial"/>
        </w:rPr>
        <w:t>Chase Exceeds One Million U.K. Customers as It Marks First Anniversary</w:t>
      </w:r>
      <w:r>
        <w:rPr>
          <w:rFonts w:ascii="Arial" w:hAnsi="Arial" w:cs="Arial"/>
        </w:rPr>
        <w:t xml:space="preserve"> [Press release]. Available at: </w:t>
      </w:r>
      <w:hyperlink r:id="rId27" w:history="1">
        <w:r>
          <w:rPr>
            <w:rStyle w:val="Hyperlink"/>
            <w:rFonts w:ascii="Arial" w:hAnsi="Arial" w:cs="Arial"/>
          </w:rPr>
          <w:t>https://www.chase.co.uk/gb/en/media/one-million-customers/</w:t>
        </w:r>
      </w:hyperlink>
    </w:p>
    <w:p w14:paraId="15E1A6FA" w14:textId="77777777" w:rsidR="00267901" w:rsidRPr="007670E6" w:rsidRDefault="00267901" w:rsidP="007670E6">
      <w:pPr>
        <w:spacing w:line="360" w:lineRule="auto"/>
        <w:rPr>
          <w:rFonts w:ascii="Arial" w:hAnsi="Arial" w:cs="Arial"/>
        </w:rPr>
      </w:pPr>
      <w:r>
        <w:rPr>
          <w:rStyle w:val="Strong"/>
          <w:rFonts w:ascii="Arial" w:hAnsi="Arial" w:cs="Arial"/>
        </w:rPr>
        <w:t>Chelladurai, K. and Ilankumaran, G. (2026)</w:t>
      </w:r>
      <w:r>
        <w:rPr>
          <w:rFonts w:ascii="Arial" w:hAnsi="Arial" w:cs="Arial"/>
        </w:rPr>
        <w:t xml:space="preserve"> 'From Challenger Banks to Inclusive Finance: Lessons from the UK Neo banking Experience for Financial Inclusion in India', </w:t>
      </w:r>
      <w:r>
        <w:rPr>
          <w:rStyle w:val="Emphasis"/>
          <w:rFonts w:ascii="Arial" w:hAnsi="Arial" w:cs="Arial"/>
        </w:rPr>
        <w:t>International Journal of Research in Commerce and Management Studies (IJRCMS)</w:t>
      </w:r>
      <w:r>
        <w:rPr>
          <w:rFonts w:ascii="Arial" w:hAnsi="Arial" w:cs="Arial"/>
        </w:rPr>
        <w:t>, 8(1), pp.679–702.</w:t>
      </w:r>
      <w:r>
        <w:rPr>
          <w:rFonts w:ascii="Arial" w:hAnsi="Arial" w:cs="Arial"/>
        </w:rPr>
        <w:br/>
        <w:t xml:space="preserve">Link: </w:t>
      </w:r>
      <w:hyperlink r:id="rId28" w:history="1">
        <w:r>
          <w:rPr>
            <w:rStyle w:val="Hyperlink"/>
            <w:rFonts w:ascii="Arial" w:hAnsi="Arial" w:cs="Arial"/>
          </w:rPr>
          <w:t>https://ijrcms.com/uploads2026/ijrcms_08_626.pdf</w:t>
        </w:r>
      </w:hyperlink>
    </w:p>
    <w:p w14:paraId="0CCF87BC" w14:textId="77777777" w:rsidR="00636FD5" w:rsidRPr="007670E6" w:rsidRDefault="00840CD2" w:rsidP="007670E6">
      <w:pPr>
        <w:spacing w:line="360" w:lineRule="auto"/>
        <w:rPr>
          <w:rFonts w:ascii="Arial" w:hAnsi="Arial" w:cs="Arial"/>
        </w:rPr>
      </w:pPr>
      <w:r>
        <w:rPr>
          <w:rStyle w:val="Strong"/>
          <w:rFonts w:ascii="Arial" w:hAnsi="Arial" w:cs="Arial"/>
        </w:rPr>
        <w:t>Clarke, C. and Macartney, H. (2025)</w:t>
      </w:r>
      <w:r>
        <w:rPr>
          <w:rFonts w:ascii="Arial" w:hAnsi="Arial" w:cs="Arial"/>
        </w:rPr>
        <w:t xml:space="preserve"> 'The second financial services revolution? The quiet politics of open banking reform in the UK', </w:t>
      </w:r>
      <w:r>
        <w:rPr>
          <w:rStyle w:val="Emphasis"/>
          <w:rFonts w:ascii="Arial" w:hAnsi="Arial" w:cs="Arial"/>
        </w:rPr>
        <w:t>Competition &amp; Change</w:t>
      </w:r>
      <w:r>
        <w:rPr>
          <w:rFonts w:ascii="Arial" w:hAnsi="Arial" w:cs="Arial"/>
        </w:rPr>
        <w:t xml:space="preserve">, 30(2), pp.420–439. Available at: </w:t>
      </w:r>
      <w:hyperlink r:id="rId29" w:history="1">
        <w:r w:rsidR="00636FD5">
          <w:rPr>
            <w:rStyle w:val="Hyperlink"/>
            <w:rFonts w:ascii="Arial" w:hAnsi="Arial" w:cs="Arial"/>
          </w:rPr>
          <w:t>https://journals.sagepub.com/doi/10.1177/10245294251320569</w:t>
        </w:r>
      </w:hyperlink>
    </w:p>
    <w:p w14:paraId="1096F2A5" w14:textId="77777777" w:rsidR="00636FD5" w:rsidRPr="007670E6" w:rsidRDefault="00840CD2" w:rsidP="007670E6">
      <w:pPr>
        <w:spacing w:line="360" w:lineRule="auto"/>
        <w:rPr>
          <w:rFonts w:ascii="Arial" w:hAnsi="Arial" w:cs="Arial"/>
        </w:rPr>
      </w:pPr>
      <w:r>
        <w:rPr>
          <w:rStyle w:val="Strong"/>
          <w:rFonts w:ascii="Arial" w:hAnsi="Arial" w:cs="Arial"/>
        </w:rPr>
        <w:t>Competition and Markets Authority (2026)</w:t>
      </w:r>
      <w:r>
        <w:rPr>
          <w:rFonts w:ascii="Arial" w:hAnsi="Arial" w:cs="Arial"/>
        </w:rPr>
        <w:t xml:space="preserve"> Retail banking market investigation. GOV.UK. Available at: </w:t>
      </w:r>
      <w:hyperlink r:id="rId30" w:history="1">
        <w:r w:rsidR="00636FD5">
          <w:rPr>
            <w:rStyle w:val="Hyperlink"/>
            <w:rFonts w:ascii="Arial" w:hAnsi="Arial" w:cs="Arial"/>
          </w:rPr>
          <w:t>https://www.gov.uk/cma-cases/review-of-banking-for-small-and-medium-sized-businesses-smes-in-the-uk</w:t>
        </w:r>
      </w:hyperlink>
    </w:p>
    <w:p w14:paraId="09E75207" w14:textId="77777777" w:rsidR="00636FD5" w:rsidRPr="007670E6" w:rsidRDefault="00840CD2" w:rsidP="007670E6">
      <w:pPr>
        <w:spacing w:line="360" w:lineRule="auto"/>
        <w:rPr>
          <w:rFonts w:ascii="Arial" w:hAnsi="Arial" w:cs="Arial"/>
        </w:rPr>
      </w:pPr>
      <w:r>
        <w:rPr>
          <w:rStyle w:val="Strong"/>
          <w:rFonts w:ascii="Arial" w:hAnsi="Arial" w:cs="Arial"/>
        </w:rPr>
        <w:t>Costa, R. and Di Pillo, F. (2024)</w:t>
      </w:r>
      <w:r>
        <w:rPr>
          <w:rFonts w:ascii="Arial" w:hAnsi="Arial" w:cs="Arial"/>
        </w:rPr>
        <w:t xml:space="preserve"> 'Aligning innovative banks' sustainability strategies with customer expectations and perceptions: The CSR feedback framework', </w:t>
      </w:r>
      <w:r>
        <w:rPr>
          <w:rStyle w:val="Emphasis"/>
          <w:rFonts w:ascii="Arial" w:hAnsi="Arial" w:cs="Arial"/>
        </w:rPr>
        <w:t>Journal of Innovation &amp; Knowledge</w:t>
      </w:r>
      <w:r>
        <w:rPr>
          <w:rFonts w:ascii="Arial" w:hAnsi="Arial" w:cs="Arial"/>
        </w:rPr>
        <w:t xml:space="preserve">, 9(4), 100596. Available at: </w:t>
      </w:r>
      <w:hyperlink r:id="rId31" w:history="1">
        <w:r w:rsidR="00636FD5">
          <w:rPr>
            <w:rStyle w:val="Hyperlink"/>
            <w:rFonts w:ascii="Arial" w:hAnsi="Arial" w:cs="Arial"/>
          </w:rPr>
          <w:t>https://www.sciencedirect.com/science/article/pii/S2444569X24001355</w:t>
        </w:r>
      </w:hyperlink>
    </w:p>
    <w:p w14:paraId="0A427EDC" w14:textId="77777777" w:rsidR="00636FD5" w:rsidRPr="007670E6" w:rsidRDefault="00840CD2" w:rsidP="007670E6">
      <w:pPr>
        <w:spacing w:line="360" w:lineRule="auto"/>
        <w:rPr>
          <w:rFonts w:ascii="Arial" w:hAnsi="Arial" w:cs="Arial"/>
        </w:rPr>
      </w:pPr>
      <w:r>
        <w:rPr>
          <w:rStyle w:val="Strong"/>
          <w:rFonts w:ascii="Arial" w:hAnsi="Arial" w:cs="Arial"/>
        </w:rPr>
        <w:t>Financial Conduct Authority (2024)</w:t>
      </w:r>
      <w:r>
        <w:rPr>
          <w:rFonts w:ascii="Arial" w:hAnsi="Arial" w:cs="Arial"/>
        </w:rPr>
        <w:t xml:space="preserve"> FCA strategy for Retail Banks in 2025 [Portfolio letter]. Available at: </w:t>
      </w:r>
      <w:hyperlink r:id="rId32" w:history="1">
        <w:r w:rsidR="00636FD5">
          <w:rPr>
            <w:rStyle w:val="Hyperlink"/>
            <w:rFonts w:ascii="Arial" w:hAnsi="Arial" w:cs="Arial"/>
          </w:rPr>
          <w:t>https://www.fca.org.uk/publication/correspondence/portfolio-letter-fca-strategy-retail-banks-2025.pdf</w:t>
        </w:r>
      </w:hyperlink>
    </w:p>
    <w:p w14:paraId="340966C2" w14:textId="77777777" w:rsidR="00636FD5" w:rsidRPr="007670E6" w:rsidRDefault="00840CD2" w:rsidP="007670E6">
      <w:pPr>
        <w:spacing w:line="360" w:lineRule="auto"/>
        <w:rPr>
          <w:rFonts w:ascii="Arial" w:hAnsi="Arial" w:cs="Arial"/>
        </w:rPr>
      </w:pPr>
      <w:r>
        <w:rPr>
          <w:rStyle w:val="Strong"/>
          <w:rFonts w:ascii="Arial" w:hAnsi="Arial" w:cs="Arial"/>
        </w:rPr>
        <w:t>Financial Conduct Authority (2025a)</w:t>
      </w:r>
      <w:r>
        <w:rPr>
          <w:rFonts w:ascii="Arial" w:hAnsi="Arial" w:cs="Arial"/>
        </w:rPr>
        <w:t xml:space="preserve"> Open banking and the FCA. Available at: </w:t>
      </w:r>
      <w:hyperlink r:id="rId33" w:history="1">
        <w:r w:rsidR="00636FD5">
          <w:rPr>
            <w:rStyle w:val="Hyperlink"/>
            <w:rFonts w:ascii="Arial" w:hAnsi="Arial" w:cs="Arial"/>
          </w:rPr>
          <w:t>https://www.fca.org.uk/firms/open-banking-fca</w:t>
        </w:r>
      </w:hyperlink>
    </w:p>
    <w:p w14:paraId="67B7FA17" w14:textId="77777777" w:rsidR="00636FD5" w:rsidRPr="007670E6" w:rsidRDefault="00840CD2" w:rsidP="007670E6">
      <w:pPr>
        <w:spacing w:line="360" w:lineRule="auto"/>
        <w:rPr>
          <w:rFonts w:ascii="Arial" w:hAnsi="Arial" w:cs="Arial"/>
        </w:rPr>
      </w:pPr>
      <w:r>
        <w:rPr>
          <w:rStyle w:val="Strong"/>
          <w:rFonts w:ascii="Arial" w:hAnsi="Arial" w:cs="Arial"/>
        </w:rPr>
        <w:t>Gibbs, G. (1988)</w:t>
      </w:r>
      <w:r>
        <w:rPr>
          <w:rFonts w:ascii="Arial" w:hAnsi="Arial" w:cs="Arial"/>
        </w:rPr>
        <w:t xml:space="preserve"> Learning by Doing: A Guide to Teaching and Learning Methods. Oxford: Further Education Unit, Oxford Polytechnic. Available at: </w:t>
      </w:r>
      <w:hyperlink r:id="rId34" w:history="1">
        <w:r w:rsidR="00636FD5">
          <w:rPr>
            <w:rStyle w:val="Hyperlink"/>
            <w:rFonts w:ascii="Arial" w:hAnsi="Arial" w:cs="Arial"/>
          </w:rPr>
          <w:t>https://thoughtsmostlyaboutlearning.wordpress.com/wp-content/uploads/2015/12/learning-by-doing-graham-gibbs.pdf</w:t>
        </w:r>
      </w:hyperlink>
    </w:p>
    <w:p w14:paraId="1802277D" w14:textId="77777777" w:rsidR="00636FD5" w:rsidRPr="007670E6" w:rsidRDefault="00840CD2" w:rsidP="007670E6">
      <w:pPr>
        <w:spacing w:line="360" w:lineRule="auto"/>
        <w:rPr>
          <w:rFonts w:ascii="Arial" w:hAnsi="Arial" w:cs="Arial"/>
        </w:rPr>
      </w:pPr>
      <w:r>
        <w:rPr>
          <w:rStyle w:val="Strong"/>
          <w:rFonts w:ascii="Arial" w:hAnsi="Arial" w:cs="Arial"/>
        </w:rPr>
        <w:t>Jouini, F., Chouchen, M.A. and Messai, A.S. (2025)</w:t>
      </w:r>
      <w:r>
        <w:rPr>
          <w:rFonts w:ascii="Arial" w:hAnsi="Arial" w:cs="Arial"/>
        </w:rPr>
        <w:t xml:space="preserve"> 'Corporate Social Responsibility, Efficiency, and Risk in US Banking', </w:t>
      </w:r>
      <w:r>
        <w:rPr>
          <w:rStyle w:val="Emphasis"/>
          <w:rFonts w:ascii="Arial" w:hAnsi="Arial" w:cs="Arial"/>
        </w:rPr>
        <w:t>Risks</w:t>
      </w:r>
      <w:r>
        <w:rPr>
          <w:rFonts w:ascii="Arial" w:hAnsi="Arial" w:cs="Arial"/>
        </w:rPr>
        <w:t xml:space="preserve">, 13(1), 10. Available at: </w:t>
      </w:r>
      <w:hyperlink r:id="rId35" w:history="1">
        <w:r w:rsidR="00636FD5">
          <w:rPr>
            <w:rStyle w:val="Hyperlink"/>
            <w:rFonts w:ascii="Arial" w:hAnsi="Arial" w:cs="Arial"/>
          </w:rPr>
          <w:t>https://doi.org/10.3390/risks13010010</w:t>
        </w:r>
      </w:hyperlink>
    </w:p>
    <w:p w14:paraId="25B1A5CD" w14:textId="77777777" w:rsidR="00267901" w:rsidRPr="007670E6" w:rsidRDefault="00267901" w:rsidP="007670E6">
      <w:pPr>
        <w:spacing w:line="360" w:lineRule="auto"/>
        <w:rPr>
          <w:rFonts w:ascii="Arial" w:hAnsi="Arial" w:cs="Arial"/>
        </w:rPr>
      </w:pPr>
      <w:r>
        <w:rPr>
          <w:rStyle w:val="Strong"/>
          <w:rFonts w:ascii="Arial" w:hAnsi="Arial" w:cs="Arial"/>
        </w:rPr>
        <w:t>JPMorgan Chase (2025a)</w:t>
      </w:r>
      <w:r>
        <w:rPr>
          <w:rFonts w:ascii="Arial" w:hAnsi="Arial" w:cs="Arial"/>
        </w:rPr>
        <w:t xml:space="preserve"> </w:t>
      </w:r>
      <w:r>
        <w:rPr>
          <w:rStyle w:val="Emphasis"/>
          <w:rFonts w:ascii="Arial" w:hAnsi="Arial" w:cs="Arial"/>
        </w:rPr>
        <w:t>Letter to Shareholders from Marianne Lake, Annual Report 2025</w:t>
      </w:r>
      <w:r>
        <w:rPr>
          <w:rFonts w:ascii="Arial" w:hAnsi="Arial" w:cs="Arial"/>
        </w:rPr>
        <w:t xml:space="preserve">. Available at: </w:t>
      </w:r>
      <w:hyperlink r:id="rId36" w:history="1">
        <w:r>
          <w:rPr>
            <w:rStyle w:val="Hyperlink"/>
            <w:rFonts w:ascii="Arial" w:hAnsi="Arial" w:cs="Arial"/>
          </w:rPr>
          <w:t>https://www.jpmorganchase.com/ir/annual-report/2025/ar-ceo-letter-marianne-lake</w:t>
        </w:r>
      </w:hyperlink>
    </w:p>
    <w:p w14:paraId="2B327693" w14:textId="77777777" w:rsidR="00636FD5" w:rsidRPr="007670E6" w:rsidRDefault="00840CD2" w:rsidP="007670E6">
      <w:pPr>
        <w:spacing w:line="360" w:lineRule="auto"/>
        <w:rPr>
          <w:rFonts w:ascii="Arial" w:hAnsi="Arial" w:cs="Arial"/>
        </w:rPr>
      </w:pPr>
      <w:r>
        <w:rPr>
          <w:rStyle w:val="Strong"/>
          <w:rFonts w:ascii="Arial" w:hAnsi="Arial" w:cs="Arial"/>
        </w:rPr>
        <w:t>JPMorgan Chase (2025b)</w:t>
      </w:r>
      <w:r>
        <w:rPr>
          <w:rFonts w:ascii="Arial" w:hAnsi="Arial" w:cs="Arial"/>
        </w:rPr>
        <w:t xml:space="preserve"> Letter to Shareholders, Annual Report 2025 (Form ARS FY2025). Available at: </w:t>
      </w:r>
      <w:hyperlink r:id="rId37" w:history="1">
        <w:r w:rsidR="00636FD5">
          <w:rPr>
            <w:rStyle w:val="Hyperlink"/>
            <w:rFonts w:ascii="Arial" w:hAnsi="Arial" w:cs="Arial"/>
          </w:rPr>
          <w:t>https://www.sec.gov/Archives/edgar/data/19617/000162828026023927/annualreport-2025.pdf</w:t>
        </w:r>
      </w:hyperlink>
    </w:p>
    <w:p w14:paraId="49FBBBB8" w14:textId="77777777" w:rsidR="00636FD5" w:rsidRPr="007670E6" w:rsidRDefault="00840CD2" w:rsidP="007670E6">
      <w:pPr>
        <w:spacing w:line="360" w:lineRule="auto"/>
        <w:rPr>
          <w:rFonts w:ascii="Arial" w:hAnsi="Arial" w:cs="Arial"/>
        </w:rPr>
      </w:pPr>
      <w:r>
        <w:rPr>
          <w:rStyle w:val="Strong"/>
          <w:rFonts w:ascii="Arial" w:hAnsi="Arial" w:cs="Arial"/>
        </w:rPr>
        <w:t>JPMorganChase (2026a)</w:t>
      </w:r>
      <w:r>
        <w:rPr>
          <w:rFonts w:ascii="Arial" w:hAnsi="Arial" w:cs="Arial"/>
        </w:rPr>
        <w:t xml:space="preserve"> Technology. Available at: </w:t>
      </w:r>
      <w:hyperlink r:id="rId38" w:history="1">
        <w:r w:rsidR="00636FD5">
          <w:rPr>
            <w:rStyle w:val="Hyperlink"/>
            <w:rFonts w:ascii="Arial" w:hAnsi="Arial" w:cs="Arial"/>
          </w:rPr>
          <w:t>https://www.jpmorganchase.com/about/technology</w:t>
        </w:r>
      </w:hyperlink>
    </w:p>
    <w:p w14:paraId="595D6546" w14:textId="77777777" w:rsidR="00636FD5" w:rsidRPr="007670E6" w:rsidRDefault="00840CD2" w:rsidP="007670E6">
      <w:pPr>
        <w:spacing w:line="360" w:lineRule="auto"/>
        <w:rPr>
          <w:rFonts w:ascii="Arial" w:hAnsi="Arial" w:cs="Arial"/>
        </w:rPr>
      </w:pPr>
      <w:r>
        <w:rPr>
          <w:rStyle w:val="Strong"/>
          <w:rFonts w:ascii="Arial" w:hAnsi="Arial" w:cs="Arial"/>
        </w:rPr>
        <w:t>JPMorganChase (2026b)</w:t>
      </w:r>
      <w:r>
        <w:rPr>
          <w:rFonts w:ascii="Arial" w:hAnsi="Arial" w:cs="Arial"/>
        </w:rPr>
        <w:t xml:space="preserve"> Environmental Sustainability. Available at: </w:t>
      </w:r>
      <w:hyperlink r:id="rId39" w:history="1">
        <w:r w:rsidR="00636FD5">
          <w:rPr>
            <w:rStyle w:val="Hyperlink"/>
            <w:rFonts w:ascii="Arial" w:hAnsi="Arial" w:cs="Arial"/>
          </w:rPr>
          <w:t>https://www.jpmorganchase.com/impact/environmental-sustainability</w:t>
        </w:r>
      </w:hyperlink>
    </w:p>
    <w:p w14:paraId="6F0309B1" w14:textId="77777777" w:rsidR="00636FD5" w:rsidRPr="007670E6" w:rsidRDefault="00840CD2" w:rsidP="007670E6">
      <w:pPr>
        <w:spacing w:line="360" w:lineRule="auto"/>
        <w:rPr>
          <w:rFonts w:ascii="Arial" w:hAnsi="Arial" w:cs="Arial"/>
        </w:rPr>
      </w:pPr>
      <w:r>
        <w:rPr>
          <w:rStyle w:val="Strong"/>
          <w:rFonts w:ascii="Arial" w:hAnsi="Arial" w:cs="Arial"/>
        </w:rPr>
        <w:t>Kaplan, R.S. and Norton, D.P. (1992)</w:t>
      </w:r>
      <w:r>
        <w:rPr>
          <w:rFonts w:ascii="Arial" w:hAnsi="Arial" w:cs="Arial"/>
        </w:rPr>
        <w:t xml:space="preserve"> 'The Balanced Scorecard—Measures that Drive Performance', </w:t>
      </w:r>
      <w:r>
        <w:rPr>
          <w:rStyle w:val="Emphasis"/>
          <w:rFonts w:ascii="Arial" w:hAnsi="Arial" w:cs="Arial"/>
        </w:rPr>
        <w:t>Harvard Business Review</w:t>
      </w:r>
      <w:r>
        <w:rPr>
          <w:rFonts w:ascii="Arial" w:hAnsi="Arial" w:cs="Arial"/>
        </w:rPr>
        <w:t xml:space="preserve">, 70(1), pp.71–79. Available at: </w:t>
      </w:r>
      <w:hyperlink r:id="rId40" w:history="1">
        <w:r w:rsidR="00636FD5">
          <w:rPr>
            <w:rStyle w:val="Hyperlink"/>
            <w:rFonts w:ascii="Arial" w:hAnsi="Arial" w:cs="Arial"/>
          </w:rPr>
          <w:t>https://hbr.org/1992/01/the-balanced-scorecard-measures-that-drive-performance-2</w:t>
        </w:r>
      </w:hyperlink>
    </w:p>
    <w:p w14:paraId="6297AE47" w14:textId="77777777" w:rsidR="00636FD5" w:rsidRPr="007670E6" w:rsidRDefault="00840CD2" w:rsidP="007670E6">
      <w:pPr>
        <w:spacing w:line="360" w:lineRule="auto"/>
        <w:rPr>
          <w:rFonts w:ascii="Arial" w:hAnsi="Arial" w:cs="Arial"/>
        </w:rPr>
      </w:pPr>
      <w:r>
        <w:rPr>
          <w:rStyle w:val="Strong"/>
          <w:rFonts w:ascii="Arial" w:hAnsi="Arial" w:cs="Arial"/>
        </w:rPr>
        <w:t>Mahboub, R. and Ghanem, M.G. (2024)</w:t>
      </w:r>
      <w:r>
        <w:rPr>
          <w:rFonts w:ascii="Arial" w:hAnsi="Arial" w:cs="Arial"/>
        </w:rPr>
        <w:t xml:space="preserve"> 'The mediating role of knowledge management practices and balanced scorecard in the association between artificial intelligence and organization performance: Evidence from MENA region commercial banks', </w:t>
      </w:r>
      <w:r>
        <w:rPr>
          <w:rStyle w:val="Emphasis"/>
          <w:rFonts w:ascii="Arial" w:hAnsi="Arial" w:cs="Arial"/>
        </w:rPr>
        <w:t>Cogent Business &amp; Management</w:t>
      </w:r>
      <w:r>
        <w:rPr>
          <w:rFonts w:ascii="Arial" w:hAnsi="Arial" w:cs="Arial"/>
        </w:rPr>
        <w:t xml:space="preserve">, 11(1). Available at: </w:t>
      </w:r>
      <w:hyperlink r:id="rId41" w:history="1">
        <w:r w:rsidR="00636FD5">
          <w:rPr>
            <w:rStyle w:val="Hyperlink"/>
            <w:rFonts w:ascii="Arial" w:hAnsi="Arial" w:cs="Arial"/>
          </w:rPr>
          <w:t>https://doi.org/10.1080/23311975.2024.2404484</w:t>
        </w:r>
      </w:hyperlink>
    </w:p>
    <w:p w14:paraId="7005D80B" w14:textId="77777777" w:rsidR="00636FD5" w:rsidRPr="007670E6" w:rsidRDefault="00840CD2" w:rsidP="007670E6">
      <w:pPr>
        <w:spacing w:line="360" w:lineRule="auto"/>
        <w:rPr>
          <w:rFonts w:ascii="Arial" w:hAnsi="Arial" w:cs="Arial"/>
        </w:rPr>
      </w:pPr>
      <w:r>
        <w:rPr>
          <w:rStyle w:val="Strong"/>
          <w:rFonts w:ascii="Arial" w:hAnsi="Arial" w:cs="Arial"/>
        </w:rPr>
        <w:t>Musau, N.N. and Muathe, S. (2025)</w:t>
      </w:r>
      <w:r>
        <w:rPr>
          <w:rFonts w:ascii="Arial" w:hAnsi="Arial" w:cs="Arial"/>
        </w:rPr>
        <w:t xml:space="preserve"> 'Digital transformation strategy: the quest for competitive advantage among commercial banks in Kenya', </w:t>
      </w:r>
      <w:r>
        <w:rPr>
          <w:rStyle w:val="Emphasis"/>
          <w:rFonts w:ascii="Arial" w:hAnsi="Arial" w:cs="Arial"/>
        </w:rPr>
        <w:t>International Journal of Research in Business and Social Science</w:t>
      </w:r>
      <w:r>
        <w:rPr>
          <w:rFonts w:ascii="Arial" w:hAnsi="Arial" w:cs="Arial"/>
        </w:rPr>
        <w:t xml:space="preserve">, 14(5), pp.1–24. Available at: </w:t>
      </w:r>
      <w:hyperlink r:id="rId42" w:history="1">
        <w:r w:rsidR="00636FD5">
          <w:rPr>
            <w:rStyle w:val="Hyperlink"/>
            <w:rFonts w:ascii="Arial" w:hAnsi="Arial" w:cs="Arial"/>
          </w:rPr>
          <w:t>https://ssbfnet.com/ojs/index.php/ijrbs/article/view/4308</w:t>
        </w:r>
      </w:hyperlink>
    </w:p>
    <w:p w14:paraId="2B3E20AC" w14:textId="77777777" w:rsidR="00636FD5" w:rsidRDefault="00840CD2" w:rsidP="007670E6">
      <w:pPr>
        <w:spacing w:line="360" w:lineRule="auto"/>
      </w:pPr>
      <w:r>
        <w:rPr>
          <w:rStyle w:val="Strong"/>
          <w:rFonts w:ascii="Arial" w:hAnsi="Arial" w:cs="Arial"/>
        </w:rPr>
        <w:t>Ndlovu, S., Liu, J., Plumley, D. and El-Fakir, A. (2025)</w:t>
      </w:r>
      <w:r>
        <w:rPr>
          <w:rFonts w:ascii="Arial" w:hAnsi="Arial" w:cs="Arial"/>
        </w:rPr>
        <w:t xml:space="preserve"> 'Factors Influencing Consumer Adoption of Digital-Only Banks in the UK', </w:t>
      </w:r>
      <w:r>
        <w:rPr>
          <w:rStyle w:val="Emphasis"/>
          <w:rFonts w:ascii="Arial" w:hAnsi="Arial" w:cs="Arial"/>
        </w:rPr>
        <w:t>FinTech and AI in Finance (FinTAF)</w:t>
      </w:r>
      <w:r>
        <w:rPr>
          <w:rFonts w:ascii="Arial" w:hAnsi="Arial" w:cs="Arial"/>
        </w:rPr>
        <w:t xml:space="preserve">, 2(1). Available at: </w:t>
      </w:r>
      <w:hyperlink r:id="rId43" w:history="1">
        <w:r w:rsidR="00636FD5">
          <w:rPr>
            <w:rStyle w:val="Hyperlink"/>
            <w:rFonts w:ascii="Arial" w:hAnsi="Arial" w:cs="Arial"/>
          </w:rPr>
          <w:t>https://shura.shu.ac.uk/37408/1/Sevelina+FinTAF+Paper+-+Final+.pdf</w:t>
        </w:r>
      </w:hyperlink>
    </w:p>
    <w:p w14:paraId="69592FDB" w14:textId="71887EC1" w:rsidR="00293F34" w:rsidRDefault="00293F34" w:rsidP="00293F34">
      <w:pPr>
        <w:spacing w:line="360" w:lineRule="auto"/>
        <w:rPr>
          <w:rFonts w:ascii="Arial" w:hAnsi="Arial" w:cs="Arial"/>
        </w:rPr>
      </w:pPr>
      <w:r w:rsidRPr="00293F34">
        <w:rPr>
          <w:rFonts w:ascii="Arial" w:hAnsi="Arial" w:cs="Arial"/>
          <w:b/>
          <w:bCs/>
        </w:rPr>
        <w:t>OpenAI (2026) ChatGPT</w:t>
      </w:r>
      <w:r w:rsidRPr="00293F34">
        <w:rPr>
          <w:rFonts w:ascii="Arial" w:hAnsi="Arial" w:cs="Arial"/>
        </w:rPr>
        <w:t xml:space="preserve"> (image generation) [Large language model]. Available at:</w:t>
      </w:r>
      <w:r w:rsidRPr="00293F34">
        <w:t xml:space="preserve"> </w:t>
      </w:r>
      <w:hyperlink r:id="rId44" w:history="1">
        <w:r w:rsidRPr="008D6662">
          <w:rPr>
            <w:rStyle w:val="Hyperlink"/>
            <w:rFonts w:ascii="Arial" w:hAnsi="Arial" w:cs="Arial"/>
          </w:rPr>
          <w:t>https://chatgpt.co</w:t>
        </w:r>
        <w:r w:rsidRPr="008D6662">
          <w:rPr>
            <w:rStyle w:val="Hyperlink"/>
            <w:rFonts w:ascii="Arial" w:hAnsi="Arial" w:cs="Arial"/>
          </w:rPr>
          <w:t>m</w:t>
        </w:r>
      </w:hyperlink>
    </w:p>
    <w:p w14:paraId="097837EF" w14:textId="77777777" w:rsidR="00636FD5" w:rsidRPr="007670E6" w:rsidRDefault="00840CD2" w:rsidP="007670E6">
      <w:pPr>
        <w:spacing w:line="360" w:lineRule="auto"/>
        <w:rPr>
          <w:rFonts w:ascii="Arial" w:hAnsi="Arial" w:cs="Arial"/>
        </w:rPr>
      </w:pPr>
      <w:r>
        <w:rPr>
          <w:rStyle w:val="Strong"/>
          <w:rFonts w:ascii="Arial" w:hAnsi="Arial" w:cs="Arial"/>
        </w:rPr>
        <w:t>Pham, P. and Nguyen, D.T. (2025)</w:t>
      </w:r>
      <w:r>
        <w:rPr>
          <w:rFonts w:ascii="Arial" w:hAnsi="Arial" w:cs="Arial"/>
        </w:rPr>
        <w:t xml:space="preserve"> 'The effects of the fintech company growth on bank performance through balanced scorecard – a Delphi study', </w:t>
      </w:r>
      <w:r>
        <w:rPr>
          <w:rStyle w:val="Emphasis"/>
          <w:rFonts w:ascii="Arial" w:hAnsi="Arial" w:cs="Arial"/>
        </w:rPr>
        <w:t>Asian Journal of Economics and Banking</w:t>
      </w:r>
      <w:r>
        <w:rPr>
          <w:rFonts w:ascii="Arial" w:hAnsi="Arial" w:cs="Arial"/>
        </w:rPr>
        <w:t xml:space="preserve">, 9(2), pp.240–260. Available at: </w:t>
      </w:r>
      <w:hyperlink r:id="rId45" w:history="1">
        <w:r w:rsidR="00636FD5">
          <w:rPr>
            <w:rStyle w:val="Hyperlink"/>
            <w:rFonts w:ascii="Arial" w:hAnsi="Arial" w:cs="Arial"/>
          </w:rPr>
          <w:t>https://doi.org/10.1108/AJEB-09-2024-0102</w:t>
        </w:r>
      </w:hyperlink>
    </w:p>
    <w:p w14:paraId="6406904F" w14:textId="4407A717" w:rsidR="00636FD5" w:rsidRPr="007670E6" w:rsidRDefault="00840CD2" w:rsidP="007670E6">
      <w:pPr>
        <w:spacing w:line="360" w:lineRule="auto"/>
        <w:rPr>
          <w:rFonts w:ascii="Arial" w:hAnsi="Arial" w:cs="Arial"/>
        </w:rPr>
      </w:pPr>
      <w:r>
        <w:rPr>
          <w:rStyle w:val="Strong"/>
          <w:rFonts w:ascii="Arial" w:hAnsi="Arial" w:cs="Arial"/>
        </w:rPr>
        <w:t>Simamora, S., Rahayu, A. and Dirgantari, P.D. (2024)</w:t>
      </w:r>
      <w:r>
        <w:rPr>
          <w:rFonts w:ascii="Arial" w:hAnsi="Arial" w:cs="Arial"/>
        </w:rPr>
        <w:t xml:space="preserve"> 'Driving Digital Transformation in Small Banks with VRIO Analysis', </w:t>
      </w:r>
      <w:r>
        <w:rPr>
          <w:rStyle w:val="Emphasis"/>
          <w:rFonts w:ascii="Arial" w:hAnsi="Arial" w:cs="Arial"/>
        </w:rPr>
        <w:t>Jurnal Aplikasi Bisnis dan Manajemen</w:t>
      </w:r>
      <w:r>
        <w:rPr>
          <w:rFonts w:ascii="Arial" w:hAnsi="Arial" w:cs="Arial"/>
        </w:rPr>
        <w:t xml:space="preserve">, 10(1), p.99. Available at: </w:t>
      </w:r>
      <w:hyperlink r:id="rId46" w:history="1">
        <w:r w:rsidR="00636FD5">
          <w:rPr>
            <w:rStyle w:val="Hyperlink"/>
            <w:rFonts w:ascii="Arial" w:hAnsi="Arial" w:cs="Arial"/>
          </w:rPr>
          <w:t>https://doi.org/10.17358/jabm.10.1.99</w:t>
        </w:r>
      </w:hyperlink>
    </w:p>
    <w:p w14:paraId="6ADB0149" w14:textId="77777777" w:rsidR="00E07BD4" w:rsidRPr="007670E6" w:rsidRDefault="00E07BD4" w:rsidP="007670E6">
      <w:pPr>
        <w:spacing w:line="360" w:lineRule="auto"/>
        <w:rPr>
          <w:rFonts w:ascii="Arial" w:hAnsi="Arial" w:cs="Arial"/>
        </w:rPr>
      </w:pPr>
      <w:r>
        <w:rPr>
          <w:rStyle w:val="Strong"/>
          <w:rFonts w:ascii="Arial" w:hAnsi="Arial" w:cs="Arial"/>
        </w:rPr>
        <w:t>Ulam.io (2025)</w:t>
      </w:r>
      <w:r>
        <w:rPr>
          <w:rFonts w:ascii="Arial" w:hAnsi="Arial" w:cs="Arial"/>
        </w:rPr>
        <w:t xml:space="preserve"> </w:t>
      </w:r>
      <w:r>
        <w:rPr>
          <w:rStyle w:val="Emphasis"/>
          <w:rFonts w:ascii="Arial" w:hAnsi="Arial" w:cs="Arial"/>
        </w:rPr>
        <w:t>Challenger Banks Explained: Trends and Opportunities</w:t>
      </w:r>
      <w:r>
        <w:rPr>
          <w:rFonts w:ascii="Arial" w:hAnsi="Arial" w:cs="Arial"/>
        </w:rPr>
        <w:t xml:space="preserve">. Available at: </w:t>
      </w:r>
      <w:hyperlink r:id="rId47" w:history="1">
        <w:r>
          <w:rPr>
            <w:rStyle w:val="Hyperlink"/>
            <w:rFonts w:ascii="Arial" w:hAnsi="Arial" w:cs="Arial"/>
          </w:rPr>
          <w:t>https://www.ulam.io/blog/challenger-banks-what-are-they-and-how-to-start-one</w:t>
        </w:r>
      </w:hyperlink>
    </w:p>
    <w:p w14:paraId="6ECD3E82" w14:textId="77777777" w:rsidR="00636FD5" w:rsidRDefault="00840CD2" w:rsidP="007670E6">
      <w:pPr>
        <w:spacing w:line="360" w:lineRule="auto"/>
      </w:pPr>
      <w:r>
        <w:rPr>
          <w:rStyle w:val="Strong"/>
          <w:rFonts w:ascii="Arial" w:hAnsi="Arial" w:cs="Arial"/>
        </w:rPr>
        <w:t>Ulrich-Diener, F., Dvouletý, O. and Špaček, M. (2025)</w:t>
      </w:r>
      <w:r>
        <w:rPr>
          <w:rFonts w:ascii="Arial" w:hAnsi="Arial" w:cs="Arial"/>
        </w:rPr>
        <w:t xml:space="preserve"> 'The future of banking: What are the actual barriers to bank digitalization?', </w:t>
      </w:r>
      <w:r>
        <w:rPr>
          <w:rStyle w:val="Emphasis"/>
          <w:rFonts w:ascii="Arial" w:hAnsi="Arial" w:cs="Arial"/>
        </w:rPr>
        <w:t>BRQ Business Research Quarterly</w:t>
      </w:r>
      <w:r>
        <w:rPr>
          <w:rFonts w:ascii="Arial" w:hAnsi="Arial" w:cs="Arial"/>
        </w:rPr>
        <w:t xml:space="preserve">, 28(2), pp.491–513. Available at: </w:t>
      </w:r>
      <w:hyperlink r:id="rId48" w:history="1">
        <w:r w:rsidR="00636FD5">
          <w:rPr>
            <w:rStyle w:val="Hyperlink"/>
            <w:rFonts w:ascii="Arial" w:hAnsi="Arial" w:cs="Arial"/>
          </w:rPr>
          <w:t>https://doi.org/10.1177/23409444231211597</w:t>
        </w:r>
      </w:hyperlink>
    </w:p>
    <w:p w14:paraId="7A659C5C" w14:textId="77777777" w:rsidR="00293F34" w:rsidRDefault="00293F34" w:rsidP="007670E6">
      <w:pPr>
        <w:spacing w:line="360" w:lineRule="auto"/>
        <w:rPr>
          <w:rFonts w:ascii="Arial" w:hAnsi="Arial" w:cs="Arial"/>
        </w:rPr>
      </w:pPr>
    </w:p>
    <w:p w14:paraId="51FCC476" w14:textId="7728B666" w:rsidR="00771C5E" w:rsidRDefault="00771C5E" w:rsidP="00771C5E">
      <w:pPr>
        <w:pStyle w:val="Heading1"/>
      </w:pPr>
      <w:bookmarkStart w:id="24" w:name="_Toc237433549"/>
      <w:r>
        <w:t>Appendices</w:t>
      </w:r>
      <w:bookmarkEnd w:id="24"/>
    </w:p>
    <w:p w14:paraId="52E20585" w14:textId="00D90519" w:rsidR="00771C5E" w:rsidRPr="00771C5E" w:rsidRDefault="00771C5E" w:rsidP="00771C5E"/>
    <w:p w14:paraId="104934F7" w14:textId="4F24EDF0" w:rsidR="00771C5E" w:rsidRDefault="00771C5E" w:rsidP="00771C5E">
      <w:pPr>
        <w:spacing w:line="360" w:lineRule="auto"/>
        <w:rPr>
          <w:rFonts w:ascii="Arial" w:hAnsi="Arial" w:cs="Arial"/>
        </w:rPr>
      </w:pPr>
      <w:r>
        <w:rPr>
          <w:rFonts w:ascii="Arial" w:hAnsi="Arial" w:cs="Arial"/>
        </w:rPr>
        <w:t xml:space="preserve">Appendix </w:t>
      </w:r>
      <w:r>
        <w:rPr>
          <w:rFonts w:ascii="Arial" w:hAnsi="Arial" w:cs="Arial"/>
        </w:rPr>
        <w:t>1: VRIO analysis of Chase UK's principal resources and capabilities.</w:t>
      </w:r>
    </w:p>
    <w:tbl>
      <w:tblPr>
        <w:tblW w:w="8500" w:type="dxa"/>
        <w:tblBorders>
          <w:top w:val="single" w:sz="4" w:space="0" w:color="808080"/>
          <w:left w:val="single" w:sz="4" w:space="0" w:color="808080"/>
          <w:bottom w:val="single" w:sz="4" w:space="0" w:color="808080"/>
          <w:right w:val="single" w:sz="4" w:space="0" w:color="808080"/>
          <w:insideH w:val="single" w:sz="4" w:space="0" w:color="808080"/>
          <w:insideV w:val="single" w:sz="4" w:space="0" w:color="808080"/>
        </w:tblBorders>
        <w:tblLook w:val="04A0" w:firstRow="1" w:lastRow="0" w:firstColumn="1" w:lastColumn="0" w:noHBand="0" w:noVBand="1"/>
      </w:tblPr>
      <w:tblGrid>
        <w:gridCol w:w="2188"/>
        <w:gridCol w:w="1204"/>
        <w:gridCol w:w="803"/>
        <w:gridCol w:w="990"/>
        <w:gridCol w:w="1403"/>
        <w:gridCol w:w="1912"/>
      </w:tblGrid>
      <w:tr w:rsidR="00A1490C" w14:paraId="71EF1F71" w14:textId="77777777" w:rsidTr="00B76129">
        <w:tc>
          <w:tcPr>
            <w:tcW w:w="2400" w:type="dxa"/>
            <w:shd w:val="clear" w:color="auto" w:fill="D9D9D9"/>
            <w:vAlign w:val="center"/>
          </w:tcPr>
          <w:p w14:paraId="21979DFF" w14:textId="77777777" w:rsidR="00A1490C" w:rsidRDefault="00A1490C" w:rsidP="00B76129">
            <w:pPr>
              <w:spacing w:after="60" w:line="360" w:lineRule="auto"/>
              <w:rPr>
                <w:rFonts w:ascii="Arial" w:hAnsi="Arial" w:cs="Arial"/>
                <w:sz w:val="20"/>
              </w:rPr>
            </w:pPr>
            <w:r>
              <w:rPr>
                <w:rFonts w:ascii="Arial" w:hAnsi="Arial" w:cs="Arial"/>
                <w:b/>
                <w:bCs/>
              </w:rPr>
              <w:t>Resource</w:t>
            </w:r>
          </w:p>
        </w:tc>
        <w:tc>
          <w:tcPr>
            <w:tcW w:w="900" w:type="dxa"/>
            <w:shd w:val="clear" w:color="auto" w:fill="D9D9D9"/>
            <w:vAlign w:val="center"/>
          </w:tcPr>
          <w:p w14:paraId="5094F8F5" w14:textId="77777777" w:rsidR="00A1490C" w:rsidRDefault="00A1490C" w:rsidP="00B76129">
            <w:pPr>
              <w:spacing w:after="60" w:line="360" w:lineRule="auto"/>
              <w:rPr>
                <w:rFonts w:ascii="Arial" w:hAnsi="Arial" w:cs="Arial"/>
                <w:sz w:val="20"/>
              </w:rPr>
            </w:pPr>
            <w:r>
              <w:rPr>
                <w:rFonts w:ascii="Arial" w:hAnsi="Arial" w:cs="Arial"/>
                <w:b/>
                <w:bCs/>
              </w:rPr>
              <w:t>Valuable</w:t>
            </w:r>
          </w:p>
        </w:tc>
        <w:tc>
          <w:tcPr>
            <w:tcW w:w="900" w:type="dxa"/>
            <w:shd w:val="clear" w:color="auto" w:fill="D9D9D9"/>
            <w:vAlign w:val="center"/>
          </w:tcPr>
          <w:p w14:paraId="7E1FA71E" w14:textId="77777777" w:rsidR="00A1490C" w:rsidRDefault="00A1490C" w:rsidP="00B76129">
            <w:pPr>
              <w:spacing w:after="60" w:line="360" w:lineRule="auto"/>
              <w:rPr>
                <w:rFonts w:ascii="Arial" w:hAnsi="Arial" w:cs="Arial"/>
                <w:sz w:val="20"/>
              </w:rPr>
            </w:pPr>
            <w:r>
              <w:rPr>
                <w:rFonts w:ascii="Arial" w:hAnsi="Arial" w:cs="Arial"/>
                <w:b/>
                <w:bCs/>
              </w:rPr>
              <w:t>Rare</w:t>
            </w:r>
          </w:p>
        </w:tc>
        <w:tc>
          <w:tcPr>
            <w:tcW w:w="900" w:type="dxa"/>
            <w:shd w:val="clear" w:color="auto" w:fill="D9D9D9"/>
            <w:vAlign w:val="center"/>
          </w:tcPr>
          <w:p w14:paraId="1F5B1B1E" w14:textId="77777777" w:rsidR="00A1490C" w:rsidRDefault="00A1490C" w:rsidP="00B76129">
            <w:pPr>
              <w:spacing w:after="60" w:line="360" w:lineRule="auto"/>
              <w:rPr>
                <w:rFonts w:ascii="Arial" w:hAnsi="Arial" w:cs="Arial"/>
                <w:sz w:val="20"/>
              </w:rPr>
            </w:pPr>
            <w:r>
              <w:rPr>
                <w:rFonts w:ascii="Arial" w:hAnsi="Arial" w:cs="Arial"/>
                <w:b/>
                <w:bCs/>
              </w:rPr>
              <w:t>Costly to Imitate</w:t>
            </w:r>
          </w:p>
        </w:tc>
        <w:tc>
          <w:tcPr>
            <w:tcW w:w="900" w:type="dxa"/>
            <w:shd w:val="clear" w:color="auto" w:fill="D9D9D9"/>
            <w:vAlign w:val="center"/>
          </w:tcPr>
          <w:p w14:paraId="052C1310" w14:textId="77777777" w:rsidR="00A1490C" w:rsidRDefault="00A1490C" w:rsidP="00B76129">
            <w:pPr>
              <w:spacing w:after="60" w:line="360" w:lineRule="auto"/>
              <w:rPr>
                <w:rFonts w:ascii="Arial" w:hAnsi="Arial" w:cs="Arial"/>
                <w:sz w:val="20"/>
              </w:rPr>
            </w:pPr>
            <w:r>
              <w:rPr>
                <w:rFonts w:ascii="Arial" w:hAnsi="Arial" w:cs="Arial"/>
                <w:b/>
                <w:bCs/>
              </w:rPr>
              <w:t>Organised</w:t>
            </w:r>
          </w:p>
        </w:tc>
        <w:tc>
          <w:tcPr>
            <w:tcW w:w="2500" w:type="dxa"/>
            <w:shd w:val="clear" w:color="auto" w:fill="D9D9D9"/>
            <w:vAlign w:val="center"/>
          </w:tcPr>
          <w:p w14:paraId="06E3F308" w14:textId="77777777" w:rsidR="00A1490C" w:rsidRDefault="00A1490C" w:rsidP="00B76129">
            <w:pPr>
              <w:spacing w:after="60" w:line="360" w:lineRule="auto"/>
              <w:rPr>
                <w:rFonts w:ascii="Arial" w:hAnsi="Arial" w:cs="Arial"/>
                <w:sz w:val="20"/>
              </w:rPr>
            </w:pPr>
            <w:r>
              <w:rPr>
                <w:rFonts w:ascii="Arial" w:hAnsi="Arial" w:cs="Arial"/>
                <w:b/>
                <w:bCs/>
              </w:rPr>
              <w:t>Competitive Implication</w:t>
            </w:r>
          </w:p>
        </w:tc>
      </w:tr>
      <w:tr w:rsidR="00A1490C" w14:paraId="61CD581D" w14:textId="77777777" w:rsidTr="00B76129">
        <w:tc>
          <w:tcPr>
            <w:tcW w:w="2400" w:type="dxa"/>
            <w:vAlign w:val="center"/>
          </w:tcPr>
          <w:p w14:paraId="7D963253" w14:textId="77777777" w:rsidR="00A1490C" w:rsidRDefault="00A1490C" w:rsidP="00B76129">
            <w:pPr>
              <w:spacing w:after="60" w:line="360" w:lineRule="auto"/>
              <w:rPr>
                <w:rFonts w:ascii="Arial" w:hAnsi="Arial" w:cs="Arial"/>
                <w:sz w:val="20"/>
              </w:rPr>
            </w:pPr>
            <w:r>
              <w:rPr>
                <w:rFonts w:ascii="Arial" w:hAnsi="Arial" w:cs="Arial"/>
              </w:rPr>
              <w:t>Parental balance sheet and capital backing (JPMorgan Chase)</w:t>
            </w:r>
          </w:p>
        </w:tc>
        <w:tc>
          <w:tcPr>
            <w:tcW w:w="900" w:type="dxa"/>
            <w:vAlign w:val="center"/>
          </w:tcPr>
          <w:p w14:paraId="06159929" w14:textId="77777777" w:rsidR="00A1490C" w:rsidRDefault="00A1490C" w:rsidP="00B76129">
            <w:pPr>
              <w:spacing w:after="60" w:line="360" w:lineRule="auto"/>
              <w:rPr>
                <w:rFonts w:ascii="Arial" w:hAnsi="Arial" w:cs="Arial"/>
                <w:sz w:val="20"/>
              </w:rPr>
            </w:pPr>
            <w:r>
              <w:rPr>
                <w:rFonts w:ascii="Arial" w:hAnsi="Arial" w:cs="Arial"/>
              </w:rPr>
              <w:t>Yes</w:t>
            </w:r>
          </w:p>
        </w:tc>
        <w:tc>
          <w:tcPr>
            <w:tcW w:w="900" w:type="dxa"/>
            <w:vAlign w:val="center"/>
          </w:tcPr>
          <w:p w14:paraId="05A168E1" w14:textId="77777777" w:rsidR="00A1490C" w:rsidRDefault="00A1490C" w:rsidP="00B76129">
            <w:pPr>
              <w:spacing w:after="60" w:line="360" w:lineRule="auto"/>
              <w:rPr>
                <w:rFonts w:ascii="Arial" w:hAnsi="Arial" w:cs="Arial"/>
                <w:sz w:val="20"/>
              </w:rPr>
            </w:pPr>
            <w:r>
              <w:rPr>
                <w:rFonts w:ascii="Arial" w:hAnsi="Arial" w:cs="Arial"/>
              </w:rPr>
              <w:t>Yes</w:t>
            </w:r>
          </w:p>
        </w:tc>
        <w:tc>
          <w:tcPr>
            <w:tcW w:w="900" w:type="dxa"/>
            <w:vAlign w:val="center"/>
          </w:tcPr>
          <w:p w14:paraId="1C412EF2" w14:textId="77777777" w:rsidR="00A1490C" w:rsidRDefault="00A1490C" w:rsidP="00B76129">
            <w:pPr>
              <w:spacing w:after="60" w:line="360" w:lineRule="auto"/>
              <w:rPr>
                <w:rFonts w:ascii="Arial" w:hAnsi="Arial" w:cs="Arial"/>
                <w:sz w:val="20"/>
              </w:rPr>
            </w:pPr>
            <w:r>
              <w:rPr>
                <w:rFonts w:ascii="Arial" w:hAnsi="Arial" w:cs="Arial"/>
              </w:rPr>
              <w:t>Yes</w:t>
            </w:r>
          </w:p>
        </w:tc>
        <w:tc>
          <w:tcPr>
            <w:tcW w:w="900" w:type="dxa"/>
            <w:vAlign w:val="center"/>
          </w:tcPr>
          <w:p w14:paraId="0BB2BE07" w14:textId="77777777" w:rsidR="00A1490C" w:rsidRDefault="00A1490C" w:rsidP="00B76129">
            <w:pPr>
              <w:spacing w:after="60" w:line="360" w:lineRule="auto"/>
              <w:rPr>
                <w:rFonts w:ascii="Arial" w:hAnsi="Arial" w:cs="Arial"/>
                <w:sz w:val="20"/>
              </w:rPr>
            </w:pPr>
            <w:r>
              <w:rPr>
                <w:rFonts w:ascii="Arial" w:hAnsi="Arial" w:cs="Arial"/>
              </w:rPr>
              <w:t>Yes</w:t>
            </w:r>
          </w:p>
        </w:tc>
        <w:tc>
          <w:tcPr>
            <w:tcW w:w="2500" w:type="dxa"/>
            <w:vAlign w:val="center"/>
          </w:tcPr>
          <w:p w14:paraId="6330CA4A" w14:textId="77777777" w:rsidR="00A1490C" w:rsidRDefault="00A1490C" w:rsidP="00B76129">
            <w:pPr>
              <w:spacing w:after="60" w:line="360" w:lineRule="auto"/>
              <w:rPr>
                <w:rFonts w:ascii="Arial" w:hAnsi="Arial" w:cs="Arial"/>
                <w:sz w:val="20"/>
              </w:rPr>
            </w:pPr>
            <w:r>
              <w:rPr>
                <w:rFonts w:ascii="Arial" w:hAnsi="Arial" w:cs="Arial"/>
              </w:rPr>
              <w:t>Sustained competitive advantage</w:t>
            </w:r>
          </w:p>
        </w:tc>
      </w:tr>
      <w:tr w:rsidR="00A1490C" w14:paraId="4480F9CE" w14:textId="77777777" w:rsidTr="00B76129">
        <w:tc>
          <w:tcPr>
            <w:tcW w:w="2400" w:type="dxa"/>
            <w:vAlign w:val="center"/>
          </w:tcPr>
          <w:p w14:paraId="1DBA4B92" w14:textId="77777777" w:rsidR="00A1490C" w:rsidRDefault="00A1490C" w:rsidP="00B76129">
            <w:pPr>
              <w:spacing w:after="60" w:line="360" w:lineRule="auto"/>
              <w:rPr>
                <w:rFonts w:ascii="Arial" w:hAnsi="Arial" w:cs="Arial"/>
                <w:sz w:val="20"/>
              </w:rPr>
            </w:pPr>
            <w:r>
              <w:rPr>
                <w:rFonts w:ascii="Arial" w:hAnsi="Arial" w:cs="Arial"/>
              </w:rPr>
              <w:t>Cloud-native, AI-enabled technology platform</w:t>
            </w:r>
          </w:p>
        </w:tc>
        <w:tc>
          <w:tcPr>
            <w:tcW w:w="900" w:type="dxa"/>
            <w:vAlign w:val="center"/>
          </w:tcPr>
          <w:p w14:paraId="0EF1DD42" w14:textId="77777777" w:rsidR="00A1490C" w:rsidRDefault="00A1490C" w:rsidP="00B76129">
            <w:pPr>
              <w:spacing w:after="60" w:line="360" w:lineRule="auto"/>
              <w:rPr>
                <w:rFonts w:ascii="Arial" w:hAnsi="Arial" w:cs="Arial"/>
                <w:sz w:val="20"/>
              </w:rPr>
            </w:pPr>
            <w:r>
              <w:rPr>
                <w:rFonts w:ascii="Arial" w:hAnsi="Arial" w:cs="Arial"/>
              </w:rPr>
              <w:t>Yes</w:t>
            </w:r>
          </w:p>
        </w:tc>
        <w:tc>
          <w:tcPr>
            <w:tcW w:w="900" w:type="dxa"/>
            <w:vAlign w:val="center"/>
          </w:tcPr>
          <w:p w14:paraId="6FC1EFCF" w14:textId="77777777" w:rsidR="00A1490C" w:rsidRDefault="00A1490C" w:rsidP="00B76129">
            <w:pPr>
              <w:spacing w:after="60" w:line="360" w:lineRule="auto"/>
              <w:rPr>
                <w:rFonts w:ascii="Arial" w:hAnsi="Arial" w:cs="Arial"/>
                <w:sz w:val="20"/>
              </w:rPr>
            </w:pPr>
            <w:r>
              <w:rPr>
                <w:rFonts w:ascii="Arial" w:hAnsi="Arial" w:cs="Arial"/>
              </w:rPr>
              <w:t>Yes</w:t>
            </w:r>
          </w:p>
        </w:tc>
        <w:tc>
          <w:tcPr>
            <w:tcW w:w="900" w:type="dxa"/>
            <w:vAlign w:val="center"/>
          </w:tcPr>
          <w:p w14:paraId="7E19D94C" w14:textId="77777777" w:rsidR="00A1490C" w:rsidRDefault="00A1490C" w:rsidP="00B76129">
            <w:pPr>
              <w:spacing w:after="60" w:line="360" w:lineRule="auto"/>
              <w:rPr>
                <w:rFonts w:ascii="Arial" w:hAnsi="Arial" w:cs="Arial"/>
                <w:sz w:val="20"/>
              </w:rPr>
            </w:pPr>
            <w:r>
              <w:rPr>
                <w:rFonts w:ascii="Arial" w:hAnsi="Arial" w:cs="Arial"/>
              </w:rPr>
              <w:t>Partly</w:t>
            </w:r>
          </w:p>
        </w:tc>
        <w:tc>
          <w:tcPr>
            <w:tcW w:w="900" w:type="dxa"/>
            <w:vAlign w:val="center"/>
          </w:tcPr>
          <w:p w14:paraId="40B2379D" w14:textId="77777777" w:rsidR="00A1490C" w:rsidRDefault="00A1490C" w:rsidP="00B76129">
            <w:pPr>
              <w:spacing w:after="60" w:line="360" w:lineRule="auto"/>
              <w:rPr>
                <w:rFonts w:ascii="Arial" w:hAnsi="Arial" w:cs="Arial"/>
                <w:sz w:val="20"/>
              </w:rPr>
            </w:pPr>
            <w:r>
              <w:rPr>
                <w:rFonts w:ascii="Arial" w:hAnsi="Arial" w:cs="Arial"/>
              </w:rPr>
              <w:t>Yes</w:t>
            </w:r>
          </w:p>
        </w:tc>
        <w:tc>
          <w:tcPr>
            <w:tcW w:w="2500" w:type="dxa"/>
            <w:vAlign w:val="center"/>
          </w:tcPr>
          <w:p w14:paraId="100C5762" w14:textId="77777777" w:rsidR="00A1490C" w:rsidRDefault="00A1490C" w:rsidP="00B76129">
            <w:pPr>
              <w:spacing w:after="60" w:line="360" w:lineRule="auto"/>
              <w:rPr>
                <w:rFonts w:ascii="Arial" w:hAnsi="Arial" w:cs="Arial"/>
                <w:sz w:val="20"/>
              </w:rPr>
            </w:pPr>
            <w:r>
              <w:rPr>
                <w:rFonts w:ascii="Arial" w:hAnsi="Arial" w:cs="Arial"/>
              </w:rPr>
              <w:t>Temporary competitive advantage</w:t>
            </w:r>
          </w:p>
        </w:tc>
      </w:tr>
      <w:tr w:rsidR="00A1490C" w14:paraId="4E6FB06E" w14:textId="77777777" w:rsidTr="00B76129">
        <w:tc>
          <w:tcPr>
            <w:tcW w:w="2400" w:type="dxa"/>
            <w:vAlign w:val="center"/>
          </w:tcPr>
          <w:p w14:paraId="22FC3E50" w14:textId="77777777" w:rsidR="00A1490C" w:rsidRDefault="00A1490C" w:rsidP="00B76129">
            <w:pPr>
              <w:spacing w:after="60" w:line="360" w:lineRule="auto"/>
              <w:rPr>
                <w:rFonts w:ascii="Arial" w:hAnsi="Arial" w:cs="Arial"/>
                <w:sz w:val="20"/>
              </w:rPr>
            </w:pPr>
            <w:r>
              <w:rPr>
                <w:rFonts w:ascii="Arial" w:hAnsi="Arial" w:cs="Arial"/>
              </w:rPr>
              <w:t>Global Chase/JPMorgan brand and reputation</w:t>
            </w:r>
          </w:p>
        </w:tc>
        <w:tc>
          <w:tcPr>
            <w:tcW w:w="900" w:type="dxa"/>
            <w:vAlign w:val="center"/>
          </w:tcPr>
          <w:p w14:paraId="41EF3ACF" w14:textId="77777777" w:rsidR="00A1490C" w:rsidRDefault="00A1490C" w:rsidP="00B76129">
            <w:pPr>
              <w:spacing w:after="60" w:line="360" w:lineRule="auto"/>
              <w:rPr>
                <w:rFonts w:ascii="Arial" w:hAnsi="Arial" w:cs="Arial"/>
                <w:sz w:val="20"/>
              </w:rPr>
            </w:pPr>
            <w:r>
              <w:rPr>
                <w:rFonts w:ascii="Arial" w:hAnsi="Arial" w:cs="Arial"/>
              </w:rPr>
              <w:t>Yes</w:t>
            </w:r>
          </w:p>
        </w:tc>
        <w:tc>
          <w:tcPr>
            <w:tcW w:w="900" w:type="dxa"/>
            <w:vAlign w:val="center"/>
          </w:tcPr>
          <w:p w14:paraId="11AFF670" w14:textId="77777777" w:rsidR="00A1490C" w:rsidRDefault="00A1490C" w:rsidP="00B76129">
            <w:pPr>
              <w:spacing w:after="60" w:line="360" w:lineRule="auto"/>
              <w:rPr>
                <w:rFonts w:ascii="Arial" w:hAnsi="Arial" w:cs="Arial"/>
                <w:sz w:val="20"/>
              </w:rPr>
            </w:pPr>
            <w:r>
              <w:rPr>
                <w:rFonts w:ascii="Arial" w:hAnsi="Arial" w:cs="Arial"/>
              </w:rPr>
              <w:t>No</w:t>
            </w:r>
          </w:p>
        </w:tc>
        <w:tc>
          <w:tcPr>
            <w:tcW w:w="900" w:type="dxa"/>
            <w:vAlign w:val="center"/>
          </w:tcPr>
          <w:p w14:paraId="268DD4FF" w14:textId="77777777" w:rsidR="00A1490C" w:rsidRDefault="00A1490C" w:rsidP="00B76129">
            <w:pPr>
              <w:spacing w:after="60" w:line="360" w:lineRule="auto"/>
              <w:rPr>
                <w:rFonts w:ascii="Arial" w:hAnsi="Arial" w:cs="Arial"/>
                <w:sz w:val="20"/>
              </w:rPr>
            </w:pPr>
            <w:r>
              <w:rPr>
                <w:rFonts w:ascii="Arial" w:hAnsi="Arial" w:cs="Arial"/>
              </w:rPr>
              <w:t>Partly</w:t>
            </w:r>
          </w:p>
        </w:tc>
        <w:tc>
          <w:tcPr>
            <w:tcW w:w="900" w:type="dxa"/>
            <w:vAlign w:val="center"/>
          </w:tcPr>
          <w:p w14:paraId="2A30F7DB" w14:textId="77777777" w:rsidR="00A1490C" w:rsidRDefault="00A1490C" w:rsidP="00B76129">
            <w:pPr>
              <w:spacing w:after="60" w:line="360" w:lineRule="auto"/>
              <w:rPr>
                <w:rFonts w:ascii="Arial" w:hAnsi="Arial" w:cs="Arial"/>
                <w:sz w:val="20"/>
              </w:rPr>
            </w:pPr>
            <w:r>
              <w:rPr>
                <w:rFonts w:ascii="Arial" w:hAnsi="Arial" w:cs="Arial"/>
              </w:rPr>
              <w:t>Yes</w:t>
            </w:r>
          </w:p>
        </w:tc>
        <w:tc>
          <w:tcPr>
            <w:tcW w:w="2500" w:type="dxa"/>
            <w:vAlign w:val="center"/>
          </w:tcPr>
          <w:p w14:paraId="33A14F65" w14:textId="77777777" w:rsidR="00A1490C" w:rsidRDefault="00A1490C" w:rsidP="00B76129">
            <w:pPr>
              <w:spacing w:after="60" w:line="360" w:lineRule="auto"/>
              <w:rPr>
                <w:rFonts w:ascii="Arial" w:hAnsi="Arial" w:cs="Arial"/>
                <w:sz w:val="20"/>
              </w:rPr>
            </w:pPr>
            <w:r>
              <w:rPr>
                <w:rFonts w:ascii="Arial" w:hAnsi="Arial" w:cs="Arial"/>
              </w:rPr>
              <w:t>Temporary competitive advantage</w:t>
            </w:r>
          </w:p>
        </w:tc>
      </w:tr>
      <w:tr w:rsidR="00A1490C" w14:paraId="5100A6A3" w14:textId="77777777" w:rsidTr="00B76129">
        <w:tc>
          <w:tcPr>
            <w:tcW w:w="2400" w:type="dxa"/>
            <w:vAlign w:val="center"/>
          </w:tcPr>
          <w:p w14:paraId="2DD04487" w14:textId="77777777" w:rsidR="00A1490C" w:rsidRDefault="00A1490C" w:rsidP="00B76129">
            <w:pPr>
              <w:spacing w:after="60" w:line="360" w:lineRule="auto"/>
              <w:rPr>
                <w:rFonts w:ascii="Arial" w:hAnsi="Arial" w:cs="Arial"/>
                <w:sz w:val="20"/>
              </w:rPr>
            </w:pPr>
            <w:r>
              <w:rPr>
                <w:rFonts w:ascii="Arial" w:hAnsi="Arial" w:cs="Arial"/>
              </w:rPr>
              <w:t>Integrated investment offer (J.P. Morgan Personal Investing)</w:t>
            </w:r>
          </w:p>
        </w:tc>
        <w:tc>
          <w:tcPr>
            <w:tcW w:w="900" w:type="dxa"/>
            <w:vAlign w:val="center"/>
          </w:tcPr>
          <w:p w14:paraId="29E1BD58" w14:textId="77777777" w:rsidR="00A1490C" w:rsidRDefault="00A1490C" w:rsidP="00B76129">
            <w:pPr>
              <w:spacing w:after="60" w:line="360" w:lineRule="auto"/>
              <w:rPr>
                <w:rFonts w:ascii="Arial" w:hAnsi="Arial" w:cs="Arial"/>
                <w:sz w:val="20"/>
              </w:rPr>
            </w:pPr>
            <w:r>
              <w:rPr>
                <w:rFonts w:ascii="Arial" w:hAnsi="Arial" w:cs="Arial"/>
              </w:rPr>
              <w:t>Yes</w:t>
            </w:r>
          </w:p>
        </w:tc>
        <w:tc>
          <w:tcPr>
            <w:tcW w:w="900" w:type="dxa"/>
            <w:vAlign w:val="center"/>
          </w:tcPr>
          <w:p w14:paraId="5429ABB0" w14:textId="77777777" w:rsidR="00A1490C" w:rsidRDefault="00A1490C" w:rsidP="00B76129">
            <w:pPr>
              <w:spacing w:after="60" w:line="360" w:lineRule="auto"/>
              <w:rPr>
                <w:rFonts w:ascii="Arial" w:hAnsi="Arial" w:cs="Arial"/>
                <w:sz w:val="20"/>
              </w:rPr>
            </w:pPr>
            <w:r>
              <w:rPr>
                <w:rFonts w:ascii="Arial" w:hAnsi="Arial" w:cs="Arial"/>
              </w:rPr>
              <w:t>Yes</w:t>
            </w:r>
          </w:p>
        </w:tc>
        <w:tc>
          <w:tcPr>
            <w:tcW w:w="900" w:type="dxa"/>
            <w:vAlign w:val="center"/>
          </w:tcPr>
          <w:p w14:paraId="5DAC6D28" w14:textId="77777777" w:rsidR="00A1490C" w:rsidRDefault="00A1490C" w:rsidP="00B76129">
            <w:pPr>
              <w:spacing w:after="60" w:line="360" w:lineRule="auto"/>
              <w:rPr>
                <w:rFonts w:ascii="Arial" w:hAnsi="Arial" w:cs="Arial"/>
                <w:sz w:val="20"/>
              </w:rPr>
            </w:pPr>
            <w:r>
              <w:rPr>
                <w:rFonts w:ascii="Arial" w:hAnsi="Arial" w:cs="Arial"/>
              </w:rPr>
              <w:t>Partly</w:t>
            </w:r>
          </w:p>
        </w:tc>
        <w:tc>
          <w:tcPr>
            <w:tcW w:w="900" w:type="dxa"/>
            <w:vAlign w:val="center"/>
          </w:tcPr>
          <w:p w14:paraId="3AE478CA" w14:textId="77777777" w:rsidR="00A1490C" w:rsidRDefault="00A1490C" w:rsidP="00B76129">
            <w:pPr>
              <w:spacing w:after="60" w:line="360" w:lineRule="auto"/>
              <w:rPr>
                <w:rFonts w:ascii="Arial" w:hAnsi="Arial" w:cs="Arial"/>
                <w:sz w:val="20"/>
              </w:rPr>
            </w:pPr>
            <w:r>
              <w:rPr>
                <w:rFonts w:ascii="Arial" w:hAnsi="Arial" w:cs="Arial"/>
              </w:rPr>
              <w:t>Yes</w:t>
            </w:r>
          </w:p>
        </w:tc>
        <w:tc>
          <w:tcPr>
            <w:tcW w:w="2500" w:type="dxa"/>
            <w:vAlign w:val="center"/>
          </w:tcPr>
          <w:p w14:paraId="69FAAE61" w14:textId="77777777" w:rsidR="00A1490C" w:rsidRDefault="00A1490C" w:rsidP="00B76129">
            <w:pPr>
              <w:spacing w:after="60" w:line="360" w:lineRule="auto"/>
              <w:rPr>
                <w:rFonts w:ascii="Arial" w:hAnsi="Arial" w:cs="Arial"/>
                <w:sz w:val="20"/>
              </w:rPr>
            </w:pPr>
            <w:r>
              <w:rPr>
                <w:rFonts w:ascii="Arial" w:hAnsi="Arial" w:cs="Arial"/>
              </w:rPr>
              <w:t>Temporary competitive advantage</w:t>
            </w:r>
          </w:p>
        </w:tc>
      </w:tr>
      <w:tr w:rsidR="00A1490C" w14:paraId="019B7B56" w14:textId="77777777" w:rsidTr="00B76129">
        <w:tc>
          <w:tcPr>
            <w:tcW w:w="2400" w:type="dxa"/>
            <w:vAlign w:val="center"/>
          </w:tcPr>
          <w:p w14:paraId="2105AE88" w14:textId="0FF6C867" w:rsidR="00A1490C" w:rsidRDefault="00A1490C" w:rsidP="00B76129">
            <w:pPr>
              <w:spacing w:after="60" w:line="360" w:lineRule="auto"/>
              <w:rPr>
                <w:rFonts w:ascii="Arial" w:hAnsi="Arial" w:cs="Arial"/>
                <w:sz w:val="20"/>
              </w:rPr>
            </w:pPr>
            <w:r>
              <w:rPr>
                <w:rFonts w:ascii="Arial" w:hAnsi="Arial" w:cs="Arial"/>
              </w:rPr>
              <w:t xml:space="preserve">UK banking </w:t>
            </w:r>
            <w:r>
              <w:rPr>
                <w:rFonts w:ascii="Arial" w:hAnsi="Arial" w:cs="Arial"/>
              </w:rPr>
              <w:t>license</w:t>
            </w:r>
            <w:r>
              <w:rPr>
                <w:rFonts w:ascii="Arial" w:hAnsi="Arial" w:cs="Arial"/>
              </w:rPr>
              <w:t xml:space="preserve"> and FSCS protection</w:t>
            </w:r>
          </w:p>
        </w:tc>
        <w:tc>
          <w:tcPr>
            <w:tcW w:w="900" w:type="dxa"/>
            <w:vAlign w:val="center"/>
          </w:tcPr>
          <w:p w14:paraId="72055FC9" w14:textId="77777777" w:rsidR="00A1490C" w:rsidRDefault="00A1490C" w:rsidP="00B76129">
            <w:pPr>
              <w:spacing w:after="60" w:line="360" w:lineRule="auto"/>
              <w:rPr>
                <w:rFonts w:ascii="Arial" w:hAnsi="Arial" w:cs="Arial"/>
                <w:sz w:val="20"/>
              </w:rPr>
            </w:pPr>
            <w:r>
              <w:rPr>
                <w:rFonts w:ascii="Arial" w:hAnsi="Arial" w:cs="Arial"/>
              </w:rPr>
              <w:t>Yes</w:t>
            </w:r>
          </w:p>
        </w:tc>
        <w:tc>
          <w:tcPr>
            <w:tcW w:w="900" w:type="dxa"/>
            <w:vAlign w:val="center"/>
          </w:tcPr>
          <w:p w14:paraId="53388DB1" w14:textId="77777777" w:rsidR="00A1490C" w:rsidRDefault="00A1490C" w:rsidP="00B76129">
            <w:pPr>
              <w:spacing w:after="60" w:line="360" w:lineRule="auto"/>
              <w:rPr>
                <w:rFonts w:ascii="Arial" w:hAnsi="Arial" w:cs="Arial"/>
                <w:sz w:val="20"/>
              </w:rPr>
            </w:pPr>
            <w:r>
              <w:rPr>
                <w:rFonts w:ascii="Arial" w:hAnsi="Arial" w:cs="Arial"/>
              </w:rPr>
              <w:t>No</w:t>
            </w:r>
          </w:p>
        </w:tc>
        <w:tc>
          <w:tcPr>
            <w:tcW w:w="900" w:type="dxa"/>
            <w:vAlign w:val="center"/>
          </w:tcPr>
          <w:p w14:paraId="3BA099E4" w14:textId="77777777" w:rsidR="00A1490C" w:rsidRDefault="00A1490C" w:rsidP="00B76129">
            <w:pPr>
              <w:spacing w:after="60" w:line="360" w:lineRule="auto"/>
              <w:rPr>
                <w:rFonts w:ascii="Arial" w:hAnsi="Arial" w:cs="Arial"/>
                <w:sz w:val="20"/>
              </w:rPr>
            </w:pPr>
            <w:r>
              <w:rPr>
                <w:rFonts w:ascii="Arial" w:hAnsi="Arial" w:cs="Arial"/>
              </w:rPr>
              <w:t>No</w:t>
            </w:r>
          </w:p>
        </w:tc>
        <w:tc>
          <w:tcPr>
            <w:tcW w:w="900" w:type="dxa"/>
            <w:vAlign w:val="center"/>
          </w:tcPr>
          <w:p w14:paraId="1B3C8A76" w14:textId="77777777" w:rsidR="00A1490C" w:rsidRDefault="00A1490C" w:rsidP="00B76129">
            <w:pPr>
              <w:spacing w:after="60" w:line="360" w:lineRule="auto"/>
              <w:rPr>
                <w:rFonts w:ascii="Arial" w:hAnsi="Arial" w:cs="Arial"/>
                <w:sz w:val="20"/>
              </w:rPr>
            </w:pPr>
            <w:r>
              <w:rPr>
                <w:rFonts w:ascii="Arial" w:hAnsi="Arial" w:cs="Arial"/>
              </w:rPr>
              <w:t>Yes</w:t>
            </w:r>
          </w:p>
        </w:tc>
        <w:tc>
          <w:tcPr>
            <w:tcW w:w="2500" w:type="dxa"/>
            <w:vAlign w:val="center"/>
          </w:tcPr>
          <w:p w14:paraId="7C98810B" w14:textId="77777777" w:rsidR="00A1490C" w:rsidRDefault="00A1490C" w:rsidP="00B76129">
            <w:pPr>
              <w:spacing w:after="60" w:line="360" w:lineRule="auto"/>
              <w:rPr>
                <w:rFonts w:ascii="Arial" w:hAnsi="Arial" w:cs="Arial"/>
                <w:sz w:val="20"/>
              </w:rPr>
            </w:pPr>
            <w:r>
              <w:rPr>
                <w:rFonts w:ascii="Arial" w:hAnsi="Arial" w:cs="Arial"/>
              </w:rPr>
              <w:t>Competitive parity</w:t>
            </w:r>
          </w:p>
        </w:tc>
      </w:tr>
    </w:tbl>
    <w:p w14:paraId="28859A6F" w14:textId="77777777" w:rsidR="00771C5E" w:rsidRDefault="00771C5E" w:rsidP="00771C5E">
      <w:pPr>
        <w:spacing w:line="360" w:lineRule="auto"/>
        <w:rPr>
          <w:rFonts w:ascii="Arial" w:hAnsi="Arial" w:cs="Arial"/>
        </w:rPr>
      </w:pPr>
    </w:p>
    <w:p w14:paraId="32727B53" w14:textId="7C838B1B" w:rsidR="00771C5E" w:rsidRDefault="00771C5E" w:rsidP="00771C5E">
      <w:pPr>
        <w:spacing w:line="360" w:lineRule="auto"/>
        <w:rPr>
          <w:rFonts w:ascii="Arial" w:hAnsi="Arial" w:cs="Arial"/>
        </w:rPr>
      </w:pPr>
      <w:r>
        <w:rPr>
          <w:rFonts w:ascii="Arial" w:hAnsi="Arial" w:cs="Arial"/>
        </w:rPr>
        <w:t>Appendix 2: SWOT analysis of Chase UK.</w:t>
      </w:r>
    </w:p>
    <w:tbl>
      <w:tblPr>
        <w:tblW w:w="9400" w:type="dxa"/>
        <w:tblBorders>
          <w:top w:val="single" w:sz="4" w:space="0" w:color="808080"/>
          <w:left w:val="single" w:sz="4" w:space="0" w:color="808080"/>
          <w:bottom w:val="single" w:sz="4" w:space="0" w:color="808080"/>
          <w:right w:val="single" w:sz="4" w:space="0" w:color="808080"/>
          <w:insideH w:val="single" w:sz="4" w:space="0" w:color="808080"/>
          <w:insideV w:val="single" w:sz="4" w:space="0" w:color="808080"/>
        </w:tblBorders>
        <w:tblLook w:val="04A0" w:firstRow="1" w:lastRow="0" w:firstColumn="1" w:lastColumn="0" w:noHBand="0" w:noVBand="1"/>
      </w:tblPr>
      <w:tblGrid>
        <w:gridCol w:w="4700"/>
        <w:gridCol w:w="4700"/>
      </w:tblGrid>
      <w:tr w:rsidR="00A1490C" w14:paraId="70D9D651" w14:textId="77777777" w:rsidTr="00B76129">
        <w:tc>
          <w:tcPr>
            <w:tcW w:w="4700" w:type="dxa"/>
            <w:shd w:val="clear" w:color="auto" w:fill="D9D9D9"/>
            <w:vAlign w:val="center"/>
          </w:tcPr>
          <w:p w14:paraId="2D018AE6" w14:textId="77777777" w:rsidR="00A1490C" w:rsidRDefault="00A1490C" w:rsidP="00B76129">
            <w:pPr>
              <w:spacing w:after="60" w:line="360" w:lineRule="auto"/>
              <w:rPr>
                <w:rFonts w:ascii="Arial" w:hAnsi="Arial" w:cs="Arial"/>
                <w:sz w:val="20"/>
              </w:rPr>
            </w:pPr>
            <w:r>
              <w:rPr>
                <w:rFonts w:ascii="Arial" w:hAnsi="Arial" w:cs="Arial"/>
                <w:b/>
                <w:bCs/>
              </w:rPr>
              <w:t>STRENGTHS</w:t>
            </w:r>
          </w:p>
        </w:tc>
        <w:tc>
          <w:tcPr>
            <w:tcW w:w="4700" w:type="dxa"/>
            <w:shd w:val="clear" w:color="auto" w:fill="D9D9D9"/>
            <w:vAlign w:val="center"/>
          </w:tcPr>
          <w:p w14:paraId="2F3A7651" w14:textId="77777777" w:rsidR="00A1490C" w:rsidRDefault="00A1490C" w:rsidP="00B76129">
            <w:pPr>
              <w:spacing w:after="60" w:line="360" w:lineRule="auto"/>
              <w:rPr>
                <w:rFonts w:ascii="Arial" w:hAnsi="Arial" w:cs="Arial"/>
                <w:sz w:val="20"/>
              </w:rPr>
            </w:pPr>
            <w:r>
              <w:rPr>
                <w:rFonts w:ascii="Arial" w:hAnsi="Arial" w:cs="Arial"/>
                <w:b/>
                <w:bCs/>
              </w:rPr>
              <w:t>WEAKNESSES</w:t>
            </w:r>
          </w:p>
        </w:tc>
      </w:tr>
      <w:tr w:rsidR="00A1490C" w14:paraId="1E81B931" w14:textId="77777777" w:rsidTr="00B76129">
        <w:tc>
          <w:tcPr>
            <w:tcW w:w="4700" w:type="dxa"/>
          </w:tcPr>
          <w:p w14:paraId="6FFFD9E8" w14:textId="77777777" w:rsidR="00A1490C" w:rsidRPr="000E3B1A" w:rsidRDefault="00A1490C" w:rsidP="00B76129">
            <w:pPr>
              <w:pStyle w:val="ListParagraph"/>
              <w:numPr>
                <w:ilvl w:val="0"/>
                <w:numId w:val="3"/>
              </w:numPr>
              <w:spacing w:line="360" w:lineRule="auto"/>
              <w:rPr>
                <w:rStyle w:val="cursor-pointer"/>
                <w:rFonts w:ascii="Geist Fallback" w:hAnsi="Geist Fallback"/>
                <w:sz w:val="23"/>
                <w:szCs w:val="23"/>
              </w:rPr>
            </w:pPr>
            <w:r>
              <w:rPr>
                <w:rStyle w:val="cursor-pointer"/>
                <w:rFonts w:ascii="Geist Fallback" w:hAnsi="Geist Fallback"/>
                <w:sz w:val="23"/>
                <w:szCs w:val="23"/>
              </w:rPr>
              <w:t>Deep balance sheet of the parents and patient capital (JPMorgan Chase, 2025b)</w:t>
            </w:r>
            <w:r>
              <w:rPr>
                <w:rFonts w:ascii="Geist Fallback" w:hAnsi="Geist Fallback"/>
                <w:sz w:val="23"/>
                <w:szCs w:val="23"/>
              </w:rPr>
              <w:t xml:space="preserve"> </w:t>
            </w:r>
          </w:p>
          <w:p w14:paraId="45579C7B" w14:textId="77777777" w:rsidR="00A1490C" w:rsidRPr="000E3B1A" w:rsidRDefault="00A1490C" w:rsidP="00B76129">
            <w:pPr>
              <w:pStyle w:val="ListParagraph"/>
              <w:numPr>
                <w:ilvl w:val="0"/>
                <w:numId w:val="3"/>
              </w:numPr>
              <w:spacing w:line="360" w:lineRule="auto"/>
              <w:rPr>
                <w:rFonts w:ascii="Geist Fallback" w:hAnsi="Geist Fallback"/>
                <w:sz w:val="23"/>
                <w:szCs w:val="23"/>
              </w:rPr>
            </w:pPr>
            <w:r>
              <w:rPr>
                <w:rStyle w:val="cursor-pointer"/>
                <w:rFonts w:ascii="Geist Fallback" w:hAnsi="Geist Fallback"/>
                <w:sz w:val="23"/>
                <w:szCs w:val="23"/>
              </w:rPr>
              <w:t>AI-powered, cloud-based technology platform (JPMorganChase, 2026a; Simamora, Rahayu and Dirgantari, 2024)</w:t>
            </w:r>
            <w:r>
              <w:rPr>
                <w:rFonts w:ascii="Geist Fallback" w:hAnsi="Geist Fallback"/>
                <w:sz w:val="23"/>
                <w:szCs w:val="23"/>
              </w:rPr>
              <w:t xml:space="preserve"> </w:t>
            </w:r>
          </w:p>
          <w:p w14:paraId="4D1AF69F" w14:textId="77777777" w:rsidR="00A1490C" w:rsidRPr="000E3B1A" w:rsidRDefault="00A1490C" w:rsidP="00B76129">
            <w:pPr>
              <w:pStyle w:val="ListParagraph"/>
              <w:numPr>
                <w:ilvl w:val="0"/>
                <w:numId w:val="3"/>
              </w:numPr>
              <w:spacing w:line="360" w:lineRule="auto"/>
              <w:rPr>
                <w:rFonts w:ascii="Geist Fallback" w:hAnsi="Geist Fallback"/>
                <w:sz w:val="23"/>
                <w:szCs w:val="23"/>
              </w:rPr>
            </w:pPr>
            <w:r>
              <w:rPr>
                <w:rStyle w:val="cursor-pointer"/>
                <w:rFonts w:ascii="Geist Fallback" w:hAnsi="Geist Fallback"/>
                <w:sz w:val="23"/>
                <w:szCs w:val="23"/>
              </w:rPr>
              <w:t>Strong Global Brand that minimizes perceived risk (Ndlovu et al., 2025)</w:t>
            </w:r>
            <w:r>
              <w:rPr>
                <w:rFonts w:ascii="Geist Fallback" w:hAnsi="Geist Fallback"/>
                <w:sz w:val="23"/>
                <w:szCs w:val="23"/>
              </w:rPr>
              <w:t xml:space="preserve"> </w:t>
            </w:r>
          </w:p>
          <w:p w14:paraId="1E7406BC" w14:textId="77777777" w:rsidR="00A1490C" w:rsidRPr="000E3B1A" w:rsidRDefault="00A1490C" w:rsidP="00B76129">
            <w:pPr>
              <w:pStyle w:val="ListParagraph"/>
              <w:numPr>
                <w:ilvl w:val="0"/>
                <w:numId w:val="3"/>
              </w:numPr>
              <w:spacing w:line="360" w:lineRule="auto"/>
              <w:rPr>
                <w:rFonts w:ascii="Geist Fallback" w:hAnsi="Geist Fallback"/>
                <w:sz w:val="23"/>
                <w:szCs w:val="23"/>
              </w:rPr>
            </w:pPr>
            <w:r>
              <w:rPr>
                <w:rStyle w:val="cursor-pointer"/>
                <w:rFonts w:ascii="Geist Fallback" w:hAnsi="Geist Fallback"/>
                <w:sz w:val="23"/>
                <w:szCs w:val="23"/>
              </w:rPr>
              <w:t>The bank, J.P. Morgan Chase, has an integrated investment offer via J.P. Morgan Personal Investing (2025a).</w:t>
            </w:r>
            <w:r>
              <w:rPr>
                <w:rFonts w:ascii="Geist Fallback" w:hAnsi="Geist Fallback"/>
                <w:sz w:val="23"/>
                <w:szCs w:val="23"/>
              </w:rPr>
              <w:t xml:space="preserve"> </w:t>
            </w:r>
          </w:p>
          <w:p w14:paraId="64330D05" w14:textId="77777777" w:rsidR="00A1490C" w:rsidRDefault="00A1490C" w:rsidP="00B76129">
            <w:pPr>
              <w:pStyle w:val="ListParagraph"/>
              <w:numPr>
                <w:ilvl w:val="0"/>
                <w:numId w:val="3"/>
              </w:numPr>
              <w:spacing w:line="360" w:lineRule="auto"/>
            </w:pPr>
            <w:r>
              <w:rPr>
                <w:rStyle w:val="cursor-pointer"/>
                <w:rFonts w:ascii="Geist Fallback" w:hAnsi="Geist Fallback"/>
                <w:sz w:val="23"/>
                <w:szCs w:val="23"/>
              </w:rPr>
              <w:t>FSCS protected deposits and a full UK banking license</w:t>
            </w:r>
            <w:r>
              <w:rPr>
                <w:rFonts w:ascii="Geist Fallback" w:hAnsi="Geist Fallback"/>
                <w:sz w:val="23"/>
                <w:szCs w:val="23"/>
              </w:rPr>
              <w:t xml:space="preserve"> </w:t>
            </w:r>
          </w:p>
          <w:p w14:paraId="158777E6" w14:textId="77777777" w:rsidR="00A1490C" w:rsidRDefault="00A1490C" w:rsidP="00B76129">
            <w:pPr>
              <w:spacing w:after="40" w:line="360" w:lineRule="auto"/>
              <w:ind w:left="180" w:hanging="180"/>
              <w:rPr>
                <w:rFonts w:ascii="Arial" w:hAnsi="Arial" w:cs="Arial"/>
                <w:sz w:val="20"/>
              </w:rPr>
            </w:pPr>
          </w:p>
          <w:p w14:paraId="090F686F" w14:textId="77777777" w:rsidR="00A1490C" w:rsidRDefault="00A1490C" w:rsidP="00B76129">
            <w:pPr>
              <w:spacing w:after="40" w:line="360" w:lineRule="auto"/>
              <w:ind w:left="180" w:hanging="180"/>
              <w:rPr>
                <w:rFonts w:ascii="Arial" w:hAnsi="Arial" w:cs="Arial"/>
                <w:sz w:val="20"/>
              </w:rPr>
            </w:pPr>
          </w:p>
        </w:tc>
        <w:tc>
          <w:tcPr>
            <w:tcW w:w="4700" w:type="dxa"/>
          </w:tcPr>
          <w:p w14:paraId="2F260E71" w14:textId="77777777" w:rsidR="00A1490C" w:rsidRPr="000E3B1A" w:rsidRDefault="00A1490C" w:rsidP="00B76129">
            <w:pPr>
              <w:pStyle w:val="ListParagraph"/>
              <w:numPr>
                <w:ilvl w:val="0"/>
                <w:numId w:val="4"/>
              </w:numPr>
              <w:spacing w:line="360" w:lineRule="auto"/>
              <w:rPr>
                <w:rFonts w:ascii="Geist Fallback" w:hAnsi="Geist Fallback"/>
                <w:sz w:val="23"/>
                <w:szCs w:val="23"/>
              </w:rPr>
            </w:pPr>
            <w:r>
              <w:rPr>
                <w:rStyle w:val="cursor-pointer"/>
                <w:rFonts w:ascii="Geist Fallback" w:hAnsi="Geist Fallback"/>
                <w:sz w:val="23"/>
                <w:szCs w:val="23"/>
              </w:rPr>
              <w:t>Limited appeal to those who are less digitally savvy (Ndlovu et al. 2025)</w:t>
            </w:r>
            <w:r>
              <w:rPr>
                <w:rFonts w:ascii="Geist Fallback" w:hAnsi="Geist Fallback"/>
                <w:sz w:val="23"/>
                <w:szCs w:val="23"/>
              </w:rPr>
              <w:t xml:space="preserve"> </w:t>
            </w:r>
          </w:p>
          <w:p w14:paraId="6204CDA8" w14:textId="77777777" w:rsidR="00A1490C" w:rsidRPr="000E3B1A" w:rsidRDefault="00A1490C" w:rsidP="00B76129">
            <w:pPr>
              <w:pStyle w:val="ListParagraph"/>
              <w:numPr>
                <w:ilvl w:val="0"/>
                <w:numId w:val="4"/>
              </w:numPr>
              <w:spacing w:line="360" w:lineRule="auto"/>
              <w:rPr>
                <w:rFonts w:ascii="Geist Fallback" w:hAnsi="Geist Fallback"/>
                <w:sz w:val="23"/>
                <w:szCs w:val="23"/>
              </w:rPr>
            </w:pPr>
            <w:r>
              <w:rPr>
                <w:rStyle w:val="cursor-pointer"/>
                <w:rFonts w:ascii="Geist Fallback" w:hAnsi="Geist Fallback"/>
                <w:sz w:val="23"/>
                <w:szCs w:val="23"/>
              </w:rPr>
              <w:t>Less customer base than Monzo and Revolut (c.2 million and c.10 million respectively)</w:t>
            </w:r>
            <w:r>
              <w:rPr>
                <w:rFonts w:ascii="Geist Fallback" w:hAnsi="Geist Fallback"/>
                <w:sz w:val="23"/>
                <w:szCs w:val="23"/>
              </w:rPr>
              <w:t xml:space="preserve"> </w:t>
            </w:r>
          </w:p>
          <w:p w14:paraId="6D52803E" w14:textId="77777777" w:rsidR="00A1490C" w:rsidRPr="000E3B1A" w:rsidRDefault="00A1490C" w:rsidP="00B76129">
            <w:pPr>
              <w:pStyle w:val="ListParagraph"/>
              <w:numPr>
                <w:ilvl w:val="0"/>
                <w:numId w:val="4"/>
              </w:numPr>
              <w:spacing w:line="360" w:lineRule="auto"/>
              <w:rPr>
                <w:rFonts w:ascii="Geist Fallback" w:hAnsi="Geist Fallback"/>
                <w:sz w:val="23"/>
                <w:szCs w:val="23"/>
              </w:rPr>
            </w:pPr>
            <w:r>
              <w:rPr>
                <w:rStyle w:val="cursor-pointer"/>
                <w:rFonts w:ascii="Geist Fallback" w:hAnsi="Geist Fallback"/>
                <w:sz w:val="23"/>
                <w:szCs w:val="23"/>
              </w:rPr>
              <w:t>Limited product portfolio - no mortgage offering, limited lending</w:t>
            </w:r>
            <w:r>
              <w:rPr>
                <w:rFonts w:ascii="Geist Fallback" w:hAnsi="Geist Fallback"/>
                <w:sz w:val="23"/>
                <w:szCs w:val="23"/>
              </w:rPr>
              <w:t xml:space="preserve"> </w:t>
            </w:r>
          </w:p>
          <w:p w14:paraId="110EBF0A" w14:textId="77777777" w:rsidR="00A1490C" w:rsidRPr="000E3B1A" w:rsidRDefault="00A1490C" w:rsidP="00B76129">
            <w:pPr>
              <w:pStyle w:val="ListParagraph"/>
              <w:numPr>
                <w:ilvl w:val="0"/>
                <w:numId w:val="4"/>
              </w:numPr>
              <w:spacing w:line="360" w:lineRule="auto"/>
              <w:rPr>
                <w:rStyle w:val="cursor-pointer"/>
                <w:rFonts w:ascii="Geist Fallback" w:hAnsi="Geist Fallback"/>
                <w:sz w:val="23"/>
                <w:szCs w:val="23"/>
              </w:rPr>
            </w:pPr>
            <w:r>
              <w:rPr>
                <w:rStyle w:val="cursor-pointer"/>
                <w:rFonts w:ascii="Geist Fallback" w:hAnsi="Geist Fallback"/>
                <w:sz w:val="23"/>
                <w:szCs w:val="23"/>
              </w:rPr>
              <w:t>Marketing budgets need to remain high to maintain product sales, which are largely dependent on them.</w:t>
            </w:r>
          </w:p>
          <w:p w14:paraId="7DC3A77D" w14:textId="77777777" w:rsidR="00A1490C" w:rsidRDefault="00A1490C" w:rsidP="00B76129">
            <w:pPr>
              <w:pStyle w:val="ListParagraph"/>
              <w:numPr>
                <w:ilvl w:val="0"/>
                <w:numId w:val="4"/>
              </w:numPr>
              <w:spacing w:line="360" w:lineRule="auto"/>
            </w:pPr>
            <w:r>
              <w:rPr>
                <w:rStyle w:val="cursor-pointer"/>
                <w:rFonts w:ascii="Geist Fallback" w:hAnsi="Geist Fallback"/>
                <w:sz w:val="23"/>
                <w:szCs w:val="23"/>
              </w:rPr>
              <w:t>Customer growth depends largely on marketing, and marketing budgets must remain high.</w:t>
            </w:r>
            <w:r>
              <w:rPr>
                <w:rFonts w:ascii="Geist Fallback" w:hAnsi="Geist Fallback"/>
                <w:sz w:val="23"/>
                <w:szCs w:val="23"/>
              </w:rPr>
              <w:t xml:space="preserve"> </w:t>
            </w:r>
          </w:p>
          <w:p w14:paraId="55FD63D7" w14:textId="77777777" w:rsidR="00A1490C" w:rsidRDefault="00A1490C" w:rsidP="00B76129">
            <w:pPr>
              <w:spacing w:after="40" w:line="360" w:lineRule="auto"/>
              <w:ind w:left="180" w:hanging="180"/>
              <w:rPr>
                <w:rFonts w:ascii="Arial" w:hAnsi="Arial" w:cs="Arial"/>
                <w:sz w:val="20"/>
              </w:rPr>
            </w:pPr>
          </w:p>
          <w:p w14:paraId="74EC0B7D" w14:textId="77777777" w:rsidR="00A1490C" w:rsidRDefault="00A1490C" w:rsidP="00B76129">
            <w:pPr>
              <w:spacing w:after="40" w:line="360" w:lineRule="auto"/>
              <w:ind w:left="180" w:hanging="180"/>
              <w:rPr>
                <w:rFonts w:ascii="Arial" w:hAnsi="Arial" w:cs="Arial"/>
                <w:sz w:val="20"/>
              </w:rPr>
            </w:pPr>
          </w:p>
        </w:tc>
      </w:tr>
      <w:tr w:rsidR="00A1490C" w14:paraId="353D94D1" w14:textId="77777777" w:rsidTr="00B76129">
        <w:tc>
          <w:tcPr>
            <w:tcW w:w="4700" w:type="dxa"/>
            <w:shd w:val="clear" w:color="auto" w:fill="D9D9D9"/>
            <w:vAlign w:val="center"/>
          </w:tcPr>
          <w:p w14:paraId="71AA4D29" w14:textId="77777777" w:rsidR="00A1490C" w:rsidRDefault="00A1490C" w:rsidP="00B76129">
            <w:pPr>
              <w:spacing w:after="60" w:line="360" w:lineRule="auto"/>
              <w:rPr>
                <w:rFonts w:ascii="Arial" w:hAnsi="Arial" w:cs="Arial"/>
                <w:sz w:val="20"/>
              </w:rPr>
            </w:pPr>
            <w:r>
              <w:rPr>
                <w:rFonts w:ascii="Arial" w:hAnsi="Arial" w:cs="Arial"/>
                <w:b/>
                <w:bCs/>
              </w:rPr>
              <w:t>OPPORTUNITIES</w:t>
            </w:r>
          </w:p>
        </w:tc>
        <w:tc>
          <w:tcPr>
            <w:tcW w:w="4700" w:type="dxa"/>
            <w:shd w:val="clear" w:color="auto" w:fill="D9D9D9"/>
            <w:vAlign w:val="center"/>
          </w:tcPr>
          <w:p w14:paraId="2D5F1F39" w14:textId="77777777" w:rsidR="00A1490C" w:rsidRDefault="00A1490C" w:rsidP="00B76129">
            <w:pPr>
              <w:spacing w:after="60" w:line="360" w:lineRule="auto"/>
              <w:rPr>
                <w:rFonts w:ascii="Arial" w:hAnsi="Arial" w:cs="Arial"/>
                <w:sz w:val="20"/>
              </w:rPr>
            </w:pPr>
            <w:r>
              <w:rPr>
                <w:rFonts w:ascii="Arial" w:hAnsi="Arial" w:cs="Arial"/>
                <w:b/>
                <w:bCs/>
              </w:rPr>
              <w:t>THREATS</w:t>
            </w:r>
          </w:p>
        </w:tc>
      </w:tr>
      <w:tr w:rsidR="00A1490C" w14:paraId="48583EA1" w14:textId="77777777" w:rsidTr="00B76129">
        <w:tc>
          <w:tcPr>
            <w:tcW w:w="4700" w:type="dxa"/>
          </w:tcPr>
          <w:p w14:paraId="1682D7DE" w14:textId="77777777" w:rsidR="00A1490C" w:rsidRPr="00BF5301" w:rsidRDefault="00A1490C" w:rsidP="00B76129">
            <w:pPr>
              <w:pStyle w:val="ListParagraph"/>
              <w:numPr>
                <w:ilvl w:val="0"/>
                <w:numId w:val="5"/>
              </w:numPr>
              <w:spacing w:after="40" w:line="360" w:lineRule="auto"/>
              <w:rPr>
                <w:rFonts w:ascii="Arial" w:hAnsi="Arial" w:cs="Arial"/>
              </w:rPr>
            </w:pPr>
            <w:r>
              <w:rPr>
                <w:rStyle w:val="cursor-pointer"/>
                <w:rFonts w:ascii="Arial" w:hAnsi="Arial" w:cs="Arial"/>
              </w:rPr>
              <w:t>New account-to-account payment revenue – potential from FCA/HM Treasury open banking legislation in 2026 (Financial Conduct Authority, 2025a)</w:t>
            </w:r>
            <w:r>
              <w:rPr>
                <w:rFonts w:ascii="Arial" w:hAnsi="Arial" w:cs="Arial"/>
              </w:rPr>
              <w:t xml:space="preserve"> </w:t>
            </w:r>
          </w:p>
          <w:p w14:paraId="34A00D22" w14:textId="77777777" w:rsidR="00A1490C" w:rsidRPr="00BF5301" w:rsidRDefault="00A1490C" w:rsidP="00B76129">
            <w:pPr>
              <w:pStyle w:val="ListParagraph"/>
              <w:numPr>
                <w:ilvl w:val="0"/>
                <w:numId w:val="5"/>
              </w:numPr>
              <w:spacing w:after="40" w:line="360" w:lineRule="auto"/>
              <w:rPr>
                <w:rFonts w:ascii="Arial" w:hAnsi="Arial" w:cs="Arial"/>
              </w:rPr>
            </w:pPr>
            <w:r>
              <w:rPr>
                <w:rStyle w:val="cursor-pointer"/>
                <w:rFonts w:ascii="Arial" w:hAnsi="Arial" w:cs="Arial"/>
              </w:rPr>
              <w:t>For the CMA9, incumbent bank data is kept open to Chase, if the CMA continues to supervise it (Competition and Markets Authority, 2026)</w:t>
            </w:r>
            <w:r>
              <w:rPr>
                <w:rFonts w:ascii="Arial" w:hAnsi="Arial" w:cs="Arial"/>
              </w:rPr>
              <w:t xml:space="preserve"> </w:t>
            </w:r>
          </w:p>
          <w:p w14:paraId="7B248EA4" w14:textId="77777777" w:rsidR="00A1490C" w:rsidRPr="00BF5301" w:rsidRDefault="00A1490C" w:rsidP="00B76129">
            <w:pPr>
              <w:pStyle w:val="ListParagraph"/>
              <w:numPr>
                <w:ilvl w:val="0"/>
                <w:numId w:val="5"/>
              </w:numPr>
              <w:spacing w:after="40" w:line="360" w:lineRule="auto"/>
              <w:rPr>
                <w:rStyle w:val="cursor-pointer"/>
                <w:rFonts w:ascii="Arial" w:hAnsi="Arial" w:cs="Arial"/>
              </w:rPr>
            </w:pPr>
            <w:r>
              <w:rPr>
                <w:rStyle w:val="cursor-pointer"/>
                <w:rFonts w:ascii="Arial" w:hAnsi="Arial" w:cs="Arial"/>
              </w:rPr>
              <w:t>Cost-of-living pressure and rate environment working in favor of fee-free accounts (Bank of England, 2026)</w:t>
            </w:r>
            <w:r>
              <w:rPr>
                <w:rFonts w:ascii="Arial" w:hAnsi="Arial" w:cs="Arial"/>
              </w:rPr>
              <w:t xml:space="preserve"> </w:t>
            </w:r>
            <w:r>
              <w:rPr>
                <w:rStyle w:val="cursor-pointer"/>
                <w:rFonts w:ascii="Arial" w:hAnsi="Arial" w:cs="Arial"/>
              </w:rPr>
              <w:t>–</w:t>
            </w:r>
          </w:p>
          <w:p w14:paraId="448119BF" w14:textId="77777777" w:rsidR="00A1490C" w:rsidRPr="00BF5301" w:rsidRDefault="00A1490C" w:rsidP="00B76129">
            <w:pPr>
              <w:pStyle w:val="ListParagraph"/>
              <w:numPr>
                <w:ilvl w:val="0"/>
                <w:numId w:val="5"/>
              </w:numPr>
              <w:spacing w:after="40" w:line="360" w:lineRule="auto"/>
              <w:rPr>
                <w:rFonts w:ascii="Arial" w:hAnsi="Arial" w:cs="Arial"/>
              </w:rPr>
            </w:pPr>
            <w:r>
              <w:rPr>
                <w:rStyle w:val="cursor-pointer"/>
                <w:rFonts w:ascii="Arial" w:hAnsi="Arial" w:cs="Arial"/>
              </w:rPr>
              <w:t>Taking the loans business to market after the credit card launch in 2025.</w:t>
            </w:r>
          </w:p>
          <w:p w14:paraId="27C58B15" w14:textId="77777777" w:rsidR="00A1490C" w:rsidRDefault="00A1490C" w:rsidP="00B76129">
            <w:pPr>
              <w:spacing w:after="40" w:line="360" w:lineRule="auto"/>
              <w:ind w:left="180" w:hanging="180"/>
              <w:rPr>
                <w:rFonts w:ascii="Arial" w:hAnsi="Arial" w:cs="Arial"/>
                <w:sz w:val="20"/>
              </w:rPr>
            </w:pPr>
          </w:p>
        </w:tc>
        <w:tc>
          <w:tcPr>
            <w:tcW w:w="4700" w:type="dxa"/>
          </w:tcPr>
          <w:p w14:paraId="60755E2C" w14:textId="3CDE84C1" w:rsidR="00A1490C" w:rsidRPr="00BF5301" w:rsidRDefault="00A1490C" w:rsidP="00B76129">
            <w:pPr>
              <w:pStyle w:val="ListParagraph"/>
              <w:numPr>
                <w:ilvl w:val="0"/>
                <w:numId w:val="6"/>
              </w:numPr>
              <w:spacing w:after="40" w:line="360" w:lineRule="auto"/>
              <w:rPr>
                <w:rFonts w:ascii="Arial" w:hAnsi="Arial" w:cs="Arial"/>
                <w:sz w:val="20"/>
              </w:rPr>
            </w:pPr>
            <w:r>
              <w:rPr>
                <w:rFonts w:ascii="Arial" w:hAnsi="Arial" w:cs="Arial"/>
              </w:rPr>
              <w:t xml:space="preserve">Revolut's full UK banking </w:t>
            </w:r>
            <w:r>
              <w:rPr>
                <w:rFonts w:ascii="Arial" w:hAnsi="Arial" w:cs="Arial"/>
              </w:rPr>
              <w:t>license</w:t>
            </w:r>
            <w:r>
              <w:rPr>
                <w:rFonts w:ascii="Arial" w:hAnsi="Arial" w:cs="Arial"/>
              </w:rPr>
              <w:t xml:space="preserve"> from March 2026, intensifying competition for digitally native customers</w:t>
            </w:r>
          </w:p>
          <w:p w14:paraId="11AAAB02" w14:textId="77777777" w:rsidR="00A1490C" w:rsidRPr="00BF5301" w:rsidRDefault="00A1490C" w:rsidP="00B76129">
            <w:pPr>
              <w:pStyle w:val="ListParagraph"/>
              <w:numPr>
                <w:ilvl w:val="0"/>
                <w:numId w:val="6"/>
              </w:numPr>
              <w:spacing w:after="40" w:line="360" w:lineRule="auto"/>
              <w:rPr>
                <w:rFonts w:ascii="Arial" w:hAnsi="Arial" w:cs="Arial"/>
                <w:sz w:val="20"/>
              </w:rPr>
            </w:pPr>
            <w:r>
              <w:rPr>
                <w:rFonts w:ascii="Arial" w:hAnsi="Arial" w:cs="Arial"/>
              </w:rPr>
              <w:t>Incumbent banks reasserting market power through fintech partnerships rather than losing share (Clarke and Macartney, 2025)</w:t>
            </w:r>
          </w:p>
          <w:p w14:paraId="5B6F2A37" w14:textId="77777777" w:rsidR="00A1490C" w:rsidRPr="00BF5301" w:rsidRDefault="00A1490C" w:rsidP="00B76129">
            <w:pPr>
              <w:pStyle w:val="ListParagraph"/>
              <w:numPr>
                <w:ilvl w:val="0"/>
                <w:numId w:val="6"/>
              </w:numPr>
              <w:spacing w:after="40" w:line="360" w:lineRule="auto"/>
              <w:rPr>
                <w:rFonts w:ascii="Arial" w:hAnsi="Arial" w:cs="Arial"/>
                <w:sz w:val="20"/>
              </w:rPr>
            </w:pPr>
            <w:r>
              <w:rPr>
                <w:rFonts w:ascii="Arial" w:hAnsi="Arial" w:cs="Arial"/>
              </w:rPr>
              <w:t>Rising and volatile inflation pressuring household spending and account-switching behaviour (Bank of England, 2026)</w:t>
            </w:r>
          </w:p>
          <w:p w14:paraId="52B36C8D" w14:textId="77777777" w:rsidR="00A1490C" w:rsidRPr="00BF5301" w:rsidRDefault="00A1490C" w:rsidP="00B76129">
            <w:pPr>
              <w:pStyle w:val="ListParagraph"/>
              <w:numPr>
                <w:ilvl w:val="0"/>
                <w:numId w:val="6"/>
              </w:numPr>
              <w:spacing w:after="40" w:line="360" w:lineRule="auto"/>
              <w:rPr>
                <w:rFonts w:ascii="Arial" w:hAnsi="Arial" w:cs="Arial"/>
                <w:sz w:val="20"/>
              </w:rPr>
            </w:pPr>
            <w:r>
              <w:rPr>
                <w:rFonts w:ascii="Arial" w:hAnsi="Arial" w:cs="Arial"/>
              </w:rPr>
              <w:t>Tightening Consumer Duty and operational-resilience obligations raising compliance costs (Financial Conduct Authority, 2024)</w:t>
            </w:r>
          </w:p>
        </w:tc>
      </w:tr>
    </w:tbl>
    <w:p w14:paraId="7C67856B" w14:textId="77777777" w:rsidR="00A1490C" w:rsidRDefault="00A1490C" w:rsidP="00A1490C">
      <w:pPr>
        <w:spacing w:line="360" w:lineRule="auto"/>
        <w:rPr>
          <w:rFonts w:ascii="Arial" w:hAnsi="Arial" w:cs="Arial"/>
        </w:rPr>
      </w:pPr>
    </w:p>
    <w:p w14:paraId="3B75B084" w14:textId="77777777" w:rsidR="00A1490C" w:rsidRDefault="00A1490C" w:rsidP="00771C5E">
      <w:pPr>
        <w:spacing w:line="360" w:lineRule="auto"/>
        <w:rPr>
          <w:rFonts w:ascii="Arial" w:hAnsi="Arial" w:cs="Arial"/>
        </w:rPr>
      </w:pPr>
    </w:p>
    <w:p w14:paraId="13B366CE" w14:textId="77777777" w:rsidR="00A1490C" w:rsidRDefault="00A1490C" w:rsidP="00771C5E">
      <w:pPr>
        <w:spacing w:line="360" w:lineRule="auto"/>
        <w:rPr>
          <w:rFonts w:ascii="Arial" w:hAnsi="Arial" w:cs="Arial"/>
        </w:rPr>
      </w:pPr>
    </w:p>
    <w:p w14:paraId="7652258A" w14:textId="0FD0AE1D" w:rsidR="00771C5E" w:rsidRDefault="00771C5E" w:rsidP="00771C5E">
      <w:pPr>
        <w:spacing w:line="360" w:lineRule="auto"/>
        <w:rPr>
          <w:rFonts w:ascii="Arial" w:hAnsi="Arial" w:cs="Arial"/>
        </w:rPr>
      </w:pPr>
      <w:r>
        <w:rPr>
          <w:rFonts w:ascii="Arial" w:hAnsi="Arial" w:cs="Arial"/>
        </w:rPr>
        <w:t>Appendix 3: Balanced scorecard for Chase UK, adapted from Kaplan and Norton (1992).</w:t>
      </w:r>
    </w:p>
    <w:tbl>
      <w:tblPr>
        <w:tblW w:w="8500" w:type="dxa"/>
        <w:tblBorders>
          <w:top w:val="single" w:sz="4" w:space="0" w:color="808080"/>
          <w:left w:val="single" w:sz="4" w:space="0" w:color="808080"/>
          <w:bottom w:val="single" w:sz="4" w:space="0" w:color="808080"/>
          <w:right w:val="single" w:sz="4" w:space="0" w:color="808080"/>
          <w:insideH w:val="single" w:sz="4" w:space="0" w:color="808080"/>
          <w:insideV w:val="single" w:sz="4" w:space="0" w:color="808080"/>
        </w:tblBorders>
        <w:tblLook w:val="04A0" w:firstRow="1" w:lastRow="0" w:firstColumn="1" w:lastColumn="0" w:noHBand="0" w:noVBand="1"/>
      </w:tblPr>
      <w:tblGrid>
        <w:gridCol w:w="1564"/>
        <w:gridCol w:w="1688"/>
        <w:gridCol w:w="1684"/>
        <w:gridCol w:w="1394"/>
        <w:gridCol w:w="2170"/>
      </w:tblGrid>
      <w:tr w:rsidR="00A1490C" w14:paraId="54EE9DED" w14:textId="77777777" w:rsidTr="00B76129">
        <w:tc>
          <w:tcPr>
            <w:tcW w:w="1100" w:type="dxa"/>
            <w:shd w:val="clear" w:color="auto" w:fill="D9D9D9"/>
            <w:vAlign w:val="center"/>
          </w:tcPr>
          <w:p w14:paraId="7F193BFC" w14:textId="77777777" w:rsidR="00A1490C" w:rsidRDefault="00A1490C" w:rsidP="00B76129">
            <w:pPr>
              <w:spacing w:after="60" w:line="360" w:lineRule="auto"/>
              <w:rPr>
                <w:rFonts w:ascii="Arial" w:hAnsi="Arial" w:cs="Arial"/>
                <w:sz w:val="20"/>
              </w:rPr>
            </w:pPr>
            <w:r>
              <w:rPr>
                <w:rFonts w:ascii="Arial" w:hAnsi="Arial" w:cs="Arial"/>
                <w:b/>
                <w:bCs/>
              </w:rPr>
              <w:t>Perspective</w:t>
            </w:r>
          </w:p>
        </w:tc>
        <w:tc>
          <w:tcPr>
            <w:tcW w:w="1900" w:type="dxa"/>
            <w:shd w:val="clear" w:color="auto" w:fill="D9D9D9"/>
            <w:vAlign w:val="center"/>
          </w:tcPr>
          <w:p w14:paraId="061F1FB9" w14:textId="77777777" w:rsidR="00A1490C" w:rsidRDefault="00A1490C" w:rsidP="00B76129">
            <w:pPr>
              <w:spacing w:after="60" w:line="360" w:lineRule="auto"/>
              <w:rPr>
                <w:rFonts w:ascii="Arial" w:hAnsi="Arial" w:cs="Arial"/>
                <w:sz w:val="20"/>
              </w:rPr>
            </w:pPr>
            <w:r>
              <w:rPr>
                <w:rFonts w:ascii="Arial" w:hAnsi="Arial" w:cs="Arial"/>
                <w:b/>
                <w:bCs/>
              </w:rPr>
              <w:t>Objective</w:t>
            </w:r>
          </w:p>
        </w:tc>
        <w:tc>
          <w:tcPr>
            <w:tcW w:w="1550" w:type="dxa"/>
            <w:shd w:val="clear" w:color="auto" w:fill="D9D9D9"/>
            <w:vAlign w:val="center"/>
          </w:tcPr>
          <w:p w14:paraId="7310A258" w14:textId="77777777" w:rsidR="00A1490C" w:rsidRDefault="00A1490C" w:rsidP="00B76129">
            <w:pPr>
              <w:spacing w:after="60" w:line="360" w:lineRule="auto"/>
              <w:rPr>
                <w:rFonts w:ascii="Arial" w:hAnsi="Arial" w:cs="Arial"/>
                <w:sz w:val="20"/>
              </w:rPr>
            </w:pPr>
            <w:r>
              <w:rPr>
                <w:rFonts w:ascii="Arial" w:hAnsi="Arial" w:cs="Arial"/>
                <w:b/>
                <w:bCs/>
              </w:rPr>
              <w:t>Key Performance Indicator</w:t>
            </w:r>
          </w:p>
        </w:tc>
        <w:tc>
          <w:tcPr>
            <w:tcW w:w="1400" w:type="dxa"/>
            <w:shd w:val="clear" w:color="auto" w:fill="D9D9D9"/>
            <w:vAlign w:val="center"/>
          </w:tcPr>
          <w:p w14:paraId="6030F544" w14:textId="77777777" w:rsidR="00A1490C" w:rsidRDefault="00A1490C" w:rsidP="00B76129">
            <w:pPr>
              <w:spacing w:after="60" w:line="360" w:lineRule="auto"/>
              <w:rPr>
                <w:rFonts w:ascii="Arial" w:hAnsi="Arial" w:cs="Arial"/>
                <w:sz w:val="20"/>
              </w:rPr>
            </w:pPr>
            <w:r>
              <w:rPr>
                <w:rFonts w:ascii="Arial" w:hAnsi="Arial" w:cs="Arial"/>
                <w:b/>
                <w:bCs/>
              </w:rPr>
              <w:t>Target</w:t>
            </w:r>
          </w:p>
        </w:tc>
        <w:tc>
          <w:tcPr>
            <w:tcW w:w="2150" w:type="dxa"/>
            <w:shd w:val="clear" w:color="auto" w:fill="D9D9D9"/>
            <w:vAlign w:val="center"/>
          </w:tcPr>
          <w:p w14:paraId="513E0FBD" w14:textId="77777777" w:rsidR="00A1490C" w:rsidRDefault="00A1490C" w:rsidP="00B76129">
            <w:pPr>
              <w:spacing w:after="60" w:line="360" w:lineRule="auto"/>
              <w:rPr>
                <w:rFonts w:ascii="Arial" w:hAnsi="Arial" w:cs="Arial"/>
                <w:sz w:val="20"/>
              </w:rPr>
            </w:pPr>
            <w:r>
              <w:rPr>
                <w:rFonts w:ascii="Arial" w:hAnsi="Arial" w:cs="Arial"/>
                <w:b/>
                <w:bCs/>
              </w:rPr>
              <w:t>Initiative</w:t>
            </w:r>
          </w:p>
        </w:tc>
      </w:tr>
      <w:tr w:rsidR="00A1490C" w14:paraId="1D84D881" w14:textId="77777777" w:rsidTr="00B76129">
        <w:tc>
          <w:tcPr>
            <w:tcW w:w="1100" w:type="dxa"/>
            <w:vAlign w:val="center"/>
          </w:tcPr>
          <w:p w14:paraId="612D65E3" w14:textId="77777777" w:rsidR="00A1490C" w:rsidRDefault="00A1490C" w:rsidP="00B76129">
            <w:pPr>
              <w:spacing w:after="60" w:line="360" w:lineRule="auto"/>
              <w:rPr>
                <w:rFonts w:ascii="Arial" w:hAnsi="Arial" w:cs="Arial"/>
                <w:sz w:val="20"/>
              </w:rPr>
            </w:pPr>
            <w:r>
              <w:rPr>
                <w:rFonts w:ascii="Arial" w:hAnsi="Arial" w:cs="Arial"/>
                <w:b/>
                <w:bCs/>
              </w:rPr>
              <w:t>Financial</w:t>
            </w:r>
          </w:p>
        </w:tc>
        <w:tc>
          <w:tcPr>
            <w:tcW w:w="1900" w:type="dxa"/>
            <w:vAlign w:val="center"/>
          </w:tcPr>
          <w:p w14:paraId="25AA98AC" w14:textId="77777777" w:rsidR="00A1490C" w:rsidRDefault="00A1490C" w:rsidP="00B76129">
            <w:pPr>
              <w:spacing w:after="60" w:line="360" w:lineRule="auto"/>
              <w:rPr>
                <w:rFonts w:ascii="Arial" w:hAnsi="Arial" w:cs="Arial"/>
                <w:sz w:val="20"/>
              </w:rPr>
            </w:pPr>
            <w:r>
              <w:rPr>
                <w:rFonts w:ascii="Arial" w:hAnsi="Arial" w:cs="Arial"/>
              </w:rPr>
              <w:t>Grow revenue and profitability sustainably beyond interchange income</w:t>
            </w:r>
          </w:p>
        </w:tc>
        <w:tc>
          <w:tcPr>
            <w:tcW w:w="1550" w:type="dxa"/>
            <w:vAlign w:val="center"/>
          </w:tcPr>
          <w:p w14:paraId="1CAFC4D8" w14:textId="77777777" w:rsidR="00A1490C" w:rsidRDefault="00A1490C" w:rsidP="00B76129">
            <w:pPr>
              <w:spacing w:after="60" w:line="360" w:lineRule="auto"/>
              <w:rPr>
                <w:rFonts w:ascii="Arial" w:hAnsi="Arial" w:cs="Arial"/>
                <w:sz w:val="20"/>
              </w:rPr>
            </w:pPr>
            <w:r>
              <w:rPr>
                <w:rFonts w:ascii="Arial" w:hAnsi="Arial" w:cs="Arial"/>
              </w:rPr>
              <w:t>Deposit growth (£); net interest margin</w:t>
            </w:r>
          </w:p>
        </w:tc>
        <w:tc>
          <w:tcPr>
            <w:tcW w:w="1400" w:type="dxa"/>
            <w:vAlign w:val="center"/>
          </w:tcPr>
          <w:p w14:paraId="1E1F5B74" w14:textId="77777777" w:rsidR="00A1490C" w:rsidRDefault="00A1490C" w:rsidP="00B76129">
            <w:pPr>
              <w:spacing w:after="60" w:line="360" w:lineRule="auto"/>
              <w:rPr>
                <w:rFonts w:ascii="Arial" w:hAnsi="Arial" w:cs="Arial"/>
                <w:sz w:val="20"/>
              </w:rPr>
            </w:pPr>
            <w:r>
              <w:rPr>
                <w:rFonts w:ascii="Arial" w:hAnsi="Arial" w:cs="Arial"/>
              </w:rPr>
              <w:t>Grow deposits beyond £25 billion by 2027</w:t>
            </w:r>
          </w:p>
        </w:tc>
        <w:tc>
          <w:tcPr>
            <w:tcW w:w="2150" w:type="dxa"/>
            <w:vAlign w:val="center"/>
          </w:tcPr>
          <w:p w14:paraId="34042178" w14:textId="77777777" w:rsidR="00A1490C" w:rsidRDefault="00A1490C" w:rsidP="00B76129">
            <w:pPr>
              <w:spacing w:after="60" w:line="360" w:lineRule="auto"/>
              <w:rPr>
                <w:rFonts w:ascii="Arial" w:hAnsi="Arial" w:cs="Arial"/>
                <w:sz w:val="20"/>
              </w:rPr>
            </w:pPr>
            <w:r>
              <w:rPr>
                <w:rFonts w:ascii="Arial" w:hAnsi="Arial" w:cs="Arial"/>
              </w:rPr>
              <w:t>Expand the 2025 credit card and personal-lending range to diversify revenue</w:t>
            </w:r>
          </w:p>
        </w:tc>
      </w:tr>
      <w:tr w:rsidR="00A1490C" w14:paraId="32019199" w14:textId="77777777" w:rsidTr="00B76129">
        <w:tc>
          <w:tcPr>
            <w:tcW w:w="1100" w:type="dxa"/>
            <w:vAlign w:val="center"/>
          </w:tcPr>
          <w:p w14:paraId="0C729386" w14:textId="77777777" w:rsidR="00A1490C" w:rsidRDefault="00A1490C" w:rsidP="00B76129">
            <w:pPr>
              <w:spacing w:after="60" w:line="360" w:lineRule="auto"/>
              <w:rPr>
                <w:rFonts w:ascii="Arial" w:hAnsi="Arial" w:cs="Arial"/>
                <w:sz w:val="20"/>
              </w:rPr>
            </w:pPr>
            <w:r>
              <w:rPr>
                <w:rFonts w:ascii="Arial" w:hAnsi="Arial" w:cs="Arial"/>
                <w:b/>
                <w:bCs/>
              </w:rPr>
              <w:t>Customer</w:t>
            </w:r>
          </w:p>
        </w:tc>
        <w:tc>
          <w:tcPr>
            <w:tcW w:w="1900" w:type="dxa"/>
            <w:vAlign w:val="center"/>
          </w:tcPr>
          <w:p w14:paraId="22923A2C" w14:textId="77777777" w:rsidR="00A1490C" w:rsidRDefault="00A1490C" w:rsidP="00B76129">
            <w:pPr>
              <w:spacing w:after="60" w:line="360" w:lineRule="auto"/>
              <w:rPr>
                <w:rFonts w:ascii="Arial" w:hAnsi="Arial" w:cs="Arial"/>
                <w:sz w:val="20"/>
              </w:rPr>
            </w:pPr>
            <w:r>
              <w:rPr>
                <w:rFonts w:ascii="Arial" w:hAnsi="Arial" w:cs="Arial"/>
              </w:rPr>
              <w:t>Deepen primary-bank relationships and customer trust</w:t>
            </w:r>
          </w:p>
        </w:tc>
        <w:tc>
          <w:tcPr>
            <w:tcW w:w="1550" w:type="dxa"/>
            <w:vAlign w:val="center"/>
          </w:tcPr>
          <w:p w14:paraId="5ECE7031" w14:textId="77777777" w:rsidR="00A1490C" w:rsidRDefault="00A1490C" w:rsidP="00B76129">
            <w:pPr>
              <w:spacing w:after="60" w:line="360" w:lineRule="auto"/>
              <w:rPr>
                <w:rFonts w:ascii="Arial" w:hAnsi="Arial" w:cs="Arial"/>
                <w:sz w:val="20"/>
              </w:rPr>
            </w:pPr>
            <w:r>
              <w:rPr>
                <w:rFonts w:ascii="Arial" w:hAnsi="Arial" w:cs="Arial"/>
              </w:rPr>
              <w:t>Primary-account conversion rate; app-store rating</w:t>
            </w:r>
          </w:p>
        </w:tc>
        <w:tc>
          <w:tcPr>
            <w:tcW w:w="1400" w:type="dxa"/>
            <w:vAlign w:val="center"/>
          </w:tcPr>
          <w:p w14:paraId="30B2E935" w14:textId="77777777" w:rsidR="00A1490C" w:rsidRDefault="00A1490C" w:rsidP="00B76129">
            <w:pPr>
              <w:spacing w:after="60" w:line="360" w:lineRule="auto"/>
              <w:rPr>
                <w:rFonts w:ascii="Arial" w:hAnsi="Arial" w:cs="Arial"/>
                <w:sz w:val="20"/>
              </w:rPr>
            </w:pPr>
            <w:r>
              <w:rPr>
                <w:rFonts w:ascii="Arial" w:hAnsi="Arial" w:cs="Arial"/>
              </w:rPr>
              <w:t>Convert a majority of the c.2 million customer base to primary-account status</w:t>
            </w:r>
          </w:p>
        </w:tc>
        <w:tc>
          <w:tcPr>
            <w:tcW w:w="2150" w:type="dxa"/>
            <w:vAlign w:val="center"/>
          </w:tcPr>
          <w:p w14:paraId="5AA97530" w14:textId="77777777" w:rsidR="00A1490C" w:rsidRDefault="00A1490C" w:rsidP="00B76129">
            <w:pPr>
              <w:spacing w:after="60" w:line="360" w:lineRule="auto"/>
              <w:rPr>
                <w:rFonts w:ascii="Arial" w:hAnsi="Arial" w:cs="Arial"/>
                <w:sz w:val="20"/>
              </w:rPr>
            </w:pPr>
            <w:r>
              <w:rPr>
                <w:rFonts w:ascii="Arial" w:hAnsi="Arial" w:cs="Arial"/>
              </w:rPr>
              <w:t>Extend cashback rewards and cross-sell J.P. Morgan Personal Investing</w:t>
            </w:r>
          </w:p>
        </w:tc>
      </w:tr>
      <w:tr w:rsidR="00A1490C" w14:paraId="4FACFF6B" w14:textId="77777777" w:rsidTr="00B76129">
        <w:tc>
          <w:tcPr>
            <w:tcW w:w="1100" w:type="dxa"/>
            <w:vAlign w:val="center"/>
          </w:tcPr>
          <w:p w14:paraId="013B6849" w14:textId="77777777" w:rsidR="00A1490C" w:rsidRDefault="00A1490C" w:rsidP="00B76129">
            <w:pPr>
              <w:spacing w:after="60" w:line="360" w:lineRule="auto"/>
              <w:rPr>
                <w:rFonts w:ascii="Arial" w:hAnsi="Arial" w:cs="Arial"/>
                <w:sz w:val="20"/>
              </w:rPr>
            </w:pPr>
            <w:r>
              <w:rPr>
                <w:rFonts w:ascii="Arial" w:hAnsi="Arial" w:cs="Arial"/>
                <w:b/>
                <w:bCs/>
              </w:rPr>
              <w:t>Internal Business Process</w:t>
            </w:r>
          </w:p>
        </w:tc>
        <w:tc>
          <w:tcPr>
            <w:tcW w:w="1900" w:type="dxa"/>
            <w:vAlign w:val="center"/>
          </w:tcPr>
          <w:p w14:paraId="5F1C79DB" w14:textId="77777777" w:rsidR="00A1490C" w:rsidRDefault="00A1490C" w:rsidP="00B76129">
            <w:pPr>
              <w:spacing w:after="60" w:line="360" w:lineRule="auto"/>
              <w:rPr>
                <w:rFonts w:ascii="Arial" w:hAnsi="Arial" w:cs="Arial"/>
                <w:sz w:val="20"/>
              </w:rPr>
            </w:pPr>
            <w:r>
              <w:rPr>
                <w:rFonts w:ascii="Arial" w:hAnsi="Arial" w:cs="Arial"/>
              </w:rPr>
              <w:t>Maintain resilient, compliant, and efficient digital operations</w:t>
            </w:r>
          </w:p>
        </w:tc>
        <w:tc>
          <w:tcPr>
            <w:tcW w:w="1550" w:type="dxa"/>
            <w:vAlign w:val="center"/>
          </w:tcPr>
          <w:p w14:paraId="627BAF62" w14:textId="77777777" w:rsidR="00A1490C" w:rsidRDefault="00A1490C" w:rsidP="00B76129">
            <w:pPr>
              <w:spacing w:after="60" w:line="360" w:lineRule="auto"/>
              <w:rPr>
                <w:rFonts w:ascii="Arial" w:hAnsi="Arial" w:cs="Arial"/>
                <w:sz w:val="20"/>
              </w:rPr>
            </w:pPr>
            <w:r>
              <w:rPr>
                <w:rFonts w:ascii="Arial" w:hAnsi="Arial" w:cs="Arial"/>
              </w:rPr>
              <w:t>App uptime (%); AI-detected fraud losses prevented</w:t>
            </w:r>
          </w:p>
        </w:tc>
        <w:tc>
          <w:tcPr>
            <w:tcW w:w="1400" w:type="dxa"/>
            <w:vAlign w:val="center"/>
          </w:tcPr>
          <w:p w14:paraId="3E042C53" w14:textId="77777777" w:rsidR="00A1490C" w:rsidRDefault="00A1490C" w:rsidP="00B76129">
            <w:pPr>
              <w:spacing w:after="60" w:line="360" w:lineRule="auto"/>
              <w:rPr>
                <w:rFonts w:ascii="Arial" w:hAnsi="Arial" w:cs="Arial"/>
                <w:sz w:val="20"/>
              </w:rPr>
            </w:pPr>
            <w:r>
              <w:rPr>
                <w:rFonts w:ascii="Arial" w:hAnsi="Arial" w:cs="Arial"/>
              </w:rPr>
              <w:t>Sustain 99.9% app availability; reduce fraud losses year-on-year</w:t>
            </w:r>
          </w:p>
        </w:tc>
        <w:tc>
          <w:tcPr>
            <w:tcW w:w="2150" w:type="dxa"/>
            <w:vAlign w:val="center"/>
          </w:tcPr>
          <w:p w14:paraId="4125514E" w14:textId="77777777" w:rsidR="00A1490C" w:rsidRDefault="00A1490C" w:rsidP="00B76129">
            <w:pPr>
              <w:spacing w:after="60" w:line="360" w:lineRule="auto"/>
              <w:rPr>
                <w:rFonts w:ascii="Arial" w:hAnsi="Arial" w:cs="Arial"/>
                <w:sz w:val="20"/>
              </w:rPr>
            </w:pPr>
            <w:r>
              <w:rPr>
                <w:rFonts w:ascii="Arial" w:hAnsi="Arial" w:cs="Arial"/>
              </w:rPr>
              <w:t>Deploy JPMorganChase's group-wide AI fraud-detection tools locally</w:t>
            </w:r>
          </w:p>
        </w:tc>
      </w:tr>
      <w:tr w:rsidR="00A1490C" w14:paraId="25D74CA2" w14:textId="77777777" w:rsidTr="00B76129">
        <w:tc>
          <w:tcPr>
            <w:tcW w:w="1100" w:type="dxa"/>
            <w:vAlign w:val="center"/>
          </w:tcPr>
          <w:p w14:paraId="3ACF7CCB" w14:textId="77777777" w:rsidR="00A1490C" w:rsidRDefault="00A1490C" w:rsidP="00B76129">
            <w:pPr>
              <w:spacing w:after="60" w:line="360" w:lineRule="auto"/>
              <w:rPr>
                <w:rFonts w:ascii="Arial" w:hAnsi="Arial" w:cs="Arial"/>
                <w:sz w:val="20"/>
              </w:rPr>
            </w:pPr>
            <w:r>
              <w:rPr>
                <w:rFonts w:ascii="Arial" w:hAnsi="Arial" w:cs="Arial"/>
                <w:b/>
                <w:bCs/>
              </w:rPr>
              <w:t>Learning and Growth</w:t>
            </w:r>
          </w:p>
        </w:tc>
        <w:tc>
          <w:tcPr>
            <w:tcW w:w="1900" w:type="dxa"/>
            <w:vAlign w:val="center"/>
          </w:tcPr>
          <w:p w14:paraId="44F3582E" w14:textId="77777777" w:rsidR="00A1490C" w:rsidRDefault="00A1490C" w:rsidP="00B76129">
            <w:pPr>
              <w:spacing w:after="60" w:line="360" w:lineRule="auto"/>
              <w:rPr>
                <w:rFonts w:ascii="Arial" w:hAnsi="Arial" w:cs="Arial"/>
                <w:sz w:val="20"/>
              </w:rPr>
            </w:pPr>
            <w:r>
              <w:rPr>
                <w:rFonts w:ascii="Arial" w:hAnsi="Arial" w:cs="Arial"/>
              </w:rPr>
              <w:t>Build UK data, AI, and compliance capability</w:t>
            </w:r>
          </w:p>
        </w:tc>
        <w:tc>
          <w:tcPr>
            <w:tcW w:w="1550" w:type="dxa"/>
            <w:vAlign w:val="center"/>
          </w:tcPr>
          <w:p w14:paraId="468AADC9" w14:textId="77777777" w:rsidR="00A1490C" w:rsidRDefault="00A1490C" w:rsidP="00B76129">
            <w:pPr>
              <w:spacing w:after="60" w:line="360" w:lineRule="auto"/>
              <w:rPr>
                <w:rFonts w:ascii="Arial" w:hAnsi="Arial" w:cs="Arial"/>
                <w:sz w:val="20"/>
              </w:rPr>
            </w:pPr>
            <w:r>
              <w:rPr>
                <w:rFonts w:ascii="Arial" w:hAnsi="Arial" w:cs="Arial"/>
              </w:rPr>
              <w:t>Staff trained in AI/data tools (%); employee retention rate</w:t>
            </w:r>
          </w:p>
        </w:tc>
        <w:tc>
          <w:tcPr>
            <w:tcW w:w="1400" w:type="dxa"/>
            <w:vAlign w:val="center"/>
          </w:tcPr>
          <w:p w14:paraId="5139C006" w14:textId="77777777" w:rsidR="00A1490C" w:rsidRDefault="00A1490C" w:rsidP="00B76129">
            <w:pPr>
              <w:spacing w:after="60" w:line="360" w:lineRule="auto"/>
              <w:rPr>
                <w:rFonts w:ascii="Arial" w:hAnsi="Arial" w:cs="Arial"/>
                <w:sz w:val="20"/>
              </w:rPr>
            </w:pPr>
            <w:r>
              <w:rPr>
                <w:rFonts w:ascii="Arial" w:hAnsi="Arial" w:cs="Arial"/>
              </w:rPr>
              <w:t>Increase annual AI/data upskilling coverage among UK staff</w:t>
            </w:r>
          </w:p>
        </w:tc>
        <w:tc>
          <w:tcPr>
            <w:tcW w:w="2150" w:type="dxa"/>
            <w:vAlign w:val="center"/>
          </w:tcPr>
          <w:p w14:paraId="2F889560" w14:textId="77777777" w:rsidR="00A1490C" w:rsidRDefault="00A1490C" w:rsidP="00B76129">
            <w:pPr>
              <w:spacing w:after="60" w:line="360" w:lineRule="auto"/>
              <w:rPr>
                <w:rFonts w:ascii="Arial" w:hAnsi="Arial" w:cs="Arial"/>
                <w:sz w:val="20"/>
              </w:rPr>
            </w:pPr>
            <w:r>
              <w:rPr>
                <w:rFonts w:ascii="Arial" w:hAnsi="Arial" w:cs="Arial"/>
              </w:rPr>
              <w:t>Extend JPMorgan's global technology-training programmes to Chase UK teams</w:t>
            </w:r>
          </w:p>
        </w:tc>
      </w:tr>
    </w:tbl>
    <w:p w14:paraId="780F5412" w14:textId="77777777" w:rsidR="00A1490C" w:rsidRDefault="00A1490C" w:rsidP="00771C5E">
      <w:pPr>
        <w:spacing w:line="360" w:lineRule="auto"/>
        <w:rPr>
          <w:rFonts w:ascii="Arial" w:hAnsi="Arial" w:cs="Arial"/>
        </w:rPr>
      </w:pPr>
    </w:p>
    <w:p w14:paraId="1A367365" w14:textId="77777777" w:rsidR="00A1490C" w:rsidRDefault="00A1490C" w:rsidP="00771C5E">
      <w:pPr>
        <w:spacing w:line="360" w:lineRule="auto"/>
      </w:pPr>
    </w:p>
    <w:p w14:paraId="48770BC7" w14:textId="77777777" w:rsidR="00771C5E" w:rsidRDefault="00771C5E" w:rsidP="00771C5E">
      <w:pPr>
        <w:spacing w:line="360" w:lineRule="auto"/>
        <w:jc w:val="center"/>
        <w:rPr>
          <w:rFonts w:ascii="Arial" w:hAnsi="Arial" w:cs="Arial"/>
        </w:rPr>
      </w:pPr>
    </w:p>
    <w:p w14:paraId="2FF8C960" w14:textId="77777777" w:rsidR="00771C5E" w:rsidRDefault="00771C5E" w:rsidP="00771C5E">
      <w:pPr>
        <w:spacing w:line="360" w:lineRule="auto"/>
      </w:pPr>
    </w:p>
    <w:p w14:paraId="482AF129" w14:textId="77777777" w:rsidR="00771C5E" w:rsidRDefault="00771C5E" w:rsidP="00771C5E">
      <w:pPr>
        <w:spacing w:line="360" w:lineRule="auto"/>
        <w:rPr>
          <w:rFonts w:ascii="Arial" w:hAnsi="Arial" w:cs="Arial"/>
        </w:rPr>
      </w:pPr>
    </w:p>
    <w:p w14:paraId="44A4E418" w14:textId="77777777" w:rsidR="00771C5E" w:rsidRDefault="00771C5E" w:rsidP="00771C5E">
      <w:pPr>
        <w:spacing w:line="360" w:lineRule="auto"/>
      </w:pPr>
    </w:p>
    <w:p w14:paraId="638198BB" w14:textId="77777777" w:rsidR="00771C5E" w:rsidRDefault="00771C5E" w:rsidP="00771C5E">
      <w:pPr>
        <w:spacing w:line="360" w:lineRule="auto"/>
        <w:rPr>
          <w:rFonts w:ascii="Arial" w:hAnsi="Arial" w:cs="Arial"/>
        </w:rPr>
      </w:pPr>
    </w:p>
    <w:p w14:paraId="52E3FE22" w14:textId="77777777" w:rsidR="00E07BD4" w:rsidRPr="007670E6" w:rsidRDefault="00E07BD4" w:rsidP="007670E6">
      <w:pPr>
        <w:spacing w:line="360" w:lineRule="auto"/>
        <w:rPr>
          <w:rFonts w:ascii="Arial" w:hAnsi="Arial" w:cs="Arial"/>
        </w:rPr>
      </w:pPr>
    </w:p>
    <w:p w14:paraId="0F993067" w14:textId="77777777" w:rsidR="00267901" w:rsidRPr="00267901" w:rsidRDefault="00267901" w:rsidP="00267901">
      <w:pPr>
        <w:spacing w:line="360" w:lineRule="auto"/>
        <w:rPr>
          <w:rFonts w:ascii="Arial" w:hAnsi="Arial" w:cs="Arial"/>
        </w:rPr>
      </w:pPr>
    </w:p>
    <w:p w14:paraId="02E28EED" w14:textId="77777777" w:rsidR="00AC7D51" w:rsidRPr="00267901" w:rsidRDefault="00AC7D51" w:rsidP="00267901">
      <w:pPr>
        <w:spacing w:line="360" w:lineRule="auto"/>
        <w:jc w:val="center"/>
        <w:rPr>
          <w:rFonts w:ascii="Arial" w:hAnsi="Arial" w:cs="Arial"/>
          <w:b/>
          <w:bCs/>
          <w:sz w:val="28"/>
          <w:szCs w:val="28"/>
        </w:rPr>
      </w:pPr>
    </w:p>
    <w:p w14:paraId="4891D3B8" w14:textId="77777777" w:rsidR="00AC7D51" w:rsidRPr="00F4799C" w:rsidRDefault="00AC7D51" w:rsidP="00AC7D51">
      <w:pPr>
        <w:jc w:val="center"/>
        <w:rPr>
          <w:rFonts w:asciiTheme="minorBidi" w:hAnsiTheme="minorBidi"/>
          <w:b/>
          <w:bCs/>
          <w:sz w:val="28"/>
          <w:szCs w:val="28"/>
        </w:rPr>
      </w:pPr>
    </w:p>
    <w:p w14:paraId="1D740779" w14:textId="77777777" w:rsidR="00AC7D51" w:rsidRPr="00F4799C" w:rsidRDefault="00AC7D51" w:rsidP="00AC7D51">
      <w:pPr>
        <w:jc w:val="center"/>
        <w:rPr>
          <w:rFonts w:asciiTheme="minorBidi" w:hAnsiTheme="minorBidi"/>
          <w:sz w:val="28"/>
          <w:szCs w:val="28"/>
        </w:rPr>
      </w:pPr>
    </w:p>
    <w:p w14:paraId="074F7E55" w14:textId="77777777" w:rsidR="00AC7D51" w:rsidRDefault="00AC7D51" w:rsidP="00AC7D51">
      <w:pPr>
        <w:jc w:val="center"/>
      </w:pPr>
    </w:p>
    <w:sectPr w:rsidR="00AC7D5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A09741" w14:textId="77777777" w:rsidR="00840CD2" w:rsidRDefault="00840CD2" w:rsidP="004F6C3C">
      <w:r>
        <w:separator/>
      </w:r>
    </w:p>
  </w:endnote>
  <w:endnote w:type="continuationSeparator" w:id="0">
    <w:p w14:paraId="780E871B" w14:textId="77777777" w:rsidR="00840CD2" w:rsidRDefault="00840CD2" w:rsidP="004F6C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Geist Fallback">
    <w:altName w:val="Cambria"/>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42D0A8" w14:textId="77777777" w:rsidR="00840CD2" w:rsidRDefault="00840CD2" w:rsidP="004F6C3C">
      <w:r>
        <w:separator/>
      </w:r>
    </w:p>
  </w:footnote>
  <w:footnote w:type="continuationSeparator" w:id="0">
    <w:p w14:paraId="49A1B8CD" w14:textId="77777777" w:rsidR="00840CD2" w:rsidRDefault="00840CD2" w:rsidP="004F6C3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A941BA"/>
    <w:multiLevelType w:val="hybridMultilevel"/>
    <w:tmpl w:val="7A4ADE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A671B5D"/>
    <w:multiLevelType w:val="multilevel"/>
    <w:tmpl w:val="EED2B5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D6C7822"/>
    <w:multiLevelType w:val="hybridMultilevel"/>
    <w:tmpl w:val="FCCE1D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8F74E8A"/>
    <w:multiLevelType w:val="hybridMultilevel"/>
    <w:tmpl w:val="0C162D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C90710"/>
    <w:multiLevelType w:val="hybridMultilevel"/>
    <w:tmpl w:val="2060465C"/>
    <w:lvl w:ilvl="0" w:tplc="B0A8C9A0">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1C340EF"/>
    <w:multiLevelType w:val="hybridMultilevel"/>
    <w:tmpl w:val="C34A6F18"/>
    <w:lvl w:ilvl="0" w:tplc="B0A8C9A0">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29360A8"/>
    <w:multiLevelType w:val="hybridMultilevel"/>
    <w:tmpl w:val="8E50F8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6BF6F5D"/>
    <w:multiLevelType w:val="hybridMultilevel"/>
    <w:tmpl w:val="39D04932"/>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8" w15:restartNumberingAfterBreak="0">
    <w:nsid w:val="5F10463E"/>
    <w:multiLevelType w:val="hybridMultilevel"/>
    <w:tmpl w:val="D5441D1C"/>
    <w:lvl w:ilvl="0" w:tplc="B0A8C9A0">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9ED08B2"/>
    <w:multiLevelType w:val="hybridMultilevel"/>
    <w:tmpl w:val="8C04FF7A"/>
    <w:lvl w:ilvl="0" w:tplc="B0A8C9A0">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CDF433B"/>
    <w:multiLevelType w:val="hybridMultilevel"/>
    <w:tmpl w:val="BBBE05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66413276">
    <w:abstractNumId w:val="10"/>
  </w:num>
  <w:num w:numId="2" w16cid:durableId="757799127">
    <w:abstractNumId w:val="6"/>
  </w:num>
  <w:num w:numId="3" w16cid:durableId="1401177036">
    <w:abstractNumId w:val="5"/>
  </w:num>
  <w:num w:numId="4" w16cid:durableId="789780785">
    <w:abstractNumId w:val="4"/>
  </w:num>
  <w:num w:numId="5" w16cid:durableId="1807425680">
    <w:abstractNumId w:val="8"/>
  </w:num>
  <w:num w:numId="6" w16cid:durableId="971594863">
    <w:abstractNumId w:val="9"/>
  </w:num>
  <w:num w:numId="7" w16cid:durableId="1255086434">
    <w:abstractNumId w:val="3"/>
  </w:num>
  <w:num w:numId="8" w16cid:durableId="1839272006">
    <w:abstractNumId w:val="1"/>
  </w:num>
  <w:num w:numId="9" w16cid:durableId="1018891351">
    <w:abstractNumId w:val="0"/>
  </w:num>
  <w:num w:numId="10" w16cid:durableId="385448939">
    <w:abstractNumId w:val="7"/>
  </w:num>
  <w:num w:numId="11" w16cid:durableId="19401385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7C39"/>
    <w:rsid w:val="000B3690"/>
    <w:rsid w:val="000C26E2"/>
    <w:rsid w:val="000E3B1A"/>
    <w:rsid w:val="00102E53"/>
    <w:rsid w:val="00106262"/>
    <w:rsid w:val="00176E94"/>
    <w:rsid w:val="001A01BC"/>
    <w:rsid w:val="001A7C39"/>
    <w:rsid w:val="00267901"/>
    <w:rsid w:val="00293F34"/>
    <w:rsid w:val="002A613D"/>
    <w:rsid w:val="0032195C"/>
    <w:rsid w:val="003418F1"/>
    <w:rsid w:val="00364B06"/>
    <w:rsid w:val="004509B0"/>
    <w:rsid w:val="00476077"/>
    <w:rsid w:val="00476C93"/>
    <w:rsid w:val="004F6C3C"/>
    <w:rsid w:val="005045B0"/>
    <w:rsid w:val="00557BC0"/>
    <w:rsid w:val="005B3E80"/>
    <w:rsid w:val="00636FD5"/>
    <w:rsid w:val="00644DF5"/>
    <w:rsid w:val="006840B4"/>
    <w:rsid w:val="006B3959"/>
    <w:rsid w:val="007670E6"/>
    <w:rsid w:val="00771C5E"/>
    <w:rsid w:val="007C3985"/>
    <w:rsid w:val="00840CD2"/>
    <w:rsid w:val="008B091F"/>
    <w:rsid w:val="009436D9"/>
    <w:rsid w:val="009B202C"/>
    <w:rsid w:val="00A1490C"/>
    <w:rsid w:val="00A226D5"/>
    <w:rsid w:val="00A400E5"/>
    <w:rsid w:val="00A501B7"/>
    <w:rsid w:val="00AC7D51"/>
    <w:rsid w:val="00AE65A9"/>
    <w:rsid w:val="00AF6659"/>
    <w:rsid w:val="00B55E8A"/>
    <w:rsid w:val="00B91C06"/>
    <w:rsid w:val="00BA14BD"/>
    <w:rsid w:val="00BF5301"/>
    <w:rsid w:val="00C64C38"/>
    <w:rsid w:val="00C77182"/>
    <w:rsid w:val="00D617B9"/>
    <w:rsid w:val="00DA719D"/>
    <w:rsid w:val="00DC6DD7"/>
    <w:rsid w:val="00E07BD4"/>
    <w:rsid w:val="00E52460"/>
    <w:rsid w:val="00E81CCD"/>
    <w:rsid w:val="00EE344B"/>
    <w:rsid w:val="00F05ECC"/>
    <w:rsid w:val="00F60DDE"/>
    <w:rsid w:val="00F93EAA"/>
    <w:rsid w:val="00FE14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D519C7"/>
  <w15:chartTrackingRefBased/>
  <w15:docId w15:val="{D8529C01-794D-E94C-84A0-407070AE67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344B"/>
    <w:pPr>
      <w:spacing w:after="0" w:line="240" w:lineRule="auto"/>
    </w:pPr>
    <w:rPr>
      <w:rFonts w:ascii="Times New Roman" w:eastAsia="Times New Roman" w:hAnsi="Times New Roman" w:cs="Times New Roman"/>
      <w:kern w:val="0"/>
      <w14:ligatures w14:val="none"/>
    </w:rPr>
  </w:style>
  <w:style w:type="paragraph" w:styleId="Heading1">
    <w:name w:val="heading 1"/>
    <w:basedOn w:val="Normal"/>
    <w:next w:val="Normal"/>
    <w:link w:val="Heading1Char"/>
    <w:uiPriority w:val="9"/>
    <w:qFormat/>
    <w:rsid w:val="001A7C39"/>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1A7C39"/>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1A7C39"/>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1A7C39"/>
    <w:pPr>
      <w:keepNext/>
      <w:keepLines/>
      <w:spacing w:before="80" w:after="40" w:line="278" w:lineRule="auto"/>
      <w:outlineLvl w:val="3"/>
    </w:pPr>
    <w:rPr>
      <w:rFonts w:asciiTheme="minorHAnsi" w:eastAsiaTheme="majorEastAsia" w:hAnsiTheme="minorHAnsi"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1A7C39"/>
    <w:pPr>
      <w:keepNext/>
      <w:keepLines/>
      <w:spacing w:before="80" w:after="40" w:line="278" w:lineRule="auto"/>
      <w:outlineLvl w:val="4"/>
    </w:pPr>
    <w:rPr>
      <w:rFonts w:asciiTheme="minorHAnsi" w:eastAsiaTheme="majorEastAsia" w:hAnsiTheme="minorHAnsi"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1A7C39"/>
    <w:pPr>
      <w:keepNext/>
      <w:keepLines/>
      <w:spacing w:before="40" w:line="278" w:lineRule="auto"/>
      <w:outlineLvl w:val="5"/>
    </w:pPr>
    <w:rPr>
      <w:rFonts w:asciiTheme="minorHAnsi" w:eastAsiaTheme="majorEastAsia" w:hAnsiTheme="minorHAnsi"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1A7C39"/>
    <w:pPr>
      <w:keepNext/>
      <w:keepLines/>
      <w:spacing w:before="40" w:line="278" w:lineRule="auto"/>
      <w:outlineLvl w:val="6"/>
    </w:pPr>
    <w:rPr>
      <w:rFonts w:asciiTheme="minorHAnsi" w:eastAsiaTheme="majorEastAsia" w:hAnsiTheme="minorHAnsi"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1A7C39"/>
    <w:pPr>
      <w:keepNext/>
      <w:keepLines/>
      <w:spacing w:line="278" w:lineRule="auto"/>
      <w:outlineLvl w:val="7"/>
    </w:pPr>
    <w:rPr>
      <w:rFonts w:asciiTheme="minorHAnsi" w:eastAsiaTheme="majorEastAsia" w:hAnsiTheme="minorHAnsi"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1A7C39"/>
    <w:pPr>
      <w:keepNext/>
      <w:keepLines/>
      <w:spacing w:line="278" w:lineRule="auto"/>
      <w:outlineLvl w:val="8"/>
    </w:pPr>
    <w:rPr>
      <w:rFonts w:asciiTheme="minorHAnsi" w:eastAsiaTheme="majorEastAsia" w:hAnsiTheme="minorHAnsi"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7C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A7C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7C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7C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7C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7C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7C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7C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7C39"/>
    <w:rPr>
      <w:rFonts w:eastAsiaTheme="majorEastAsia" w:cstheme="majorBidi"/>
      <w:color w:val="272727" w:themeColor="text1" w:themeTint="D8"/>
    </w:rPr>
  </w:style>
  <w:style w:type="paragraph" w:styleId="Title">
    <w:name w:val="Title"/>
    <w:basedOn w:val="Normal"/>
    <w:next w:val="Normal"/>
    <w:link w:val="TitleChar"/>
    <w:uiPriority w:val="10"/>
    <w:qFormat/>
    <w:rsid w:val="001A7C39"/>
    <w:pPr>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1A7C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7C39"/>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1A7C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7C39"/>
    <w:pPr>
      <w:spacing w:before="160" w:after="160" w:line="278" w:lineRule="auto"/>
      <w:jc w:val="center"/>
    </w:pPr>
    <w:rPr>
      <w:rFonts w:asciiTheme="minorHAnsi" w:eastAsiaTheme="minorHAnsi" w:hAnsiTheme="minorHAnsi" w:cstheme="minorBidi"/>
      <w:i/>
      <w:iCs/>
      <w:color w:val="404040" w:themeColor="text1" w:themeTint="BF"/>
      <w:kern w:val="2"/>
      <w14:ligatures w14:val="standardContextual"/>
    </w:rPr>
  </w:style>
  <w:style w:type="character" w:customStyle="1" w:styleId="QuoteChar">
    <w:name w:val="Quote Char"/>
    <w:basedOn w:val="DefaultParagraphFont"/>
    <w:link w:val="Quote"/>
    <w:uiPriority w:val="29"/>
    <w:rsid w:val="001A7C39"/>
    <w:rPr>
      <w:i/>
      <w:iCs/>
      <w:color w:val="404040" w:themeColor="text1" w:themeTint="BF"/>
    </w:rPr>
  </w:style>
  <w:style w:type="paragraph" w:styleId="ListParagraph">
    <w:name w:val="List Paragraph"/>
    <w:basedOn w:val="Normal"/>
    <w:link w:val="ListParagraphChar"/>
    <w:uiPriority w:val="1"/>
    <w:qFormat/>
    <w:rsid w:val="001A7C39"/>
    <w:pPr>
      <w:spacing w:after="160" w:line="278" w:lineRule="auto"/>
      <w:ind w:left="720"/>
      <w:contextualSpacing/>
    </w:pPr>
    <w:rPr>
      <w:rFonts w:asciiTheme="minorHAnsi" w:eastAsiaTheme="minorHAnsi" w:hAnsiTheme="minorHAnsi" w:cstheme="minorBidi"/>
      <w:kern w:val="2"/>
      <w14:ligatures w14:val="standardContextual"/>
    </w:rPr>
  </w:style>
  <w:style w:type="character" w:styleId="IntenseEmphasis">
    <w:name w:val="Intense Emphasis"/>
    <w:basedOn w:val="DefaultParagraphFont"/>
    <w:uiPriority w:val="21"/>
    <w:qFormat/>
    <w:rsid w:val="001A7C39"/>
    <w:rPr>
      <w:i/>
      <w:iCs/>
      <w:color w:val="0F4761" w:themeColor="accent1" w:themeShade="BF"/>
    </w:rPr>
  </w:style>
  <w:style w:type="paragraph" w:styleId="IntenseQuote">
    <w:name w:val="Intense Quote"/>
    <w:basedOn w:val="Normal"/>
    <w:next w:val="Normal"/>
    <w:link w:val="IntenseQuoteChar"/>
    <w:uiPriority w:val="30"/>
    <w:qFormat/>
    <w:rsid w:val="001A7C39"/>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1A7C39"/>
    <w:rPr>
      <w:i/>
      <w:iCs/>
      <w:color w:val="0F4761" w:themeColor="accent1" w:themeShade="BF"/>
    </w:rPr>
  </w:style>
  <w:style w:type="character" w:styleId="IntenseReference">
    <w:name w:val="Intense Reference"/>
    <w:basedOn w:val="DefaultParagraphFont"/>
    <w:uiPriority w:val="32"/>
    <w:qFormat/>
    <w:rsid w:val="001A7C39"/>
    <w:rPr>
      <w:b/>
      <w:bCs/>
      <w:smallCaps/>
      <w:color w:val="0F4761" w:themeColor="accent1" w:themeShade="BF"/>
      <w:spacing w:val="5"/>
    </w:rPr>
  </w:style>
  <w:style w:type="paragraph" w:styleId="TOCHeading">
    <w:name w:val="TOC Heading"/>
    <w:basedOn w:val="Heading1"/>
    <w:next w:val="Normal"/>
    <w:uiPriority w:val="39"/>
    <w:unhideWhenUsed/>
    <w:qFormat/>
    <w:rsid w:val="004F6C3C"/>
    <w:pPr>
      <w:spacing w:before="480" w:after="0" w:line="276" w:lineRule="auto"/>
      <w:outlineLvl w:val="9"/>
    </w:pPr>
    <w:rPr>
      <w:b/>
      <w:bCs/>
      <w:kern w:val="0"/>
      <w:sz w:val="28"/>
      <w:szCs w:val="28"/>
      <w14:ligatures w14:val="none"/>
    </w:rPr>
  </w:style>
  <w:style w:type="paragraph" w:styleId="TOC1">
    <w:name w:val="toc 1"/>
    <w:basedOn w:val="Normal"/>
    <w:next w:val="Normal"/>
    <w:autoRedefine/>
    <w:uiPriority w:val="39"/>
    <w:unhideWhenUsed/>
    <w:rsid w:val="004F6C3C"/>
    <w:pPr>
      <w:spacing w:before="120" w:line="278" w:lineRule="auto"/>
    </w:pPr>
    <w:rPr>
      <w:rFonts w:asciiTheme="minorHAnsi" w:eastAsiaTheme="minorHAnsi" w:hAnsiTheme="minorHAnsi" w:cstheme="minorBidi"/>
      <w:b/>
      <w:bCs/>
      <w:i/>
      <w:iCs/>
      <w:kern w:val="2"/>
      <w14:ligatures w14:val="standardContextual"/>
    </w:rPr>
  </w:style>
  <w:style w:type="paragraph" w:styleId="TOC2">
    <w:name w:val="toc 2"/>
    <w:basedOn w:val="Normal"/>
    <w:next w:val="Normal"/>
    <w:autoRedefine/>
    <w:uiPriority w:val="39"/>
    <w:unhideWhenUsed/>
    <w:rsid w:val="004F6C3C"/>
    <w:pPr>
      <w:spacing w:before="120" w:line="278" w:lineRule="auto"/>
      <w:ind w:left="240"/>
    </w:pPr>
    <w:rPr>
      <w:rFonts w:asciiTheme="minorHAnsi" w:eastAsiaTheme="minorHAnsi" w:hAnsiTheme="minorHAnsi" w:cstheme="minorBidi"/>
      <w:b/>
      <w:bCs/>
      <w:kern w:val="2"/>
      <w:sz w:val="22"/>
      <w:szCs w:val="22"/>
      <w14:ligatures w14:val="standardContextual"/>
    </w:rPr>
  </w:style>
  <w:style w:type="paragraph" w:styleId="TOC3">
    <w:name w:val="toc 3"/>
    <w:basedOn w:val="Normal"/>
    <w:next w:val="Normal"/>
    <w:autoRedefine/>
    <w:uiPriority w:val="39"/>
    <w:unhideWhenUsed/>
    <w:rsid w:val="004F6C3C"/>
    <w:pPr>
      <w:spacing w:line="278" w:lineRule="auto"/>
      <w:ind w:left="480"/>
    </w:pPr>
    <w:rPr>
      <w:rFonts w:asciiTheme="minorHAnsi" w:eastAsiaTheme="minorHAnsi" w:hAnsiTheme="minorHAnsi" w:cstheme="minorBidi"/>
      <w:kern w:val="2"/>
      <w:sz w:val="20"/>
      <w:szCs w:val="20"/>
      <w14:ligatures w14:val="standardContextual"/>
    </w:rPr>
  </w:style>
  <w:style w:type="paragraph" w:styleId="TOC4">
    <w:name w:val="toc 4"/>
    <w:basedOn w:val="Normal"/>
    <w:next w:val="Normal"/>
    <w:autoRedefine/>
    <w:uiPriority w:val="39"/>
    <w:semiHidden/>
    <w:unhideWhenUsed/>
    <w:rsid w:val="004F6C3C"/>
    <w:pPr>
      <w:spacing w:line="278" w:lineRule="auto"/>
      <w:ind w:left="720"/>
    </w:pPr>
    <w:rPr>
      <w:rFonts w:asciiTheme="minorHAnsi" w:eastAsiaTheme="minorHAnsi" w:hAnsiTheme="minorHAnsi" w:cstheme="minorBidi"/>
      <w:kern w:val="2"/>
      <w:sz w:val="20"/>
      <w:szCs w:val="20"/>
      <w14:ligatures w14:val="standardContextual"/>
    </w:rPr>
  </w:style>
  <w:style w:type="paragraph" w:styleId="TOC5">
    <w:name w:val="toc 5"/>
    <w:basedOn w:val="Normal"/>
    <w:next w:val="Normal"/>
    <w:autoRedefine/>
    <w:uiPriority w:val="39"/>
    <w:semiHidden/>
    <w:unhideWhenUsed/>
    <w:rsid w:val="004F6C3C"/>
    <w:pPr>
      <w:spacing w:line="278" w:lineRule="auto"/>
      <w:ind w:left="960"/>
    </w:pPr>
    <w:rPr>
      <w:rFonts w:asciiTheme="minorHAnsi" w:eastAsiaTheme="minorHAnsi" w:hAnsiTheme="minorHAnsi" w:cstheme="minorBidi"/>
      <w:kern w:val="2"/>
      <w:sz w:val="20"/>
      <w:szCs w:val="20"/>
      <w14:ligatures w14:val="standardContextual"/>
    </w:rPr>
  </w:style>
  <w:style w:type="paragraph" w:styleId="TOC6">
    <w:name w:val="toc 6"/>
    <w:basedOn w:val="Normal"/>
    <w:next w:val="Normal"/>
    <w:autoRedefine/>
    <w:uiPriority w:val="39"/>
    <w:semiHidden/>
    <w:unhideWhenUsed/>
    <w:rsid w:val="004F6C3C"/>
    <w:pPr>
      <w:spacing w:line="278" w:lineRule="auto"/>
      <w:ind w:left="1200"/>
    </w:pPr>
    <w:rPr>
      <w:rFonts w:asciiTheme="minorHAnsi" w:eastAsiaTheme="minorHAnsi" w:hAnsiTheme="minorHAnsi" w:cstheme="minorBidi"/>
      <w:kern w:val="2"/>
      <w:sz w:val="20"/>
      <w:szCs w:val="20"/>
      <w14:ligatures w14:val="standardContextual"/>
    </w:rPr>
  </w:style>
  <w:style w:type="paragraph" w:styleId="TOC7">
    <w:name w:val="toc 7"/>
    <w:basedOn w:val="Normal"/>
    <w:next w:val="Normal"/>
    <w:autoRedefine/>
    <w:uiPriority w:val="39"/>
    <w:semiHidden/>
    <w:unhideWhenUsed/>
    <w:rsid w:val="004F6C3C"/>
    <w:pPr>
      <w:spacing w:line="278" w:lineRule="auto"/>
      <w:ind w:left="1440"/>
    </w:pPr>
    <w:rPr>
      <w:rFonts w:asciiTheme="minorHAnsi" w:eastAsiaTheme="minorHAnsi" w:hAnsiTheme="minorHAnsi" w:cstheme="minorBidi"/>
      <w:kern w:val="2"/>
      <w:sz w:val="20"/>
      <w:szCs w:val="20"/>
      <w14:ligatures w14:val="standardContextual"/>
    </w:rPr>
  </w:style>
  <w:style w:type="paragraph" w:styleId="TOC8">
    <w:name w:val="toc 8"/>
    <w:basedOn w:val="Normal"/>
    <w:next w:val="Normal"/>
    <w:autoRedefine/>
    <w:uiPriority w:val="39"/>
    <w:semiHidden/>
    <w:unhideWhenUsed/>
    <w:rsid w:val="004F6C3C"/>
    <w:pPr>
      <w:spacing w:line="278" w:lineRule="auto"/>
      <w:ind w:left="1680"/>
    </w:pPr>
    <w:rPr>
      <w:rFonts w:asciiTheme="minorHAnsi" w:eastAsiaTheme="minorHAnsi" w:hAnsiTheme="minorHAnsi" w:cstheme="minorBidi"/>
      <w:kern w:val="2"/>
      <w:sz w:val="20"/>
      <w:szCs w:val="20"/>
      <w14:ligatures w14:val="standardContextual"/>
    </w:rPr>
  </w:style>
  <w:style w:type="paragraph" w:styleId="TOC9">
    <w:name w:val="toc 9"/>
    <w:basedOn w:val="Normal"/>
    <w:next w:val="Normal"/>
    <w:autoRedefine/>
    <w:uiPriority w:val="39"/>
    <w:semiHidden/>
    <w:unhideWhenUsed/>
    <w:rsid w:val="004F6C3C"/>
    <w:pPr>
      <w:spacing w:line="278" w:lineRule="auto"/>
      <w:ind w:left="1920"/>
    </w:pPr>
    <w:rPr>
      <w:rFonts w:asciiTheme="minorHAnsi" w:eastAsiaTheme="minorHAnsi" w:hAnsiTheme="minorHAnsi" w:cstheme="minorBidi"/>
      <w:kern w:val="2"/>
      <w:sz w:val="20"/>
      <w:szCs w:val="20"/>
      <w14:ligatures w14:val="standardContextual"/>
    </w:rPr>
  </w:style>
  <w:style w:type="paragraph" w:styleId="Header">
    <w:name w:val="header"/>
    <w:basedOn w:val="Normal"/>
    <w:link w:val="HeaderChar"/>
    <w:uiPriority w:val="99"/>
    <w:unhideWhenUsed/>
    <w:rsid w:val="004F6C3C"/>
    <w:pPr>
      <w:tabs>
        <w:tab w:val="center" w:pos="4680"/>
        <w:tab w:val="right" w:pos="9360"/>
      </w:tabs>
    </w:pPr>
    <w:rPr>
      <w:rFonts w:asciiTheme="minorHAnsi" w:eastAsiaTheme="minorHAnsi" w:hAnsiTheme="minorHAnsi" w:cstheme="minorBidi"/>
      <w:kern w:val="2"/>
      <w14:ligatures w14:val="standardContextual"/>
    </w:rPr>
  </w:style>
  <w:style w:type="character" w:customStyle="1" w:styleId="HeaderChar">
    <w:name w:val="Header Char"/>
    <w:basedOn w:val="DefaultParagraphFont"/>
    <w:link w:val="Header"/>
    <w:uiPriority w:val="99"/>
    <w:rsid w:val="004F6C3C"/>
  </w:style>
  <w:style w:type="paragraph" w:styleId="Footer">
    <w:name w:val="footer"/>
    <w:basedOn w:val="Normal"/>
    <w:link w:val="FooterChar"/>
    <w:uiPriority w:val="99"/>
    <w:unhideWhenUsed/>
    <w:rsid w:val="004F6C3C"/>
    <w:pPr>
      <w:tabs>
        <w:tab w:val="center" w:pos="4680"/>
        <w:tab w:val="right" w:pos="9360"/>
      </w:tabs>
    </w:pPr>
    <w:rPr>
      <w:rFonts w:asciiTheme="minorHAnsi" w:eastAsiaTheme="minorHAnsi" w:hAnsiTheme="minorHAnsi" w:cstheme="minorBidi"/>
      <w:kern w:val="2"/>
      <w14:ligatures w14:val="standardContextual"/>
    </w:rPr>
  </w:style>
  <w:style w:type="character" w:customStyle="1" w:styleId="FooterChar">
    <w:name w:val="Footer Char"/>
    <w:basedOn w:val="DefaultParagraphFont"/>
    <w:link w:val="Footer"/>
    <w:uiPriority w:val="99"/>
    <w:rsid w:val="004F6C3C"/>
  </w:style>
  <w:style w:type="character" w:styleId="Hyperlink">
    <w:name w:val="Hyperlink"/>
    <w:basedOn w:val="DefaultParagraphFont"/>
    <w:uiPriority w:val="99"/>
    <w:unhideWhenUsed/>
    <w:rsid w:val="00E52460"/>
    <w:rPr>
      <w:color w:val="467886" w:themeColor="hyperlink"/>
      <w:u w:val="single"/>
    </w:rPr>
  </w:style>
  <w:style w:type="character" w:styleId="Strong">
    <w:name w:val="Strong"/>
    <w:basedOn w:val="DefaultParagraphFont"/>
    <w:uiPriority w:val="22"/>
    <w:qFormat/>
    <w:rsid w:val="00267901"/>
    <w:rPr>
      <w:b/>
      <w:bCs/>
    </w:rPr>
  </w:style>
  <w:style w:type="character" w:styleId="Emphasis">
    <w:name w:val="Emphasis"/>
    <w:basedOn w:val="DefaultParagraphFont"/>
    <w:uiPriority w:val="20"/>
    <w:qFormat/>
    <w:rsid w:val="00267901"/>
    <w:rPr>
      <w:i/>
      <w:iCs/>
    </w:rPr>
  </w:style>
  <w:style w:type="character" w:customStyle="1" w:styleId="cursor-pointer">
    <w:name w:val="cursor-pointer"/>
    <w:basedOn w:val="DefaultParagraphFont"/>
    <w:rsid w:val="000E3B1A"/>
  </w:style>
  <w:style w:type="paragraph" w:styleId="NoSpacing">
    <w:name w:val="No Spacing"/>
    <w:uiPriority w:val="1"/>
    <w:qFormat/>
    <w:rsid w:val="007670E6"/>
    <w:pPr>
      <w:spacing w:after="0" w:line="240" w:lineRule="auto"/>
    </w:pPr>
    <w:rPr>
      <w:rFonts w:ascii="Times New Roman" w:eastAsia="Times New Roman" w:hAnsi="Times New Roman" w:cs="Times New Roman"/>
      <w:kern w:val="0"/>
      <w14:ligatures w14:val="none"/>
    </w:rPr>
  </w:style>
  <w:style w:type="character" w:styleId="UnresolvedMention">
    <w:name w:val="Unresolved Mention"/>
    <w:basedOn w:val="DefaultParagraphFont"/>
    <w:uiPriority w:val="99"/>
    <w:semiHidden/>
    <w:unhideWhenUsed/>
    <w:rsid w:val="00293F34"/>
    <w:rPr>
      <w:color w:val="605E5C"/>
      <w:shd w:val="clear" w:color="auto" w:fill="E1DFDD"/>
    </w:rPr>
  </w:style>
  <w:style w:type="character" w:styleId="FollowedHyperlink">
    <w:name w:val="FollowedHyperlink"/>
    <w:basedOn w:val="DefaultParagraphFont"/>
    <w:uiPriority w:val="99"/>
    <w:semiHidden/>
    <w:unhideWhenUsed/>
    <w:rsid w:val="00293F34"/>
    <w:rPr>
      <w:color w:val="96607D" w:themeColor="followedHyperlink"/>
      <w:u w:val="single"/>
    </w:rPr>
  </w:style>
  <w:style w:type="character" w:customStyle="1" w:styleId="ListParagraphChar">
    <w:name w:val="List Paragraph Char"/>
    <w:basedOn w:val="DefaultParagraphFont"/>
    <w:link w:val="ListParagraph"/>
    <w:uiPriority w:val="1"/>
    <w:qFormat/>
    <w:locked/>
    <w:rsid w:val="00DC6DD7"/>
  </w:style>
  <w:style w:type="paragraph" w:customStyle="1" w:styleId="p1">
    <w:name w:val="p1"/>
    <w:basedOn w:val="Normal"/>
    <w:rsid w:val="00D617B9"/>
    <w:rPr>
      <w:rFonts w:ascii="Arial" w:hAnsi="Arial" w:cs="Arial"/>
      <w:color w:val="000000"/>
      <w:sz w:val="17"/>
      <w:szCs w:val="17"/>
    </w:rPr>
  </w:style>
  <w:style w:type="paragraph" w:customStyle="1" w:styleId="font-claude-response-body">
    <w:name w:val="font-claude-response-body"/>
    <w:basedOn w:val="Normal"/>
    <w:rsid w:val="00C77182"/>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jpeg"/><Relationship Id="rId26" Type="http://schemas.openxmlformats.org/officeDocument/2006/relationships/hyperlink" Target="https://www.chase.co.uk/gb/en/media/chase-arrives-in-the-uk/" TargetMode="External"/><Relationship Id="rId39" Type="http://schemas.openxmlformats.org/officeDocument/2006/relationships/hyperlink" Target="https://www.jpmorganchase.com/impact/environmental-sustainability" TargetMode="External"/><Relationship Id="rId21" Type="http://schemas.openxmlformats.org/officeDocument/2006/relationships/image" Target="media/image13.jpeg"/><Relationship Id="rId34" Type="http://schemas.openxmlformats.org/officeDocument/2006/relationships/hyperlink" Target="https://thoughtsmostlyaboutlearning.wordpress.com/wp-content/uploads/2015/12/learning-by-doing-graham-gibbs.pdf" TargetMode="External"/><Relationship Id="rId42" Type="http://schemas.openxmlformats.org/officeDocument/2006/relationships/hyperlink" Target="https://ssbfnet.com/ojs/index.php/ijrbs/article/view/4308" TargetMode="External"/><Relationship Id="rId47" Type="http://schemas.openxmlformats.org/officeDocument/2006/relationships/hyperlink" Target="https://www.ulam.io/blog/challenger-banks-what-are-they-and-how-to-start-one" TargetMode="Externa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jpeg"/><Relationship Id="rId29" Type="http://schemas.openxmlformats.org/officeDocument/2006/relationships/hyperlink" Target="https://journals.sagepub.com/doi/10.1177/10245294251320569" TargetMode="External"/><Relationship Id="rId11" Type="http://schemas.openxmlformats.org/officeDocument/2006/relationships/image" Target="media/image3.jpeg"/><Relationship Id="rId24" Type="http://schemas.openxmlformats.org/officeDocument/2006/relationships/hyperlink" Target="https://archive.org/stream/strategiesfordiversificationansoff1957hbr/Strategies%20for%20Diversification-Ansoff1957-HBR_djvu.txt" TargetMode="External"/><Relationship Id="rId32" Type="http://schemas.openxmlformats.org/officeDocument/2006/relationships/hyperlink" Target="https://www.fca.org.uk/publication/correspondence/portfolio-letter-fca-strategy-retail-banks-2025.pdf" TargetMode="External"/><Relationship Id="rId37" Type="http://schemas.openxmlformats.org/officeDocument/2006/relationships/hyperlink" Target="https://www.sec.gov/Archives/edgar/data/19617/000162828026023927/annualreport-2025.pdf" TargetMode="External"/><Relationship Id="rId40" Type="http://schemas.openxmlformats.org/officeDocument/2006/relationships/hyperlink" Target="https://hbr.org/1992/01/the-balanced-scorecard-measures-that-drive-performance-2" TargetMode="External"/><Relationship Id="rId45" Type="http://schemas.openxmlformats.org/officeDocument/2006/relationships/hyperlink" Target="https://doi.org/10.1108/AJEB-09-2024-0102" TargetMode="Externa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hyperlink" Target="https://doi.org/10.36079/lamintang.jetas-0701.791" TargetMode="External"/><Relationship Id="rId28" Type="http://schemas.openxmlformats.org/officeDocument/2006/relationships/hyperlink" Target="https://ijrcms.com/uploads2026/ijrcms_08_626.pdf" TargetMode="External"/><Relationship Id="rId36" Type="http://schemas.openxmlformats.org/officeDocument/2006/relationships/hyperlink" Target="https://www.jpmorganchase.com/ir/annual-report/2025/ar-ceo-letter-marianne-lake" TargetMode="External"/><Relationship Id="rId49" Type="http://schemas.openxmlformats.org/officeDocument/2006/relationships/fontTable" Target="fontTable.xml"/><Relationship Id="rId10" Type="http://schemas.openxmlformats.org/officeDocument/2006/relationships/hyperlink" Target="https://chatgpt.com/" TargetMode="External"/><Relationship Id="rId19" Type="http://schemas.openxmlformats.org/officeDocument/2006/relationships/image" Target="media/image11.jpeg"/><Relationship Id="rId31" Type="http://schemas.openxmlformats.org/officeDocument/2006/relationships/hyperlink" Target="https://www.sciencedirect.com/science/article/pii/S2444569X24001355" TargetMode="External"/><Relationship Id="rId44" Type="http://schemas.openxmlformats.org/officeDocument/2006/relationships/hyperlink" Target="https://chatgpt.com"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jpeg"/><Relationship Id="rId22" Type="http://schemas.openxmlformats.org/officeDocument/2006/relationships/hyperlink" Target="https://pressacademia.org/archives/jbef/v14/i1/2.pdf" TargetMode="External"/><Relationship Id="rId27" Type="http://schemas.openxmlformats.org/officeDocument/2006/relationships/hyperlink" Target="https://www.chase.co.uk/gb/en/media/one-million-customers/" TargetMode="External"/><Relationship Id="rId30" Type="http://schemas.openxmlformats.org/officeDocument/2006/relationships/hyperlink" Target="https://www.gov.uk/cma-cases/review-of-banking-for-small-and-medium-sized-businesses-smes-in-the-uk" TargetMode="External"/><Relationship Id="rId35" Type="http://schemas.openxmlformats.org/officeDocument/2006/relationships/hyperlink" Target="https://doi.org/10.3390/risks13010010" TargetMode="External"/><Relationship Id="rId43" Type="http://schemas.openxmlformats.org/officeDocument/2006/relationships/hyperlink" Target="https://shura.shu.ac.uk/37408/1/Sevelina+FinTAF+Paper+-+Final+.pdf" TargetMode="External"/><Relationship Id="rId48" Type="http://schemas.openxmlformats.org/officeDocument/2006/relationships/hyperlink" Target="https://doi.org/10.1177/23409444231211597"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hyperlink" Target="https://www.bankofengland.co.uk/monetary-policy-summary-and-minutes/2026/july-2026" TargetMode="External"/><Relationship Id="rId33" Type="http://schemas.openxmlformats.org/officeDocument/2006/relationships/hyperlink" Target="https://www.fca.org.uk/firms/open-banking-fca" TargetMode="External"/><Relationship Id="rId38" Type="http://schemas.openxmlformats.org/officeDocument/2006/relationships/hyperlink" Target="https://www.jpmorganchase.com/about/technology" TargetMode="External"/><Relationship Id="rId46" Type="http://schemas.openxmlformats.org/officeDocument/2006/relationships/hyperlink" Target="https://doi.org/10.17358/jabm.10.1.99" TargetMode="External"/><Relationship Id="rId20" Type="http://schemas.openxmlformats.org/officeDocument/2006/relationships/image" Target="media/image12.jpeg"/><Relationship Id="rId41" Type="http://schemas.openxmlformats.org/officeDocument/2006/relationships/hyperlink" Target="https://doi.org/10.1080/23311975.2024.2404484"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34859D-E567-9E4D-A598-374B9B604F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153</TotalTime>
  <Pages>1</Pages>
  <Words>7845</Words>
  <Characters>44719</Characters>
  <Application>Microsoft Office Word</Application>
  <DocSecurity>0</DocSecurity>
  <Lines>372</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Yagnik Nityanandbhai Nayak (2532710)</dc:creator>
  <cp:keywords/>
  <dc:description/>
  <cp:lastModifiedBy>Yagnik Nityanandbhai Nayak (2532710)</cp:lastModifiedBy>
  <cp:revision>19</cp:revision>
  <dcterms:created xsi:type="dcterms:W3CDTF">2026-07-13T20:28:00Z</dcterms:created>
  <dcterms:modified xsi:type="dcterms:W3CDTF">2026-08-12T12:26:00Z</dcterms:modified>
</cp:coreProperties>
</file>