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F46559" w:rsidRDefault="00980CF1" w14:paraId="56FFCC94" w14:textId="77777777">
      <w:pPr>
        <w:rPr>
          <w:sz w:val="28"/>
          <w:szCs w:val="28"/>
        </w:rPr>
      </w:pPr>
      <w:r w:rsidRPr="00A56376">
        <w:rPr>
          <w:sz w:val="28"/>
          <w:szCs w:val="28"/>
        </w:rPr>
        <w:t>ECEY5010C: Research for Learning.</w:t>
      </w:r>
    </w:p>
    <w:p w:rsidRPr="00A56376" w:rsidR="00054F82" w:rsidRDefault="00F46559" w14:paraId="37F4E1F6" w14:textId="5983E6E1">
      <w:pPr>
        <w:rPr>
          <w:sz w:val="28"/>
          <w:szCs w:val="28"/>
        </w:rPr>
      </w:pPr>
      <w:r>
        <w:rPr>
          <w:sz w:val="28"/>
          <w:szCs w:val="28"/>
        </w:rPr>
        <w:t>How important is the</w:t>
      </w:r>
      <w:r w:rsidRPr="00054F82" w:rsidR="00054F82">
        <w:rPr>
          <w:sz w:val="28"/>
          <w:szCs w:val="28"/>
        </w:rPr>
        <w:t xml:space="preserve"> </w:t>
      </w:r>
      <w:r w:rsidR="007900DE">
        <w:rPr>
          <w:sz w:val="28"/>
          <w:szCs w:val="28"/>
        </w:rPr>
        <w:t xml:space="preserve">partnership with parents </w:t>
      </w:r>
      <w:r w:rsidRPr="00054F82" w:rsidR="00054F82">
        <w:rPr>
          <w:sz w:val="28"/>
          <w:szCs w:val="28"/>
        </w:rPr>
        <w:t>between school and home for professionals</w:t>
      </w:r>
      <w:r>
        <w:rPr>
          <w:sz w:val="28"/>
          <w:szCs w:val="28"/>
        </w:rPr>
        <w:t>,</w:t>
      </w:r>
      <w:r w:rsidRPr="00054F82" w:rsidR="00054F82">
        <w:rPr>
          <w:sz w:val="28"/>
          <w:szCs w:val="28"/>
        </w:rPr>
        <w:t xml:space="preserve"> parents</w:t>
      </w:r>
      <w:r w:rsidR="00B12CB5">
        <w:rPr>
          <w:sz w:val="28"/>
          <w:szCs w:val="28"/>
        </w:rPr>
        <w:t xml:space="preserve"> and children</w:t>
      </w:r>
      <w:r w:rsidR="00D237FB">
        <w:rPr>
          <w:sz w:val="28"/>
          <w:szCs w:val="28"/>
        </w:rPr>
        <w:t xml:space="preserve"> </w:t>
      </w:r>
      <w:r w:rsidRPr="00054F82" w:rsidR="00054F82">
        <w:rPr>
          <w:sz w:val="28"/>
          <w:szCs w:val="28"/>
        </w:rPr>
        <w:t>in the early years?</w:t>
      </w:r>
    </w:p>
    <w:p w:rsidR="00980CF1" w:rsidRDefault="00980CF1" w14:paraId="56150CE5" w14:textId="0631AB62">
      <w:r w:rsidRPr="00A56376">
        <w:rPr>
          <w:sz w:val="28"/>
          <w:szCs w:val="28"/>
        </w:rPr>
        <w:t>Abstract</w:t>
      </w:r>
      <w:r>
        <w:t xml:space="preserve"> </w:t>
      </w:r>
      <w:r w:rsidRPr="00A56376">
        <w:rPr>
          <w:sz w:val="20"/>
          <w:szCs w:val="20"/>
        </w:rPr>
        <w:t>(250 words)</w:t>
      </w:r>
    </w:p>
    <w:p w:rsidR="00980CF1" w:rsidRDefault="00980CF1" w14:paraId="228E43F5" w14:textId="0AB60A65">
      <w:pPr>
        <w:rPr>
          <w:sz w:val="20"/>
          <w:szCs w:val="20"/>
        </w:rPr>
      </w:pPr>
      <w:r w:rsidRPr="00A56376">
        <w:rPr>
          <w:sz w:val="28"/>
          <w:szCs w:val="28"/>
        </w:rPr>
        <w:t xml:space="preserve">A </w:t>
      </w:r>
      <w:r w:rsidR="00A56376">
        <w:rPr>
          <w:sz w:val="28"/>
          <w:szCs w:val="28"/>
        </w:rPr>
        <w:t>L</w:t>
      </w:r>
      <w:r w:rsidRPr="00A56376">
        <w:rPr>
          <w:sz w:val="28"/>
          <w:szCs w:val="28"/>
        </w:rPr>
        <w:t>iterature Review</w:t>
      </w:r>
      <w:r>
        <w:t xml:space="preserve"> </w:t>
      </w:r>
      <w:r w:rsidRPr="00A56376">
        <w:rPr>
          <w:sz w:val="20"/>
          <w:szCs w:val="20"/>
        </w:rPr>
        <w:t>(750 words)</w:t>
      </w:r>
    </w:p>
    <w:p w:rsidR="00CE7C6C" w:rsidRDefault="0064110D" w14:paraId="31B1D6E0" w14:textId="1050E15A">
      <w:r w:rsidRPr="0064110D">
        <w:t xml:space="preserve">Desforges and </w:t>
      </w:r>
      <w:proofErr w:type="spellStart"/>
      <w:r w:rsidRPr="0064110D">
        <w:t>Abouchaar</w:t>
      </w:r>
      <w:proofErr w:type="spellEnd"/>
      <w:r w:rsidRPr="0064110D">
        <w:t xml:space="preserve"> (2003) discuss the difficulty of coming to a consensus over the definition of the term "partnership with parents".</w:t>
      </w:r>
      <w:r>
        <w:t xml:space="preserve"> </w:t>
      </w:r>
      <w:r w:rsidRPr="00AD7F87" w:rsidR="00AD7F87">
        <w:t>Their review of the literature highlights the variety of radically different types of activities that fall under the term.</w:t>
      </w:r>
      <w:r w:rsidR="005414A8">
        <w:t xml:space="preserve"> </w:t>
      </w:r>
      <w:r w:rsidRPr="002F2EEC" w:rsidR="002F2EEC">
        <w:t xml:space="preserve">In 2004, a study by Sylva </w:t>
      </w:r>
      <w:r w:rsidRPr="00BC4658" w:rsidR="002F2EEC">
        <w:rPr>
          <w:i/>
          <w:iCs/>
        </w:rPr>
        <w:t>et al</w:t>
      </w:r>
      <w:r w:rsidRPr="002F2EEC" w:rsidR="002F2EEC">
        <w:t xml:space="preserve">. examined the impact of parental involvement in children's education and partnership with parents. </w:t>
      </w:r>
      <w:r w:rsidRPr="00B23542" w:rsidR="00B23542">
        <w:t xml:space="preserve">The results showed that parental influence on children's outcomes is substantial, and </w:t>
      </w:r>
      <w:bookmarkStart w:name="_Hlk166777475" w:id="0"/>
      <w:r w:rsidRPr="00B23542" w:rsidR="00B23542">
        <w:t>that the best results come from productive partnerships between settings</w:t>
      </w:r>
      <w:bookmarkEnd w:id="0"/>
      <w:r w:rsidRPr="00B23542" w:rsidR="00B23542">
        <w:t xml:space="preserve"> and schools that </w:t>
      </w:r>
      <w:proofErr w:type="spellStart"/>
      <w:r w:rsidRPr="00B23542" w:rsidR="00B23542">
        <w:t>instill</w:t>
      </w:r>
      <w:proofErr w:type="spellEnd"/>
      <w:r w:rsidRPr="00B23542" w:rsidR="00B23542">
        <w:t xml:space="preserve"> confidence in practitioners' abilities to educate their children</w:t>
      </w:r>
      <w:r w:rsidR="00BB6D74">
        <w:t xml:space="preserve"> and to </w:t>
      </w:r>
      <w:r w:rsidRPr="002F2EEC" w:rsidR="002F2EEC">
        <w:t xml:space="preserve">create a shared approach to learning that </w:t>
      </w:r>
      <w:r w:rsidR="005571D7">
        <w:t>includes</w:t>
      </w:r>
      <w:r w:rsidRPr="002F2EEC" w:rsidR="002F2EEC">
        <w:t xml:space="preserve"> both home and school environments</w:t>
      </w:r>
      <w:r w:rsidR="00CB3F6A">
        <w:t xml:space="preserve"> (Birth to</w:t>
      </w:r>
      <w:r w:rsidR="00E51227">
        <w:t xml:space="preserve"> five Matters, </w:t>
      </w:r>
      <w:r w:rsidR="00205ABA">
        <w:t xml:space="preserve"> </w:t>
      </w:r>
      <w:r w:rsidRPr="00905FB8" w:rsidR="00905FB8">
        <w:t xml:space="preserve"> </w:t>
      </w:r>
      <w:r w:rsidRPr="00205ABA" w:rsidR="00205ABA">
        <w:t>Siraj-Blatchford et al. (2002) emphasize the importance of a special relationship between parents and educators for children's learning progress. They argue that continuity of care between parents and professionals is crucial to a child's development. Tizard et al. (2002) further support this, noting that home learning environments are often very important to children. Sharing these experiences with institutions helps to better understand a child's needs. Research shows that partnerships with parents have a positive impact on a child's educational outcomes and underpin political agendas and policies</w:t>
      </w:r>
      <w:r w:rsidR="006568B5">
        <w:t>.</w:t>
      </w:r>
      <w:r w:rsidRPr="00C858B2" w:rsidR="00C858B2">
        <w:rPr>
          <w:rFonts w:ascii="Times New Roman" w:hAnsi="Times New Roman" w:eastAsia="Times New Roman" w:cs="Times New Roman"/>
          <w:kern w:val="0"/>
          <w:lang w:eastAsia="en-GB"/>
          <w14:ligatures w14:val="none"/>
        </w:rPr>
        <w:t xml:space="preserve"> </w:t>
      </w:r>
      <w:r w:rsidRPr="00C858B2" w:rsidR="00C858B2">
        <w:t>Teachers in the UK mostly served as advisors to the uninformed, according to Tizard et al. (1981). But in the 1960s, mothers were becoming more involved in their children' education.</w:t>
      </w:r>
      <w:r w:rsidR="00C858B2">
        <w:t xml:space="preserve"> </w:t>
      </w:r>
      <w:r w:rsidRPr="00AD6DDF" w:rsidR="00AD6DDF">
        <w:t xml:space="preserve">Parents were urged to participate actively in their children's education by the 1967 Plowden Report. In the 1980s, home/school initiatives including reading schemes were successfully implemented in the UK. In parent-teacher partnerships, Keyes (2002) highlighted the value of mutual respect and trust. This raised questions about whether power equality can exist in a constructed relationship and could encourage feelings of "policing" parents and "surveillance" of families (Keyes 2002, Crozier 1998). </w:t>
      </w:r>
      <w:r w:rsidRPr="009321F9" w:rsidR="009321F9">
        <w:t xml:space="preserve">In the UK, parent-child partnership gained attention under the Labour Government's 1997 political manifesto. Baldock et al. (2009) highlighted that after the Labour government introduced these measures in 1997, </w:t>
      </w:r>
      <w:proofErr w:type="gramStart"/>
      <w:r w:rsidRPr="009321F9" w:rsidR="009321F9">
        <w:t>a number of</w:t>
      </w:r>
      <w:proofErr w:type="gramEnd"/>
      <w:r w:rsidRPr="009321F9" w:rsidR="009321F9">
        <w:t xml:space="preserve"> early years policies were created. These measures included combining childcare and education, establishing national standards, and instituting inspections. </w:t>
      </w:r>
      <w:proofErr w:type="gramStart"/>
      <w:r w:rsidRPr="002D0E6D" w:rsidR="002D0E6D">
        <w:t>The Every</w:t>
      </w:r>
      <w:proofErr w:type="gramEnd"/>
      <w:r w:rsidRPr="002D0E6D" w:rsidR="002D0E6D">
        <w:t xml:space="preserve"> Child Matters legislation (D.F.E.S.2003) and the accompanying Children Act 2004 (D.F.E.S.) embodied a new emphasis on parental responsibility, a greater role for local authorities, a focus on simplifying access to services, and an emphasis on children in the delivery of services (Baldock et al 2009). To elaborate, Baldock et al. (2009) state that throughout this </w:t>
      </w:r>
      <w:r w:rsidRPr="002D0E6D" w:rsidR="002D0E6D">
        <w:t>period, parents' rights and obligations were more heavily influenced.</w:t>
      </w:r>
      <w:r w:rsidR="008F187B">
        <w:t xml:space="preserve"> </w:t>
      </w:r>
      <w:r w:rsidRPr="003A2652" w:rsidR="003A2652">
        <w:t>Melhuish, Bowlby, and Ainsworth have all contributed to the Flying Start</w:t>
      </w:r>
      <w:r w:rsidR="003A2652">
        <w:t xml:space="preserve"> (2007)</w:t>
      </w:r>
      <w:r w:rsidRPr="003A2652" w:rsidR="003A2652">
        <w:t xml:space="preserve"> movement, which aims to provide parenting support to families in less affluent communities. The movement links health services, education, and care to very young children, promoting partnership with parents through national policy and early education entitlement via the Curriculum for Wales</w:t>
      </w:r>
      <w:r w:rsidR="006A082B">
        <w:t xml:space="preserve"> (2022)</w:t>
      </w:r>
      <w:r w:rsidRPr="003A2652" w:rsidR="003A2652">
        <w:t>. Melhuish</w:t>
      </w:r>
      <w:r w:rsidR="00823283">
        <w:t xml:space="preserve"> (1991)</w:t>
      </w:r>
      <w:r w:rsidRPr="003A2652" w:rsidR="003A2652">
        <w:t xml:space="preserve"> emphasizes the importance of a secure relationship between a child and a caregiver, while Ainsworth and Bowlby </w:t>
      </w:r>
      <w:r w:rsidR="00823283">
        <w:t xml:space="preserve">(1991) </w:t>
      </w:r>
      <w:r w:rsidRPr="003A2652" w:rsidR="003A2652">
        <w:t>emphasize the need for trusted caregivers to learn and respond to a child's unique communication styles. Local authorities are proactively supporting Flying Start</w:t>
      </w:r>
      <w:r w:rsidR="00642002">
        <w:t xml:space="preserve"> (2007)</w:t>
      </w:r>
      <w:r w:rsidRPr="003A2652" w:rsidR="003A2652">
        <w:t xml:space="preserve"> by fostering partnerships with parents and carers, ensuring staff continuity, and sharing information about their children's development. Parents should be involved in discussions about their child's development and wellbeing, and staff should welcome them into the setting</w:t>
      </w:r>
      <w:r w:rsidR="00FD622B">
        <w:t xml:space="preserve"> (Department for Education</w:t>
      </w:r>
      <w:r w:rsidR="00C00EFB">
        <w:t>, 2024).</w:t>
      </w:r>
      <w:r w:rsidR="00996A58">
        <w:t xml:space="preserve"> </w:t>
      </w:r>
      <w:r w:rsidRPr="007E6BC7" w:rsidR="007E6BC7">
        <w:t xml:space="preserve">Although the mother-child link has been the primary focus of the attachment literature, which has often been used to challenge the notion, prominent proponents of the theory have accepted the possibility of other attachment figures in a child's life (Ainsworth et al. 1978). They would consist of members of the extended family as well as educators. Despite </w:t>
      </w:r>
      <w:r w:rsidRPr="007E6BC7" w:rsidR="00BA421F">
        <w:t>several</w:t>
      </w:r>
      <w:r w:rsidRPr="007E6BC7" w:rsidR="007E6BC7">
        <w:t xml:space="preserve"> challenges and </w:t>
      </w:r>
      <w:r w:rsidRPr="007E6BC7" w:rsidR="00822401">
        <w:t>re-examinations</w:t>
      </w:r>
      <w:r w:rsidRPr="007E6BC7" w:rsidR="007E6BC7">
        <w:t>, the idea of attachment is still regarded as a "grand theory" of development (Waters and Cummings, 2000).</w:t>
      </w:r>
      <w:r w:rsidR="008F187B">
        <w:t xml:space="preserve"> </w:t>
      </w:r>
      <w:r w:rsidRPr="00BA6252" w:rsidR="00BA6252">
        <w:t xml:space="preserve">Elfer </w:t>
      </w:r>
      <w:r w:rsidRPr="008F187B" w:rsidR="00BA6252">
        <w:rPr>
          <w:i/>
          <w:iCs/>
        </w:rPr>
        <w:t>et al</w:t>
      </w:r>
      <w:r w:rsidRPr="00BA6252" w:rsidR="00BA6252">
        <w:t xml:space="preserve"> (2003) clarify that the role and awareness of a key individual in the environment and a responsive parent facilitate this. According to Elfer </w:t>
      </w:r>
      <w:r w:rsidRPr="00CC43B9" w:rsidR="00BA6252">
        <w:rPr>
          <w:i/>
          <w:iCs/>
        </w:rPr>
        <w:t>et al</w:t>
      </w:r>
      <w:r w:rsidR="004938E5">
        <w:t xml:space="preserve"> (2003),</w:t>
      </w:r>
      <w:r w:rsidRPr="00BA6252" w:rsidR="00BA6252">
        <w:t xml:space="preserve"> the k</w:t>
      </w:r>
      <w:r w:rsidR="00601006">
        <w:t>eyperson</w:t>
      </w:r>
      <w:r w:rsidRPr="00BA6252" w:rsidR="00BA6252">
        <w:t xml:space="preserve"> approach is a method of working in early childhood settings where the organization and focus are intended to facilitate and support the development of strong relationships between </w:t>
      </w:r>
      <w:r w:rsidR="00601006">
        <w:t>the professional</w:t>
      </w:r>
      <w:r w:rsidR="00C7465D">
        <w:t>. parents</w:t>
      </w:r>
      <w:r w:rsidRPr="00BA6252" w:rsidR="00BA6252">
        <w:t xml:space="preserve"> and children</w:t>
      </w:r>
      <w:r w:rsidR="00B34A1D">
        <w:t xml:space="preserve"> making a</w:t>
      </w:r>
      <w:r w:rsidR="00F226C1">
        <w:t xml:space="preserve"> </w:t>
      </w:r>
      <w:r w:rsidR="00356106">
        <w:t>compatible</w:t>
      </w:r>
      <w:r w:rsidR="00B34A1D">
        <w:t xml:space="preserve"> </w:t>
      </w:r>
      <w:r w:rsidR="004D07CA">
        <w:t>three-way</w:t>
      </w:r>
      <w:r w:rsidR="00B34A1D">
        <w:t xml:space="preserve"> relationship.</w:t>
      </w:r>
      <w:r w:rsidR="00B02D45">
        <w:t xml:space="preserve"> </w:t>
      </w:r>
      <w:r w:rsidRPr="00922CD7" w:rsidR="00922CD7">
        <w:t>Parent-professional partnerships require both successful and meaningful collaboration as well as parental involvement. Meaningful parent-professional relationships necessitate mutual respect and recognition of the contributions made by each key agent to the development of children</w:t>
      </w:r>
      <w:r w:rsidR="00922CD7">
        <w:t xml:space="preserve"> (</w:t>
      </w:r>
      <w:proofErr w:type="spellStart"/>
      <w:r w:rsidR="00922CD7">
        <w:t>Kambouri</w:t>
      </w:r>
      <w:proofErr w:type="spellEnd"/>
      <w:r w:rsidR="00922CD7">
        <w:t xml:space="preserve"> </w:t>
      </w:r>
      <w:r w:rsidRPr="00922CD7" w:rsidR="00922CD7">
        <w:rPr>
          <w:i/>
          <w:iCs/>
        </w:rPr>
        <w:t>et al</w:t>
      </w:r>
      <w:r w:rsidR="00922CD7">
        <w:t>, 2017).</w:t>
      </w:r>
    </w:p>
    <w:p w:rsidR="006E43DD" w:rsidRDefault="006E43DD" w14:paraId="78F30EF3" w14:textId="77777777">
      <w:pPr>
        <w:rPr>
          <w:sz w:val="28"/>
          <w:szCs w:val="28"/>
        </w:rPr>
      </w:pPr>
    </w:p>
    <w:p w:rsidR="00E35A21" w:rsidRDefault="00E35A21" w14:paraId="71CC7499" w14:textId="77777777">
      <w:pPr>
        <w:rPr>
          <w:sz w:val="28"/>
          <w:szCs w:val="28"/>
        </w:rPr>
      </w:pPr>
    </w:p>
    <w:p w:rsidR="00E35A21" w:rsidRDefault="00E35A21" w14:paraId="212CD964" w14:textId="77777777">
      <w:pPr>
        <w:rPr>
          <w:sz w:val="28"/>
          <w:szCs w:val="28"/>
        </w:rPr>
      </w:pPr>
    </w:p>
    <w:p w:rsidR="00A87325" w:rsidRDefault="00A87325" w14:paraId="23E8C11A" w14:textId="77777777">
      <w:pPr>
        <w:rPr>
          <w:sz w:val="28"/>
          <w:szCs w:val="28"/>
          <w:highlight w:val="red"/>
        </w:rPr>
      </w:pPr>
    </w:p>
    <w:p w:rsidR="00A87325" w:rsidRDefault="00A87325" w14:paraId="701D7838" w14:textId="77777777">
      <w:pPr>
        <w:rPr>
          <w:sz w:val="28"/>
          <w:szCs w:val="28"/>
          <w:highlight w:val="red"/>
        </w:rPr>
      </w:pPr>
    </w:p>
    <w:p w:rsidR="00A87325" w:rsidRDefault="00A87325" w14:paraId="6EE7BF20" w14:textId="77777777">
      <w:pPr>
        <w:rPr>
          <w:sz w:val="28"/>
          <w:szCs w:val="28"/>
          <w:highlight w:val="red"/>
        </w:rPr>
      </w:pPr>
    </w:p>
    <w:p w:rsidR="00A87325" w:rsidRDefault="00A87325" w14:paraId="3EAC9025" w14:textId="77777777">
      <w:pPr>
        <w:rPr>
          <w:sz w:val="28"/>
          <w:szCs w:val="28"/>
          <w:highlight w:val="red"/>
        </w:rPr>
      </w:pPr>
    </w:p>
    <w:p w:rsidR="00A87325" w:rsidRDefault="00A87325" w14:paraId="35B7122B" w14:textId="77777777">
      <w:pPr>
        <w:rPr>
          <w:sz w:val="28"/>
          <w:szCs w:val="28"/>
          <w:highlight w:val="red"/>
        </w:rPr>
      </w:pPr>
    </w:p>
    <w:p w:rsidR="00980CF1" w:rsidRDefault="00980CF1" w14:paraId="75B077E3" w14:textId="7D22A8EA">
      <w:pPr>
        <w:rPr>
          <w:sz w:val="20"/>
          <w:szCs w:val="20"/>
        </w:rPr>
      </w:pPr>
      <w:r w:rsidRPr="002D171E">
        <w:rPr>
          <w:sz w:val="28"/>
          <w:szCs w:val="28"/>
          <w:highlight w:val="red"/>
        </w:rPr>
        <w:t>Methodological Considerations</w:t>
      </w:r>
      <w:r w:rsidRPr="00B467D9">
        <w:t xml:space="preserve"> </w:t>
      </w:r>
      <w:r w:rsidRPr="00B467D9">
        <w:rPr>
          <w:sz w:val="20"/>
          <w:szCs w:val="20"/>
        </w:rPr>
        <w:t>(1500 words)</w:t>
      </w:r>
    </w:p>
    <w:p w:rsidRPr="00B467D9" w:rsidR="007145E9" w:rsidRDefault="00D935CD" w14:paraId="6E69008F" w14:textId="5876E397">
      <w:pPr>
        <w:rPr>
          <w:sz w:val="20"/>
          <w:szCs w:val="20"/>
        </w:rPr>
      </w:pPr>
      <w:r>
        <w:rPr>
          <w:sz w:val="20"/>
          <w:szCs w:val="20"/>
        </w:rPr>
        <w:t>Sample</w:t>
      </w:r>
      <w:r>
        <w:rPr>
          <w:sz w:val="20"/>
          <w:szCs w:val="20"/>
        </w:rPr>
        <w:tab/>
      </w:r>
      <w:r w:rsidR="00A34568">
        <w:rPr>
          <w:sz w:val="20"/>
          <w:szCs w:val="20"/>
        </w:rPr>
        <w:t>representative???</w:t>
      </w:r>
      <w:r>
        <w:rPr>
          <w:sz w:val="20"/>
          <w:szCs w:val="20"/>
        </w:rPr>
        <w:tab/>
      </w:r>
      <w:r w:rsidR="00981804">
        <w:rPr>
          <w:sz w:val="20"/>
          <w:szCs w:val="20"/>
        </w:rPr>
        <w:t>Methods used</w:t>
      </w:r>
      <w:r w:rsidR="00981804">
        <w:rPr>
          <w:sz w:val="20"/>
          <w:szCs w:val="20"/>
        </w:rPr>
        <w:tab/>
      </w:r>
      <w:r w:rsidR="00981804">
        <w:rPr>
          <w:sz w:val="20"/>
          <w:szCs w:val="20"/>
        </w:rPr>
        <w:t>theorists</w:t>
      </w:r>
      <w:r w:rsidR="00981804">
        <w:rPr>
          <w:sz w:val="20"/>
          <w:szCs w:val="20"/>
        </w:rPr>
        <w:tab/>
      </w:r>
      <w:r w:rsidR="00981804">
        <w:rPr>
          <w:sz w:val="20"/>
          <w:szCs w:val="20"/>
        </w:rPr>
        <w:t>why not used</w:t>
      </w:r>
      <w:r w:rsidR="00981804">
        <w:rPr>
          <w:sz w:val="20"/>
          <w:szCs w:val="20"/>
        </w:rPr>
        <w:tab/>
      </w:r>
      <w:r w:rsidR="00455A0E">
        <w:rPr>
          <w:sz w:val="20"/>
          <w:szCs w:val="20"/>
        </w:rPr>
        <w:t xml:space="preserve">compare and </w:t>
      </w:r>
      <w:proofErr w:type="gramStart"/>
      <w:r w:rsidR="00455A0E">
        <w:rPr>
          <w:sz w:val="20"/>
          <w:szCs w:val="20"/>
        </w:rPr>
        <w:t>contrast</w:t>
      </w:r>
      <w:proofErr w:type="gramEnd"/>
    </w:p>
    <w:p w:rsidR="00B97D68" w:rsidRDefault="00726780" w14:paraId="7193D7C7" w14:textId="77777777">
      <w:r w:rsidRPr="00B467D9">
        <w:t>The question posed by the research was</w:t>
      </w:r>
      <w:r w:rsidRPr="00AD4645" w:rsidR="00AD4645">
        <w:t xml:space="preserve"> </w:t>
      </w:r>
      <w:r w:rsidR="00081358">
        <w:t>h</w:t>
      </w:r>
      <w:r w:rsidRPr="00AD4645" w:rsidR="00AD4645">
        <w:t xml:space="preserve">ow important </w:t>
      </w:r>
      <w:r w:rsidRPr="00AD4645" w:rsidR="00703CAC">
        <w:t>the partnership with parents between school and home for professionals, parents and children in the early years</w:t>
      </w:r>
      <w:r w:rsidR="00B97D68">
        <w:t>?</w:t>
      </w:r>
      <w:r w:rsidRPr="00B467D9">
        <w:t xml:space="preserve"> The research question provided structure to the research project and focused on gaining an understanding of the perceived views, feelings and understanding of</w:t>
      </w:r>
      <w:r w:rsidR="003C150C">
        <w:t xml:space="preserve"> </w:t>
      </w:r>
      <w:r w:rsidR="00623442">
        <w:t>children</w:t>
      </w:r>
      <w:r w:rsidR="003C150C">
        <w:t xml:space="preserve">, </w:t>
      </w:r>
      <w:r w:rsidRPr="00B467D9">
        <w:t xml:space="preserve">parents and practitioners in the role of building relationships and partnerships within an </w:t>
      </w:r>
      <w:proofErr w:type="gramStart"/>
      <w:r w:rsidRPr="00B467D9">
        <w:t>early years</w:t>
      </w:r>
      <w:proofErr w:type="gramEnd"/>
      <w:r w:rsidRPr="00B467D9">
        <w:t xml:space="preserve"> setting. This question </w:t>
      </w:r>
      <w:r w:rsidR="003C150C">
        <w:t xml:space="preserve">will </w:t>
      </w:r>
      <w:r w:rsidRPr="00B467D9">
        <w:t xml:space="preserve">form the limits of the study and </w:t>
      </w:r>
      <w:r w:rsidR="00122DC7">
        <w:t xml:space="preserve">will </w:t>
      </w:r>
      <w:r w:rsidRPr="00B467D9">
        <w:t xml:space="preserve">support the planning process. </w:t>
      </w:r>
    </w:p>
    <w:p w:rsidR="002C6F7E" w:rsidRDefault="002C6F7E" w14:paraId="6DF6EFC9" w14:textId="192E9EBA">
      <w:r w:rsidRPr="002C6F7E">
        <w:t>A</w:t>
      </w:r>
      <w:r w:rsidR="00951830">
        <w:t>s a</w:t>
      </w:r>
      <w:r w:rsidRPr="002C6F7E">
        <w:t xml:space="preserve"> small-scale study a representative, qualitative approach to explore home-school relationships between parents, children and practitioners</w:t>
      </w:r>
      <w:r w:rsidR="00462194">
        <w:t xml:space="preserve"> </w:t>
      </w:r>
      <w:r w:rsidR="00B63E8F">
        <w:t xml:space="preserve">withing the early years department of a local primary school. The sample to be chosen will be </w:t>
      </w:r>
      <w:r w:rsidR="008D2EC8">
        <w:t xml:space="preserve">a random sample of 5 children per class </w:t>
      </w:r>
      <w:r w:rsidR="006058D3">
        <w:t xml:space="preserve">from </w:t>
      </w:r>
      <w:r w:rsidR="009C1200">
        <w:t xml:space="preserve">4 classes. </w:t>
      </w:r>
      <w:r w:rsidRPr="002C6F7E">
        <w:t xml:space="preserve"> The first part will use a questionnaire to gather information on parents' perceptions of their own and their child's relationship with school practitioners. The second part will use a questionnaire with </w:t>
      </w:r>
      <w:r w:rsidR="003E3DA1">
        <w:t xml:space="preserve">the 4 </w:t>
      </w:r>
      <w:r w:rsidRPr="002C6F7E">
        <w:t>early years practitioners to understand their knowledge and feelings about conducting relationships between themselves and families. The third part will involve engaging with children using various methods to capture their thoughts and feelings on the relationships between the three parties. The aim is to gain insight into the benefits and challenges of relationships between practitioners, parents and children.</w:t>
      </w:r>
    </w:p>
    <w:p w:rsidR="00803347" w:rsidRDefault="00803347" w14:paraId="02775ED6" w14:textId="48989C9D">
      <w:r w:rsidRPr="001E156F">
        <w:rPr>
          <w:highlight w:val="yellow"/>
        </w:rPr>
        <w:t>Due to the exploratory nature of the research the numbers involved were small which</w:t>
      </w:r>
      <w:r w:rsidRPr="00054AE1">
        <w:t xml:space="preserve"> enabled all voices to be heard and a rich depth of contextual knowledge to be gained to support understanding of the</w:t>
      </w:r>
      <w:r w:rsidRPr="00054AE1" w:rsidR="00422950">
        <w:t xml:space="preserve"> relationships that could be and have been formed</w:t>
      </w:r>
      <w:r w:rsidRPr="00054AE1" w:rsidR="004176E8">
        <w:t xml:space="preserve"> within the setting</w:t>
      </w:r>
      <w:r w:rsidRPr="002D171E">
        <w:t>. The research methods were designed to reflect the interpretation by all individuals involved and all viewpoints were considered equally important. Hughes (2001) identifies that knowledge is valid if it is authentic and the true voice of the participants. Within this study this validity has been considered through triangulation methods including drawing on perceived opinions from other participants to consider if responses are consistent. The study was designed using many of the interpretive traditions described by Roberts-Holmes (2005). The research questions remained open ended to encourage exploration of feelings and understandings of the individuals without preconceived opinions, assumptions and judgements being made. The methods chosen supported the viewpoint tha</w:t>
      </w:r>
      <w:r w:rsidRPr="74799CBB">
        <w:rPr>
          <w:highlight w:val="yellow"/>
        </w:rPr>
        <w:t>t children are thinking, active people</w:t>
      </w:r>
      <w:r w:rsidRPr="002D171E">
        <w:t xml:space="preserve"> whose </w:t>
      </w:r>
      <w:r w:rsidRPr="002D171E" w:rsidR="00B969FB">
        <w:t>viewpoint</w:t>
      </w:r>
      <w:r w:rsidRPr="002D171E">
        <w:t xml:space="preserve"> is paramount and were designed to uncover the rich diversity and complexity of children’s understandings alongside that of other important people in their lives such as parents and early years practitioners. </w:t>
      </w:r>
    </w:p>
    <w:p w:rsidR="00803347" w:rsidRDefault="00803347" w14:paraId="13857CE2" w14:textId="7006C17B">
      <w:r w:rsidRPr="002D171E">
        <w:t xml:space="preserve">The process included a small representational sample of families attending </w:t>
      </w:r>
      <w:r w:rsidRPr="17949CAC">
        <w:rPr>
          <w:highlight w:val="yellow"/>
        </w:rPr>
        <w:t>at</w:t>
      </w:r>
      <w:r w:rsidRPr="002D171E">
        <w:t xml:space="preserve"> a single setting as the aim was to gather rich contextual data rather than large data sets </w:t>
      </w:r>
      <w:r w:rsidRPr="002D171E">
        <w:t xml:space="preserve">requiring generalisations. Ethical consideration was given to all methodologies and methods used and informed the research planning process throughout to gather authentic concepts and themes for analysis and interpretation. The researchers’ ontological stance was declared and challenged throughout the process through discussion, reflection and supervision processes (Roberts-Holmes 2005). James and Prout (1990) identify that seeing children as valuable participants in the research process has come about in recent years </w:t>
      </w:r>
      <w:proofErr w:type="gramStart"/>
      <w:r w:rsidRPr="002D171E">
        <w:t>as a result of</w:t>
      </w:r>
      <w:proofErr w:type="gramEnd"/>
      <w:r w:rsidRPr="002D171E">
        <w:t xml:space="preserve"> legislation and changing sociological perspectives. Roberts-Holmes (2005) expands that the United Convention for the Rights of the Child (UNCR</w:t>
      </w:r>
      <w:r w:rsidRPr="002D171E" w:rsidR="00E576FA">
        <w:t>C</w:t>
      </w:r>
      <w:r w:rsidRPr="002D171E">
        <w:t>) (UN 1989) provided a framework for addressing rights relating to children’s need for protection, adequate provision and the rights to participation. The UNCR</w:t>
      </w:r>
      <w:r w:rsidRPr="002D171E" w:rsidR="00E576FA">
        <w:t>C</w:t>
      </w:r>
      <w:r w:rsidRPr="002D171E">
        <w:t xml:space="preserve"> marks a cultural shift from working for children, to working with children. This was supported in the United Kingdom within the Children Act 1989 which stated that children should have the right to be heard about matters which affect them and encourages the inclusion of children within the research process. More recently the Labour Governments Children and Young Persons Unit (DFES 2001) and the Children Act (2004), have led to a growing recognition that children’s views and perspectives can and must be heard on issues that affect them. (Roberts-Holmes 2005, James and Prout 1999). Roberts-Holmes (2005) identify that the Children Bill (2004) represents a further major legislative impetus in listening to, and acting upon, children’s voices and opinions in research</w:t>
      </w:r>
      <w:r w:rsidR="006C7E9F">
        <w:t xml:space="preserve"> and </w:t>
      </w:r>
      <w:r w:rsidRPr="002D171E">
        <w:t>encourages those who work and research with young children to listen to the voices of the children and ensure they participate in the research process (Roberts-Holmes 20</w:t>
      </w:r>
      <w:r w:rsidR="007453A5">
        <w:t>18</w:t>
      </w:r>
      <w:r w:rsidRPr="002D171E">
        <w:t xml:space="preserve">). </w:t>
      </w:r>
    </w:p>
    <w:p w:rsidR="00803347" w:rsidRDefault="00803347" w14:paraId="6F10634A" w14:textId="64EEBD67">
      <w:r w:rsidRPr="002D171E">
        <w:t xml:space="preserve">Informed by participatory approaches and adopting a child-centred approach to research with young children, the study aimed to elicit children’s views and understanding of their experiences of </w:t>
      </w:r>
      <w:r w:rsidRPr="002D171E" w:rsidR="004176E8">
        <w:t xml:space="preserve">relationships between home and school. </w:t>
      </w:r>
      <w:r w:rsidRPr="002D171E">
        <w:t xml:space="preserve">Gray and Winter (2011) explain that participatory research methods view children as competent social actors who co-construct their world. This is backed up by the notion that discoverable truths govern child development and are critical of approaches which explore childhood issues in isolation and ignore the relationship between children their culture, society and environment (James and Prout 1999). Gray and Winter (2011) explain that participatory research is not without its criticism, and reservations have been voiced including concerns about the impact of research on children’s lives (McLeod 2008) the competency, wisdom and desirability of involving children in research and the extent of children’s inclusion in the research process (Mahon et al 1996). Kellett (2006) dismisses these concerns on the grounds that children’s competence may be different </w:t>
      </w:r>
      <w:r w:rsidRPr="002D171E" w:rsidR="00015DD4">
        <w:t>from but</w:t>
      </w:r>
      <w:r w:rsidRPr="002D171E">
        <w:t xml:space="preserve"> is not less than adult competence. To circumvent these criticisms and bring rigour to the research other studies which have employed a range of techniques and strategies designed to capture and reflect the views of young children were considered. These included Gray and Winter (2011) who conducted a study involving young children with identified learning and physical </w:t>
      </w:r>
      <w:r w:rsidRPr="002D171E">
        <w:t xml:space="preserve">disabilities, and Clarke and Moss (2001), who identified and pioneered many ethical participatory methods suitable for use with young children within an </w:t>
      </w:r>
      <w:proofErr w:type="gramStart"/>
      <w:r w:rsidRPr="4F6DC899">
        <w:rPr>
          <w:highlight w:val="yellow"/>
        </w:rPr>
        <w:t>early years</w:t>
      </w:r>
      <w:proofErr w:type="gramEnd"/>
      <w:r w:rsidRPr="002D171E">
        <w:t xml:space="preserve"> setting.</w:t>
      </w:r>
    </w:p>
    <w:p w:rsidR="000303E7" w:rsidRDefault="000303E7" w14:paraId="4E834BC2" w14:textId="15ABEACC">
      <w:r w:rsidRPr="000303E7">
        <w:t>Early childhood practitioners should place a high priority on collaborating with parents and carers as they have a substantial impact on children's results. Studies indicate that the most significant factor in predicting future results is the quality of the home learning environment. Respectfully interacting with families guarantees comprehension of a child's requirements, which results in suitable assistance in environments and at home.</w:t>
      </w:r>
    </w:p>
    <w:p w:rsidR="003B5925" w:rsidP="003853E5" w:rsidRDefault="003853E5" w14:paraId="532BF447" w14:textId="77777777">
      <w:r>
        <w:t>Mixed methods research</w:t>
      </w:r>
      <w:r w:rsidR="00DE7C05">
        <w:t>.</w:t>
      </w:r>
    </w:p>
    <w:p w:rsidR="003853E5" w:rsidP="003853E5" w:rsidRDefault="003853E5" w14:paraId="189DC10A" w14:textId="58472B39">
      <w:r>
        <w:t xml:space="preserve">The three strategies introduced above are most likely to use entirely or mainly qualitative data and associated procedures of analysis. A stronger emphasis on quantitative data is introduced in the mixed methods approach, in which elements of qualitative and quantitative research approaches are combined in a single project ‘for the broad purpose of breadth and depth of understanding’ (Johnson, Onwuegbuzie &amp; Turner, 2007, p.123). Mixed methods have </w:t>
      </w:r>
      <w:proofErr w:type="gramStart"/>
      <w:r>
        <w:t>particular value</w:t>
      </w:r>
      <w:proofErr w:type="gramEnd"/>
      <w:r>
        <w:t xml:space="preserve"> when a researcher is trying to approach a phenomenon or problem that is present in a complex educational or social context (</w:t>
      </w:r>
      <w:proofErr w:type="spellStart"/>
      <w:r>
        <w:t>Tashakkori</w:t>
      </w:r>
      <w:proofErr w:type="spellEnd"/>
      <w:r>
        <w:t xml:space="preserve"> &amp; Teddlie, 2010). Likewise, because mixed methods </w:t>
      </w:r>
      <w:proofErr w:type="gramStart"/>
      <w:r>
        <w:t>designs</w:t>
      </w:r>
      <w:proofErr w:type="gramEnd"/>
      <w:r>
        <w:t xml:space="preserve"> incorporate techniques from both the quantitative and qualitative research traditions, they can be used to answer questions that could not be answered in any other way. The issue is not simply how to use methods from two paradigms alongside each other but how to integrate these methods into a coherent study (Bryman, 2012; </w:t>
      </w:r>
      <w:proofErr w:type="spellStart"/>
      <w:r>
        <w:t>Tashakkori</w:t>
      </w:r>
      <w:proofErr w:type="spellEnd"/>
      <w:r>
        <w:t xml:space="preserve"> &amp; Teddlie, 2003; Teddlie &amp; </w:t>
      </w:r>
      <w:proofErr w:type="spellStart"/>
      <w:r>
        <w:t>Tashakkori</w:t>
      </w:r>
      <w:proofErr w:type="spellEnd"/>
      <w:r>
        <w:t xml:space="preserve">, 2010). The debates about exploiting the strength of both research paradigms are reflected in the terms used, such as integrating, quantitative and qualitative methods, synthesis, multiple methods, and multi-methods, although most writers have settled on the term ‘mixed methods’ (Bryman, 2012; </w:t>
      </w:r>
      <w:proofErr w:type="spellStart"/>
      <w:r>
        <w:t>Tashakkori</w:t>
      </w:r>
      <w:proofErr w:type="spellEnd"/>
      <w:r>
        <w:t xml:space="preserve"> &amp; Teddlie, 2010). Mixed methods include a variety of combinations of qualitative and quantitative approaches and the choice depends on the research question. Findings gained by different methods can be compared and findings may be strengthened by triangulation, such as improved accuracy (validation of findings, checking for bias, development of research instruments). It is also possible to build up findings by a specific sequence of quantitative and qualitative methods. Richer findings are achieved through an iterative process of exploration and explanation. The rationale for these approaches is the aim to enhancement of insights which is confirmed by practice (Bryman, 2006).   The use of mixed methods can neutralise or cancel out some of the disadvantages of certain methods. For example, </w:t>
      </w:r>
      <w:proofErr w:type="spellStart"/>
      <w:r>
        <w:t>O’Farrelly</w:t>
      </w:r>
      <w:proofErr w:type="spellEnd"/>
      <w:r>
        <w:t xml:space="preserve"> and Hennessy (2014) employed structured observations of children, child consultations and parent interviews to research transitions of children within an early childhood education and care setting. By combining the methods in a particular study, we </w:t>
      </w:r>
      <w:proofErr w:type="gramStart"/>
      <w:r>
        <w:t>are able to</w:t>
      </w:r>
      <w:proofErr w:type="gramEnd"/>
      <w:r>
        <w:t xml:space="preserve"> ‘broaden the dimensions and hence the scope of our project and obtain a more complete picture of human behaviour and experience’ (Morse, 2003, p.189). However, mixed methods are </w:t>
      </w:r>
      <w:r>
        <w:t xml:space="preserve">neither a panacea nor necessarily able to provide a full and multi-perspective picture of an educational phenomenon and there is a danger of diluting findings because available resources are spread too thinly (Bryman, 2012; Denscombe, 2014). The approach is tempting because it may seem to give students a fuller picture or because it gives the illusion of justifying not making firm decisions about methodological issues. </w:t>
      </w:r>
      <w:proofErr w:type="gramStart"/>
      <w:r>
        <w:t>Additionally</w:t>
      </w:r>
      <w:proofErr w:type="gramEnd"/>
      <w:r>
        <w:t xml:space="preserve"> the impact of this strategy on feasibility has to be considered. If you choose the mixed </w:t>
      </w:r>
      <w:proofErr w:type="gramStart"/>
      <w:r>
        <w:t>methods strategy</w:t>
      </w:r>
      <w:proofErr w:type="gramEnd"/>
      <w:r>
        <w:t xml:space="preserve"> you should be or become familiar with both quantitative and qualitative forms of research. Multiple sources of data require more time to collect the data, broader data analysis skills and an understanding about the integration of the different elements. You </w:t>
      </w:r>
      <w:proofErr w:type="gramStart"/>
      <w:r>
        <w:t>have to</w:t>
      </w:r>
      <w:proofErr w:type="gramEnd"/>
      <w:r>
        <w:t xml:space="preserve"> be aware that a high number of methods does not automatically translates into a good quality study.</w:t>
      </w:r>
    </w:p>
    <w:p w:rsidR="00311665" w:rsidP="00F96BA0" w:rsidRDefault="00F96BA0" w14:paraId="557163C8" w14:textId="77777777">
      <w:r>
        <w:t xml:space="preserve">Interviews </w:t>
      </w:r>
    </w:p>
    <w:p w:rsidR="00FB09D4" w:rsidP="00F96BA0" w:rsidRDefault="00F96BA0" w14:paraId="2EEB3FF5" w14:textId="3F8D3AA9">
      <w:r>
        <w:t xml:space="preserve">Interviews focus on what people say, what the researcher </w:t>
      </w:r>
      <w:proofErr w:type="gramStart"/>
      <w:r>
        <w:t>hears</w:t>
      </w:r>
      <w:proofErr w:type="gramEnd"/>
      <w:r>
        <w:t xml:space="preserve"> and, in face-to-face interviews, non-verbal communication plays a part, too. It is a flexible tool regarding the relationship between researcher and participant, the media used (face-to-face, online or by phone) and tools for analysis. Interviews enable participants to offer their interpretations of the world in which they live and to express their own point of view (Cohen, Manion &amp; Morrison, 2011). Interviews can approximate how people communicate in their everyday contexts ‘is one of the most common and powerful ways in which we try to understand our fellow human beings’ (Fontana &amp; Frey, 2000, p.645). However, asking questions and getting answers in an interview is not an easy task because, as in any conversation, there is always room for ambiguity.  Decisions on the structure of the interview, choice of participants and formulation of questions aim to minimize the ambiguity inherent in human communication. At the same time care </w:t>
      </w:r>
      <w:proofErr w:type="gramStart"/>
      <w:r>
        <w:t>has to</w:t>
      </w:r>
      <w:proofErr w:type="gramEnd"/>
      <w:r>
        <w:t xml:space="preserve"> be taken not to tip the balance towards manipulating participants and affecting negatively the validity and trustworthiness of the data. Designs range from highly structured to completely unstructured. Structured interviews have a set of predetermined questions that are asked in a set order (Denscombe, 2014). The aim of this style of interview is ‘for all interviewees to be given exactly the same context of questioning’ and to ‘ensure that interviewees’ replies can be aggregated’ (Bryman, 2012, p.210). In a semi-structured or unstructured </w:t>
      </w:r>
      <w:proofErr w:type="gramStart"/>
      <w:r>
        <w:t>i</w:t>
      </w:r>
      <w:r w:rsidRPr="13E577D3">
        <w:rPr>
          <w:highlight w:val="yellow"/>
        </w:rPr>
        <w:t>nterview</w:t>
      </w:r>
      <w:proofErr w:type="gramEnd"/>
      <w:r>
        <w:t xml:space="preserve"> the focus is on the issues and interests of the research participant (Roberts-Holmes, 2011). The interviewer has a series of questions, commonly in the form of an interview schedule but the sequence of questions may </w:t>
      </w:r>
      <w:proofErr w:type="gramStart"/>
      <w:r>
        <w:t>vary</w:t>
      </w:r>
      <w:proofErr w:type="gramEnd"/>
      <w:r>
        <w:t xml:space="preserve"> and follow-up questions may be asked by the interviewer. Unstructured interviews are supported by an interview guide, which typically consists of a list of topics or issues to be covered usually in an informal style of questioning or conversation. Being informal, freewheeling and not rushing participants into responding prematurely are useful practical strategies (Adler &amp; Adler, 2002). A </w:t>
      </w:r>
      <w:r w:rsidRPr="3D008858">
        <w:rPr>
          <w:highlight w:val="yellow"/>
        </w:rPr>
        <w:t>‘</w:t>
      </w:r>
      <w:proofErr w:type="spellStart"/>
      <w:r w:rsidRPr="3D008858">
        <w:rPr>
          <w:highlight w:val="yellow"/>
        </w:rPr>
        <w:t>nonhierarchical</w:t>
      </w:r>
      <w:proofErr w:type="spellEnd"/>
      <w:r w:rsidRPr="3D008858">
        <w:rPr>
          <w:highlight w:val="yellow"/>
        </w:rPr>
        <w:t>,</w:t>
      </w:r>
      <w:r>
        <w:t xml:space="preserve"> dynamic and fluid frame to the interviews’ helps to establish rapport and trust with the interviewees (Levinson &amp; Sparkes, 2005, p.14) </w:t>
      </w:r>
      <w:r w:rsidRPr="000C02FD">
        <w:t xml:space="preserve">and </w:t>
      </w:r>
      <w:r w:rsidRPr="000C02FD" w:rsidR="00791B68">
        <w:t>open-ended</w:t>
      </w:r>
      <w:r>
        <w:t xml:space="preserve"> interviews enable </w:t>
      </w:r>
      <w:r>
        <w:t xml:space="preserve">participants to show their unique way of looking at the specific phenomenon (Silverman, 2000). As the structure of interviews is reduced the time and flexibility required (and the difficulty of analysing the resulting data) are likely to increase. Good rapport between the researcher and participants and appropriate wording of questions can make interviews feel more relaxed, resulting in better data. Pitfalls to be avoided include asking about things people cannot possibly know or cannot be expected to remember, leading questions, confusing participants by asking two or more question in one sentence, and not adapting language to the ability of participants. It can be tricky to create a space in which participants do not feel obliged to give socially desirable answers or the ‘answers the researcher want to hear’ (Bryman, 2012; de Vaus, 2014). A trusting relationship between researcher and interviewee will be supported by appropriately ethical behaviour, setting out principles of confidentiality and the right to withdraw without needing to give a reason and outlining the structure of questions.  Practical concerns which may affect the quality of interviews include choosing a place that is comfortable and that allows confidentiality to be maintained. Interviews should not be overheard by others if this was agreed. Sometimes it is useful to keep participation confidential, for example in research with several practitioners from one setting. The influence of the place on openness by participants ought to be considered. For example, children approached for participation on school premises may not feel able to decline, since this is not an appropriate response to an adult’s request in this context (Mayall, 2002).  A digital voice recorder can be used to record the interviews allowing you to obtain a more accurate account of what was said. You must inform all interviewees that you intend to record the interviews and ask for their informed consent. </w:t>
      </w:r>
    </w:p>
    <w:p w:rsidR="00FB09D4" w:rsidP="00F96BA0" w:rsidRDefault="00F96BA0" w14:paraId="7DDB39CB" w14:textId="47A30409">
      <w:pPr>
        <w:rPr>
          <w:highlight w:val="yellow"/>
        </w:rPr>
      </w:pPr>
      <w:r>
        <w:t xml:space="preserve"> </w:t>
      </w:r>
      <w:r w:rsidRPr="4FEF9620">
        <w:rPr>
          <w:highlight w:val="yellow"/>
        </w:rPr>
        <w:t xml:space="preserve">Focus </w:t>
      </w:r>
      <w:proofErr w:type="gramStart"/>
      <w:r w:rsidRPr="4FEF9620">
        <w:rPr>
          <w:highlight w:val="yellow"/>
        </w:rPr>
        <w:t>groups</w:t>
      </w:r>
      <w:proofErr w:type="gramEnd"/>
    </w:p>
    <w:p w:rsidR="00FB09D4" w:rsidP="00F96BA0" w:rsidRDefault="00F96BA0" w14:paraId="2506605C" w14:textId="3EDA377C">
      <w:r>
        <w:t xml:space="preserve"> Due to unequal power relationships, children and adults can feel intimidated by participating in an individual interview with a researcher (Roberts-Holmes, 2014). Focus group conversations with children may be more appropriate because the power imbalance between adults and children can shift in favour of children. As </w:t>
      </w:r>
      <w:proofErr w:type="spellStart"/>
      <w:r>
        <w:t>Folque</w:t>
      </w:r>
      <w:proofErr w:type="spellEnd"/>
      <w:r>
        <w:t xml:space="preserve"> (2010) argues, children are not used to their views and experiences being sought by unknown researchers, so developing rapport with them is necessary. To become familiar with the children you hope to interview you should spend time with them ahead of the focus group meeting.  In principle qualitative work with groups can range from heavily structured group interviews to unstructured focus groups and for research with children a flexible approach is </w:t>
      </w:r>
      <w:proofErr w:type="gramStart"/>
      <w:r>
        <w:t>appropriate  (</w:t>
      </w:r>
      <w:proofErr w:type="gramEnd"/>
      <w:r>
        <w:t>Scott, 2008). This kind of conversation can empower children by building up their confidence, supporting interaction between children and respecting children as experts in their setting (</w:t>
      </w:r>
      <w:proofErr w:type="spellStart"/>
      <w:r>
        <w:t>Lancester</w:t>
      </w:r>
      <w:proofErr w:type="spellEnd"/>
      <w:r>
        <w:t xml:space="preserve"> and Broadbent, 2010 in Roberts-Holmes, 2014).  Limitations of focus group work include that individual children may dominate the conversation and that the responsibility to maintain confidentiality is now shared with all participants. An additional practical aspect is that </w:t>
      </w:r>
      <w:r>
        <w:t xml:space="preserve">individual children may be hard to hear and transcribing recorded group interviews can be problematic.      </w:t>
      </w:r>
    </w:p>
    <w:p w:rsidR="00FB09D4" w:rsidP="00F96BA0" w:rsidRDefault="00F96BA0" w14:paraId="3727C937" w14:textId="77777777">
      <w:r>
        <w:t>Observation</w:t>
      </w:r>
      <w:r w:rsidR="00FB09D4">
        <w:t>.</w:t>
      </w:r>
    </w:p>
    <w:p w:rsidR="00FB09D4" w:rsidP="00F96BA0" w:rsidRDefault="00F96BA0" w14:paraId="4B98835F" w14:textId="77777777">
      <w:r>
        <w:t xml:space="preserve">Observation is a frequently used method of data collection for early childhood research. It allows you to explore familiar and routine events in early childhood settings in a new way (Roberts-Holmes, 2014) by ‘looking critically, looking openly, looking sometimes knowing what we are looking for, looking for evidence, looking to be persuaded, looking for information’ (Clough &amp; Nutbrown, 2012, p.54). Observations enable you to look at different aspects of children’s development, including emotional, social, physical and cognitive development, as well as their relationships to other children and adults and include considerations of the natural context within which these occur. This form of data collection is attractive due to its directness, avoiding the transformations which occur when behaviour and emotions are described and explained in words to the researcher (Robson, 2011). Specific forms of observations are characterised by structure, level of participation of the researcher and participants’ knowledge about the research activities. Structured observations are systematic and may lead to the generation of numerical data. They are aided by observation schedules which set out, for example, the frequency and length of observations or require the observer to tick boxes indicating </w:t>
      </w:r>
      <w:proofErr w:type="gramStart"/>
      <w:r>
        <w:t>particular kinds</w:t>
      </w:r>
      <w:proofErr w:type="gramEnd"/>
      <w:r>
        <w:t xml:space="preserve"> of behaviour for each participant (Bryman, 2012).   By contrast, unstructured observations do not have a tight focus. Early childhood researchers can take notes about different activities that are taking place in the setting, often before they begin to refine the focus of their study. These observations result in qualitative data, which are not easily analysed with statistical methods.  Another decision you </w:t>
      </w:r>
      <w:proofErr w:type="gramStart"/>
      <w:r>
        <w:t>have to</w:t>
      </w:r>
      <w:proofErr w:type="gramEnd"/>
      <w:r>
        <w:t xml:space="preserve"> make is whether you will participate in the activities you aim to explore and consequently seek to become member of the observed group. This method is characterised by the researcher’s immersion in the context and is closely linked to ethnography. It requires time to observe, listen to and find opportunities to ask questions without disturbing the normally occurring behaviours (Bryman, 2012). However, not all participant observations have to or can involve the researcher so deeply. Forms of participation may include ‘the complete participant’, ‘the participant as observer’, ‘the marginal participant’ to ‘the observer-as-participant’ (Robson, 2011). For example, when observing children’s interaction in a nursery context your participation as an adult will be different from your involvement in play with the children. The most important ethical question is whether your observations will be overt or covert. A principled approach requiring informed consent does not allow covert forms of data generation. An emphasis on the benefits of the findings to the wider community and the attempt to avoid influencing the behaviour of the observed group may make covert research acceptable but you would have to have very good reasons to be allowed to undertake covert research. However, the grey area between the two poles overt and covert deserves attention. Are you able to explain to children why you want to </w:t>
      </w:r>
      <w:r>
        <w:t xml:space="preserve">listen in on their play? Do people who agree to be video recorded during activities understand fully that the researcher may replay sequences </w:t>
      </w:r>
      <w:proofErr w:type="gramStart"/>
      <w:r>
        <w:t>over and over again</w:t>
      </w:r>
      <w:proofErr w:type="gramEnd"/>
      <w:r>
        <w:t xml:space="preserve"> to capture every minute detail of their behaviour? Can we always inform everyone who may float in and out of research projects about our research aims (for example, the visitor to a children’s centre)?  It is also difficult to deny that researchers often hope that participants will forget that they are being researched and just behave as they normally would.   </w:t>
      </w:r>
    </w:p>
    <w:p w:rsidR="00FB09D4" w:rsidP="00F96BA0" w:rsidRDefault="00F96BA0" w14:paraId="7142AF87" w14:textId="77777777">
      <w:r>
        <w:t>Questionnaires</w:t>
      </w:r>
      <w:r w:rsidR="00FB09D4">
        <w:t>.</w:t>
      </w:r>
    </w:p>
    <w:p w:rsidR="00F96BA0" w:rsidP="00F96BA0" w:rsidRDefault="00F96BA0" w14:paraId="30DC2B78" w14:textId="4BDA1F94">
      <w:r>
        <w:t xml:space="preserve">Questionnaires are a useful way to access a wide range of views, relatively fast and in an economic manner. A popular form of questionnaires collects primarily quantitative data that cannot provide deep insights and the depth that qualitative methods do. They can be distributed in person, by post or other media, in paper form or electronically and answers can be returned by post, e-mail, as on-line response or in a face-to-face situation. This method is usually used with adults because questionnaires rely on participants’ ability to read, comprehend and write. Yet the shift in concepts of childhood and research with children shows that often children’s abilities to participate in research are underestimated and with appropriate adaptations to research tools, they </w:t>
      </w:r>
      <w:proofErr w:type="gramStart"/>
      <w:r w:rsidRPr="5C3F0146">
        <w:rPr>
          <w:highlight w:val="yellow"/>
        </w:rPr>
        <w:t>are capable of offering</w:t>
      </w:r>
      <w:proofErr w:type="gramEnd"/>
      <w:r>
        <w:t xml:space="preserve"> first-hand information on their lives and interpretations (O'Kane, 2008; Scott, 2008). Questionnaires tend to offer a snapshot of a phenomenon in time. In combination with other methods, for example as part of a mixed methods strategy, they may support the fine-tuning of a research question, the testing of theories or they can help to identify people who are willing to contribute further to the research. However, it is common that after analysing your responses you end up with more questions, though different ones, than when you started your research project.  The nature of this form of data generation requires careful design. Once the questionnaire is distributed, participants cannot quickly ask, if they do not understand a question, as in an interview situation. General format, length, ease of finding one’s way through the questions, clarity of questions, space to respond and convenience of returning the completed questionnaire all influence the nature and fullness of answers and the return rate. The wording of questions deserves meticulous attention against the backdrop of your knowledge about the group of people you want to survey. Will they understand the questions and response forms? Will the chosen form capture the information you require? You will need </w:t>
      </w:r>
      <w:r w:rsidRPr="00FA1407">
        <w:t xml:space="preserve">to </w:t>
      </w:r>
      <w:r w:rsidRPr="00FA1407" w:rsidR="00FA1407">
        <w:t>consider using</w:t>
      </w:r>
      <w:r w:rsidRPr="00FA1407">
        <w:t xml:space="preserve"> closed</w:t>
      </w:r>
      <w:r>
        <w:t xml:space="preserve"> and open questions. The former presents a set of answers to choose from – and questions that can be answered with ‘yes’, ‘no’ or ‘I don’t know’ belong to this category, too. The latter allows the respondent to answer in their own words and are likely to contain words like ‘what’, ‘when’, ‘why’, ‘how’, etc. Other possibilities are rating scales, multiple choice, ranking questions and more complex grids and tables (Bryman, 2012; de Vaus, 2014). Developing effective questions is a challenging process and we encourage you strongly to discuss drafts of your questionnaire with your peers and tutors and to pilot them.  In this section we have </w:t>
      </w:r>
      <w:r>
        <w:t xml:space="preserve">introduced you to the main methods of social and educational research. They can be used on their own or in combination with each other. Each of them requires a particular set of skills to generate data and to analyse it, each makes different demands on your (and your participants’) time, each </w:t>
      </w:r>
      <w:r w:rsidRPr="00FA1407">
        <w:t xml:space="preserve">is </w:t>
      </w:r>
      <w:r w:rsidRPr="00FA1407" w:rsidR="00FA1407">
        <w:t>useful</w:t>
      </w:r>
      <w:r w:rsidRPr="00FA1407">
        <w:t xml:space="preserve"> in</w:t>
      </w:r>
      <w:r>
        <w:t xml:space="preserve"> doing research with children and each is likely to produce a certain kind of data. If you aim to access children’s first-hand accounts and experiences other forms of research, for example, participatory methods, role play, drawings and photography could be more appropriate (Christensen &amp; James, 2008; Clark et al., 2014).</w:t>
      </w:r>
    </w:p>
    <w:p w:rsidR="00980CF1" w:rsidRDefault="00980CF1" w14:paraId="3A3529AC" w14:textId="77DA69B6">
      <w:pPr>
        <w:rPr>
          <w:sz w:val="20"/>
          <w:szCs w:val="20"/>
        </w:rPr>
      </w:pPr>
      <w:r w:rsidRPr="002E3B80">
        <w:rPr>
          <w:sz w:val="28"/>
          <w:szCs w:val="28"/>
          <w:highlight w:val="red"/>
        </w:rPr>
        <w:t>Ethical Considerations</w:t>
      </w:r>
      <w:r w:rsidRPr="002E3B80">
        <w:rPr>
          <w:highlight w:val="red"/>
        </w:rPr>
        <w:t xml:space="preserve"> </w:t>
      </w:r>
      <w:r w:rsidRPr="002E3B80">
        <w:rPr>
          <w:sz w:val="20"/>
          <w:szCs w:val="20"/>
          <w:highlight w:val="red"/>
        </w:rPr>
        <w:t>(1500 words)</w:t>
      </w:r>
    </w:p>
    <w:p w:rsidR="00541961" w:rsidRDefault="00054F82" w14:paraId="27551324" w14:textId="315A7112">
      <w:r w:rsidRPr="002D171E">
        <w:t>Ethical consideration w</w:t>
      </w:r>
      <w:r w:rsidRPr="002D171E" w:rsidR="00421566">
        <w:t>ould be</w:t>
      </w:r>
      <w:r w:rsidRPr="002D171E">
        <w:t xml:space="preserve"> given </w:t>
      </w:r>
      <w:r w:rsidRPr="00307E83">
        <w:t xml:space="preserve">to </w:t>
      </w:r>
      <w:r w:rsidRPr="00307E83" w:rsidR="00307E83">
        <w:t>a few</w:t>
      </w:r>
      <w:r w:rsidRPr="00307E83">
        <w:t xml:space="preserve"> concerns</w:t>
      </w:r>
      <w:r w:rsidRPr="002D171E">
        <w:t xml:space="preserve"> prior to, and throughout the research process. Rogers (2011) draws attention to the varying types of power involved within relationships implicated in social research, and the oppressive forces which can unknowingly empower some individuals, subjugate others and influence data. Rogers (2011) explains that when individuals feel distressed due to unfair circumstances or misuse of power it is unlikely that they will feel happy or comfortable enough to openly offer their </w:t>
      </w:r>
      <w:r w:rsidRPr="00307E83">
        <w:t xml:space="preserve">true </w:t>
      </w:r>
      <w:r w:rsidRPr="00307E83" w:rsidR="00307E83">
        <w:t>voice and</w:t>
      </w:r>
      <w:r w:rsidRPr="00307E83">
        <w:t xml:space="preserve"> explains</w:t>
      </w:r>
      <w:r w:rsidRPr="002D171E">
        <w:t xml:space="preserve"> that ongoing reflective methods of research will support anti-oppressive approaches. Firstly, in relation to children and their potential vulnerability due to age, particular consideration was given to avoid the misuse of power within the research. The methods used were therefore selected because they support respectful research practices with young children. A research proposal was submitted and passed by the University Ethics Committee prior to any research on this project took place in line with Kellett (2005) who identifies that </w:t>
      </w:r>
      <w:r w:rsidRPr="00307E83">
        <w:t xml:space="preserve">research </w:t>
      </w:r>
      <w:r w:rsidRPr="00307E83" w:rsidR="00307E83">
        <w:t>must</w:t>
      </w:r>
      <w:r w:rsidRPr="00307E83">
        <w:t xml:space="preserve"> be</w:t>
      </w:r>
      <w:r w:rsidRPr="002D171E">
        <w:t xml:space="preserve"> ethical, to have a regard for the needs and feelings of the participants involved and do no harm. Clarke (2004) states that methods which support listening to the many voices of children provide a more ethical approach than those which debilitate, restrict and disempower individuals. This research included listening to children’s voices alongside that of their parents and practitioners to enable a clearer understanding of children’s lives, an ability to respond to what they tell us, and meet their needs by improving services and care. This is expanded upon by others (Roberts-Holmes 2005, Lancaster and Broadbent 2004) who identify that the starting point for social research is to form socially inclusive relationships involving respectful research where the child is viewed as a person with valid and worthwhile perspectives to offer on events which affect his or her life. Robinson and Kellett (2004) explain the complexity of understanding power relations in child research and they identify that these are reinforced by more general issues that exist between adults and children within society at large, such as the status of adults and children, age in relation to a child and what the </w:t>
      </w:r>
      <w:proofErr w:type="gramStart"/>
      <w:r w:rsidRPr="002D171E">
        <w:t>particular relationship</w:t>
      </w:r>
      <w:proofErr w:type="gramEnd"/>
      <w:r w:rsidRPr="002D171E">
        <w:t xml:space="preserve"> to the child is, i.e. parent or professional. Roberts-Holmes (2005) explains that respectful research relationships, based upon the process of informed consent </w:t>
      </w:r>
      <w:proofErr w:type="gramStart"/>
      <w:r w:rsidRPr="002D171E">
        <w:t>will  go</w:t>
      </w:r>
      <w:proofErr w:type="gramEnd"/>
      <w:r w:rsidRPr="002D171E">
        <w:t xml:space="preserve"> some way towards alleviating the power balance between the researcher and the individual; however it is important not to underestimate the possible effects of power as it could </w:t>
      </w:r>
      <w:r w:rsidRPr="002D171E">
        <w:t xml:space="preserve">potentially affect the quality and reliability of the evidence produced and create possible harm to individuals. Rogers (2011) highlights the need to critically reflect on the chosen methods to ensure anti-oppressive practices are used. This process has formed part of the ethical radar throughout the research with both the children and the adults involved. </w:t>
      </w:r>
      <w:proofErr w:type="gramStart"/>
      <w:r w:rsidRPr="002D171E">
        <w:t>All of</w:t>
      </w:r>
      <w:proofErr w:type="gramEnd"/>
      <w:r w:rsidRPr="002D171E">
        <w:t xml:space="preserve"> the participants included were made aware of their right to withdraw at any stage of the process. Prior to the start of the project a letter outlining the aims and objectives of the research, along with a consent form and a clear descriptor of where and how the data generated would be collected, stored and used, was provided for parents of children who had recently started at the centre. This was along with a stamped addressed envelope for returning the questionnaires, therefore assuring anonymity throughout the process. These were then handed out to parents whilst collecting their children from the nursery. Written permission for the research project to go ahead was initially sought from the manager of the setting and ethical considerations were discussed to assure the stakeholders that every attempt had been made to ensure no harm would ensue by completing the project. This is explained by Roberts-Holmes (2005) as an ethical approach to conducting research. Once permission had been granted from the parents, the process of obtaining informed consent from the children, as described by Punch (2012) was started. When considering gaining the consent from very young children, </w:t>
      </w:r>
      <w:proofErr w:type="spellStart"/>
      <w:r w:rsidRPr="002D171E">
        <w:t>Skanfors</w:t>
      </w:r>
      <w:proofErr w:type="spellEnd"/>
      <w:r w:rsidRPr="002D171E">
        <w:t xml:space="preserve"> (2009) questions whether they </w:t>
      </w:r>
      <w:proofErr w:type="gramStart"/>
      <w:r w:rsidRPr="002D171E">
        <w:t>are able to</w:t>
      </w:r>
      <w:proofErr w:type="gramEnd"/>
      <w:r w:rsidRPr="002D171E">
        <w:t xml:space="preserve"> understand what it means to have their activities analysed. This highlights the complex matter of gaining informed consent from very young children, such as the ones included within this research, and the need for careful ethical consideration. </w:t>
      </w:r>
      <w:proofErr w:type="spellStart"/>
      <w:r w:rsidRPr="002D171E">
        <w:t>Blaxter</w:t>
      </w:r>
      <w:proofErr w:type="spellEnd"/>
      <w:r w:rsidRPr="002D171E">
        <w:t xml:space="preserve"> et al (2010) highlight the importance of confidentiality and anonymity which were assured throughout the project by removing all setting, child, parents and staff identifiers. With agreement from the setting leader, children were given the opportunity of choosing a name by which to be known within the research, providing them with full ownership of the information that they provided and acknowledgement of their contribution, without risking the identification of other individuals or the setting (Clarke and Moss 2001, Alderson and Morrow 2004). To support the children with their understanding of what was being asked, a short booklet was created using simple words and pictures which were shared with the children, explaining what would happen throughout the project and asking them if they wished to be included. A series of child friendly approaches including “thumbs up” and “thumbs down” stickers, smiley faces, sad faces and faces displaying other emotions such as worried, unsure, upset and okay were used to identify emotions felt by the children. These were used at the initial stages and throughout the research project to ensure that the children’s consent was sought at each stage of the process. Crucially, in the role of researcher, it was necessary that I remained alert to the non-verbal cues that children use to communicate dissent and assent. These are described by </w:t>
      </w:r>
      <w:proofErr w:type="spellStart"/>
      <w:r w:rsidRPr="002D171E">
        <w:t>Skanfors</w:t>
      </w:r>
      <w:proofErr w:type="spellEnd"/>
      <w:r w:rsidRPr="002D171E">
        <w:t xml:space="preserve"> (2009) as saying “no” and showing “no” and includes non- verbal behaviour such as not responding, pulling away from or ignoring the researcher at any point, alongside more </w:t>
      </w:r>
      <w:r w:rsidRPr="002D171E">
        <w:t xml:space="preserve">subtle actions such as looking down or away. The identified signs of wellbeing and involvement, as described by Laevers (1997), were also used as they outline and indicate levels of engagement, disengagement, stress or satisfaction and enjoyment among young children. These behaviours, </w:t>
      </w:r>
      <w:proofErr w:type="spellStart"/>
      <w:r w:rsidRPr="002D171E">
        <w:t>Skanfors</w:t>
      </w:r>
      <w:proofErr w:type="spellEnd"/>
      <w:r w:rsidRPr="002D171E">
        <w:t xml:space="preserve"> (2009) identifies, require the researcher to be attentive to children’s actions and reactions throughout the research process and are described as having “ethical radar”. However, </w:t>
      </w:r>
      <w:proofErr w:type="spellStart"/>
      <w:r w:rsidRPr="002D171E">
        <w:t>Skanfors</w:t>
      </w:r>
      <w:proofErr w:type="spellEnd"/>
      <w:r w:rsidRPr="002D171E">
        <w:t xml:space="preserve"> (2009) also explains that these behaviours do not necessarily signify a child’s permanent withdrawal from the research but that for most young children, a temporary rejection of their participation in the research seems to be involved. Clarke (2011) explains that visual and participatory methods have become widely used by researchers and practitioners across a range of disciplines as a possible means of exploring the perspectives of young children. Throughout this research visual clues supported verbal discussions and conversations with children and parents to demonstrate a commitment to support the informed consent process with children and adults, especially where individuals are using English as an additional </w:t>
      </w:r>
      <w:proofErr w:type="gramStart"/>
      <w:r w:rsidRPr="002D171E">
        <w:t>language, or</w:t>
      </w:r>
      <w:proofErr w:type="gramEnd"/>
      <w:r w:rsidRPr="002D171E">
        <w:t xml:space="preserve"> lack the ability to read English. The research employed a multi-method approach with the young children comprising of camera use, the making of memory books in semi structured activities, using feeling faces, thumbs up or down stickers, puppets, informed consent leaflets, and observations were utilised to facilitate the exploration of the children’s understanding and feelings about their home visit. This provided a </w:t>
      </w:r>
      <w:proofErr w:type="gramStart"/>
      <w:r w:rsidRPr="002D171E">
        <w:t>tool box</w:t>
      </w:r>
      <w:proofErr w:type="gramEnd"/>
      <w:r w:rsidRPr="002D171E">
        <w:t xml:space="preserve"> of appropriate methods suitable for use with and by pre-school children who may lack verbal skills and understanding to present their information and consent in more conventional methods throughout the process of data collection. A structured activity was planned to promote discussion and enable observations of children with ethical radar and focus on the interpretation of the observations recorded. Kellett (in Lewis et al 2004) considers the notion of interpretation of data provided by children and highlights an interesting difference between some research practice and practice perspectives based on listening to children. She points out that within the more traditional research methods, the process of interpretation of data ultimately seeks to construct meanings, whilst recognising that there may not be one meaning but many, however, within practices committed to listening to the many voices of children the focus should remain on leaving the data as untainted by adult interference as much as is possible (Kellett in Lewis 2004). </w:t>
      </w:r>
      <w:r w:rsidRPr="007557EE" w:rsidR="007557EE">
        <w:t>The</w:t>
      </w:r>
      <w:r w:rsidRPr="007557EE">
        <w:t xml:space="preserve"> analysis of the data will ethically consider the many meanings of children through emerging themes and commonalities and not seek to uncover one true understanding. The observations </w:t>
      </w:r>
      <w:r w:rsidRPr="007557EE" w:rsidR="00023F80">
        <w:t>will be</w:t>
      </w:r>
      <w:r w:rsidRPr="007557EE">
        <w:t xml:space="preserve"> transcribed for the purpose of the research and triangulation </w:t>
      </w:r>
      <w:r w:rsidRPr="007557EE" w:rsidR="00500105">
        <w:t>will</w:t>
      </w:r>
      <w:r w:rsidRPr="007557EE">
        <w:t xml:space="preserve"> </w:t>
      </w:r>
      <w:r w:rsidRPr="007557EE" w:rsidR="007557EE">
        <w:t>be assured</w:t>
      </w:r>
      <w:r w:rsidRPr="007557EE">
        <w:t xml:space="preserve"> by including the perceptions of others via questionnaires completed by the parents of the</w:t>
      </w:r>
      <w:r>
        <w:t xml:space="preserve"> children and the Early Years Practitioners (Roberts-Holmes 2005).</w:t>
      </w:r>
    </w:p>
    <w:p w:rsidR="000C02FD" w:rsidRDefault="000C02FD" w14:paraId="20A1AAA9" w14:textId="70C8AFE5">
      <w:pPr>
        <w:rPr>
          <w:sz w:val="20"/>
          <w:szCs w:val="20"/>
        </w:rPr>
      </w:pPr>
      <w:r>
        <w:t xml:space="preserve">Children have a right to express their views, have them </w:t>
      </w:r>
      <w:proofErr w:type="gramStart"/>
      <w:r>
        <w:t>taken into account</w:t>
      </w:r>
      <w:proofErr w:type="gramEnd"/>
      <w:r>
        <w:t xml:space="preserve"> and be involved in decisions that affect them. This right is supported by Article 12 of the UN </w:t>
      </w:r>
      <w:r>
        <w:t>Convention on the Rights of the Child, Children Act 2004, Childcare Act 2006, Health and Social Care Act 2012, Children and Families Act 2014</w:t>
      </w:r>
    </w:p>
    <w:p w:rsidR="00541961" w:rsidRDefault="00541961" w14:paraId="01311891" w14:textId="77777777">
      <w:pPr>
        <w:rPr>
          <w:sz w:val="20"/>
          <w:szCs w:val="20"/>
        </w:rPr>
      </w:pPr>
    </w:p>
    <w:p w:rsidRPr="00AA0DFE" w:rsidR="008D4E30" w:rsidP="008D4E30" w:rsidRDefault="00AA0DFE" w14:paraId="132C1F69" w14:textId="3FE5F3EA">
      <w:r w:rsidRPr="00AA0DFE">
        <w:t>Schools and families agree that the basis for developing positive relationships is effective 2-way communication.  Consulting with families about the most effective ways to communicate is important. Estyn reports that while most schools already use a variety of ways to communicate with parents, only a few consult parents on their preferences around communication. (ESTYN, 2018)</w:t>
      </w:r>
    </w:p>
    <w:p w:rsidRPr="008D4E30" w:rsidR="00541961" w:rsidRDefault="008D4E30" w14:paraId="5B5FC1DB" w14:textId="4EDB432F">
      <w:pPr>
        <w:rPr>
          <w:rFonts w:asciiTheme="majorHAnsi" w:hAnsiTheme="majorHAnsi"/>
          <w:sz w:val="20"/>
          <w:szCs w:val="20"/>
        </w:rPr>
      </w:pPr>
      <w:r w:rsidRPr="008D4E30">
        <w:rPr>
          <w:rFonts w:asciiTheme="majorHAnsi" w:hAnsiTheme="majorHAnsi"/>
          <w:color w:val="333333"/>
          <w:shd w:val="clear" w:color="auto" w:fill="FFFFFF"/>
        </w:rPr>
        <w:t>Partnership with parents is crucial. Without good communication, trust and the sharing of information between teacher and parents, the successful education of a child is impossible.</w:t>
      </w:r>
      <w:r w:rsidR="001E2181">
        <w:rPr>
          <w:rFonts w:asciiTheme="majorHAnsi" w:hAnsiTheme="majorHAnsi"/>
          <w:color w:val="333333"/>
          <w:shd w:val="clear" w:color="auto" w:fill="FFFFFF"/>
        </w:rPr>
        <w:t xml:space="preserve"> (Jones, 2021)</w:t>
      </w:r>
      <w:r w:rsidR="009610A9">
        <w:rPr>
          <w:rFonts w:asciiTheme="majorHAnsi" w:hAnsiTheme="majorHAnsi"/>
          <w:color w:val="333333"/>
          <w:shd w:val="clear" w:color="auto" w:fill="FFFFFF"/>
        </w:rPr>
        <w:t>.</w:t>
      </w:r>
    </w:p>
    <w:p w:rsidR="00541961" w:rsidRDefault="00541961" w14:paraId="320B53DB" w14:textId="77777777">
      <w:pPr>
        <w:rPr>
          <w:sz w:val="20"/>
          <w:szCs w:val="20"/>
        </w:rPr>
      </w:pPr>
    </w:p>
    <w:p w:rsidR="00541961" w:rsidRDefault="00541961" w14:paraId="5426DCE9" w14:textId="77777777">
      <w:pPr>
        <w:rPr>
          <w:sz w:val="20"/>
          <w:szCs w:val="20"/>
        </w:rPr>
      </w:pPr>
    </w:p>
    <w:p w:rsidR="00541961" w:rsidRDefault="00541961" w14:paraId="79F3518B" w14:textId="77777777">
      <w:pPr>
        <w:rPr>
          <w:sz w:val="20"/>
          <w:szCs w:val="20"/>
        </w:rPr>
      </w:pPr>
    </w:p>
    <w:p w:rsidR="00541961" w:rsidRDefault="00541961" w14:paraId="4C00D5F3" w14:textId="77777777">
      <w:pPr>
        <w:rPr>
          <w:sz w:val="20"/>
          <w:szCs w:val="20"/>
        </w:rPr>
      </w:pPr>
    </w:p>
    <w:p w:rsidR="00541961" w:rsidRDefault="00541961" w14:paraId="008CE65C" w14:textId="77777777">
      <w:pPr>
        <w:rPr>
          <w:sz w:val="20"/>
          <w:szCs w:val="20"/>
        </w:rPr>
      </w:pPr>
    </w:p>
    <w:p w:rsidR="00541961" w:rsidRDefault="00541961" w14:paraId="706E4DAF" w14:textId="77777777">
      <w:pPr>
        <w:rPr>
          <w:sz w:val="20"/>
          <w:szCs w:val="20"/>
        </w:rPr>
      </w:pPr>
    </w:p>
    <w:p w:rsidR="00FE2B74" w:rsidRDefault="00FE2B74" w14:paraId="1C8D1BBB" w14:textId="77777777">
      <w:pPr>
        <w:rPr>
          <w:sz w:val="20"/>
          <w:szCs w:val="20"/>
        </w:rPr>
      </w:pPr>
    </w:p>
    <w:p w:rsidR="00FE2B74" w:rsidRDefault="00FE2B74" w14:paraId="417011CF" w14:textId="77777777">
      <w:pPr>
        <w:rPr>
          <w:sz w:val="20"/>
          <w:szCs w:val="20"/>
        </w:rPr>
      </w:pPr>
    </w:p>
    <w:p w:rsidR="00FE2B74" w:rsidRDefault="00FE2B74" w14:paraId="47AE83CF" w14:textId="77777777">
      <w:pPr>
        <w:rPr>
          <w:sz w:val="20"/>
          <w:szCs w:val="20"/>
        </w:rPr>
      </w:pPr>
    </w:p>
    <w:p w:rsidR="00541961" w:rsidRDefault="00541961" w14:paraId="6F76FA86" w14:textId="77777777">
      <w:pPr>
        <w:rPr>
          <w:sz w:val="20"/>
          <w:szCs w:val="20"/>
        </w:rPr>
      </w:pPr>
    </w:p>
    <w:p w:rsidR="00541961" w:rsidRDefault="00541961" w14:paraId="2818D214" w14:textId="77777777">
      <w:pPr>
        <w:rPr>
          <w:sz w:val="20"/>
          <w:szCs w:val="20"/>
        </w:rPr>
      </w:pPr>
    </w:p>
    <w:p w:rsidR="00541961" w:rsidRDefault="00541961" w14:paraId="41E3CA48" w14:textId="51DEBD54">
      <w:pPr>
        <w:rPr>
          <w:sz w:val="32"/>
          <w:szCs w:val="32"/>
          <w:u w:val="single"/>
        </w:rPr>
      </w:pPr>
      <w:r w:rsidRPr="00316BD5">
        <w:rPr>
          <w:sz w:val="32"/>
          <w:szCs w:val="32"/>
          <w:u w:val="single"/>
        </w:rPr>
        <w:t>Reference List.</w:t>
      </w:r>
    </w:p>
    <w:p w:rsidR="00B467E4" w:rsidRDefault="00B467E4" w14:paraId="17C39406" w14:textId="382C201F">
      <w:pPr>
        <w:rPr>
          <w:sz w:val="32"/>
          <w:szCs w:val="32"/>
          <w:u w:val="single"/>
        </w:rPr>
      </w:pPr>
      <w:r>
        <w:t xml:space="preserve">AINSEWORTH, </w:t>
      </w:r>
      <w:proofErr w:type="gramStart"/>
      <w:r>
        <w:t>M.,BLEHAR</w:t>
      </w:r>
      <w:proofErr w:type="gramEnd"/>
      <w:r>
        <w:t>, M.,WATERS, E., and WALL.S. (1978) Patterns of Attachment . Lawrence Erlbaum Associates. New Jersey.</w:t>
      </w:r>
    </w:p>
    <w:p w:rsidRPr="00316BD5" w:rsidR="0087548A" w:rsidRDefault="0087548A" w14:paraId="5CB2423B" w14:textId="207455FA">
      <w:pPr>
        <w:rPr>
          <w:sz w:val="32"/>
          <w:szCs w:val="32"/>
          <w:u w:val="single"/>
        </w:rPr>
      </w:pPr>
      <w:r w:rsidR="6BAC83B0">
        <w:rPr/>
        <w:t>BALDOCK, P., FITZGERALD, D. and KAY, J. (2016) Understanding Early Years Policy. 4</w:t>
      </w:r>
      <w:r w:rsidRPr="6BAC83B0" w:rsidR="6BAC83B0">
        <w:rPr>
          <w:vertAlign w:val="superscript"/>
        </w:rPr>
        <w:t>th</w:t>
      </w:r>
      <w:r w:rsidR="6BAC83B0">
        <w:rPr/>
        <w:t xml:space="preserve"> Edition. Sage Publications. London.</w:t>
      </w:r>
    </w:p>
    <w:p w:rsidR="6BAC83B0" w:rsidP="6BAC83B0" w:rsidRDefault="6BAC83B0" w14:paraId="2C54C277" w14:textId="057BBC96">
      <w:pPr>
        <w:pStyle w:val="Normal"/>
        <w:shd w:val="clear" w:color="auto" w:fill="FFFFFF" w:themeFill="background1"/>
        <w:spacing w:before="0" w:beforeAutospacing="off" w:after="0" w:afterAutospacing="off"/>
        <w:rPr>
          <w:rFonts w:ascii="Open Sans" w:hAnsi="Open Sans" w:eastAsia="Open Sans" w:cs="Open Sans"/>
          <w:b w:val="0"/>
          <w:bCs w:val="0"/>
          <w:i w:val="0"/>
          <w:iCs w:val="0"/>
          <w:caps w:val="0"/>
          <w:smallCaps w:val="0"/>
          <w:noProof w:val="0"/>
          <w:color w:val="1C1D1E"/>
          <w:sz w:val="21"/>
          <w:szCs w:val="21"/>
          <w:lang w:val="en-GB"/>
        </w:rPr>
      </w:pPr>
    </w:p>
    <w:p w:rsidR="6BAC83B0" w:rsidP="6BAC83B0" w:rsidRDefault="6BAC83B0" w14:paraId="61A914B9" w14:textId="3CBCC6CD">
      <w:pPr>
        <w:pStyle w:val="Heading1"/>
        <w:shd w:val="clear" w:color="auto" w:fill="FFFFFF" w:themeFill="background1"/>
        <w:spacing w:before="120" w:beforeAutospacing="off" w:after="120" w:afterAutospacing="off"/>
        <w:rPr>
          <w:rFonts w:ascii="Open Sans" w:hAnsi="Open Sans" w:eastAsia="Open Sans" w:cs="Open Sans"/>
          <w:b w:val="0"/>
          <w:bCs w:val="0"/>
          <w:i w:val="0"/>
          <w:iCs w:val="0"/>
          <w:caps w:val="0"/>
          <w:smallCaps w:val="0"/>
          <w:noProof w:val="0"/>
          <w:sz w:val="21"/>
          <w:szCs w:val="21"/>
          <w:lang w:val="en-GB"/>
        </w:rPr>
      </w:pPr>
      <w:r w:rsidRPr="6BAC83B0" w:rsidR="6BAC83B0">
        <w:rPr>
          <w:rFonts w:ascii="Open Sans" w:hAnsi="Open Sans" w:eastAsia="Open Sans" w:cs="Open Sans"/>
          <w:b w:val="0"/>
          <w:bCs w:val="0"/>
          <w:i w:val="0"/>
          <w:iCs w:val="0"/>
          <w:caps w:val="0"/>
          <w:smallCaps w:val="0"/>
          <w:noProof w:val="0"/>
          <w:sz w:val="21"/>
          <w:szCs w:val="21"/>
          <w:lang w:val="en-GB"/>
        </w:rPr>
        <w:t xml:space="preserve">First published: 28 January 2003 </w:t>
      </w:r>
      <w:r w:rsidRPr="6BAC83B0" w:rsidR="6BAC83B0">
        <w:rPr>
          <w:rFonts w:ascii="Open Sans" w:hAnsi="Open Sans" w:eastAsia="Open Sans" w:cs="Open Sans"/>
          <w:b w:val="0"/>
          <w:bCs w:val="0"/>
          <w:i w:val="0"/>
          <w:iCs w:val="0"/>
          <w:caps w:val="0"/>
          <w:smallCaps w:val="0"/>
          <w:noProof w:val="0"/>
          <w:color w:val="1C1D1E"/>
          <w:sz w:val="24"/>
          <w:szCs w:val="24"/>
          <w:lang w:val="en-GB"/>
        </w:rPr>
        <w:t>A Secure Base from Which to Explore Close Relationships</w:t>
      </w:r>
    </w:p>
    <w:p w:rsidR="6BAC83B0" w:rsidP="6BAC83B0" w:rsidRDefault="6BAC83B0" w14:paraId="117DD636" w14:textId="16F26601">
      <w:pPr>
        <w:pStyle w:val="Normal"/>
        <w:shd w:val="clear" w:color="auto" w:fill="FFFFFF" w:themeFill="background1"/>
        <w:spacing w:before="0" w:beforeAutospacing="off" w:after="0" w:afterAutospacing="off"/>
        <w:rPr>
          <w:rFonts w:ascii="Open Sans" w:hAnsi="Open Sans" w:eastAsia="Open Sans" w:cs="Open Sans"/>
          <w:b w:val="0"/>
          <w:bCs w:val="0"/>
          <w:i w:val="0"/>
          <w:iCs w:val="0"/>
          <w:caps w:val="0"/>
          <w:smallCaps w:val="0"/>
          <w:noProof w:val="0"/>
          <w:sz w:val="21"/>
          <w:szCs w:val="21"/>
          <w:lang w:val="en-GB"/>
        </w:rPr>
      </w:pPr>
    </w:p>
    <w:p w:rsidR="6BAC83B0" w:rsidP="6BAC83B0" w:rsidRDefault="6BAC83B0" w14:paraId="0C218F25" w14:textId="30D42A7A">
      <w:pPr>
        <w:shd w:val="clear" w:color="auto" w:fill="FFFFFF" w:themeFill="background1"/>
        <w:spacing w:before="225" w:beforeAutospacing="off" w:after="225" w:afterAutospacing="off"/>
      </w:pPr>
      <w:r w:rsidRPr="6BAC83B0" w:rsidR="6BAC83B0">
        <w:rPr>
          <w:rFonts w:ascii="Open Sans" w:hAnsi="Open Sans" w:eastAsia="Open Sans" w:cs="Open Sans"/>
          <w:b w:val="0"/>
          <w:bCs w:val="0"/>
          <w:i w:val="0"/>
          <w:iCs w:val="0"/>
          <w:caps w:val="0"/>
          <w:smallCaps w:val="0"/>
          <w:noProof w:val="0"/>
          <w:sz w:val="21"/>
          <w:szCs w:val="21"/>
          <w:lang w:val="en-GB"/>
        </w:rPr>
        <w:t xml:space="preserve"> </w:t>
      </w:r>
    </w:p>
    <w:p w:rsidR="6BAC83B0" w:rsidP="6BAC83B0" w:rsidRDefault="6BAC83B0" w14:paraId="1FD7C863" w14:textId="6BB64C25">
      <w:pPr>
        <w:shd w:val="clear" w:color="auto" w:fill="FFFFFF" w:themeFill="background1"/>
        <w:spacing w:before="0" w:beforeAutospacing="off" w:after="0" w:afterAutospacing="off"/>
      </w:pPr>
      <w:hyperlink r:id="R667fe8e4a5174d1a">
        <w:r w:rsidRPr="6BAC83B0" w:rsidR="6BAC83B0">
          <w:rPr>
            <w:rStyle w:val="Hyperlink"/>
            <w:rFonts w:ascii="Open Sans" w:hAnsi="Open Sans" w:eastAsia="Open Sans" w:cs="Open Sans"/>
            <w:b w:val="1"/>
            <w:bCs w:val="1"/>
            <w:i w:val="0"/>
            <w:iCs w:val="0"/>
            <w:caps w:val="0"/>
            <w:smallCaps w:val="0"/>
            <w:strike w:val="0"/>
            <w:dstrike w:val="0"/>
            <w:noProof w:val="0"/>
            <w:sz w:val="21"/>
            <w:szCs w:val="21"/>
            <w:u w:val="none"/>
            <w:lang w:val="en-GB"/>
          </w:rPr>
          <w:t>https://doi.org/10.1111/1467-8624.00130</w:t>
        </w:r>
      </w:hyperlink>
    </w:p>
    <w:p w:rsidR="6BAC83B0" w:rsidP="6BAC83B0" w:rsidRDefault="6BAC83B0" w14:paraId="55941871" w14:textId="7A5D69BE">
      <w:pPr>
        <w:pStyle w:val="Normal"/>
      </w:pPr>
    </w:p>
    <w:p w:rsidR="00FE2B74" w:rsidRDefault="00541961" w14:paraId="133165A7" w14:textId="0434C05C">
      <w:r>
        <w:t>CROZIER, G. (1998) Parents and Schools: Partnership or Surveillance? Journal of Education Policy 1998. Vol 13 (1) pp 125-136.</w:t>
      </w:r>
    </w:p>
    <w:p w:rsidR="009B6E03" w:rsidRDefault="009B6E03" w14:paraId="0E6B5C0D" w14:textId="51745D82">
      <w:r>
        <w:t>DEPARTMENT FOR EDUCATION AND SKILLS (</w:t>
      </w:r>
      <w:proofErr w:type="gramStart"/>
      <w:r>
        <w:t>D.F.E.S)(</w:t>
      </w:r>
      <w:proofErr w:type="gramEnd"/>
      <w:r>
        <w:t>2003) Every Child Matters (Green Paper). H.M.S.O. London.</w:t>
      </w:r>
    </w:p>
    <w:p w:rsidR="009B6E03" w:rsidRDefault="009B6E03" w14:paraId="73605521" w14:textId="1E789797">
      <w:r>
        <w:t>DEPARTMENT FOR EDUCATION AND SKILLS (</w:t>
      </w:r>
      <w:proofErr w:type="gramStart"/>
      <w:r>
        <w:t>D.F.E.S)(</w:t>
      </w:r>
      <w:proofErr w:type="gramEnd"/>
      <w:r>
        <w:t>2004) The Children Act. H.M.S.O. London.</w:t>
      </w:r>
    </w:p>
    <w:p w:rsidR="00FE2B74" w:rsidRDefault="00FE2B74" w14:paraId="6412F630" w14:textId="416544F2">
      <w:r>
        <w:t>DESFORGES, C. and ABOUCHAAR, A. (2003) The Impact of Parental Involvement, Parental support and Family Education on Pupil Achievement and Adjustment: A Literature Review. Department for Education and Skills. London.</w:t>
      </w:r>
    </w:p>
    <w:p w:rsidR="00541961" w:rsidRDefault="00541961" w14:paraId="55400BE9" w14:textId="0504CD58">
      <w:r>
        <w:t>KEYES, C. (2002) A Way of Thinking about Parent Teacher Partnerships for Teachers. International Journal of Early Years Education. Vol 10 (3) pp177-199</w:t>
      </w:r>
    </w:p>
    <w:p w:rsidR="00714043" w:rsidRDefault="00714043" w14:paraId="7C9DB128" w14:textId="64AA5506">
      <w:r>
        <w:t>SYLVA K, MELHUISH E, SAMMONS P, SIRAJ-BLATCHFORD and TAGGART B, (2004) The Effective Provision of Pre-school Education (EPPE) Project. DFES. London.</w:t>
      </w:r>
    </w:p>
    <w:p w:rsidR="00541961" w:rsidRDefault="00541961" w14:paraId="39164171" w14:textId="17A972D3">
      <w:r>
        <w:t>TIZARD B, MORTIMER J and BURCHELL B. (1981) Involving Parents in Nursery and Infant Schools. Grant McIntyre. London.</w:t>
      </w:r>
    </w:p>
    <w:p w:rsidR="0005203B" w:rsidRDefault="0005203B" w14:paraId="15D0B283" w14:textId="0D5FEAE9">
      <w:pPr>
        <w:rPr>
          <w:sz w:val="28"/>
          <w:szCs w:val="28"/>
        </w:rPr>
      </w:pPr>
      <w:hyperlink w:history="1" r:id="rId8">
        <w:r w:rsidRPr="00CF39E6">
          <w:rPr>
            <w:rStyle w:val="Hyperlink"/>
            <w:sz w:val="28"/>
            <w:szCs w:val="28"/>
          </w:rPr>
          <w:t>https://help-for-early-years-providers.education.gov.uk/get-help-to-improve-your-practice/working-in-partnership-with-parents-and-carers</w:t>
        </w:r>
      </w:hyperlink>
      <w:r>
        <w:rPr>
          <w:sz w:val="28"/>
          <w:szCs w:val="28"/>
        </w:rPr>
        <w:t xml:space="preserve"> (2024)</w:t>
      </w:r>
    </w:p>
    <w:p w:rsidRPr="007E292B" w:rsidR="001B0FBF" w:rsidRDefault="001B0FBF" w14:paraId="7B35AA2A" w14:textId="43B56B42">
      <w:proofErr w:type="spellStart"/>
      <w:r w:rsidRPr="007E292B">
        <w:t>Kambouri</w:t>
      </w:r>
      <w:proofErr w:type="spellEnd"/>
      <w:r w:rsidRPr="007E292B" w:rsidR="00697777">
        <w:t>, M., Liu, J</w:t>
      </w:r>
      <w:r w:rsidRPr="007E292B" w:rsidR="008F25B1">
        <w:t xml:space="preserve">., </w:t>
      </w:r>
      <w:proofErr w:type="spellStart"/>
      <w:r w:rsidRPr="007E292B" w:rsidR="008F25B1">
        <w:t>Pieridou</w:t>
      </w:r>
      <w:proofErr w:type="spellEnd"/>
      <w:r w:rsidRPr="007E292B" w:rsidR="008F25B1">
        <w:t>, M. &amp; Quinn, S.F.</w:t>
      </w:r>
      <w:r w:rsidRPr="007E292B" w:rsidR="00697777">
        <w:t xml:space="preserve"> (2017)</w:t>
      </w:r>
      <w:r w:rsidRPr="007E292B" w:rsidR="00263E57">
        <w:t xml:space="preserve">. Exploring the partnerships between parents and practitioners in the early years. Early Years Educator. </w:t>
      </w:r>
      <w:r w:rsidRPr="007E292B" w:rsidR="0088217D">
        <w:t>19(10</w:t>
      </w:r>
      <w:proofErr w:type="gramStart"/>
      <w:r w:rsidRPr="007E292B" w:rsidR="0088217D">
        <w:t>).https://doi.org/10.12</w:t>
      </w:r>
      <w:r w:rsidRPr="007E292B" w:rsidR="007E292B">
        <w:t>968/eyed.2018.19.10.26</w:t>
      </w:r>
      <w:proofErr w:type="gramEnd"/>
    </w:p>
    <w:sectPr w:rsidRPr="007E292B" w:rsidR="001B0FBF">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B2A09" w:rsidP="002D171E" w:rsidRDefault="007B2A09" w14:paraId="7F4924E0" w14:textId="77777777">
      <w:pPr>
        <w:spacing w:after="0" w:line="240" w:lineRule="auto"/>
      </w:pPr>
      <w:r>
        <w:separator/>
      </w:r>
    </w:p>
  </w:endnote>
  <w:endnote w:type="continuationSeparator" w:id="0">
    <w:p w:rsidR="007B2A09" w:rsidP="002D171E" w:rsidRDefault="007B2A09" w14:paraId="2FBA7A58" w14:textId="77777777">
      <w:pPr>
        <w:spacing w:after="0" w:line="240" w:lineRule="auto"/>
      </w:pPr>
      <w:r>
        <w:continuationSeparator/>
      </w:r>
    </w:p>
  </w:endnote>
  <w:endnote w:type="continuationNotice" w:id="1">
    <w:p w:rsidR="007B2A09" w:rsidRDefault="007B2A09" w14:paraId="789EB1F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B2A09" w:rsidP="002D171E" w:rsidRDefault="007B2A09" w14:paraId="454D4E07" w14:textId="77777777">
      <w:pPr>
        <w:spacing w:after="0" w:line="240" w:lineRule="auto"/>
      </w:pPr>
      <w:r>
        <w:separator/>
      </w:r>
    </w:p>
  </w:footnote>
  <w:footnote w:type="continuationSeparator" w:id="0">
    <w:p w:rsidR="007B2A09" w:rsidP="002D171E" w:rsidRDefault="007B2A09" w14:paraId="2EE1BE46" w14:textId="77777777">
      <w:pPr>
        <w:spacing w:after="0" w:line="240" w:lineRule="auto"/>
      </w:pPr>
      <w:r>
        <w:continuationSeparator/>
      </w:r>
    </w:p>
  </w:footnote>
  <w:footnote w:type="continuationNotice" w:id="1">
    <w:p w:rsidR="007B2A09" w:rsidRDefault="007B2A09" w14:paraId="2148510A"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1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CF1"/>
    <w:rsid w:val="00015DD4"/>
    <w:rsid w:val="00023F80"/>
    <w:rsid w:val="000303E7"/>
    <w:rsid w:val="00034CBE"/>
    <w:rsid w:val="00040199"/>
    <w:rsid w:val="0005203B"/>
    <w:rsid w:val="00054AE1"/>
    <w:rsid w:val="00054F82"/>
    <w:rsid w:val="00066A4B"/>
    <w:rsid w:val="00075AA9"/>
    <w:rsid w:val="00077585"/>
    <w:rsid w:val="000779B6"/>
    <w:rsid w:val="00081358"/>
    <w:rsid w:val="000833F9"/>
    <w:rsid w:val="00086B34"/>
    <w:rsid w:val="000C02FD"/>
    <w:rsid w:val="000C6BE5"/>
    <w:rsid w:val="000E40A1"/>
    <w:rsid w:val="00107661"/>
    <w:rsid w:val="0011337F"/>
    <w:rsid w:val="00122DC7"/>
    <w:rsid w:val="00137951"/>
    <w:rsid w:val="0014243E"/>
    <w:rsid w:val="0014642F"/>
    <w:rsid w:val="00154B9F"/>
    <w:rsid w:val="001704FA"/>
    <w:rsid w:val="001979EF"/>
    <w:rsid w:val="001B0FBF"/>
    <w:rsid w:val="001B2595"/>
    <w:rsid w:val="001C50C4"/>
    <w:rsid w:val="001E156F"/>
    <w:rsid w:val="001E2181"/>
    <w:rsid w:val="001E2186"/>
    <w:rsid w:val="001E2190"/>
    <w:rsid w:val="001F16DE"/>
    <w:rsid w:val="0020349F"/>
    <w:rsid w:val="00205ABA"/>
    <w:rsid w:val="002272CF"/>
    <w:rsid w:val="002311B2"/>
    <w:rsid w:val="002428B9"/>
    <w:rsid w:val="00244FF0"/>
    <w:rsid w:val="0025113B"/>
    <w:rsid w:val="00263E57"/>
    <w:rsid w:val="002832D3"/>
    <w:rsid w:val="002858A7"/>
    <w:rsid w:val="00296984"/>
    <w:rsid w:val="002A65DB"/>
    <w:rsid w:val="002B70FC"/>
    <w:rsid w:val="002C691D"/>
    <w:rsid w:val="002C6F7E"/>
    <w:rsid w:val="002C7546"/>
    <w:rsid w:val="002D0E6D"/>
    <w:rsid w:val="002D171E"/>
    <w:rsid w:val="002D2649"/>
    <w:rsid w:val="002D63AE"/>
    <w:rsid w:val="002D6800"/>
    <w:rsid w:val="002E3B80"/>
    <w:rsid w:val="002F2EEC"/>
    <w:rsid w:val="00302293"/>
    <w:rsid w:val="00307E83"/>
    <w:rsid w:val="00311665"/>
    <w:rsid w:val="0031234D"/>
    <w:rsid w:val="00316BD5"/>
    <w:rsid w:val="00317212"/>
    <w:rsid w:val="0032522C"/>
    <w:rsid w:val="00332EA4"/>
    <w:rsid w:val="00351680"/>
    <w:rsid w:val="00355A0E"/>
    <w:rsid w:val="00356106"/>
    <w:rsid w:val="003600D5"/>
    <w:rsid w:val="003853E5"/>
    <w:rsid w:val="003931B9"/>
    <w:rsid w:val="003A2652"/>
    <w:rsid w:val="003B06BC"/>
    <w:rsid w:val="003B5925"/>
    <w:rsid w:val="003C150C"/>
    <w:rsid w:val="003E1DC6"/>
    <w:rsid w:val="003E1DD0"/>
    <w:rsid w:val="003E3DA1"/>
    <w:rsid w:val="003E44A8"/>
    <w:rsid w:val="003F4F0F"/>
    <w:rsid w:val="003F6227"/>
    <w:rsid w:val="004013E5"/>
    <w:rsid w:val="00401EB5"/>
    <w:rsid w:val="004059E9"/>
    <w:rsid w:val="004140C5"/>
    <w:rsid w:val="0041760D"/>
    <w:rsid w:val="004176E8"/>
    <w:rsid w:val="00421566"/>
    <w:rsid w:val="00422950"/>
    <w:rsid w:val="00424D04"/>
    <w:rsid w:val="00427388"/>
    <w:rsid w:val="00455A0E"/>
    <w:rsid w:val="00462194"/>
    <w:rsid w:val="00465DD1"/>
    <w:rsid w:val="004938E5"/>
    <w:rsid w:val="004A0B43"/>
    <w:rsid w:val="004A7E3C"/>
    <w:rsid w:val="004C2383"/>
    <w:rsid w:val="004C5AC1"/>
    <w:rsid w:val="004D07CA"/>
    <w:rsid w:val="004D27E5"/>
    <w:rsid w:val="004E02F2"/>
    <w:rsid w:val="004E78BD"/>
    <w:rsid w:val="004F76C5"/>
    <w:rsid w:val="00500105"/>
    <w:rsid w:val="005057C4"/>
    <w:rsid w:val="00512A47"/>
    <w:rsid w:val="0053274B"/>
    <w:rsid w:val="0053677B"/>
    <w:rsid w:val="0053794C"/>
    <w:rsid w:val="005414A8"/>
    <w:rsid w:val="00541961"/>
    <w:rsid w:val="00544C00"/>
    <w:rsid w:val="0055632F"/>
    <w:rsid w:val="005571D7"/>
    <w:rsid w:val="00557EE9"/>
    <w:rsid w:val="00566D86"/>
    <w:rsid w:val="00593F36"/>
    <w:rsid w:val="005B36C7"/>
    <w:rsid w:val="005C33EE"/>
    <w:rsid w:val="005F0DEB"/>
    <w:rsid w:val="005F3061"/>
    <w:rsid w:val="00601006"/>
    <w:rsid w:val="006058D3"/>
    <w:rsid w:val="00605C5B"/>
    <w:rsid w:val="00617181"/>
    <w:rsid w:val="00623442"/>
    <w:rsid w:val="00625C3F"/>
    <w:rsid w:val="0062794B"/>
    <w:rsid w:val="0064110D"/>
    <w:rsid w:val="00642002"/>
    <w:rsid w:val="006568B5"/>
    <w:rsid w:val="00656B5C"/>
    <w:rsid w:val="0067289C"/>
    <w:rsid w:val="0068375B"/>
    <w:rsid w:val="00697777"/>
    <w:rsid w:val="006A082B"/>
    <w:rsid w:val="006B2895"/>
    <w:rsid w:val="006B68AD"/>
    <w:rsid w:val="006C7E9F"/>
    <w:rsid w:val="006D36A2"/>
    <w:rsid w:val="006E43DD"/>
    <w:rsid w:val="00703CAC"/>
    <w:rsid w:val="007110B8"/>
    <w:rsid w:val="00713AFB"/>
    <w:rsid w:val="00714043"/>
    <w:rsid w:val="007145E9"/>
    <w:rsid w:val="00714A8C"/>
    <w:rsid w:val="00714CFF"/>
    <w:rsid w:val="00717B3B"/>
    <w:rsid w:val="00726780"/>
    <w:rsid w:val="00727A8A"/>
    <w:rsid w:val="00733893"/>
    <w:rsid w:val="007453A5"/>
    <w:rsid w:val="007557EE"/>
    <w:rsid w:val="00756155"/>
    <w:rsid w:val="00780706"/>
    <w:rsid w:val="00787DDF"/>
    <w:rsid w:val="007900DE"/>
    <w:rsid w:val="00791B68"/>
    <w:rsid w:val="00794141"/>
    <w:rsid w:val="007A7917"/>
    <w:rsid w:val="007B2A09"/>
    <w:rsid w:val="007C3B93"/>
    <w:rsid w:val="007C458B"/>
    <w:rsid w:val="007D4928"/>
    <w:rsid w:val="007E0782"/>
    <w:rsid w:val="007E292B"/>
    <w:rsid w:val="007E6BC7"/>
    <w:rsid w:val="00803347"/>
    <w:rsid w:val="00806C6F"/>
    <w:rsid w:val="00807F54"/>
    <w:rsid w:val="00807FBA"/>
    <w:rsid w:val="0081245B"/>
    <w:rsid w:val="00822401"/>
    <w:rsid w:val="00823283"/>
    <w:rsid w:val="00825E24"/>
    <w:rsid w:val="00845C82"/>
    <w:rsid w:val="00846C77"/>
    <w:rsid w:val="008521AC"/>
    <w:rsid w:val="0085398D"/>
    <w:rsid w:val="0085741B"/>
    <w:rsid w:val="00864B21"/>
    <w:rsid w:val="0087548A"/>
    <w:rsid w:val="00880B23"/>
    <w:rsid w:val="0088217D"/>
    <w:rsid w:val="008D2EC8"/>
    <w:rsid w:val="008D4C3C"/>
    <w:rsid w:val="008D4E30"/>
    <w:rsid w:val="008F187B"/>
    <w:rsid w:val="008F25B1"/>
    <w:rsid w:val="008F753C"/>
    <w:rsid w:val="00905FB8"/>
    <w:rsid w:val="00922CD7"/>
    <w:rsid w:val="009262E9"/>
    <w:rsid w:val="009321F9"/>
    <w:rsid w:val="00951830"/>
    <w:rsid w:val="009610A9"/>
    <w:rsid w:val="00975616"/>
    <w:rsid w:val="00980CF1"/>
    <w:rsid w:val="00981804"/>
    <w:rsid w:val="009877FC"/>
    <w:rsid w:val="00996A58"/>
    <w:rsid w:val="00997F91"/>
    <w:rsid w:val="009A0AAC"/>
    <w:rsid w:val="009A7199"/>
    <w:rsid w:val="009B4774"/>
    <w:rsid w:val="009B6E03"/>
    <w:rsid w:val="009C1200"/>
    <w:rsid w:val="00A07EE4"/>
    <w:rsid w:val="00A26424"/>
    <w:rsid w:val="00A34568"/>
    <w:rsid w:val="00A56376"/>
    <w:rsid w:val="00A70316"/>
    <w:rsid w:val="00A87325"/>
    <w:rsid w:val="00A95C8B"/>
    <w:rsid w:val="00AA0DFE"/>
    <w:rsid w:val="00AC0F5C"/>
    <w:rsid w:val="00AC3520"/>
    <w:rsid w:val="00AD4645"/>
    <w:rsid w:val="00AD6DDF"/>
    <w:rsid w:val="00AD7F87"/>
    <w:rsid w:val="00AE7212"/>
    <w:rsid w:val="00B02714"/>
    <w:rsid w:val="00B02D45"/>
    <w:rsid w:val="00B12CB5"/>
    <w:rsid w:val="00B16BCF"/>
    <w:rsid w:val="00B20674"/>
    <w:rsid w:val="00B212B5"/>
    <w:rsid w:val="00B23542"/>
    <w:rsid w:val="00B273C0"/>
    <w:rsid w:val="00B34A1D"/>
    <w:rsid w:val="00B4627A"/>
    <w:rsid w:val="00B467D9"/>
    <w:rsid w:val="00B467E4"/>
    <w:rsid w:val="00B56E6E"/>
    <w:rsid w:val="00B63E8F"/>
    <w:rsid w:val="00B77FEC"/>
    <w:rsid w:val="00B810B8"/>
    <w:rsid w:val="00B859F7"/>
    <w:rsid w:val="00B969FB"/>
    <w:rsid w:val="00B97D68"/>
    <w:rsid w:val="00BA421F"/>
    <w:rsid w:val="00BA6252"/>
    <w:rsid w:val="00BB0834"/>
    <w:rsid w:val="00BB56F5"/>
    <w:rsid w:val="00BB5872"/>
    <w:rsid w:val="00BB6D74"/>
    <w:rsid w:val="00BC3B12"/>
    <w:rsid w:val="00BC4658"/>
    <w:rsid w:val="00BC4F84"/>
    <w:rsid w:val="00BC6378"/>
    <w:rsid w:val="00BD315B"/>
    <w:rsid w:val="00C00EFB"/>
    <w:rsid w:val="00C032C0"/>
    <w:rsid w:val="00C06D45"/>
    <w:rsid w:val="00C15CE7"/>
    <w:rsid w:val="00C310DD"/>
    <w:rsid w:val="00C32E6B"/>
    <w:rsid w:val="00C35D5A"/>
    <w:rsid w:val="00C37DCA"/>
    <w:rsid w:val="00C462B3"/>
    <w:rsid w:val="00C47AB1"/>
    <w:rsid w:val="00C7465D"/>
    <w:rsid w:val="00C858B2"/>
    <w:rsid w:val="00CB3F6A"/>
    <w:rsid w:val="00CC43B9"/>
    <w:rsid w:val="00CE10A6"/>
    <w:rsid w:val="00CE17CE"/>
    <w:rsid w:val="00CE7C6C"/>
    <w:rsid w:val="00CF4342"/>
    <w:rsid w:val="00CF43AB"/>
    <w:rsid w:val="00D028CF"/>
    <w:rsid w:val="00D04F46"/>
    <w:rsid w:val="00D05A4E"/>
    <w:rsid w:val="00D05CD1"/>
    <w:rsid w:val="00D161B3"/>
    <w:rsid w:val="00D237FB"/>
    <w:rsid w:val="00D24899"/>
    <w:rsid w:val="00D425A1"/>
    <w:rsid w:val="00D75426"/>
    <w:rsid w:val="00D82917"/>
    <w:rsid w:val="00D90795"/>
    <w:rsid w:val="00D935CD"/>
    <w:rsid w:val="00DA1937"/>
    <w:rsid w:val="00DC799C"/>
    <w:rsid w:val="00DD4B0F"/>
    <w:rsid w:val="00DE7C05"/>
    <w:rsid w:val="00DF313A"/>
    <w:rsid w:val="00E172F8"/>
    <w:rsid w:val="00E234AF"/>
    <w:rsid w:val="00E35A21"/>
    <w:rsid w:val="00E35EC7"/>
    <w:rsid w:val="00E51227"/>
    <w:rsid w:val="00E576FA"/>
    <w:rsid w:val="00E612BE"/>
    <w:rsid w:val="00E7240C"/>
    <w:rsid w:val="00E7439C"/>
    <w:rsid w:val="00E7774C"/>
    <w:rsid w:val="00E77EF3"/>
    <w:rsid w:val="00E868E5"/>
    <w:rsid w:val="00E87A4C"/>
    <w:rsid w:val="00EA72FF"/>
    <w:rsid w:val="00EB1B42"/>
    <w:rsid w:val="00EB2313"/>
    <w:rsid w:val="00EB627E"/>
    <w:rsid w:val="00EB7DEF"/>
    <w:rsid w:val="00ED686D"/>
    <w:rsid w:val="00EF16E8"/>
    <w:rsid w:val="00F10E72"/>
    <w:rsid w:val="00F12FEE"/>
    <w:rsid w:val="00F226C1"/>
    <w:rsid w:val="00F3010E"/>
    <w:rsid w:val="00F302D6"/>
    <w:rsid w:val="00F46559"/>
    <w:rsid w:val="00F47F91"/>
    <w:rsid w:val="00F558E2"/>
    <w:rsid w:val="00F63D23"/>
    <w:rsid w:val="00F65D56"/>
    <w:rsid w:val="00F767EA"/>
    <w:rsid w:val="00F85F25"/>
    <w:rsid w:val="00F96BA0"/>
    <w:rsid w:val="00FA1407"/>
    <w:rsid w:val="00FB09D4"/>
    <w:rsid w:val="00FD3039"/>
    <w:rsid w:val="00FD35E0"/>
    <w:rsid w:val="00FD622B"/>
    <w:rsid w:val="00FE0885"/>
    <w:rsid w:val="00FE2B74"/>
    <w:rsid w:val="13E577D3"/>
    <w:rsid w:val="17949CAC"/>
    <w:rsid w:val="25A4E92A"/>
    <w:rsid w:val="261C947F"/>
    <w:rsid w:val="2A095A39"/>
    <w:rsid w:val="3A9011AE"/>
    <w:rsid w:val="3D008858"/>
    <w:rsid w:val="3F9C9BBE"/>
    <w:rsid w:val="40BA8E19"/>
    <w:rsid w:val="419AEB26"/>
    <w:rsid w:val="434B505D"/>
    <w:rsid w:val="4F6DC899"/>
    <w:rsid w:val="4FEF9620"/>
    <w:rsid w:val="53D40AA8"/>
    <w:rsid w:val="5C3F0146"/>
    <w:rsid w:val="5C91A737"/>
    <w:rsid w:val="62167414"/>
    <w:rsid w:val="6B0C5F47"/>
    <w:rsid w:val="6BAC83B0"/>
    <w:rsid w:val="721FEF93"/>
    <w:rsid w:val="742A1DF8"/>
    <w:rsid w:val="74799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8FEF8"/>
  <w15:chartTrackingRefBased/>
  <w15:docId w15:val="{99716FCA-EAC8-40EF-83F5-63D9D4D4AB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80CF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0CF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0C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0C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0C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0C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0C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0C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0CF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80CF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980CF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80CF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80CF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80CF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80CF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80CF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80CF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80CF1"/>
    <w:rPr>
      <w:rFonts w:eastAsiaTheme="majorEastAsia" w:cstheme="majorBidi"/>
      <w:color w:val="272727" w:themeColor="text1" w:themeTint="D8"/>
    </w:rPr>
  </w:style>
  <w:style w:type="paragraph" w:styleId="Title">
    <w:name w:val="Title"/>
    <w:basedOn w:val="Normal"/>
    <w:next w:val="Normal"/>
    <w:link w:val="TitleChar"/>
    <w:uiPriority w:val="10"/>
    <w:qFormat/>
    <w:rsid w:val="00980CF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80CF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80CF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80C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0CF1"/>
    <w:pPr>
      <w:spacing w:before="160"/>
      <w:jc w:val="center"/>
    </w:pPr>
    <w:rPr>
      <w:i/>
      <w:iCs/>
      <w:color w:val="404040" w:themeColor="text1" w:themeTint="BF"/>
    </w:rPr>
  </w:style>
  <w:style w:type="character" w:styleId="QuoteChar" w:customStyle="1">
    <w:name w:val="Quote Char"/>
    <w:basedOn w:val="DefaultParagraphFont"/>
    <w:link w:val="Quote"/>
    <w:uiPriority w:val="29"/>
    <w:rsid w:val="00980CF1"/>
    <w:rPr>
      <w:i/>
      <w:iCs/>
      <w:color w:val="404040" w:themeColor="text1" w:themeTint="BF"/>
    </w:rPr>
  </w:style>
  <w:style w:type="paragraph" w:styleId="ListParagraph">
    <w:name w:val="List Paragraph"/>
    <w:basedOn w:val="Normal"/>
    <w:uiPriority w:val="34"/>
    <w:qFormat/>
    <w:rsid w:val="00980CF1"/>
    <w:pPr>
      <w:ind w:left="720"/>
      <w:contextualSpacing/>
    </w:pPr>
  </w:style>
  <w:style w:type="character" w:styleId="IntenseEmphasis">
    <w:name w:val="Intense Emphasis"/>
    <w:basedOn w:val="DefaultParagraphFont"/>
    <w:uiPriority w:val="21"/>
    <w:qFormat/>
    <w:rsid w:val="00980CF1"/>
    <w:rPr>
      <w:i/>
      <w:iCs/>
      <w:color w:val="0F4761" w:themeColor="accent1" w:themeShade="BF"/>
    </w:rPr>
  </w:style>
  <w:style w:type="paragraph" w:styleId="IntenseQuote">
    <w:name w:val="Intense Quote"/>
    <w:basedOn w:val="Normal"/>
    <w:next w:val="Normal"/>
    <w:link w:val="IntenseQuoteChar"/>
    <w:uiPriority w:val="30"/>
    <w:qFormat/>
    <w:rsid w:val="00980CF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80CF1"/>
    <w:rPr>
      <w:i/>
      <w:iCs/>
      <w:color w:val="0F4761" w:themeColor="accent1" w:themeShade="BF"/>
    </w:rPr>
  </w:style>
  <w:style w:type="character" w:styleId="IntenseReference">
    <w:name w:val="Intense Reference"/>
    <w:basedOn w:val="DefaultParagraphFont"/>
    <w:uiPriority w:val="32"/>
    <w:qFormat/>
    <w:rsid w:val="00980CF1"/>
    <w:rPr>
      <w:b/>
      <w:bCs/>
      <w:smallCaps/>
      <w:color w:val="0F4761" w:themeColor="accent1" w:themeShade="BF"/>
      <w:spacing w:val="5"/>
    </w:rPr>
  </w:style>
  <w:style w:type="paragraph" w:styleId="Header">
    <w:name w:val="header"/>
    <w:basedOn w:val="Normal"/>
    <w:link w:val="HeaderChar"/>
    <w:uiPriority w:val="99"/>
    <w:unhideWhenUsed/>
    <w:rsid w:val="002D171E"/>
    <w:pPr>
      <w:tabs>
        <w:tab w:val="center" w:pos="4513"/>
        <w:tab w:val="right" w:pos="9026"/>
      </w:tabs>
      <w:spacing w:after="0" w:line="240" w:lineRule="auto"/>
    </w:pPr>
  </w:style>
  <w:style w:type="character" w:styleId="HeaderChar" w:customStyle="1">
    <w:name w:val="Header Char"/>
    <w:basedOn w:val="DefaultParagraphFont"/>
    <w:link w:val="Header"/>
    <w:uiPriority w:val="99"/>
    <w:rsid w:val="002D171E"/>
  </w:style>
  <w:style w:type="paragraph" w:styleId="Footer">
    <w:name w:val="footer"/>
    <w:basedOn w:val="Normal"/>
    <w:link w:val="FooterChar"/>
    <w:uiPriority w:val="99"/>
    <w:unhideWhenUsed/>
    <w:rsid w:val="002D171E"/>
    <w:pPr>
      <w:tabs>
        <w:tab w:val="center" w:pos="4513"/>
        <w:tab w:val="right" w:pos="9026"/>
      </w:tabs>
      <w:spacing w:after="0" w:line="240" w:lineRule="auto"/>
    </w:pPr>
  </w:style>
  <w:style w:type="character" w:styleId="FooterChar" w:customStyle="1">
    <w:name w:val="Footer Char"/>
    <w:basedOn w:val="DefaultParagraphFont"/>
    <w:link w:val="Footer"/>
    <w:uiPriority w:val="99"/>
    <w:rsid w:val="002D171E"/>
  </w:style>
  <w:style w:type="character" w:styleId="Hyperlink">
    <w:name w:val="Hyperlink"/>
    <w:basedOn w:val="DefaultParagraphFont"/>
    <w:uiPriority w:val="99"/>
    <w:unhideWhenUsed/>
    <w:rsid w:val="0005203B"/>
    <w:rPr>
      <w:color w:val="467886" w:themeColor="hyperlink"/>
      <w:u w:val="single"/>
    </w:rPr>
  </w:style>
  <w:style w:type="character" w:styleId="UnresolvedMention">
    <w:name w:val="Unresolved Mention"/>
    <w:basedOn w:val="DefaultParagraphFont"/>
    <w:uiPriority w:val="99"/>
    <w:semiHidden/>
    <w:unhideWhenUsed/>
    <w:rsid w:val="000520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8266826">
      <w:bodyDiv w:val="1"/>
      <w:marLeft w:val="0"/>
      <w:marRight w:val="0"/>
      <w:marTop w:val="0"/>
      <w:marBottom w:val="0"/>
      <w:divBdr>
        <w:top w:val="none" w:sz="0" w:space="0" w:color="auto"/>
        <w:left w:val="none" w:sz="0" w:space="0" w:color="auto"/>
        <w:bottom w:val="none" w:sz="0" w:space="0" w:color="auto"/>
        <w:right w:val="none" w:sz="0" w:space="0" w:color="auto"/>
      </w:divBdr>
    </w:div>
    <w:div w:id="466893690">
      <w:bodyDiv w:val="1"/>
      <w:marLeft w:val="0"/>
      <w:marRight w:val="0"/>
      <w:marTop w:val="0"/>
      <w:marBottom w:val="0"/>
      <w:divBdr>
        <w:top w:val="none" w:sz="0" w:space="0" w:color="auto"/>
        <w:left w:val="none" w:sz="0" w:space="0" w:color="auto"/>
        <w:bottom w:val="none" w:sz="0" w:space="0" w:color="auto"/>
        <w:right w:val="none" w:sz="0" w:space="0" w:color="auto"/>
      </w:divBdr>
    </w:div>
    <w:div w:id="912198823">
      <w:bodyDiv w:val="1"/>
      <w:marLeft w:val="0"/>
      <w:marRight w:val="0"/>
      <w:marTop w:val="0"/>
      <w:marBottom w:val="0"/>
      <w:divBdr>
        <w:top w:val="none" w:sz="0" w:space="0" w:color="auto"/>
        <w:left w:val="none" w:sz="0" w:space="0" w:color="auto"/>
        <w:bottom w:val="none" w:sz="0" w:space="0" w:color="auto"/>
        <w:right w:val="none" w:sz="0" w:space="0" w:color="auto"/>
      </w:divBdr>
    </w:div>
    <w:div w:id="1309436009">
      <w:bodyDiv w:val="1"/>
      <w:marLeft w:val="0"/>
      <w:marRight w:val="0"/>
      <w:marTop w:val="0"/>
      <w:marBottom w:val="0"/>
      <w:divBdr>
        <w:top w:val="none" w:sz="0" w:space="0" w:color="auto"/>
        <w:left w:val="none" w:sz="0" w:space="0" w:color="auto"/>
        <w:bottom w:val="none" w:sz="0" w:space="0" w:color="auto"/>
        <w:right w:val="none" w:sz="0" w:space="0" w:color="auto"/>
      </w:divBdr>
    </w:div>
    <w:div w:id="1830826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help-for-early-years-providers.education.gov.uk/get-help-to-improve-your-practice/working-in-partnership-with-parents-and-carers"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doi.org/10.1111/1467-8624.00130" TargetMode="External" Id="R667fe8e4a5174d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9B8F6B-BD50-4F6D-AAB1-906E5CEA64D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Howells</dc:creator>
  <keywords/>
  <dc:description/>
  <lastModifiedBy>Patricia Stevens</lastModifiedBy>
  <revision>263</revision>
  <lastPrinted>2024-05-12T16:29:00.0000000Z</lastPrinted>
  <dcterms:created xsi:type="dcterms:W3CDTF">2024-05-06T15:12:00.0000000Z</dcterms:created>
  <dcterms:modified xsi:type="dcterms:W3CDTF">2024-05-17T15:37:48.1291638Z</dcterms:modified>
</coreProperties>
</file>