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E0302" w14:textId="77777777" w:rsidR="006E4915" w:rsidRDefault="006E4915" w:rsidP="006E4915">
      <w:pPr>
        <w:jc w:val="center"/>
      </w:pPr>
      <w:r w:rsidRPr="00633373">
        <w:rPr>
          <w:noProof/>
        </w:rPr>
        <w:drawing>
          <wp:inline distT="0" distB="0" distL="0" distR="0" wp14:anchorId="26AB81E6" wp14:editId="1CA31153">
            <wp:extent cx="2422596" cy="1104900"/>
            <wp:effectExtent l="0" t="0" r="0" b="0"/>
            <wp:docPr id="3075" name="Picture 11" descr="A logo with text on it&#10;&#10;Description automatically generated">
              <a:extLst xmlns:a="http://schemas.openxmlformats.org/drawingml/2006/main">
                <a:ext uri="{FF2B5EF4-FFF2-40B4-BE49-F238E27FC236}">
                  <a16:creationId xmlns:a16="http://schemas.microsoft.com/office/drawing/2014/main" id="{9913C77F-EFCF-93AA-B396-A66C768D77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11" descr="A logo with text on it&#10;&#10;Description automatically generated">
                      <a:extLst>
                        <a:ext uri="{FF2B5EF4-FFF2-40B4-BE49-F238E27FC236}">
                          <a16:creationId xmlns:a16="http://schemas.microsoft.com/office/drawing/2014/main" id="{9913C77F-EFCF-93AA-B396-A66C768D775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54023" cy="1119233"/>
                    </a:xfrm>
                    <a:prstGeom prst="rect">
                      <a:avLst/>
                    </a:prstGeom>
                    <a:noFill/>
                    <a:ln>
                      <a:noFill/>
                    </a:ln>
                  </pic:spPr>
                </pic:pic>
              </a:graphicData>
            </a:graphic>
          </wp:inline>
        </w:drawing>
      </w:r>
    </w:p>
    <w:p w14:paraId="10961F13" w14:textId="77777777" w:rsidR="006E4915" w:rsidRPr="00E96320" w:rsidRDefault="006E4915" w:rsidP="006E4915"/>
    <w:p w14:paraId="6A32C9FB" w14:textId="77777777" w:rsidR="006E4915" w:rsidRDefault="006E4915" w:rsidP="006E4915"/>
    <w:p w14:paraId="397B9739" w14:textId="77777777" w:rsidR="006E4915" w:rsidRDefault="006E4915" w:rsidP="006E4915">
      <w:pPr>
        <w:jc w:val="center"/>
        <w:rPr>
          <w:b/>
          <w:bCs/>
          <w:sz w:val="44"/>
          <w:szCs w:val="44"/>
        </w:rPr>
      </w:pPr>
      <w:r>
        <w:tab/>
      </w:r>
      <w:r w:rsidRPr="00633373">
        <w:rPr>
          <w:b/>
          <w:bCs/>
          <w:sz w:val="44"/>
          <w:szCs w:val="44"/>
        </w:rPr>
        <w:t>University of Wales Trinity St David</w:t>
      </w:r>
    </w:p>
    <w:p w14:paraId="0E9495FC" w14:textId="028F908C" w:rsidR="00D51EB7" w:rsidRDefault="006E4915" w:rsidP="006E4915">
      <w:pPr>
        <w:jc w:val="center"/>
        <w:rPr>
          <w:b/>
          <w:bCs/>
          <w:sz w:val="32"/>
          <w:szCs w:val="32"/>
        </w:rPr>
      </w:pPr>
      <w:r w:rsidRPr="00633373">
        <w:rPr>
          <w:b/>
          <w:bCs/>
          <w:sz w:val="32"/>
          <w:szCs w:val="32"/>
        </w:rPr>
        <w:t>BA (Hons) Leadership and Management Skills for the Workplace</w:t>
      </w:r>
    </w:p>
    <w:p w14:paraId="6457B041" w14:textId="28D15C6D" w:rsidR="006E4915" w:rsidRDefault="006E4915" w:rsidP="006E4915">
      <w:pPr>
        <w:jc w:val="center"/>
        <w:rPr>
          <w:b/>
          <w:bCs/>
          <w:sz w:val="32"/>
          <w:szCs w:val="32"/>
        </w:rPr>
      </w:pPr>
      <w:r w:rsidRPr="006E4915">
        <w:rPr>
          <w:b/>
          <w:bCs/>
          <w:sz w:val="32"/>
          <w:szCs w:val="32"/>
        </w:rPr>
        <w:t>Leading and Implementing Workplace Change</w:t>
      </w:r>
    </w:p>
    <w:p w14:paraId="2E615B15" w14:textId="226D2535" w:rsidR="006E4915" w:rsidRDefault="006E4915" w:rsidP="006E4915">
      <w:pPr>
        <w:jc w:val="center"/>
        <w:rPr>
          <w:b/>
          <w:bCs/>
          <w:sz w:val="32"/>
          <w:szCs w:val="32"/>
        </w:rPr>
      </w:pPr>
      <w:r w:rsidRPr="006E4915">
        <w:rPr>
          <w:b/>
          <w:bCs/>
          <w:sz w:val="32"/>
          <w:szCs w:val="32"/>
        </w:rPr>
        <w:t>BMSW6103</w:t>
      </w:r>
    </w:p>
    <w:p w14:paraId="43971B61" w14:textId="77777777" w:rsidR="006E4915" w:rsidRDefault="006E4915" w:rsidP="006E4915">
      <w:pPr>
        <w:jc w:val="center"/>
        <w:rPr>
          <w:b/>
          <w:bCs/>
          <w:sz w:val="32"/>
          <w:szCs w:val="32"/>
        </w:rPr>
      </w:pPr>
    </w:p>
    <w:p w14:paraId="22ECAF70" w14:textId="7BFA1DF6" w:rsidR="006E4915" w:rsidRPr="00E96320" w:rsidRDefault="006E4915" w:rsidP="006E4915">
      <w:pPr>
        <w:tabs>
          <w:tab w:val="left" w:pos="3120"/>
        </w:tabs>
        <w:jc w:val="center"/>
        <w:rPr>
          <w:sz w:val="36"/>
          <w:szCs w:val="36"/>
        </w:rPr>
      </w:pPr>
      <w:r w:rsidRPr="00E96320">
        <w:rPr>
          <w:sz w:val="36"/>
          <w:szCs w:val="36"/>
        </w:rPr>
        <w:t>Task 1: Individual Report (</w:t>
      </w:r>
      <w:r>
        <w:rPr>
          <w:sz w:val="36"/>
          <w:szCs w:val="36"/>
        </w:rPr>
        <w:t>4</w:t>
      </w:r>
      <w:r w:rsidRPr="00E96320">
        <w:rPr>
          <w:sz w:val="36"/>
          <w:szCs w:val="36"/>
        </w:rPr>
        <w:t>.500 words)</w:t>
      </w:r>
    </w:p>
    <w:p w14:paraId="6D131574" w14:textId="77777777" w:rsidR="006E4915" w:rsidRDefault="006E4915" w:rsidP="006E4915">
      <w:pPr>
        <w:tabs>
          <w:tab w:val="left" w:pos="3120"/>
        </w:tabs>
        <w:rPr>
          <w:sz w:val="32"/>
          <w:szCs w:val="32"/>
        </w:rPr>
      </w:pPr>
    </w:p>
    <w:p w14:paraId="102B0512" w14:textId="76462960" w:rsidR="006E4915" w:rsidRDefault="006E4915" w:rsidP="006E4915">
      <w:pPr>
        <w:tabs>
          <w:tab w:val="left" w:pos="3120"/>
        </w:tabs>
        <w:rPr>
          <w:sz w:val="32"/>
          <w:szCs w:val="32"/>
        </w:rPr>
      </w:pPr>
    </w:p>
    <w:p w14:paraId="5D6E35D1" w14:textId="7FE01FC9" w:rsidR="006E4915" w:rsidRDefault="00B64F87" w:rsidP="006E4915">
      <w:pPr>
        <w:tabs>
          <w:tab w:val="left" w:pos="3120"/>
        </w:tabs>
        <w:rPr>
          <w:sz w:val="32"/>
          <w:szCs w:val="32"/>
        </w:rPr>
      </w:pPr>
      <w:r>
        <w:rPr>
          <w:noProof/>
        </w:rPr>
        <w:drawing>
          <wp:inline distT="0" distB="0" distL="0" distR="0" wp14:anchorId="54305389" wp14:editId="38988748">
            <wp:extent cx="5280660" cy="2970371"/>
            <wp:effectExtent l="0" t="0" r="0" b="1905"/>
            <wp:docPr id="1918735957" name="Picture 1" descr="A phone with a logo on th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735957" name="Picture 1" descr="A phone with a logo on the scree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96627" cy="2979352"/>
                    </a:xfrm>
                    <a:prstGeom prst="rect">
                      <a:avLst/>
                    </a:prstGeom>
                    <a:noFill/>
                    <a:ln>
                      <a:noFill/>
                    </a:ln>
                  </pic:spPr>
                </pic:pic>
              </a:graphicData>
            </a:graphic>
          </wp:inline>
        </w:drawing>
      </w:r>
    </w:p>
    <w:p w14:paraId="17D66B70" w14:textId="2A0457D6" w:rsidR="006E4915" w:rsidRPr="006D302C" w:rsidRDefault="006E4915" w:rsidP="006E4915">
      <w:pPr>
        <w:rPr>
          <w:sz w:val="16"/>
          <w:szCs w:val="16"/>
        </w:rPr>
      </w:pPr>
      <w:r w:rsidRPr="00274C95">
        <w:rPr>
          <w:sz w:val="24"/>
          <w:szCs w:val="24"/>
        </w:rPr>
        <w:t>Andrea Pisanti (2111539)</w:t>
      </w:r>
      <w:r w:rsidR="006D302C">
        <w:rPr>
          <w:sz w:val="24"/>
          <w:szCs w:val="24"/>
        </w:rPr>
        <w:t xml:space="preserve">                                                                                         </w:t>
      </w:r>
      <w:hyperlink r:id="rId7" w:history="1">
        <w:r w:rsidR="006D302C" w:rsidRPr="006D302C">
          <w:rPr>
            <w:rStyle w:val="Hyperlink"/>
            <w:sz w:val="16"/>
            <w:szCs w:val="16"/>
          </w:rPr>
          <w:t>image source</w:t>
        </w:r>
      </w:hyperlink>
    </w:p>
    <w:p w14:paraId="17E45F10" w14:textId="77777777" w:rsidR="006E4915" w:rsidRPr="00274C95" w:rsidRDefault="006E4915" w:rsidP="006E4915">
      <w:pPr>
        <w:tabs>
          <w:tab w:val="left" w:pos="3120"/>
        </w:tabs>
        <w:rPr>
          <w:sz w:val="24"/>
          <w:szCs w:val="24"/>
        </w:rPr>
      </w:pPr>
      <w:r w:rsidRPr="00274C95">
        <w:rPr>
          <w:sz w:val="24"/>
          <w:szCs w:val="24"/>
        </w:rPr>
        <w:t>Lecturer: Mr. Nadeem Mirza</w:t>
      </w:r>
    </w:p>
    <w:p w14:paraId="0408CA1A" w14:textId="77777777" w:rsidR="006E4915" w:rsidRDefault="006E4915" w:rsidP="006E4915">
      <w:pPr>
        <w:tabs>
          <w:tab w:val="left" w:pos="3120"/>
        </w:tabs>
        <w:rPr>
          <w:sz w:val="36"/>
          <w:szCs w:val="36"/>
        </w:rPr>
      </w:pPr>
    </w:p>
    <w:p w14:paraId="444327BE" w14:textId="77777777" w:rsidR="006E4915" w:rsidRDefault="006E4915" w:rsidP="006E4915">
      <w:pPr>
        <w:tabs>
          <w:tab w:val="left" w:pos="3120"/>
        </w:tabs>
        <w:rPr>
          <w:sz w:val="36"/>
          <w:szCs w:val="36"/>
        </w:rPr>
      </w:pPr>
    </w:p>
    <w:p w14:paraId="62542846" w14:textId="77777777" w:rsidR="006E4915" w:rsidRDefault="006E4915" w:rsidP="006E4915">
      <w:pPr>
        <w:tabs>
          <w:tab w:val="left" w:pos="3120"/>
        </w:tabs>
        <w:rPr>
          <w:sz w:val="36"/>
          <w:szCs w:val="36"/>
        </w:rPr>
      </w:pPr>
    </w:p>
    <w:sdt>
      <w:sdtPr>
        <w:rPr>
          <w:rFonts w:asciiTheme="minorHAnsi" w:eastAsiaTheme="minorHAnsi" w:hAnsiTheme="minorHAnsi" w:cstheme="minorBidi"/>
          <w:color w:val="auto"/>
          <w:kern w:val="2"/>
          <w:sz w:val="22"/>
          <w:szCs w:val="22"/>
          <w:lang w:val="en-GB"/>
          <w14:ligatures w14:val="standardContextual"/>
        </w:rPr>
        <w:id w:val="-368295742"/>
        <w:docPartObj>
          <w:docPartGallery w:val="Table of Contents"/>
          <w:docPartUnique/>
        </w:docPartObj>
      </w:sdtPr>
      <w:sdtEndPr>
        <w:rPr>
          <w:b/>
          <w:bCs/>
          <w:noProof/>
        </w:rPr>
      </w:sdtEndPr>
      <w:sdtContent>
        <w:p w14:paraId="6EC0C0E1" w14:textId="76AD6837" w:rsidR="00F8156E" w:rsidRDefault="00F8156E">
          <w:pPr>
            <w:pStyle w:val="TOCHeading"/>
          </w:pPr>
          <w:r>
            <w:t>Table of Contents</w:t>
          </w:r>
        </w:p>
        <w:p w14:paraId="2909010D" w14:textId="6E3BFC7C" w:rsidR="00696049" w:rsidRDefault="00F8156E">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4950234" w:history="1">
            <w:r w:rsidR="00696049" w:rsidRPr="00B604F6">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Executive summary</w:t>
            </w:r>
            <w:r w:rsidR="00696049">
              <w:rPr>
                <w:noProof/>
                <w:webHidden/>
              </w:rPr>
              <w:tab/>
            </w:r>
            <w:r w:rsidR="00696049">
              <w:rPr>
                <w:noProof/>
                <w:webHidden/>
              </w:rPr>
              <w:fldChar w:fldCharType="begin"/>
            </w:r>
            <w:r w:rsidR="00696049">
              <w:rPr>
                <w:noProof/>
                <w:webHidden/>
              </w:rPr>
              <w:instrText xml:space="preserve"> PAGEREF _Toc174950234 \h </w:instrText>
            </w:r>
            <w:r w:rsidR="00696049">
              <w:rPr>
                <w:noProof/>
                <w:webHidden/>
              </w:rPr>
            </w:r>
            <w:r w:rsidR="00696049">
              <w:rPr>
                <w:noProof/>
                <w:webHidden/>
              </w:rPr>
              <w:fldChar w:fldCharType="separate"/>
            </w:r>
            <w:r w:rsidR="00696049">
              <w:rPr>
                <w:noProof/>
                <w:webHidden/>
              </w:rPr>
              <w:t>3</w:t>
            </w:r>
            <w:r w:rsidR="00696049">
              <w:rPr>
                <w:noProof/>
                <w:webHidden/>
              </w:rPr>
              <w:fldChar w:fldCharType="end"/>
            </w:r>
          </w:hyperlink>
        </w:p>
        <w:p w14:paraId="597A13E8" w14:textId="0C86206F" w:rsidR="00696049" w:rsidRDefault="00696049">
          <w:pPr>
            <w:pStyle w:val="TOC1"/>
            <w:tabs>
              <w:tab w:val="right" w:leader="dot" w:pos="9016"/>
            </w:tabs>
            <w:rPr>
              <w:rFonts w:eastAsiaTheme="minorEastAsia"/>
              <w:noProof/>
              <w:sz w:val="24"/>
              <w:szCs w:val="24"/>
              <w:lang w:eastAsia="en-GB"/>
            </w:rPr>
          </w:pPr>
          <w:hyperlink w:anchor="_Toc174950235" w:history="1">
            <w:r w:rsidRPr="00B604F6">
              <w:rPr>
                <w:rStyle w:val="Hyperlink"/>
                <w:rFonts w:ascii="Arial" w:hAnsi="Arial" w:cs="Arial"/>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Pr>
                <w:noProof/>
                <w:webHidden/>
              </w:rPr>
              <w:tab/>
            </w:r>
            <w:r>
              <w:rPr>
                <w:noProof/>
                <w:webHidden/>
              </w:rPr>
              <w:fldChar w:fldCharType="begin"/>
            </w:r>
            <w:r>
              <w:rPr>
                <w:noProof/>
                <w:webHidden/>
              </w:rPr>
              <w:instrText xml:space="preserve"> PAGEREF _Toc174950235 \h </w:instrText>
            </w:r>
            <w:r>
              <w:rPr>
                <w:noProof/>
                <w:webHidden/>
              </w:rPr>
            </w:r>
            <w:r>
              <w:rPr>
                <w:noProof/>
                <w:webHidden/>
              </w:rPr>
              <w:fldChar w:fldCharType="separate"/>
            </w:r>
            <w:r>
              <w:rPr>
                <w:noProof/>
                <w:webHidden/>
              </w:rPr>
              <w:t>3</w:t>
            </w:r>
            <w:r>
              <w:rPr>
                <w:noProof/>
                <w:webHidden/>
              </w:rPr>
              <w:fldChar w:fldCharType="end"/>
            </w:r>
          </w:hyperlink>
        </w:p>
        <w:p w14:paraId="3B5A905C" w14:textId="0AE45CC8" w:rsidR="00696049" w:rsidRDefault="00696049">
          <w:pPr>
            <w:pStyle w:val="TOC1"/>
            <w:tabs>
              <w:tab w:val="right" w:leader="dot" w:pos="9016"/>
            </w:tabs>
            <w:rPr>
              <w:rFonts w:eastAsiaTheme="minorEastAsia"/>
              <w:noProof/>
              <w:sz w:val="24"/>
              <w:szCs w:val="24"/>
              <w:lang w:eastAsia="en-GB"/>
            </w:rPr>
          </w:pPr>
          <w:hyperlink w:anchor="_Toc174950236" w:history="1">
            <w:r w:rsidRPr="00B604F6">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PESTLE Analysis of Twitter (X)</w:t>
            </w:r>
            <w:r>
              <w:rPr>
                <w:noProof/>
                <w:webHidden/>
              </w:rPr>
              <w:tab/>
            </w:r>
            <w:r>
              <w:rPr>
                <w:noProof/>
                <w:webHidden/>
              </w:rPr>
              <w:fldChar w:fldCharType="begin"/>
            </w:r>
            <w:r>
              <w:rPr>
                <w:noProof/>
                <w:webHidden/>
              </w:rPr>
              <w:instrText xml:space="preserve"> PAGEREF _Toc174950236 \h </w:instrText>
            </w:r>
            <w:r>
              <w:rPr>
                <w:noProof/>
                <w:webHidden/>
              </w:rPr>
            </w:r>
            <w:r>
              <w:rPr>
                <w:noProof/>
                <w:webHidden/>
              </w:rPr>
              <w:fldChar w:fldCharType="separate"/>
            </w:r>
            <w:r>
              <w:rPr>
                <w:noProof/>
                <w:webHidden/>
              </w:rPr>
              <w:t>4</w:t>
            </w:r>
            <w:r>
              <w:rPr>
                <w:noProof/>
                <w:webHidden/>
              </w:rPr>
              <w:fldChar w:fldCharType="end"/>
            </w:r>
          </w:hyperlink>
        </w:p>
        <w:p w14:paraId="1C60F48A" w14:textId="0568494C" w:rsidR="00696049" w:rsidRDefault="00696049">
          <w:pPr>
            <w:pStyle w:val="TOC1"/>
            <w:tabs>
              <w:tab w:val="right" w:leader="dot" w:pos="9016"/>
            </w:tabs>
            <w:rPr>
              <w:rFonts w:eastAsiaTheme="minorEastAsia"/>
              <w:noProof/>
              <w:sz w:val="24"/>
              <w:szCs w:val="24"/>
              <w:lang w:eastAsia="en-GB"/>
            </w:rPr>
          </w:pPr>
          <w:hyperlink w:anchor="_Toc174950237" w:history="1">
            <w:r w:rsidRPr="00B604F6">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Porter’s Five Forces Analysis of Twitter (X)</w:t>
            </w:r>
            <w:r>
              <w:rPr>
                <w:noProof/>
                <w:webHidden/>
              </w:rPr>
              <w:tab/>
            </w:r>
            <w:r>
              <w:rPr>
                <w:noProof/>
                <w:webHidden/>
              </w:rPr>
              <w:fldChar w:fldCharType="begin"/>
            </w:r>
            <w:r>
              <w:rPr>
                <w:noProof/>
                <w:webHidden/>
              </w:rPr>
              <w:instrText xml:space="preserve"> PAGEREF _Toc174950237 \h </w:instrText>
            </w:r>
            <w:r>
              <w:rPr>
                <w:noProof/>
                <w:webHidden/>
              </w:rPr>
            </w:r>
            <w:r>
              <w:rPr>
                <w:noProof/>
                <w:webHidden/>
              </w:rPr>
              <w:fldChar w:fldCharType="separate"/>
            </w:r>
            <w:r>
              <w:rPr>
                <w:noProof/>
                <w:webHidden/>
              </w:rPr>
              <w:t>5</w:t>
            </w:r>
            <w:r>
              <w:rPr>
                <w:noProof/>
                <w:webHidden/>
              </w:rPr>
              <w:fldChar w:fldCharType="end"/>
            </w:r>
          </w:hyperlink>
        </w:p>
        <w:p w14:paraId="4E9200D0" w14:textId="0E009124" w:rsidR="00696049" w:rsidRDefault="00696049">
          <w:pPr>
            <w:pStyle w:val="TOC1"/>
            <w:tabs>
              <w:tab w:val="right" w:leader="dot" w:pos="9016"/>
            </w:tabs>
            <w:rPr>
              <w:rFonts w:eastAsiaTheme="minorEastAsia"/>
              <w:noProof/>
              <w:sz w:val="24"/>
              <w:szCs w:val="24"/>
              <w:lang w:eastAsia="en-GB"/>
            </w:rPr>
          </w:pPr>
          <w:hyperlink w:anchor="_Toc174950238" w:history="1">
            <w:r w:rsidRPr="00B604F6">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 Management at Twitter (X) Using Key Models</w:t>
            </w:r>
            <w:r>
              <w:rPr>
                <w:noProof/>
                <w:webHidden/>
              </w:rPr>
              <w:tab/>
            </w:r>
            <w:r>
              <w:rPr>
                <w:noProof/>
                <w:webHidden/>
              </w:rPr>
              <w:fldChar w:fldCharType="begin"/>
            </w:r>
            <w:r>
              <w:rPr>
                <w:noProof/>
                <w:webHidden/>
              </w:rPr>
              <w:instrText xml:space="preserve"> PAGEREF _Toc174950238 \h </w:instrText>
            </w:r>
            <w:r>
              <w:rPr>
                <w:noProof/>
                <w:webHidden/>
              </w:rPr>
            </w:r>
            <w:r>
              <w:rPr>
                <w:noProof/>
                <w:webHidden/>
              </w:rPr>
              <w:fldChar w:fldCharType="separate"/>
            </w:r>
            <w:r>
              <w:rPr>
                <w:noProof/>
                <w:webHidden/>
              </w:rPr>
              <w:t>6</w:t>
            </w:r>
            <w:r>
              <w:rPr>
                <w:noProof/>
                <w:webHidden/>
              </w:rPr>
              <w:fldChar w:fldCharType="end"/>
            </w:r>
          </w:hyperlink>
        </w:p>
        <w:p w14:paraId="52360B9F" w14:textId="4199B73D" w:rsidR="00696049" w:rsidRDefault="00696049">
          <w:pPr>
            <w:pStyle w:val="TOC1"/>
            <w:tabs>
              <w:tab w:val="right" w:leader="dot" w:pos="9016"/>
            </w:tabs>
            <w:rPr>
              <w:rFonts w:eastAsiaTheme="minorEastAsia"/>
              <w:noProof/>
              <w:sz w:val="24"/>
              <w:szCs w:val="24"/>
              <w:lang w:eastAsia="en-GB"/>
            </w:rPr>
          </w:pPr>
          <w:hyperlink w:anchor="_Toc174950239" w:history="1">
            <w:r w:rsidRPr="00B604F6">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Incorporation Issues Related to Strategic Change at Twitter (X)</w:t>
            </w:r>
            <w:r>
              <w:rPr>
                <w:noProof/>
                <w:webHidden/>
              </w:rPr>
              <w:tab/>
            </w:r>
            <w:r>
              <w:rPr>
                <w:noProof/>
                <w:webHidden/>
              </w:rPr>
              <w:fldChar w:fldCharType="begin"/>
            </w:r>
            <w:r>
              <w:rPr>
                <w:noProof/>
                <w:webHidden/>
              </w:rPr>
              <w:instrText xml:space="preserve"> PAGEREF _Toc174950239 \h </w:instrText>
            </w:r>
            <w:r>
              <w:rPr>
                <w:noProof/>
                <w:webHidden/>
              </w:rPr>
            </w:r>
            <w:r>
              <w:rPr>
                <w:noProof/>
                <w:webHidden/>
              </w:rPr>
              <w:fldChar w:fldCharType="separate"/>
            </w:r>
            <w:r>
              <w:rPr>
                <w:noProof/>
                <w:webHidden/>
              </w:rPr>
              <w:t>9</w:t>
            </w:r>
            <w:r>
              <w:rPr>
                <w:noProof/>
                <w:webHidden/>
              </w:rPr>
              <w:fldChar w:fldCharType="end"/>
            </w:r>
          </w:hyperlink>
        </w:p>
        <w:p w14:paraId="7E68A75A" w14:textId="41C45034" w:rsidR="00696049" w:rsidRDefault="00696049">
          <w:pPr>
            <w:pStyle w:val="TOC1"/>
            <w:tabs>
              <w:tab w:val="right" w:leader="dot" w:pos="9016"/>
            </w:tabs>
            <w:rPr>
              <w:rFonts w:eastAsiaTheme="minorEastAsia"/>
              <w:noProof/>
              <w:sz w:val="24"/>
              <w:szCs w:val="24"/>
              <w:lang w:eastAsia="en-GB"/>
            </w:rPr>
          </w:pPr>
          <w:hyperlink w:anchor="_Toc174950240" w:history="1">
            <w:r w:rsidRPr="00B604F6">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 Styles in the Transformation of Twitter (X)</w:t>
            </w:r>
            <w:r>
              <w:rPr>
                <w:noProof/>
                <w:webHidden/>
              </w:rPr>
              <w:tab/>
            </w:r>
            <w:r>
              <w:rPr>
                <w:noProof/>
                <w:webHidden/>
              </w:rPr>
              <w:fldChar w:fldCharType="begin"/>
            </w:r>
            <w:r>
              <w:rPr>
                <w:noProof/>
                <w:webHidden/>
              </w:rPr>
              <w:instrText xml:space="preserve"> PAGEREF _Toc174950240 \h </w:instrText>
            </w:r>
            <w:r>
              <w:rPr>
                <w:noProof/>
                <w:webHidden/>
              </w:rPr>
            </w:r>
            <w:r>
              <w:rPr>
                <w:noProof/>
                <w:webHidden/>
              </w:rPr>
              <w:fldChar w:fldCharType="separate"/>
            </w:r>
            <w:r>
              <w:rPr>
                <w:noProof/>
                <w:webHidden/>
              </w:rPr>
              <w:t>10</w:t>
            </w:r>
            <w:r>
              <w:rPr>
                <w:noProof/>
                <w:webHidden/>
              </w:rPr>
              <w:fldChar w:fldCharType="end"/>
            </w:r>
          </w:hyperlink>
        </w:p>
        <w:p w14:paraId="0FE92AAC" w14:textId="41C03149" w:rsidR="00696049" w:rsidRDefault="00696049">
          <w:pPr>
            <w:pStyle w:val="TOC1"/>
            <w:tabs>
              <w:tab w:val="right" w:leader="dot" w:pos="9016"/>
            </w:tabs>
            <w:rPr>
              <w:rFonts w:eastAsiaTheme="minorEastAsia"/>
              <w:noProof/>
              <w:sz w:val="24"/>
              <w:szCs w:val="24"/>
              <w:lang w:eastAsia="en-GB"/>
            </w:rPr>
          </w:pPr>
          <w:hyperlink w:anchor="_Toc174950241" w:history="1">
            <w:r w:rsidRPr="00B604F6">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Organizational Culture Change at Twitter (X)</w:t>
            </w:r>
            <w:r>
              <w:rPr>
                <w:noProof/>
                <w:webHidden/>
              </w:rPr>
              <w:tab/>
            </w:r>
            <w:r>
              <w:rPr>
                <w:noProof/>
                <w:webHidden/>
              </w:rPr>
              <w:fldChar w:fldCharType="begin"/>
            </w:r>
            <w:r>
              <w:rPr>
                <w:noProof/>
                <w:webHidden/>
              </w:rPr>
              <w:instrText xml:space="preserve"> PAGEREF _Toc174950241 \h </w:instrText>
            </w:r>
            <w:r>
              <w:rPr>
                <w:noProof/>
                <w:webHidden/>
              </w:rPr>
            </w:r>
            <w:r>
              <w:rPr>
                <w:noProof/>
                <w:webHidden/>
              </w:rPr>
              <w:fldChar w:fldCharType="separate"/>
            </w:r>
            <w:r>
              <w:rPr>
                <w:noProof/>
                <w:webHidden/>
              </w:rPr>
              <w:t>11</w:t>
            </w:r>
            <w:r>
              <w:rPr>
                <w:noProof/>
                <w:webHidden/>
              </w:rPr>
              <w:fldChar w:fldCharType="end"/>
            </w:r>
          </w:hyperlink>
        </w:p>
        <w:p w14:paraId="7F16CF70" w14:textId="73CF2C07" w:rsidR="00696049" w:rsidRDefault="00696049">
          <w:pPr>
            <w:pStyle w:val="TOC1"/>
            <w:tabs>
              <w:tab w:val="right" w:leader="dot" w:pos="9016"/>
            </w:tabs>
            <w:rPr>
              <w:rFonts w:eastAsiaTheme="minorEastAsia"/>
              <w:noProof/>
              <w:sz w:val="24"/>
              <w:szCs w:val="24"/>
              <w:lang w:eastAsia="en-GB"/>
            </w:rPr>
          </w:pPr>
          <w:hyperlink w:anchor="_Toc174950242" w:history="1">
            <w:r w:rsidRPr="00B604F6">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 Training for Twitter (X)</w:t>
            </w:r>
            <w:r>
              <w:rPr>
                <w:noProof/>
                <w:webHidden/>
              </w:rPr>
              <w:tab/>
            </w:r>
            <w:r>
              <w:rPr>
                <w:noProof/>
                <w:webHidden/>
              </w:rPr>
              <w:fldChar w:fldCharType="begin"/>
            </w:r>
            <w:r>
              <w:rPr>
                <w:noProof/>
                <w:webHidden/>
              </w:rPr>
              <w:instrText xml:space="preserve"> PAGEREF _Toc174950242 \h </w:instrText>
            </w:r>
            <w:r>
              <w:rPr>
                <w:noProof/>
                <w:webHidden/>
              </w:rPr>
            </w:r>
            <w:r>
              <w:rPr>
                <w:noProof/>
                <w:webHidden/>
              </w:rPr>
              <w:fldChar w:fldCharType="separate"/>
            </w:r>
            <w:r>
              <w:rPr>
                <w:noProof/>
                <w:webHidden/>
              </w:rPr>
              <w:t>11</w:t>
            </w:r>
            <w:r>
              <w:rPr>
                <w:noProof/>
                <w:webHidden/>
              </w:rPr>
              <w:fldChar w:fldCharType="end"/>
            </w:r>
          </w:hyperlink>
        </w:p>
        <w:p w14:paraId="2920FC6B" w14:textId="39B47C58" w:rsidR="00696049" w:rsidRDefault="00696049">
          <w:pPr>
            <w:pStyle w:val="TOC1"/>
            <w:tabs>
              <w:tab w:val="right" w:leader="dot" w:pos="9016"/>
            </w:tabs>
            <w:rPr>
              <w:rFonts w:eastAsiaTheme="minorEastAsia"/>
              <w:noProof/>
              <w:sz w:val="24"/>
              <w:szCs w:val="24"/>
              <w:lang w:eastAsia="en-GB"/>
            </w:rPr>
          </w:pPr>
          <w:hyperlink w:anchor="_Toc174950243" w:history="1">
            <w:r w:rsidRPr="00B604F6">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Plan for Twitter (X)</w:t>
            </w:r>
            <w:r>
              <w:rPr>
                <w:noProof/>
                <w:webHidden/>
              </w:rPr>
              <w:tab/>
            </w:r>
            <w:r>
              <w:rPr>
                <w:noProof/>
                <w:webHidden/>
              </w:rPr>
              <w:fldChar w:fldCharType="begin"/>
            </w:r>
            <w:r>
              <w:rPr>
                <w:noProof/>
                <w:webHidden/>
              </w:rPr>
              <w:instrText xml:space="preserve"> PAGEREF _Toc174950243 \h </w:instrText>
            </w:r>
            <w:r>
              <w:rPr>
                <w:noProof/>
                <w:webHidden/>
              </w:rPr>
            </w:r>
            <w:r>
              <w:rPr>
                <w:noProof/>
                <w:webHidden/>
              </w:rPr>
              <w:fldChar w:fldCharType="separate"/>
            </w:r>
            <w:r>
              <w:rPr>
                <w:noProof/>
                <w:webHidden/>
              </w:rPr>
              <w:t>12</w:t>
            </w:r>
            <w:r>
              <w:rPr>
                <w:noProof/>
                <w:webHidden/>
              </w:rPr>
              <w:fldChar w:fldCharType="end"/>
            </w:r>
          </w:hyperlink>
        </w:p>
        <w:p w14:paraId="71804ABE" w14:textId="747CCB03" w:rsidR="00696049" w:rsidRDefault="00696049">
          <w:pPr>
            <w:pStyle w:val="TOC1"/>
            <w:tabs>
              <w:tab w:val="right" w:leader="dot" w:pos="9016"/>
            </w:tabs>
            <w:rPr>
              <w:rFonts w:eastAsiaTheme="minorEastAsia"/>
              <w:noProof/>
              <w:sz w:val="24"/>
              <w:szCs w:val="24"/>
              <w:lang w:eastAsia="en-GB"/>
            </w:rPr>
          </w:pPr>
          <w:hyperlink w:anchor="_Toc174950244" w:history="1">
            <w:r w:rsidRPr="00B604F6">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 Plan for Twitter (X)</w:t>
            </w:r>
            <w:r>
              <w:rPr>
                <w:noProof/>
                <w:webHidden/>
              </w:rPr>
              <w:tab/>
            </w:r>
            <w:r>
              <w:rPr>
                <w:noProof/>
                <w:webHidden/>
              </w:rPr>
              <w:fldChar w:fldCharType="begin"/>
            </w:r>
            <w:r>
              <w:rPr>
                <w:noProof/>
                <w:webHidden/>
              </w:rPr>
              <w:instrText xml:space="preserve"> PAGEREF _Toc174950244 \h </w:instrText>
            </w:r>
            <w:r>
              <w:rPr>
                <w:noProof/>
                <w:webHidden/>
              </w:rPr>
            </w:r>
            <w:r>
              <w:rPr>
                <w:noProof/>
                <w:webHidden/>
              </w:rPr>
              <w:fldChar w:fldCharType="separate"/>
            </w:r>
            <w:r>
              <w:rPr>
                <w:noProof/>
                <w:webHidden/>
              </w:rPr>
              <w:t>13</w:t>
            </w:r>
            <w:r>
              <w:rPr>
                <w:noProof/>
                <w:webHidden/>
              </w:rPr>
              <w:fldChar w:fldCharType="end"/>
            </w:r>
          </w:hyperlink>
        </w:p>
        <w:p w14:paraId="61C04BDD" w14:textId="5EB2DDB3" w:rsidR="00696049" w:rsidRDefault="00696049">
          <w:pPr>
            <w:pStyle w:val="TOC1"/>
            <w:tabs>
              <w:tab w:val="right" w:leader="dot" w:pos="9016"/>
            </w:tabs>
            <w:rPr>
              <w:rFonts w:eastAsiaTheme="minorEastAsia"/>
              <w:noProof/>
              <w:sz w:val="24"/>
              <w:szCs w:val="24"/>
              <w:lang w:eastAsia="en-GB"/>
            </w:rPr>
          </w:pPr>
          <w:hyperlink w:anchor="_Toc174950245" w:history="1">
            <w:r w:rsidRPr="00B604F6">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 and Conclusion</w:t>
            </w:r>
            <w:r>
              <w:rPr>
                <w:noProof/>
                <w:webHidden/>
              </w:rPr>
              <w:tab/>
            </w:r>
            <w:r>
              <w:rPr>
                <w:noProof/>
                <w:webHidden/>
              </w:rPr>
              <w:fldChar w:fldCharType="begin"/>
            </w:r>
            <w:r>
              <w:rPr>
                <w:noProof/>
                <w:webHidden/>
              </w:rPr>
              <w:instrText xml:space="preserve"> PAGEREF _Toc174950245 \h </w:instrText>
            </w:r>
            <w:r>
              <w:rPr>
                <w:noProof/>
                <w:webHidden/>
              </w:rPr>
            </w:r>
            <w:r>
              <w:rPr>
                <w:noProof/>
                <w:webHidden/>
              </w:rPr>
              <w:fldChar w:fldCharType="separate"/>
            </w:r>
            <w:r>
              <w:rPr>
                <w:noProof/>
                <w:webHidden/>
              </w:rPr>
              <w:t>13</w:t>
            </w:r>
            <w:r>
              <w:rPr>
                <w:noProof/>
                <w:webHidden/>
              </w:rPr>
              <w:fldChar w:fldCharType="end"/>
            </w:r>
          </w:hyperlink>
        </w:p>
        <w:p w14:paraId="292B4C68" w14:textId="1915FBDE" w:rsidR="00696049" w:rsidRDefault="00696049">
          <w:pPr>
            <w:pStyle w:val="TOC1"/>
            <w:tabs>
              <w:tab w:val="right" w:leader="dot" w:pos="9016"/>
            </w:tabs>
            <w:rPr>
              <w:rFonts w:eastAsiaTheme="minorEastAsia"/>
              <w:noProof/>
              <w:sz w:val="24"/>
              <w:szCs w:val="24"/>
              <w:lang w:eastAsia="en-GB"/>
            </w:rPr>
          </w:pPr>
          <w:hyperlink w:anchor="_Toc174950246" w:history="1">
            <w:r w:rsidRPr="00B604F6">
              <w:rPr>
                <w:rStyle w:val="Hyperlink"/>
                <w:noProof/>
              </w:rPr>
              <w:t>References</w:t>
            </w:r>
            <w:r>
              <w:rPr>
                <w:noProof/>
                <w:webHidden/>
              </w:rPr>
              <w:tab/>
            </w:r>
            <w:r>
              <w:rPr>
                <w:noProof/>
                <w:webHidden/>
              </w:rPr>
              <w:fldChar w:fldCharType="begin"/>
            </w:r>
            <w:r>
              <w:rPr>
                <w:noProof/>
                <w:webHidden/>
              </w:rPr>
              <w:instrText xml:space="preserve"> PAGEREF _Toc174950246 \h </w:instrText>
            </w:r>
            <w:r>
              <w:rPr>
                <w:noProof/>
                <w:webHidden/>
              </w:rPr>
            </w:r>
            <w:r>
              <w:rPr>
                <w:noProof/>
                <w:webHidden/>
              </w:rPr>
              <w:fldChar w:fldCharType="separate"/>
            </w:r>
            <w:r>
              <w:rPr>
                <w:noProof/>
                <w:webHidden/>
              </w:rPr>
              <w:t>15</w:t>
            </w:r>
            <w:r>
              <w:rPr>
                <w:noProof/>
                <w:webHidden/>
              </w:rPr>
              <w:fldChar w:fldCharType="end"/>
            </w:r>
          </w:hyperlink>
        </w:p>
        <w:p w14:paraId="73B45C97" w14:textId="7D1EF391" w:rsidR="00F8156E" w:rsidRDefault="00F8156E">
          <w:r>
            <w:rPr>
              <w:b/>
              <w:bCs/>
              <w:noProof/>
            </w:rPr>
            <w:fldChar w:fldCharType="end"/>
          </w:r>
        </w:p>
      </w:sdtContent>
    </w:sdt>
    <w:p w14:paraId="17D7C314" w14:textId="77777777" w:rsidR="006E4915" w:rsidRDefault="006E4915" w:rsidP="006E4915">
      <w:pPr>
        <w:tabs>
          <w:tab w:val="left" w:pos="3120"/>
        </w:tabs>
        <w:rPr>
          <w:sz w:val="36"/>
          <w:szCs w:val="36"/>
        </w:rPr>
      </w:pPr>
    </w:p>
    <w:p w14:paraId="43747D89" w14:textId="77777777" w:rsidR="006E4915" w:rsidRDefault="006E4915" w:rsidP="006E4915">
      <w:pPr>
        <w:tabs>
          <w:tab w:val="left" w:pos="3120"/>
        </w:tabs>
        <w:rPr>
          <w:sz w:val="36"/>
          <w:szCs w:val="36"/>
        </w:rPr>
      </w:pPr>
    </w:p>
    <w:p w14:paraId="216FD69E" w14:textId="77777777" w:rsidR="006E4915" w:rsidRDefault="006E4915" w:rsidP="006E4915">
      <w:pPr>
        <w:tabs>
          <w:tab w:val="left" w:pos="3120"/>
        </w:tabs>
        <w:rPr>
          <w:sz w:val="36"/>
          <w:szCs w:val="36"/>
        </w:rPr>
      </w:pPr>
    </w:p>
    <w:p w14:paraId="5C100AEA" w14:textId="77777777" w:rsidR="006E4915" w:rsidRDefault="006E4915" w:rsidP="006E4915">
      <w:pPr>
        <w:tabs>
          <w:tab w:val="left" w:pos="3120"/>
        </w:tabs>
        <w:rPr>
          <w:sz w:val="36"/>
          <w:szCs w:val="36"/>
        </w:rPr>
      </w:pPr>
    </w:p>
    <w:p w14:paraId="2E0ED539" w14:textId="77777777" w:rsidR="006E4915" w:rsidRDefault="006E4915" w:rsidP="006E4915">
      <w:pPr>
        <w:tabs>
          <w:tab w:val="left" w:pos="3120"/>
        </w:tabs>
        <w:rPr>
          <w:sz w:val="36"/>
          <w:szCs w:val="36"/>
        </w:rPr>
      </w:pPr>
    </w:p>
    <w:p w14:paraId="224FCF74" w14:textId="77777777" w:rsidR="006E4915" w:rsidRDefault="006E4915" w:rsidP="006E4915">
      <w:pPr>
        <w:tabs>
          <w:tab w:val="left" w:pos="3120"/>
        </w:tabs>
        <w:rPr>
          <w:sz w:val="36"/>
          <w:szCs w:val="36"/>
        </w:rPr>
      </w:pPr>
    </w:p>
    <w:p w14:paraId="3C478911" w14:textId="77777777" w:rsidR="006E4915" w:rsidRDefault="006E4915" w:rsidP="006E4915">
      <w:pPr>
        <w:tabs>
          <w:tab w:val="left" w:pos="3120"/>
        </w:tabs>
        <w:rPr>
          <w:sz w:val="36"/>
          <w:szCs w:val="36"/>
        </w:rPr>
      </w:pPr>
    </w:p>
    <w:p w14:paraId="14808579" w14:textId="77777777" w:rsidR="006E4915" w:rsidRDefault="006E4915" w:rsidP="006E4915">
      <w:pPr>
        <w:tabs>
          <w:tab w:val="left" w:pos="3120"/>
        </w:tabs>
        <w:rPr>
          <w:sz w:val="36"/>
          <w:szCs w:val="36"/>
        </w:rPr>
      </w:pPr>
    </w:p>
    <w:p w14:paraId="3FBA79FA" w14:textId="77777777" w:rsidR="006E4915" w:rsidRDefault="006E4915" w:rsidP="006E4915">
      <w:pPr>
        <w:tabs>
          <w:tab w:val="left" w:pos="3120"/>
        </w:tabs>
        <w:rPr>
          <w:sz w:val="36"/>
          <w:szCs w:val="36"/>
        </w:rPr>
      </w:pPr>
    </w:p>
    <w:p w14:paraId="03412D03" w14:textId="32113789" w:rsidR="006E4915" w:rsidRDefault="00484D78" w:rsidP="00484D78">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74950234"/>
      <w:r w:rsidRPr="00484D7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Executive summary</w:t>
      </w:r>
      <w:bookmarkEnd w:id="0"/>
    </w:p>
    <w:p w14:paraId="42F52210" w14:textId="2168C691" w:rsidR="00484D78" w:rsidRPr="00484D78" w:rsidRDefault="00F15D2F" w:rsidP="00484D78">
      <w:pPr>
        <w:rPr>
          <w:rFonts w:ascii="Arial" w:hAnsi="Arial" w:cs="Arial"/>
        </w:rPr>
      </w:pPr>
      <w:r w:rsidRPr="00F15D2F">
        <w:rPr>
          <w:rFonts w:ascii="Arial" w:hAnsi="Arial" w:cs="Arial"/>
        </w:rPr>
        <w:t>This report provides a detailed analysis of Twitter’s recent overhaul of its advertising strategy, exploring its approach to managing this significant change. The report evaluates Twitter’s current state, the nature of the change initiative, and the impact of external factors using PESTLE and Porter’s Five Forces analyses. It critically assesses various change management models—Lewin’s, Kotter’s, and ADKAR—and their applicability to Twitter’s context. Leadership styles, including transformational, transactional, and servant leadership, are examined for their roles in driving the change. Additionally, the report addresses organizational culture’s influence on change management and proposes comprehensive plans for staff training, communication, and evaluation. Recommendations are provided to enhance Twitter’s change management practices, ensuring successful adaptation to the evolving digital landscape and strengthening its market position. This strategic approach aims to optimize user engagement and drive revenue growth through effective change implementation.</w:t>
      </w:r>
    </w:p>
    <w:p w14:paraId="783CD297" w14:textId="77777777" w:rsidR="006E4915" w:rsidRDefault="006E4915" w:rsidP="006E4915">
      <w:pPr>
        <w:tabs>
          <w:tab w:val="left" w:pos="3120"/>
        </w:tabs>
        <w:rPr>
          <w:sz w:val="36"/>
          <w:szCs w:val="36"/>
        </w:rPr>
      </w:pPr>
    </w:p>
    <w:p w14:paraId="3AE89045" w14:textId="7714F94B" w:rsidR="006E4915" w:rsidRDefault="006E4915" w:rsidP="006E4915">
      <w:pPr>
        <w:pStyle w:val="Heading1"/>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74950235"/>
      <w:r w:rsidRPr="006E4915">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1"/>
      <w:r w:rsidRPr="006E4915">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F1FA535" w14:textId="048F49FD" w:rsidR="006E4915" w:rsidRDefault="00E16B99" w:rsidP="006E4915">
      <w:pPr>
        <w:tabs>
          <w:tab w:val="left" w:pos="3120"/>
        </w:tabs>
        <w:rPr>
          <w:rFonts w:ascii="Arial" w:hAnsi="Arial" w:cs="Arial"/>
        </w:rPr>
      </w:pPr>
      <w:r w:rsidRPr="00E16B99">
        <w:rPr>
          <w:rFonts w:ascii="Arial" w:hAnsi="Arial" w:cs="Arial"/>
        </w:rPr>
        <w:t xml:space="preserve">Twitter, founded in 2006, has been a significant player in the realm of social media, offering a platform for real-time communication through short messages known as tweets. Over the years, Twitter has become a vital tool for news dissemination, public discourse, and social engagement, influencing various sectors including politics, media, and entertainment </w:t>
      </w:r>
      <w:sdt>
        <w:sdtPr>
          <w:rPr>
            <w:rFonts w:ascii="Arial" w:hAnsi="Arial" w:cs="Arial"/>
          </w:rPr>
          <w:id w:val="55671954"/>
          <w:citation/>
        </w:sdtPr>
        <w:sdtEndPr/>
        <w:sdtContent>
          <w:r w:rsidR="00F24730">
            <w:rPr>
              <w:rFonts w:ascii="Arial" w:hAnsi="Arial" w:cs="Arial"/>
            </w:rPr>
            <w:fldChar w:fldCharType="begin"/>
          </w:r>
          <w:r w:rsidR="00F24730">
            <w:rPr>
              <w:rFonts w:ascii="Arial" w:hAnsi="Arial" w:cs="Arial"/>
            </w:rPr>
            <w:instrText xml:space="preserve"> CITATION Aks07 \l 2057 </w:instrText>
          </w:r>
          <w:r w:rsidR="00F24730">
            <w:rPr>
              <w:rFonts w:ascii="Arial" w:hAnsi="Arial" w:cs="Arial"/>
            </w:rPr>
            <w:fldChar w:fldCharType="separate"/>
          </w:r>
          <w:r w:rsidR="00F24730" w:rsidRPr="00F24730">
            <w:rPr>
              <w:rFonts w:ascii="Arial" w:hAnsi="Arial" w:cs="Arial"/>
              <w:noProof/>
            </w:rPr>
            <w:t>(Akshay Java, 2007)</w:t>
          </w:r>
          <w:r w:rsidR="00F24730">
            <w:rPr>
              <w:rFonts w:ascii="Arial" w:hAnsi="Arial" w:cs="Arial"/>
            </w:rPr>
            <w:fldChar w:fldCharType="end"/>
          </w:r>
        </w:sdtContent>
      </w:sdt>
      <w:r w:rsidR="00131BBA">
        <w:rPr>
          <w:rFonts w:ascii="Arial" w:hAnsi="Arial" w:cs="Arial"/>
        </w:rPr>
        <w:t xml:space="preserve">. </w:t>
      </w:r>
      <w:r w:rsidR="00237322" w:rsidRPr="00237322">
        <w:rPr>
          <w:rFonts w:ascii="Arial" w:hAnsi="Arial" w:cs="Arial"/>
        </w:rPr>
        <w:t>In October 2022, the company underwent a major transformation when Elon Musk acquired Twitter and rebranded it as</w:t>
      </w:r>
      <w:r w:rsidR="00237322">
        <w:rPr>
          <w:rFonts w:ascii="Arial" w:hAnsi="Arial" w:cs="Arial"/>
        </w:rPr>
        <w:t xml:space="preserve"> X</w:t>
      </w:r>
      <w:r w:rsidR="00237322" w:rsidRPr="00237322">
        <w:rPr>
          <w:rFonts w:ascii="Arial" w:hAnsi="Arial" w:cs="Arial"/>
        </w:rPr>
        <w:t>. This strategic rebranding represents a significant shift in the company's vision, aiming to extend the platform's capabilities beyond traditional social media functionalities.</w:t>
      </w:r>
      <w:sdt>
        <w:sdtPr>
          <w:rPr>
            <w:rFonts w:ascii="Arial" w:hAnsi="Arial" w:cs="Arial"/>
          </w:rPr>
          <w:id w:val="-198702429"/>
          <w:citation/>
        </w:sdtPr>
        <w:sdtEndPr/>
        <w:sdtContent>
          <w:r w:rsidR="004908C3">
            <w:rPr>
              <w:rFonts w:ascii="Arial" w:hAnsi="Arial" w:cs="Arial"/>
            </w:rPr>
            <w:fldChar w:fldCharType="begin"/>
          </w:r>
          <w:r w:rsidR="004908C3">
            <w:rPr>
              <w:rFonts w:ascii="Arial" w:hAnsi="Arial" w:cs="Arial"/>
            </w:rPr>
            <w:instrText xml:space="preserve"> CITATION Qin22 \l 2057 </w:instrText>
          </w:r>
          <w:r w:rsidR="004908C3">
            <w:rPr>
              <w:rFonts w:ascii="Arial" w:hAnsi="Arial" w:cs="Arial"/>
            </w:rPr>
            <w:fldChar w:fldCharType="separate"/>
          </w:r>
          <w:r w:rsidR="004908C3" w:rsidRPr="004908C3">
            <w:rPr>
              <w:rFonts w:ascii="Arial" w:hAnsi="Arial" w:cs="Arial"/>
              <w:noProof/>
            </w:rPr>
            <w:t>(Jia, 2022)</w:t>
          </w:r>
          <w:r w:rsidR="004908C3">
            <w:rPr>
              <w:rFonts w:ascii="Arial" w:hAnsi="Arial" w:cs="Arial"/>
            </w:rPr>
            <w:fldChar w:fldCharType="end"/>
          </w:r>
        </w:sdtContent>
      </w:sdt>
      <w:r w:rsidR="004B57BE">
        <w:rPr>
          <w:rFonts w:ascii="Arial" w:hAnsi="Arial" w:cs="Arial"/>
        </w:rPr>
        <w:t>.</w:t>
      </w:r>
    </w:p>
    <w:p w14:paraId="775C9B9E" w14:textId="7B15DF98" w:rsidR="001E19F7" w:rsidRDefault="00360347" w:rsidP="006E4915">
      <w:pPr>
        <w:tabs>
          <w:tab w:val="left" w:pos="3120"/>
        </w:tabs>
        <w:rPr>
          <w:rFonts w:ascii="Arial" w:hAnsi="Arial" w:cs="Arial"/>
        </w:rPr>
      </w:pPr>
      <w:r w:rsidRPr="00360347">
        <w:rPr>
          <w:rFonts w:ascii="Arial" w:hAnsi="Arial" w:cs="Arial"/>
        </w:rPr>
        <w:t>The rebranding to X is part of Musk's broader strategy to innovate and diversify the platform. Key aspects of this transformation include integrating advanced machine learning technologies to enhance advertising efficiency and redesigning the user interface to improve user engagement. These changes are designed to address competitive pressures and adapt to evolving market demands, reflecting a broader trend of digital and technological adaptation in social media</w:t>
      </w:r>
      <w:r w:rsidR="004908C3">
        <w:rPr>
          <w:rFonts w:ascii="Arial" w:hAnsi="Arial" w:cs="Arial"/>
        </w:rPr>
        <w:t xml:space="preserve"> </w:t>
      </w:r>
      <w:sdt>
        <w:sdtPr>
          <w:rPr>
            <w:rFonts w:ascii="Arial" w:hAnsi="Arial" w:cs="Arial"/>
          </w:rPr>
          <w:id w:val="650184653"/>
          <w:citation/>
        </w:sdtPr>
        <w:sdtEndPr/>
        <w:sdtContent>
          <w:r w:rsidR="004908C3">
            <w:rPr>
              <w:rFonts w:ascii="Arial" w:hAnsi="Arial" w:cs="Arial"/>
            </w:rPr>
            <w:fldChar w:fldCharType="begin"/>
          </w:r>
          <w:r w:rsidR="004908C3">
            <w:rPr>
              <w:rFonts w:ascii="Arial" w:hAnsi="Arial" w:cs="Arial"/>
            </w:rPr>
            <w:instrText xml:space="preserve"> CITATION Enr23 \l 2057 </w:instrText>
          </w:r>
          <w:r w:rsidR="004908C3">
            <w:rPr>
              <w:rFonts w:ascii="Arial" w:hAnsi="Arial" w:cs="Arial"/>
            </w:rPr>
            <w:fldChar w:fldCharType="separate"/>
          </w:r>
          <w:r w:rsidR="004908C3" w:rsidRPr="004908C3">
            <w:rPr>
              <w:rFonts w:ascii="Arial" w:hAnsi="Arial" w:cs="Arial"/>
              <w:noProof/>
            </w:rPr>
            <w:t>(Cano-Marin, 2023)</w:t>
          </w:r>
          <w:r w:rsidR="004908C3">
            <w:rPr>
              <w:rFonts w:ascii="Arial" w:hAnsi="Arial" w:cs="Arial"/>
            </w:rPr>
            <w:fldChar w:fldCharType="end"/>
          </w:r>
        </w:sdtContent>
      </w:sdt>
      <w:r w:rsidR="002B3D4F">
        <w:rPr>
          <w:rFonts w:ascii="Arial" w:hAnsi="Arial" w:cs="Arial"/>
        </w:rPr>
        <w:t>.</w:t>
      </w:r>
    </w:p>
    <w:p w14:paraId="49D246A3" w14:textId="233D1511" w:rsidR="006E4915" w:rsidRDefault="00E17DDB" w:rsidP="00724E3B">
      <w:pPr>
        <w:rPr>
          <w:rFonts w:ascii="Arial" w:hAnsi="Arial" w:cs="Arial"/>
        </w:rPr>
      </w:pPr>
      <w:r w:rsidRPr="00E17DDB">
        <w:rPr>
          <w:rFonts w:ascii="Arial" w:hAnsi="Arial" w:cs="Arial"/>
        </w:rPr>
        <w:t>As a change management consultant, my involvement with Twitter, now X, has focused on supporting its strategic transformation. This role has included working closely with the company's leadership to understand their rebranding strategy and assess the impact of new technologies and advertising metrics. My engagement has provided valuable insights into the company’s change management practices and how these practices align with its evolving strategic goals and organizational culture. This experience has offered a deep understanding of how X is navigating its transformation while striving to maintain its position as a leading platform in an increasingly competitive digital landscape.</w:t>
      </w:r>
    </w:p>
    <w:p w14:paraId="64F44045" w14:textId="77777777" w:rsidR="003B3FA1" w:rsidRDefault="003B3FA1" w:rsidP="00691EDC">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CE5DC3" w14:textId="341356C3" w:rsidR="00691EDC" w:rsidRDefault="00691EDC" w:rsidP="00691EDC">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74950236"/>
      <w:r w:rsidRPr="00691ED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PESTLE Analysis</w:t>
      </w:r>
      <w:r w:rsidR="001D1FE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Twitte</w:t>
      </w:r>
      <w:r w:rsidR="00776027">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(X)</w:t>
      </w:r>
      <w:bookmarkEnd w:id="2"/>
    </w:p>
    <w:p w14:paraId="244C5D63" w14:textId="77777777" w:rsidR="002856B8" w:rsidRPr="00095AAC" w:rsidRDefault="002856B8" w:rsidP="002856B8">
      <w:pPr>
        <w:rPr>
          <w:rFonts w:ascii="Arial" w:hAnsi="Arial" w:cs="Arial"/>
          <w:b/>
          <w:bCs/>
        </w:rPr>
      </w:pPr>
      <w:r w:rsidRPr="00095AAC">
        <w:rPr>
          <w:rFonts w:ascii="Arial" w:hAnsi="Arial" w:cs="Arial"/>
          <w:b/>
          <w:bCs/>
        </w:rPr>
        <w:t>Political</w:t>
      </w:r>
    </w:p>
    <w:p w14:paraId="20A75644" w14:textId="77777777" w:rsidR="002856B8" w:rsidRPr="002856B8" w:rsidRDefault="002856B8" w:rsidP="002856B8">
      <w:pPr>
        <w:rPr>
          <w:rFonts w:ascii="Arial" w:hAnsi="Arial" w:cs="Arial"/>
        </w:rPr>
      </w:pPr>
      <w:r w:rsidRPr="002856B8">
        <w:rPr>
          <w:rFonts w:ascii="Arial" w:hAnsi="Arial" w:cs="Arial"/>
        </w:rPr>
        <w:t>Twitter, now X, operates in a complex political landscape where government regulations significantly impact its operations. Various countries have stringent data privacy laws and regulations that affect how X handles user information. For example, the European Union’s General Data Protection Regulation (GDPR) mandates strict data protection measures that require X to implement robust data handling and user consent mechanisms. Additionally, the political environment can influence content moderation policies. Governments around the world are increasingly scrutinizing social media platforms for their role in spreading misinformation and harmful content, leading to regulatory pressures that impact how X manages content and enforces policies.</w:t>
      </w:r>
    </w:p>
    <w:p w14:paraId="3067CD06" w14:textId="77777777" w:rsidR="002856B8" w:rsidRPr="00095AAC" w:rsidRDefault="002856B8" w:rsidP="002856B8">
      <w:pPr>
        <w:rPr>
          <w:rFonts w:ascii="Arial" w:hAnsi="Arial" w:cs="Arial"/>
          <w:b/>
          <w:bCs/>
        </w:rPr>
      </w:pPr>
      <w:r w:rsidRPr="00095AAC">
        <w:rPr>
          <w:rFonts w:ascii="Arial" w:hAnsi="Arial" w:cs="Arial"/>
          <w:b/>
          <w:bCs/>
        </w:rPr>
        <w:t>Economic</w:t>
      </w:r>
    </w:p>
    <w:p w14:paraId="19311A27" w14:textId="3E144007" w:rsidR="002856B8" w:rsidRPr="002856B8" w:rsidRDefault="002856B8" w:rsidP="002856B8">
      <w:pPr>
        <w:rPr>
          <w:rFonts w:ascii="Arial" w:hAnsi="Arial" w:cs="Arial"/>
        </w:rPr>
      </w:pPr>
      <w:r w:rsidRPr="002856B8">
        <w:rPr>
          <w:rFonts w:ascii="Arial" w:hAnsi="Arial" w:cs="Arial"/>
        </w:rPr>
        <w:t>Economic factors heavily influence X’s business model and operations. Advertising revenue is a primary income source for X, making the platform sensitive to economic fluctuations. During economic downturns, businesses often reduce their marketing budgets, which can lead to decreased ad revenue for X. Conversely, in periods of economic growth, advertising expenditure typically increases, offering X opportunities for revenue expansion. Moreover, the emergence of digital currencies and new payment systems presents both challenges and opportunities. Integrating these technologies could diversify X’s revenue streams, potentially creating new avenues for monetization and enhancing financial stability</w:t>
      </w:r>
      <w:r w:rsidR="00763F68">
        <w:rPr>
          <w:rFonts w:ascii="Arial" w:hAnsi="Arial" w:cs="Arial"/>
        </w:rPr>
        <w:t xml:space="preserve"> </w:t>
      </w:r>
      <w:sdt>
        <w:sdtPr>
          <w:rPr>
            <w:rFonts w:ascii="Arial" w:hAnsi="Arial" w:cs="Arial"/>
          </w:rPr>
          <w:id w:val="-854957081"/>
          <w:citation/>
        </w:sdtPr>
        <w:sdtEndPr/>
        <w:sdtContent>
          <w:r w:rsidR="006A1BA3">
            <w:rPr>
              <w:rFonts w:ascii="Arial" w:hAnsi="Arial" w:cs="Arial"/>
            </w:rPr>
            <w:fldChar w:fldCharType="begin"/>
          </w:r>
          <w:r w:rsidR="006A1BA3">
            <w:rPr>
              <w:rFonts w:ascii="Arial" w:hAnsi="Arial" w:cs="Arial"/>
            </w:rPr>
            <w:instrText xml:space="preserve"> CITATION Vai15 \l 2057 </w:instrText>
          </w:r>
          <w:r w:rsidR="006A1BA3">
            <w:rPr>
              <w:rFonts w:ascii="Arial" w:hAnsi="Arial" w:cs="Arial"/>
            </w:rPr>
            <w:fldChar w:fldCharType="separate"/>
          </w:r>
          <w:r w:rsidR="006A1BA3" w:rsidRPr="006A1BA3">
            <w:rPr>
              <w:rFonts w:ascii="Arial" w:hAnsi="Arial" w:cs="Arial"/>
              <w:noProof/>
            </w:rPr>
            <w:t>(Vaishali Ugale, 2015)</w:t>
          </w:r>
          <w:r w:rsidR="006A1BA3">
            <w:rPr>
              <w:rFonts w:ascii="Arial" w:hAnsi="Arial" w:cs="Arial"/>
            </w:rPr>
            <w:fldChar w:fldCharType="end"/>
          </w:r>
        </w:sdtContent>
      </w:sdt>
      <w:r w:rsidRPr="002856B8">
        <w:rPr>
          <w:rFonts w:ascii="Arial" w:hAnsi="Arial" w:cs="Arial"/>
        </w:rPr>
        <w:t>.</w:t>
      </w:r>
    </w:p>
    <w:p w14:paraId="1EFB97D9" w14:textId="77777777" w:rsidR="002856B8" w:rsidRPr="00095AAC" w:rsidRDefault="002856B8" w:rsidP="002856B8">
      <w:pPr>
        <w:rPr>
          <w:rFonts w:ascii="Arial" w:hAnsi="Arial" w:cs="Arial"/>
          <w:b/>
          <w:bCs/>
        </w:rPr>
      </w:pPr>
      <w:r w:rsidRPr="00095AAC">
        <w:rPr>
          <w:rFonts w:ascii="Arial" w:hAnsi="Arial" w:cs="Arial"/>
          <w:b/>
          <w:bCs/>
        </w:rPr>
        <w:t>Social</w:t>
      </w:r>
    </w:p>
    <w:p w14:paraId="34FD2D29" w14:textId="77777777" w:rsidR="002856B8" w:rsidRPr="002856B8" w:rsidRDefault="002856B8" w:rsidP="002856B8">
      <w:pPr>
        <w:rPr>
          <w:rFonts w:ascii="Arial" w:hAnsi="Arial" w:cs="Arial"/>
        </w:rPr>
      </w:pPr>
      <w:r w:rsidRPr="002856B8">
        <w:rPr>
          <w:rFonts w:ascii="Arial" w:hAnsi="Arial" w:cs="Arial"/>
        </w:rPr>
        <w:t xml:space="preserve">Social trends and user </w:t>
      </w:r>
      <w:proofErr w:type="spellStart"/>
      <w:r w:rsidRPr="002856B8">
        <w:rPr>
          <w:rFonts w:ascii="Arial" w:hAnsi="Arial" w:cs="Arial"/>
        </w:rPr>
        <w:t>behavior</w:t>
      </w:r>
      <w:proofErr w:type="spellEnd"/>
      <w:r w:rsidRPr="002856B8">
        <w:rPr>
          <w:rFonts w:ascii="Arial" w:hAnsi="Arial" w:cs="Arial"/>
        </w:rPr>
        <w:t xml:space="preserve"> significantly affect X’s strategies. There is a growing demand for greater transparency and ethical practices in social media. Users are increasingly concerned about privacy, data security, and the ethical implications of platform policies. This shift has led X to focus on improving user trust through enhanced privacy controls and transparent data practices. Social movements and public sentiment also drive changes in platform policies. For instance, there is increasing pressure on social media platforms to address misinformation and harmful content. X must adapt its policies and features to align with evolving social expectations and user preferences.</w:t>
      </w:r>
    </w:p>
    <w:p w14:paraId="579FBD2E" w14:textId="77777777" w:rsidR="002856B8" w:rsidRPr="00095AAC" w:rsidRDefault="002856B8" w:rsidP="002856B8">
      <w:pPr>
        <w:rPr>
          <w:rFonts w:ascii="Arial" w:hAnsi="Arial" w:cs="Arial"/>
          <w:b/>
          <w:bCs/>
        </w:rPr>
      </w:pPr>
      <w:r w:rsidRPr="00095AAC">
        <w:rPr>
          <w:rFonts w:ascii="Arial" w:hAnsi="Arial" w:cs="Arial"/>
          <w:b/>
          <w:bCs/>
        </w:rPr>
        <w:t>Technological</w:t>
      </w:r>
    </w:p>
    <w:p w14:paraId="26296A40" w14:textId="15EAED4E" w:rsidR="002856B8" w:rsidRPr="002856B8" w:rsidRDefault="002856B8" w:rsidP="002856B8">
      <w:pPr>
        <w:rPr>
          <w:rFonts w:ascii="Arial" w:hAnsi="Arial" w:cs="Arial"/>
        </w:rPr>
      </w:pPr>
      <w:r w:rsidRPr="002856B8">
        <w:rPr>
          <w:rFonts w:ascii="Arial" w:hAnsi="Arial" w:cs="Arial"/>
        </w:rPr>
        <w:t>Technological advancements are at the core of X’s strategic transformation. The integration of artificial intelligence (AI) and machine learning is crucial for optimizing ad targeting, improving user experience, and combating misinformation. AI-driven technologies can enhance content recommendations and ad efficiency, leading to increased user engagement and higher revenue. Additionally, advancements in cybersecurity and data management technologies are vital for protecting user information and ensuring compliance with regulatory standards. The rapid pace of technological innovation necessitates continuous adaptation and investment in new technologies to maintain a competitive edge and address emerging challenges</w:t>
      </w:r>
      <w:sdt>
        <w:sdtPr>
          <w:rPr>
            <w:rFonts w:ascii="Arial" w:hAnsi="Arial" w:cs="Arial"/>
          </w:rPr>
          <w:id w:val="71473931"/>
          <w:citation/>
        </w:sdtPr>
        <w:sdtEndPr/>
        <w:sdtContent>
          <w:r w:rsidR="00740949">
            <w:rPr>
              <w:rFonts w:ascii="Arial" w:hAnsi="Arial" w:cs="Arial"/>
            </w:rPr>
            <w:fldChar w:fldCharType="begin"/>
          </w:r>
          <w:r w:rsidR="00740949">
            <w:rPr>
              <w:rFonts w:ascii="Arial" w:hAnsi="Arial" w:cs="Arial"/>
            </w:rPr>
            <w:instrText xml:space="preserve"> CITATION Zhe23 \l 2057 </w:instrText>
          </w:r>
          <w:r w:rsidR="00740949">
            <w:rPr>
              <w:rFonts w:ascii="Arial" w:hAnsi="Arial" w:cs="Arial"/>
            </w:rPr>
            <w:fldChar w:fldCharType="separate"/>
          </w:r>
          <w:r w:rsidR="00740949">
            <w:rPr>
              <w:rFonts w:ascii="Arial" w:hAnsi="Arial" w:cs="Arial"/>
              <w:noProof/>
            </w:rPr>
            <w:t xml:space="preserve"> </w:t>
          </w:r>
          <w:r w:rsidR="00740949" w:rsidRPr="00740949">
            <w:rPr>
              <w:rFonts w:ascii="Arial" w:hAnsi="Arial" w:cs="Arial"/>
              <w:noProof/>
            </w:rPr>
            <w:t>(Hanwei, 2023)</w:t>
          </w:r>
          <w:r w:rsidR="00740949">
            <w:rPr>
              <w:rFonts w:ascii="Arial" w:hAnsi="Arial" w:cs="Arial"/>
            </w:rPr>
            <w:fldChar w:fldCharType="end"/>
          </w:r>
        </w:sdtContent>
      </w:sdt>
      <w:r w:rsidRPr="002856B8">
        <w:rPr>
          <w:rFonts w:ascii="Arial" w:hAnsi="Arial" w:cs="Arial"/>
        </w:rPr>
        <w:t>.</w:t>
      </w:r>
    </w:p>
    <w:p w14:paraId="50E1FE6A" w14:textId="77777777" w:rsidR="003B3FA1" w:rsidRDefault="003B3FA1" w:rsidP="002856B8">
      <w:pPr>
        <w:rPr>
          <w:rFonts w:ascii="Arial" w:hAnsi="Arial" w:cs="Arial"/>
        </w:rPr>
      </w:pPr>
    </w:p>
    <w:p w14:paraId="62E3D7A5" w14:textId="53933195" w:rsidR="002856B8" w:rsidRPr="00095AAC" w:rsidRDefault="002856B8" w:rsidP="002856B8">
      <w:pPr>
        <w:rPr>
          <w:rFonts w:ascii="Arial" w:hAnsi="Arial" w:cs="Arial"/>
          <w:b/>
          <w:bCs/>
        </w:rPr>
      </w:pPr>
      <w:r w:rsidRPr="00095AAC">
        <w:rPr>
          <w:rFonts w:ascii="Arial" w:hAnsi="Arial" w:cs="Arial"/>
          <w:b/>
          <w:bCs/>
        </w:rPr>
        <w:lastRenderedPageBreak/>
        <w:t>Legal</w:t>
      </w:r>
    </w:p>
    <w:p w14:paraId="59D4B0A7" w14:textId="77777777" w:rsidR="002856B8" w:rsidRPr="002856B8" w:rsidRDefault="002856B8" w:rsidP="002856B8">
      <w:pPr>
        <w:rPr>
          <w:rFonts w:ascii="Arial" w:hAnsi="Arial" w:cs="Arial"/>
        </w:rPr>
      </w:pPr>
      <w:r w:rsidRPr="002856B8">
        <w:rPr>
          <w:rFonts w:ascii="Arial" w:hAnsi="Arial" w:cs="Arial"/>
        </w:rPr>
        <w:t>Legal factors are crucial in shaping X’s operational framework. Compliance with various international and local laws regarding data protection, intellectual property, and content moderation is essential. Legal challenges, such as those related to data breaches or disputes over content policies, can have significant financial and reputational consequences. X must navigate a complex legal landscape to avoid penalties and manage legal risks effectively. Ensuring robust legal compliance mechanisms and staying updated with regulatory changes are key to mitigating potential legal issues and maintaining operational integrity.</w:t>
      </w:r>
    </w:p>
    <w:p w14:paraId="76F3C72B" w14:textId="77777777" w:rsidR="002856B8" w:rsidRPr="00095AAC" w:rsidRDefault="002856B8" w:rsidP="002856B8">
      <w:pPr>
        <w:rPr>
          <w:rFonts w:ascii="Arial" w:hAnsi="Arial" w:cs="Arial"/>
          <w:b/>
          <w:bCs/>
        </w:rPr>
      </w:pPr>
      <w:r w:rsidRPr="00095AAC">
        <w:rPr>
          <w:rFonts w:ascii="Arial" w:hAnsi="Arial" w:cs="Arial"/>
          <w:b/>
          <w:bCs/>
        </w:rPr>
        <w:t>Environmental</w:t>
      </w:r>
    </w:p>
    <w:p w14:paraId="2888BF0F" w14:textId="012CBA94" w:rsidR="00776027" w:rsidRDefault="002856B8" w:rsidP="002856B8">
      <w:pPr>
        <w:rPr>
          <w:rFonts w:ascii="Arial" w:hAnsi="Arial" w:cs="Arial"/>
        </w:rPr>
      </w:pPr>
      <w:r w:rsidRPr="002856B8">
        <w:rPr>
          <w:rFonts w:ascii="Arial" w:hAnsi="Arial" w:cs="Arial"/>
        </w:rPr>
        <w:t xml:space="preserve">While social media platforms like X have a lower direct environmental impact compared to traditional industries, they still contribute to energy consumption through data </w:t>
      </w:r>
      <w:proofErr w:type="spellStart"/>
      <w:r w:rsidRPr="002856B8">
        <w:rPr>
          <w:rFonts w:ascii="Arial" w:hAnsi="Arial" w:cs="Arial"/>
        </w:rPr>
        <w:t>centers</w:t>
      </w:r>
      <w:proofErr w:type="spellEnd"/>
      <w:r w:rsidRPr="002856B8">
        <w:rPr>
          <w:rFonts w:ascii="Arial" w:hAnsi="Arial" w:cs="Arial"/>
        </w:rPr>
        <w:t xml:space="preserve"> and server operations. As sustainability becomes a more pressing global issue, there is increasing pressure on tech companies to reduce their environmental footprint. Implementing energy-efficient technologies and supporting sustainability initiatives are important for X to align with global environmental goals and enhance its corporate reputation. Addressing these environmental concerns not only helps in regulatory compliance but also improves the company’s public image and supports broader sustainability efforts.</w:t>
      </w:r>
    </w:p>
    <w:p w14:paraId="018BD38B" w14:textId="0661056A" w:rsidR="00257A7E" w:rsidRPr="000C3CE4" w:rsidRDefault="00257A7E" w:rsidP="000C3CE4">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74950237"/>
      <w:r w:rsidRPr="000C3CE4">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Porter’s Five Forces Analysis of Twitter (X)</w:t>
      </w:r>
      <w:bookmarkEnd w:id="3"/>
    </w:p>
    <w:p w14:paraId="6C3F1CFD" w14:textId="2CDC2197" w:rsidR="00257A7E" w:rsidRPr="00257A7E" w:rsidRDefault="00257A7E" w:rsidP="00257A7E">
      <w:pPr>
        <w:rPr>
          <w:rFonts w:ascii="Arial" w:hAnsi="Arial" w:cs="Arial"/>
        </w:rPr>
      </w:pPr>
      <w:r w:rsidRPr="00257A7E">
        <w:rPr>
          <w:rFonts w:ascii="Arial" w:hAnsi="Arial" w:cs="Arial"/>
        </w:rPr>
        <w:t xml:space="preserve">Porter’s Five Forces model, introduced by Michael E. Porter, is a strategic framework for </w:t>
      </w:r>
      <w:r w:rsidR="007548D2" w:rsidRPr="00257A7E">
        <w:rPr>
          <w:rFonts w:ascii="Arial" w:hAnsi="Arial" w:cs="Arial"/>
        </w:rPr>
        <w:t>analysing</w:t>
      </w:r>
      <w:r w:rsidRPr="00257A7E">
        <w:rPr>
          <w:rFonts w:ascii="Arial" w:hAnsi="Arial" w:cs="Arial"/>
        </w:rPr>
        <w:t xml:space="preserve"> the competitive dynamics within an industry. It examines five critical forces that shape the competitive intensity and overall profitability of the market. These forces are:</w:t>
      </w:r>
    </w:p>
    <w:p w14:paraId="7FE20927" w14:textId="77777777" w:rsidR="00257A7E" w:rsidRPr="00257A7E" w:rsidRDefault="00257A7E" w:rsidP="00257A7E">
      <w:pPr>
        <w:rPr>
          <w:rFonts w:ascii="Arial" w:hAnsi="Arial" w:cs="Arial"/>
        </w:rPr>
      </w:pPr>
      <w:r w:rsidRPr="000C3CE4">
        <w:rPr>
          <w:rFonts w:ascii="Arial" w:hAnsi="Arial" w:cs="Arial"/>
          <w:b/>
          <w:bCs/>
        </w:rPr>
        <w:t>Threat of New Entrants:</w:t>
      </w:r>
      <w:r w:rsidRPr="00257A7E">
        <w:rPr>
          <w:rFonts w:ascii="Arial" w:hAnsi="Arial" w:cs="Arial"/>
        </w:rPr>
        <w:t xml:space="preserve"> The likelihood of new competitors entering the market.</w:t>
      </w:r>
    </w:p>
    <w:p w14:paraId="1D8629E3" w14:textId="77777777" w:rsidR="00257A7E" w:rsidRPr="00257A7E" w:rsidRDefault="00257A7E" w:rsidP="00257A7E">
      <w:pPr>
        <w:rPr>
          <w:rFonts w:ascii="Arial" w:hAnsi="Arial" w:cs="Arial"/>
        </w:rPr>
      </w:pPr>
      <w:r w:rsidRPr="000C3CE4">
        <w:rPr>
          <w:rFonts w:ascii="Arial" w:hAnsi="Arial" w:cs="Arial"/>
          <w:b/>
          <w:bCs/>
        </w:rPr>
        <w:t>Bargaining Power of Suppliers:</w:t>
      </w:r>
      <w:r w:rsidRPr="00257A7E">
        <w:rPr>
          <w:rFonts w:ascii="Arial" w:hAnsi="Arial" w:cs="Arial"/>
        </w:rPr>
        <w:t xml:space="preserve"> The influence suppliers have on the industry’s terms and conditions.</w:t>
      </w:r>
    </w:p>
    <w:p w14:paraId="3F01A1BD" w14:textId="77777777" w:rsidR="00257A7E" w:rsidRPr="00257A7E" w:rsidRDefault="00257A7E" w:rsidP="00257A7E">
      <w:pPr>
        <w:rPr>
          <w:rFonts w:ascii="Arial" w:hAnsi="Arial" w:cs="Arial"/>
        </w:rPr>
      </w:pPr>
      <w:r w:rsidRPr="000C3CE4">
        <w:rPr>
          <w:rFonts w:ascii="Arial" w:hAnsi="Arial" w:cs="Arial"/>
          <w:b/>
          <w:bCs/>
        </w:rPr>
        <w:t>Bargaining Power of Buyers:</w:t>
      </w:r>
      <w:r w:rsidRPr="00257A7E">
        <w:rPr>
          <w:rFonts w:ascii="Arial" w:hAnsi="Arial" w:cs="Arial"/>
        </w:rPr>
        <w:t xml:space="preserve"> The impact that customers have on pricing and product quality.</w:t>
      </w:r>
    </w:p>
    <w:p w14:paraId="3CA692F2" w14:textId="77777777" w:rsidR="00257A7E" w:rsidRPr="00257A7E" w:rsidRDefault="00257A7E" w:rsidP="00257A7E">
      <w:pPr>
        <w:rPr>
          <w:rFonts w:ascii="Arial" w:hAnsi="Arial" w:cs="Arial"/>
        </w:rPr>
      </w:pPr>
      <w:r w:rsidRPr="000C3CE4">
        <w:rPr>
          <w:rFonts w:ascii="Arial" w:hAnsi="Arial" w:cs="Arial"/>
          <w:b/>
          <w:bCs/>
        </w:rPr>
        <w:t>Threat of Substitute Products or Services</w:t>
      </w:r>
      <w:r w:rsidRPr="00257A7E">
        <w:rPr>
          <w:rFonts w:ascii="Arial" w:hAnsi="Arial" w:cs="Arial"/>
        </w:rPr>
        <w:t>: The risk posed by alternative products or services.</w:t>
      </w:r>
    </w:p>
    <w:p w14:paraId="3DF01F37" w14:textId="4E12C97A" w:rsidR="00D27DA1" w:rsidRDefault="00257A7E" w:rsidP="00257A7E">
      <w:pPr>
        <w:rPr>
          <w:rFonts w:ascii="Arial" w:hAnsi="Arial" w:cs="Arial"/>
        </w:rPr>
      </w:pPr>
      <w:r w:rsidRPr="000C3CE4">
        <w:rPr>
          <w:rFonts w:ascii="Arial" w:hAnsi="Arial" w:cs="Arial"/>
          <w:b/>
          <w:bCs/>
        </w:rPr>
        <w:t>Industry Rivalry:</w:t>
      </w:r>
      <w:r w:rsidRPr="00257A7E">
        <w:rPr>
          <w:rFonts w:ascii="Arial" w:hAnsi="Arial" w:cs="Arial"/>
        </w:rPr>
        <w:t xml:space="preserve"> The degree of competition among existing firms in the industry</w:t>
      </w:r>
      <w:r w:rsidR="00066FF5">
        <w:rPr>
          <w:rFonts w:ascii="Arial" w:hAnsi="Arial" w:cs="Arial"/>
        </w:rPr>
        <w:t xml:space="preserve"> </w:t>
      </w:r>
      <w:sdt>
        <w:sdtPr>
          <w:rPr>
            <w:rFonts w:ascii="Arial" w:hAnsi="Arial" w:cs="Arial"/>
          </w:rPr>
          <w:id w:val="1365168333"/>
          <w:citation/>
        </w:sdtPr>
        <w:sdtEndPr/>
        <w:sdtContent>
          <w:r w:rsidR="00066FF5">
            <w:rPr>
              <w:rFonts w:ascii="Arial" w:hAnsi="Arial" w:cs="Arial"/>
            </w:rPr>
            <w:fldChar w:fldCharType="begin"/>
          </w:r>
          <w:r w:rsidR="00066FF5">
            <w:rPr>
              <w:rFonts w:ascii="Arial" w:hAnsi="Arial" w:cs="Arial"/>
            </w:rPr>
            <w:instrText xml:space="preserve"> CITATION Nit24 \l 2057 </w:instrText>
          </w:r>
          <w:r w:rsidR="00066FF5">
            <w:rPr>
              <w:rFonts w:ascii="Arial" w:hAnsi="Arial" w:cs="Arial"/>
            </w:rPr>
            <w:fldChar w:fldCharType="separate"/>
          </w:r>
          <w:r w:rsidR="00066FF5" w:rsidRPr="00066FF5">
            <w:rPr>
              <w:rFonts w:ascii="Arial" w:hAnsi="Arial" w:cs="Arial"/>
              <w:noProof/>
            </w:rPr>
            <w:t>(Nitin Pangarkar, 2024)</w:t>
          </w:r>
          <w:r w:rsidR="00066FF5">
            <w:rPr>
              <w:rFonts w:ascii="Arial" w:hAnsi="Arial" w:cs="Arial"/>
            </w:rPr>
            <w:fldChar w:fldCharType="end"/>
          </w:r>
        </w:sdtContent>
      </w:sdt>
      <w:r w:rsidRPr="00257A7E">
        <w:rPr>
          <w:rFonts w:ascii="Arial" w:hAnsi="Arial" w:cs="Arial"/>
        </w:rPr>
        <w:t>.</w:t>
      </w:r>
    </w:p>
    <w:p w14:paraId="0DA03E12" w14:textId="3FEA526E" w:rsidR="00257A7E" w:rsidRPr="00D27DA1" w:rsidRDefault="00257A7E" w:rsidP="00257A7E">
      <w:pPr>
        <w:rPr>
          <w:rFonts w:ascii="Arial" w:hAnsi="Arial" w:cs="Arial"/>
          <w:b/>
          <w:bCs/>
        </w:rPr>
      </w:pPr>
      <w:r w:rsidRPr="00D27DA1">
        <w:rPr>
          <w:rFonts w:ascii="Arial" w:hAnsi="Arial" w:cs="Arial"/>
          <w:b/>
          <w:bCs/>
        </w:rPr>
        <w:t>Threat of New Entrants</w:t>
      </w:r>
    </w:p>
    <w:p w14:paraId="0122A85C" w14:textId="77777777" w:rsidR="00D27DA1" w:rsidRDefault="00257A7E" w:rsidP="00257A7E">
      <w:pPr>
        <w:rPr>
          <w:rFonts w:ascii="Arial" w:hAnsi="Arial" w:cs="Arial"/>
        </w:rPr>
      </w:pPr>
      <w:r w:rsidRPr="00257A7E">
        <w:rPr>
          <w:rFonts w:ascii="Arial" w:hAnsi="Arial" w:cs="Arial"/>
        </w:rPr>
        <w:t>The threat of new entrants in the social media industry is moderate. While creating a new social media platform can be relatively straightforward due to low technological barriers, achieving market penetration and user engagement presents significant challenges. Twitter, now X, benefits from high brand recognition, a substantial user base, and established technological infrastructure, which create substantial barriers for new competitors. Nonetheless, technological advancements and changing user preferences can lower these barriers, allowing new startups to enter the market with innovative features or unique value propositions.</w:t>
      </w:r>
    </w:p>
    <w:p w14:paraId="40359D6B" w14:textId="77777777" w:rsidR="00AA5969" w:rsidRDefault="00AA5969" w:rsidP="00257A7E">
      <w:pPr>
        <w:rPr>
          <w:rFonts w:ascii="Arial" w:hAnsi="Arial" w:cs="Arial"/>
          <w:b/>
          <w:bCs/>
        </w:rPr>
      </w:pPr>
    </w:p>
    <w:p w14:paraId="59EBA741" w14:textId="47FC96E5" w:rsidR="00257A7E" w:rsidRPr="00D27DA1" w:rsidRDefault="00257A7E" w:rsidP="00257A7E">
      <w:pPr>
        <w:rPr>
          <w:rFonts w:ascii="Arial" w:hAnsi="Arial" w:cs="Arial"/>
          <w:b/>
          <w:bCs/>
        </w:rPr>
      </w:pPr>
      <w:r w:rsidRPr="00D27DA1">
        <w:rPr>
          <w:rFonts w:ascii="Arial" w:hAnsi="Arial" w:cs="Arial"/>
          <w:b/>
          <w:bCs/>
        </w:rPr>
        <w:lastRenderedPageBreak/>
        <w:t>Bargaining Power of Suppliers</w:t>
      </w:r>
    </w:p>
    <w:p w14:paraId="407C430D" w14:textId="24E2CDFB" w:rsidR="00257A7E" w:rsidRPr="00257A7E" w:rsidRDefault="00257A7E" w:rsidP="00257A7E">
      <w:pPr>
        <w:rPr>
          <w:rFonts w:ascii="Arial" w:hAnsi="Arial" w:cs="Arial"/>
        </w:rPr>
      </w:pPr>
      <w:r w:rsidRPr="00257A7E">
        <w:rPr>
          <w:rFonts w:ascii="Arial" w:hAnsi="Arial" w:cs="Arial"/>
        </w:rPr>
        <w:t xml:space="preserve">For Twitter (X), suppliers include technology providers, data </w:t>
      </w:r>
      <w:proofErr w:type="spellStart"/>
      <w:r w:rsidRPr="00257A7E">
        <w:rPr>
          <w:rFonts w:ascii="Arial" w:hAnsi="Arial" w:cs="Arial"/>
        </w:rPr>
        <w:t>centers</w:t>
      </w:r>
      <w:proofErr w:type="spellEnd"/>
      <w:r w:rsidRPr="00257A7E">
        <w:rPr>
          <w:rFonts w:ascii="Arial" w:hAnsi="Arial" w:cs="Arial"/>
        </w:rPr>
        <w:t>, and content creators. The bargaining power of these suppliers is moderate. Major technology and cloud service providers can influence operational costs, but the presence of multiple suppliers helps mitigate their power. Content creators also have some leverage, as their participation is crucial for platform success. To manage this dynamic, Twitter has focused on enhancing support and monetization options for content creators, aiming to maintain a balanced relationship and ensure continued engagement with the platform</w:t>
      </w:r>
      <w:sdt>
        <w:sdtPr>
          <w:rPr>
            <w:rFonts w:ascii="Arial" w:hAnsi="Arial" w:cs="Arial"/>
          </w:rPr>
          <w:id w:val="-30115037"/>
          <w:citation/>
        </w:sdtPr>
        <w:sdtEndPr/>
        <w:sdtContent>
          <w:r w:rsidR="00EB227B">
            <w:rPr>
              <w:rFonts w:ascii="Arial" w:hAnsi="Arial" w:cs="Arial"/>
            </w:rPr>
            <w:fldChar w:fldCharType="begin"/>
          </w:r>
          <w:r w:rsidR="00EB227B">
            <w:rPr>
              <w:rFonts w:ascii="Arial" w:hAnsi="Arial" w:cs="Arial"/>
            </w:rPr>
            <w:instrText xml:space="preserve"> CITATION Poo23 \l 2057 </w:instrText>
          </w:r>
          <w:r w:rsidR="00EB227B">
            <w:rPr>
              <w:rFonts w:ascii="Arial" w:hAnsi="Arial" w:cs="Arial"/>
            </w:rPr>
            <w:fldChar w:fldCharType="separate"/>
          </w:r>
          <w:r w:rsidR="00EB227B">
            <w:rPr>
              <w:rFonts w:ascii="Arial" w:hAnsi="Arial" w:cs="Arial"/>
              <w:noProof/>
            </w:rPr>
            <w:t xml:space="preserve"> </w:t>
          </w:r>
          <w:r w:rsidR="00EB227B" w:rsidRPr="00EB227B">
            <w:rPr>
              <w:rFonts w:ascii="Arial" w:hAnsi="Arial" w:cs="Arial"/>
              <w:noProof/>
            </w:rPr>
            <w:t>(Kumar, 2023)</w:t>
          </w:r>
          <w:r w:rsidR="00EB227B">
            <w:rPr>
              <w:rFonts w:ascii="Arial" w:hAnsi="Arial" w:cs="Arial"/>
            </w:rPr>
            <w:fldChar w:fldCharType="end"/>
          </w:r>
        </w:sdtContent>
      </w:sdt>
      <w:r w:rsidRPr="00257A7E">
        <w:rPr>
          <w:rFonts w:ascii="Arial" w:hAnsi="Arial" w:cs="Arial"/>
        </w:rPr>
        <w:t>.</w:t>
      </w:r>
    </w:p>
    <w:p w14:paraId="7F33AD13" w14:textId="2B704E1A" w:rsidR="00257A7E" w:rsidRPr="00D27DA1" w:rsidRDefault="00257A7E" w:rsidP="00257A7E">
      <w:pPr>
        <w:rPr>
          <w:rFonts w:ascii="Arial" w:hAnsi="Arial" w:cs="Arial"/>
          <w:b/>
          <w:bCs/>
        </w:rPr>
      </w:pPr>
      <w:r w:rsidRPr="00D27DA1">
        <w:rPr>
          <w:rFonts w:ascii="Arial" w:hAnsi="Arial" w:cs="Arial"/>
          <w:b/>
          <w:bCs/>
        </w:rPr>
        <w:t>Bargaining Power of Buyers</w:t>
      </w:r>
    </w:p>
    <w:p w14:paraId="7C83A98F" w14:textId="77777777" w:rsidR="00257A7E" w:rsidRPr="00257A7E" w:rsidRDefault="00257A7E" w:rsidP="00257A7E">
      <w:pPr>
        <w:rPr>
          <w:rFonts w:ascii="Arial" w:hAnsi="Arial" w:cs="Arial"/>
        </w:rPr>
      </w:pPr>
      <w:r w:rsidRPr="00257A7E">
        <w:rPr>
          <w:rFonts w:ascii="Arial" w:hAnsi="Arial" w:cs="Arial"/>
        </w:rPr>
        <w:t>The bargaining power of users is high. With numerous social media platforms available, users have significant choice, which forces Twitter (X) to continually innovate and enhance its services to retain its user base. The ability of users to switch platforms easily puts pressure on Twitter to offer compelling features, privacy controls, and user experiences. As user expectations evolve, Twitter must adapt to maintain its relevance and competitive edge in the market.</w:t>
      </w:r>
    </w:p>
    <w:p w14:paraId="21860B7C" w14:textId="06A36D08" w:rsidR="00257A7E" w:rsidRPr="00D27DA1" w:rsidRDefault="00257A7E" w:rsidP="00257A7E">
      <w:pPr>
        <w:rPr>
          <w:rFonts w:ascii="Arial" w:hAnsi="Arial" w:cs="Arial"/>
          <w:b/>
          <w:bCs/>
        </w:rPr>
      </w:pPr>
      <w:r w:rsidRPr="00D27DA1">
        <w:rPr>
          <w:rFonts w:ascii="Arial" w:hAnsi="Arial" w:cs="Arial"/>
          <w:b/>
          <w:bCs/>
        </w:rPr>
        <w:t>Threat of Substitute Products or Services</w:t>
      </w:r>
    </w:p>
    <w:p w14:paraId="2E7360C6" w14:textId="77777777" w:rsidR="00257A7E" w:rsidRPr="00257A7E" w:rsidRDefault="00257A7E" w:rsidP="00257A7E">
      <w:pPr>
        <w:rPr>
          <w:rFonts w:ascii="Arial" w:hAnsi="Arial" w:cs="Arial"/>
        </w:rPr>
      </w:pPr>
      <w:r w:rsidRPr="00257A7E">
        <w:rPr>
          <w:rFonts w:ascii="Arial" w:hAnsi="Arial" w:cs="Arial"/>
        </w:rPr>
        <w:t>The threat of substitutes for Twitter is considerable. Alternatives such as messaging apps, forums, and other social media platforms can serve as substitutes for Twitter's services. Platforms like Instagram, TikTok, and LinkedIn offer different functionalities and features that might appeal to Twitter’s user base. Moreover, emerging technologies, including decentralized social networks, could further intensify this threat. Twitter’s efforts to innovate and integrate new technologies are part of its strategy to counteract this threat and remain a leading player in the social media landscape.</w:t>
      </w:r>
    </w:p>
    <w:p w14:paraId="0FD1083E" w14:textId="3A806BE0" w:rsidR="00257A7E" w:rsidRPr="00D27DA1" w:rsidRDefault="00257A7E" w:rsidP="00257A7E">
      <w:pPr>
        <w:rPr>
          <w:rFonts w:ascii="Arial" w:hAnsi="Arial" w:cs="Arial"/>
          <w:b/>
          <w:bCs/>
        </w:rPr>
      </w:pPr>
      <w:r w:rsidRPr="00D27DA1">
        <w:rPr>
          <w:rFonts w:ascii="Arial" w:hAnsi="Arial" w:cs="Arial"/>
          <w:b/>
          <w:bCs/>
        </w:rPr>
        <w:t>Industry Rivalry</w:t>
      </w:r>
    </w:p>
    <w:p w14:paraId="32B1EEF9" w14:textId="5E396C29" w:rsidR="00257A7E" w:rsidRDefault="00257A7E" w:rsidP="00257A7E">
      <w:pPr>
        <w:rPr>
          <w:rFonts w:ascii="Arial" w:hAnsi="Arial" w:cs="Arial"/>
        </w:rPr>
      </w:pPr>
      <w:r w:rsidRPr="00257A7E">
        <w:rPr>
          <w:rFonts w:ascii="Arial" w:hAnsi="Arial" w:cs="Arial"/>
        </w:rPr>
        <w:t>Industry rivalry in the social media sector is intense. Twitter (X) faces stiff competition from established platforms like Facebook, Instagram, LinkedIn, and new entrants like TikTok. This competitive environment drives continuous innovation and aggressive marketing strategies. To differentiate itself and attract users, Twitter invests in technology upgrades, feature enhancements, and strategic partnerships. The high level of rivalry necessitates ongoing adaptation and strategic initiatives to maintain its market position and drive growth</w:t>
      </w:r>
      <w:sdt>
        <w:sdtPr>
          <w:rPr>
            <w:rFonts w:ascii="Arial" w:hAnsi="Arial" w:cs="Arial"/>
          </w:rPr>
          <w:id w:val="1400407701"/>
          <w:citation/>
        </w:sdtPr>
        <w:sdtEndPr/>
        <w:sdtContent>
          <w:r w:rsidR="00357643">
            <w:rPr>
              <w:rFonts w:ascii="Arial" w:hAnsi="Arial" w:cs="Arial"/>
            </w:rPr>
            <w:fldChar w:fldCharType="begin"/>
          </w:r>
          <w:r w:rsidR="00357643">
            <w:rPr>
              <w:rFonts w:ascii="Arial" w:hAnsi="Arial" w:cs="Arial"/>
            </w:rPr>
            <w:instrText xml:space="preserve"> CITATION Tur23 \l 2057 </w:instrText>
          </w:r>
          <w:r w:rsidR="00357643">
            <w:rPr>
              <w:rFonts w:ascii="Arial" w:hAnsi="Arial" w:cs="Arial"/>
            </w:rPr>
            <w:fldChar w:fldCharType="separate"/>
          </w:r>
          <w:r w:rsidR="00357643">
            <w:rPr>
              <w:rFonts w:ascii="Arial" w:hAnsi="Arial" w:cs="Arial"/>
              <w:noProof/>
            </w:rPr>
            <w:t xml:space="preserve"> </w:t>
          </w:r>
          <w:r w:rsidR="00357643" w:rsidRPr="00357643">
            <w:rPr>
              <w:rFonts w:ascii="Arial" w:hAnsi="Arial" w:cs="Arial"/>
              <w:noProof/>
            </w:rPr>
            <w:t>(Turan Paksoy, 2023)</w:t>
          </w:r>
          <w:r w:rsidR="00357643">
            <w:rPr>
              <w:rFonts w:ascii="Arial" w:hAnsi="Arial" w:cs="Arial"/>
            </w:rPr>
            <w:fldChar w:fldCharType="end"/>
          </w:r>
        </w:sdtContent>
      </w:sdt>
      <w:r w:rsidRPr="00257A7E">
        <w:rPr>
          <w:rFonts w:ascii="Arial" w:hAnsi="Arial" w:cs="Arial"/>
        </w:rPr>
        <w:t>.</w:t>
      </w:r>
    </w:p>
    <w:p w14:paraId="758A2025" w14:textId="77777777" w:rsidR="005B44D7" w:rsidRDefault="005B44D7" w:rsidP="00257A7E">
      <w:pPr>
        <w:rPr>
          <w:rFonts w:ascii="Arial" w:hAnsi="Arial" w:cs="Arial"/>
        </w:rPr>
      </w:pPr>
    </w:p>
    <w:p w14:paraId="3BF73868" w14:textId="5D348333" w:rsidR="000906C1" w:rsidRPr="00E65A07" w:rsidRDefault="00E65A07" w:rsidP="00E65A07">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74950238"/>
      <w:r w:rsidRPr="00E65A07">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w:t>
      </w:r>
      <w:r w:rsidR="000906C1" w:rsidRPr="00E65A07">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ange Management at Twitter (X) Using Key Models</w:t>
      </w:r>
      <w:bookmarkEnd w:id="4"/>
    </w:p>
    <w:p w14:paraId="163BD26A" w14:textId="74C0583D" w:rsidR="000906C1" w:rsidRPr="001639E0" w:rsidRDefault="000906C1" w:rsidP="000906C1">
      <w:pPr>
        <w:rPr>
          <w:rFonts w:ascii="Arial" w:hAnsi="Arial" w:cs="Arial"/>
          <w:b/>
          <w:bCs/>
        </w:rPr>
      </w:pPr>
      <w:r w:rsidRPr="001639E0">
        <w:rPr>
          <w:rFonts w:ascii="Arial" w:hAnsi="Arial" w:cs="Arial"/>
          <w:b/>
          <w:bCs/>
        </w:rPr>
        <w:t>Lewin’s Change Management Model</w:t>
      </w:r>
    </w:p>
    <w:p w14:paraId="1003DDD0" w14:textId="7300A62A" w:rsidR="000906C1" w:rsidRPr="000906C1" w:rsidRDefault="000906C1" w:rsidP="000906C1">
      <w:pPr>
        <w:rPr>
          <w:rFonts w:ascii="Arial" w:hAnsi="Arial" w:cs="Arial"/>
        </w:rPr>
      </w:pPr>
      <w:r w:rsidRPr="000906C1">
        <w:rPr>
          <w:rFonts w:ascii="Arial" w:hAnsi="Arial" w:cs="Arial"/>
        </w:rPr>
        <w:t>Lewin’s Change Management Model consists of three stages: Unfreeze, Change, and Refreeze</w:t>
      </w:r>
      <w:r w:rsidR="00C34CB0">
        <w:rPr>
          <w:rFonts w:ascii="Arial" w:hAnsi="Arial" w:cs="Arial"/>
        </w:rPr>
        <w:t xml:space="preserve"> </w:t>
      </w:r>
      <w:sdt>
        <w:sdtPr>
          <w:rPr>
            <w:rFonts w:ascii="Arial" w:hAnsi="Arial" w:cs="Arial"/>
          </w:rPr>
          <w:id w:val="-1903231"/>
          <w:citation/>
        </w:sdtPr>
        <w:sdtEndPr/>
        <w:sdtContent>
          <w:r w:rsidR="00C34CB0">
            <w:rPr>
              <w:rFonts w:ascii="Arial" w:hAnsi="Arial" w:cs="Arial"/>
            </w:rPr>
            <w:fldChar w:fldCharType="begin"/>
          </w:r>
          <w:r w:rsidR="00C34CB0">
            <w:rPr>
              <w:rFonts w:ascii="Arial" w:hAnsi="Arial" w:cs="Arial"/>
            </w:rPr>
            <w:instrText xml:space="preserve"> CITATION Ber20 \l 2057 </w:instrText>
          </w:r>
          <w:r w:rsidR="00C34CB0">
            <w:rPr>
              <w:rFonts w:ascii="Arial" w:hAnsi="Arial" w:cs="Arial"/>
            </w:rPr>
            <w:fldChar w:fldCharType="separate"/>
          </w:r>
          <w:r w:rsidR="00C34CB0" w:rsidRPr="00C34CB0">
            <w:rPr>
              <w:rFonts w:ascii="Arial" w:hAnsi="Arial" w:cs="Arial"/>
              <w:noProof/>
            </w:rPr>
            <w:t>(Burnes, 2020)</w:t>
          </w:r>
          <w:r w:rsidR="00C34CB0">
            <w:rPr>
              <w:rFonts w:ascii="Arial" w:hAnsi="Arial" w:cs="Arial"/>
            </w:rPr>
            <w:fldChar w:fldCharType="end"/>
          </w:r>
        </w:sdtContent>
      </w:sdt>
      <w:r w:rsidRPr="000906C1">
        <w:rPr>
          <w:rFonts w:ascii="Arial" w:hAnsi="Arial" w:cs="Arial"/>
        </w:rPr>
        <w:t>. This model provides a framework for managing organizational change by emphasizing the need to prepare for change, implement it, and then stabilize the organization in its new state.</w:t>
      </w:r>
    </w:p>
    <w:p w14:paraId="504676E7" w14:textId="77777777" w:rsidR="000906C1" w:rsidRPr="000906C1" w:rsidRDefault="000906C1" w:rsidP="000906C1">
      <w:pPr>
        <w:rPr>
          <w:rFonts w:ascii="Arial" w:hAnsi="Arial" w:cs="Arial"/>
        </w:rPr>
      </w:pPr>
      <w:r w:rsidRPr="001639E0">
        <w:rPr>
          <w:rFonts w:ascii="Arial" w:hAnsi="Arial" w:cs="Arial"/>
          <w:b/>
          <w:bCs/>
        </w:rPr>
        <w:t>Unfreeze:</w:t>
      </w:r>
      <w:r w:rsidRPr="000906C1">
        <w:rPr>
          <w:rFonts w:ascii="Arial" w:hAnsi="Arial" w:cs="Arial"/>
        </w:rPr>
        <w:t xml:space="preserve"> The unfreezing stage involves preparing the organization for change. At Twitter, now X, this would involve creating a sense of urgency around the transformation. For instance, communicating the need for rebranding and strategic shifts to enhance competitiveness and adapt to market changes is crucial. Leadership must effectively </w:t>
      </w:r>
      <w:r w:rsidRPr="000906C1">
        <w:rPr>
          <w:rFonts w:ascii="Arial" w:hAnsi="Arial" w:cs="Arial"/>
        </w:rPr>
        <w:lastRenderedPageBreak/>
        <w:t>articulate why these changes are necessary and how they align with the company’s future vision. This includes addressing potential concerns and resistance by providing clear rationale and benefits of the transformation.</w:t>
      </w:r>
    </w:p>
    <w:p w14:paraId="1FE429BC" w14:textId="77777777" w:rsidR="000906C1" w:rsidRPr="000906C1" w:rsidRDefault="000906C1" w:rsidP="000906C1">
      <w:pPr>
        <w:rPr>
          <w:rFonts w:ascii="Arial" w:hAnsi="Arial" w:cs="Arial"/>
        </w:rPr>
      </w:pPr>
      <w:r w:rsidRPr="001639E0">
        <w:rPr>
          <w:rFonts w:ascii="Arial" w:hAnsi="Arial" w:cs="Arial"/>
          <w:b/>
          <w:bCs/>
        </w:rPr>
        <w:t>Change:</w:t>
      </w:r>
      <w:r w:rsidRPr="000906C1">
        <w:rPr>
          <w:rFonts w:ascii="Arial" w:hAnsi="Arial" w:cs="Arial"/>
        </w:rPr>
        <w:t xml:space="preserve"> The change stage is where the actual transformation occurs. For X, this means implementing new technologies, revising business models, and integrating advanced features such as AI-driven content recommendations and new payment systems. During this phase, effective communication and training are vital. Employees must be equipped with the skills and knowledge to adapt to new systems and workflows. This stage requires ongoing support and engagement to ensure smooth adoption and to address any issues that arise.</w:t>
      </w:r>
    </w:p>
    <w:p w14:paraId="1EC2E361" w14:textId="77777777" w:rsidR="000906C1" w:rsidRPr="000906C1" w:rsidRDefault="000906C1" w:rsidP="000906C1">
      <w:pPr>
        <w:rPr>
          <w:rFonts w:ascii="Arial" w:hAnsi="Arial" w:cs="Arial"/>
        </w:rPr>
      </w:pPr>
      <w:r w:rsidRPr="001639E0">
        <w:rPr>
          <w:rFonts w:ascii="Arial" w:hAnsi="Arial" w:cs="Arial"/>
          <w:b/>
          <w:bCs/>
        </w:rPr>
        <w:t>Refreeze:</w:t>
      </w:r>
      <w:r w:rsidRPr="000906C1">
        <w:rPr>
          <w:rFonts w:ascii="Arial" w:hAnsi="Arial" w:cs="Arial"/>
        </w:rPr>
        <w:t xml:space="preserve"> In the refreezing stage, the organization stabilizes and integrates the changes into its culture and operations. For X, this involves embedding the new processes, technologies, and business practices into the company’s daily operations. Recognizing and celebrating milestones, continuously reinforcing the new practices, and aligning them with organizational goals are crucial for ensuring that the changes become entrenched and sustainable.</w:t>
      </w:r>
    </w:p>
    <w:p w14:paraId="658D39C5" w14:textId="63571259" w:rsidR="000906C1" w:rsidRPr="001639E0" w:rsidRDefault="000906C1" w:rsidP="000906C1">
      <w:pPr>
        <w:rPr>
          <w:rFonts w:ascii="Arial" w:hAnsi="Arial" w:cs="Arial"/>
          <w:b/>
          <w:bCs/>
        </w:rPr>
      </w:pPr>
      <w:r w:rsidRPr="001639E0">
        <w:rPr>
          <w:rFonts w:ascii="Arial" w:hAnsi="Arial" w:cs="Arial"/>
          <w:b/>
          <w:bCs/>
        </w:rPr>
        <w:t>Kotter’s 8-Step Change Model</w:t>
      </w:r>
    </w:p>
    <w:p w14:paraId="75EE28EF" w14:textId="02B1BFA0" w:rsidR="000906C1" w:rsidRPr="000906C1" w:rsidRDefault="000906C1" w:rsidP="000906C1">
      <w:pPr>
        <w:rPr>
          <w:rFonts w:ascii="Arial" w:hAnsi="Arial" w:cs="Arial"/>
        </w:rPr>
      </w:pPr>
      <w:r w:rsidRPr="000906C1">
        <w:rPr>
          <w:rFonts w:ascii="Arial" w:hAnsi="Arial" w:cs="Arial"/>
        </w:rPr>
        <w:t>Kotter’s 8-Step Change Model offers a structured approach to managing change through a series of sequential steps designed to ensure successful implementation and adoption</w:t>
      </w:r>
      <w:r w:rsidR="00C93D0F">
        <w:rPr>
          <w:rFonts w:ascii="Arial" w:hAnsi="Arial" w:cs="Arial"/>
        </w:rPr>
        <w:t xml:space="preserve"> </w:t>
      </w:r>
      <w:sdt>
        <w:sdtPr>
          <w:rPr>
            <w:rFonts w:ascii="Arial" w:hAnsi="Arial" w:cs="Arial"/>
          </w:rPr>
          <w:id w:val="1157877497"/>
          <w:citation/>
        </w:sdtPr>
        <w:sdtEndPr/>
        <w:sdtContent>
          <w:r w:rsidR="005D546F">
            <w:rPr>
              <w:rFonts w:ascii="Arial" w:hAnsi="Arial" w:cs="Arial"/>
            </w:rPr>
            <w:fldChar w:fldCharType="begin"/>
          </w:r>
          <w:r w:rsidR="005D546F">
            <w:rPr>
              <w:rFonts w:ascii="Arial" w:hAnsi="Arial" w:cs="Arial"/>
            </w:rPr>
            <w:instrText xml:space="preserve"> CITATION Fer21 \l 2057 </w:instrText>
          </w:r>
          <w:r w:rsidR="005D546F">
            <w:rPr>
              <w:rFonts w:ascii="Arial" w:hAnsi="Arial" w:cs="Arial"/>
            </w:rPr>
            <w:fldChar w:fldCharType="separate"/>
          </w:r>
          <w:r w:rsidR="005D546F" w:rsidRPr="005D546F">
            <w:rPr>
              <w:rFonts w:ascii="Arial" w:hAnsi="Arial" w:cs="Arial"/>
              <w:noProof/>
            </w:rPr>
            <w:t>(Abocejo, 2021)</w:t>
          </w:r>
          <w:r w:rsidR="005D546F">
            <w:rPr>
              <w:rFonts w:ascii="Arial" w:hAnsi="Arial" w:cs="Arial"/>
            </w:rPr>
            <w:fldChar w:fldCharType="end"/>
          </w:r>
        </w:sdtContent>
      </w:sdt>
      <w:r w:rsidRPr="000906C1">
        <w:rPr>
          <w:rFonts w:ascii="Arial" w:hAnsi="Arial" w:cs="Arial"/>
        </w:rPr>
        <w:t>.</w:t>
      </w:r>
    </w:p>
    <w:p w14:paraId="7BC8B092" w14:textId="77777777" w:rsidR="000906C1" w:rsidRPr="000906C1" w:rsidRDefault="000906C1" w:rsidP="000906C1">
      <w:pPr>
        <w:rPr>
          <w:rFonts w:ascii="Arial" w:hAnsi="Arial" w:cs="Arial"/>
        </w:rPr>
      </w:pPr>
      <w:r w:rsidRPr="001639E0">
        <w:rPr>
          <w:rFonts w:ascii="Arial" w:hAnsi="Arial" w:cs="Arial"/>
          <w:b/>
          <w:bCs/>
        </w:rPr>
        <w:t>Create a Sense of Urgency:</w:t>
      </w:r>
      <w:r w:rsidRPr="000906C1">
        <w:rPr>
          <w:rFonts w:ascii="Arial" w:hAnsi="Arial" w:cs="Arial"/>
        </w:rPr>
        <w:t xml:space="preserve"> Kotter emphasizes the importance of establishing a sense of urgency around the need for change. For X, this means communicating the competitive pressures and opportunities that necessitate the transformation. Highlighting market trends, user demands, and technological advancements can help motivate stakeholders to embrace the changes.</w:t>
      </w:r>
    </w:p>
    <w:p w14:paraId="4B0F52DC" w14:textId="77777777" w:rsidR="000906C1" w:rsidRPr="000906C1" w:rsidRDefault="000906C1" w:rsidP="000906C1">
      <w:pPr>
        <w:rPr>
          <w:rFonts w:ascii="Arial" w:hAnsi="Arial" w:cs="Arial"/>
        </w:rPr>
      </w:pPr>
      <w:r w:rsidRPr="001639E0">
        <w:rPr>
          <w:rFonts w:ascii="Arial" w:hAnsi="Arial" w:cs="Arial"/>
          <w:b/>
          <w:bCs/>
        </w:rPr>
        <w:t>Form a Powerful Coalition:</w:t>
      </w:r>
      <w:r w:rsidRPr="000906C1">
        <w:rPr>
          <w:rFonts w:ascii="Arial" w:hAnsi="Arial" w:cs="Arial"/>
        </w:rPr>
        <w:t xml:space="preserve"> Building a coalition of influential leaders and stakeholders is crucial for driving change. At X, this involves assembling a team of senior executives, department heads, and key influencers who support the transformation and can drive its implementation. This coalition helps to champion the change, address resistance, and ensure alignment across the organization.</w:t>
      </w:r>
    </w:p>
    <w:p w14:paraId="33720481" w14:textId="77777777" w:rsidR="000906C1" w:rsidRPr="000906C1" w:rsidRDefault="000906C1" w:rsidP="000906C1">
      <w:pPr>
        <w:rPr>
          <w:rFonts w:ascii="Arial" w:hAnsi="Arial" w:cs="Arial"/>
        </w:rPr>
      </w:pPr>
      <w:r w:rsidRPr="001639E0">
        <w:rPr>
          <w:rFonts w:ascii="Arial" w:hAnsi="Arial" w:cs="Arial"/>
          <w:b/>
          <w:bCs/>
        </w:rPr>
        <w:t>Create a Vision for Change:</w:t>
      </w:r>
      <w:r w:rsidRPr="000906C1">
        <w:rPr>
          <w:rFonts w:ascii="Arial" w:hAnsi="Arial" w:cs="Arial"/>
        </w:rPr>
        <w:t xml:space="preserve"> Developing a clear and compelling vision for the future is essential. X’s leadership must articulate a vision that outlines the goals and benefits of the rebranding and strategic shifts. This vision should be communicated consistently to inspire and guide employees throughout the transformation process.</w:t>
      </w:r>
    </w:p>
    <w:p w14:paraId="4AD4FD2C" w14:textId="77777777" w:rsidR="000906C1" w:rsidRPr="000906C1" w:rsidRDefault="000906C1" w:rsidP="000906C1">
      <w:pPr>
        <w:rPr>
          <w:rFonts w:ascii="Arial" w:hAnsi="Arial" w:cs="Arial"/>
        </w:rPr>
      </w:pPr>
      <w:r w:rsidRPr="001639E0">
        <w:rPr>
          <w:rFonts w:ascii="Arial" w:hAnsi="Arial" w:cs="Arial"/>
          <w:b/>
          <w:bCs/>
        </w:rPr>
        <w:t>Communicate the Vision:</w:t>
      </w:r>
      <w:r w:rsidRPr="000906C1">
        <w:rPr>
          <w:rFonts w:ascii="Arial" w:hAnsi="Arial" w:cs="Arial"/>
        </w:rPr>
        <w:t xml:space="preserve"> Effective communication of the vision is key to ensuring that all stakeholders understand and buy into the change. For X, this involves using various communication channels to disseminate information about the transformation, including updates on new features, changes in business models, and the rationale behind them.</w:t>
      </w:r>
    </w:p>
    <w:p w14:paraId="1987257D" w14:textId="77777777" w:rsidR="000906C1" w:rsidRPr="000906C1" w:rsidRDefault="000906C1" w:rsidP="000906C1">
      <w:pPr>
        <w:rPr>
          <w:rFonts w:ascii="Arial" w:hAnsi="Arial" w:cs="Arial"/>
        </w:rPr>
      </w:pPr>
      <w:r w:rsidRPr="001639E0">
        <w:rPr>
          <w:rFonts w:ascii="Arial" w:hAnsi="Arial" w:cs="Arial"/>
          <w:b/>
          <w:bCs/>
        </w:rPr>
        <w:t>Empower Others to Act on the Vision:</w:t>
      </w:r>
      <w:r w:rsidRPr="000906C1">
        <w:rPr>
          <w:rFonts w:ascii="Arial" w:hAnsi="Arial" w:cs="Arial"/>
        </w:rPr>
        <w:t xml:space="preserve"> Empowering employees to contribute to the change involves providing the necessary tools, training, and support. X must ensure that employees have the resources and autonomy to implement new processes and technologies. Encouraging innovation and feedback can help facilitate smoother transitions and greater buy-in.</w:t>
      </w:r>
    </w:p>
    <w:p w14:paraId="3DBFAF12" w14:textId="77777777" w:rsidR="00DE0EA8" w:rsidRDefault="000906C1" w:rsidP="000906C1">
      <w:pPr>
        <w:rPr>
          <w:rFonts w:ascii="Arial" w:hAnsi="Arial" w:cs="Arial"/>
        </w:rPr>
      </w:pPr>
      <w:r w:rsidRPr="001639E0">
        <w:rPr>
          <w:rFonts w:ascii="Arial" w:hAnsi="Arial" w:cs="Arial"/>
          <w:b/>
          <w:bCs/>
        </w:rPr>
        <w:t>Create Short-Term Wins:</w:t>
      </w:r>
      <w:r w:rsidRPr="000906C1">
        <w:rPr>
          <w:rFonts w:ascii="Arial" w:hAnsi="Arial" w:cs="Arial"/>
        </w:rPr>
        <w:t xml:space="preserve"> Celebrating short-term successes helps to build momentum and demonstrate progress. For X, this could involve highlighting early achievements, such as successful integrations of new technologies or positive user feedback on updated features. Recognizing these wins helps to maintain enthusiasm and commitment to the change.</w:t>
      </w:r>
    </w:p>
    <w:p w14:paraId="04D1265B" w14:textId="412B85FA" w:rsidR="000906C1" w:rsidRPr="000906C1" w:rsidRDefault="000906C1" w:rsidP="000906C1">
      <w:pPr>
        <w:rPr>
          <w:rFonts w:ascii="Arial" w:hAnsi="Arial" w:cs="Arial"/>
        </w:rPr>
      </w:pPr>
      <w:r w:rsidRPr="00DE0EA8">
        <w:rPr>
          <w:rFonts w:ascii="Arial" w:hAnsi="Arial" w:cs="Arial"/>
          <w:b/>
          <w:bCs/>
        </w:rPr>
        <w:lastRenderedPageBreak/>
        <w:t>Consolidate Gains and Produce More Change:</w:t>
      </w:r>
      <w:r w:rsidRPr="000906C1">
        <w:rPr>
          <w:rFonts w:ascii="Arial" w:hAnsi="Arial" w:cs="Arial"/>
        </w:rPr>
        <w:t xml:space="preserve"> Building on initial successes to drive further change is crucial for sustaining momentum. X should use early wins as a foundation to expand and deepen the transformation, continuously refining and enhancing processes and features based on feedback and performance.</w:t>
      </w:r>
    </w:p>
    <w:p w14:paraId="6787AFC4" w14:textId="77777777" w:rsidR="000906C1" w:rsidRPr="000906C1" w:rsidRDefault="000906C1" w:rsidP="000906C1">
      <w:pPr>
        <w:rPr>
          <w:rFonts w:ascii="Arial" w:hAnsi="Arial" w:cs="Arial"/>
        </w:rPr>
      </w:pPr>
      <w:r w:rsidRPr="00DE0EA8">
        <w:rPr>
          <w:rFonts w:ascii="Arial" w:hAnsi="Arial" w:cs="Arial"/>
          <w:b/>
          <w:bCs/>
        </w:rPr>
        <w:t>Anchor the Changes in Corporate Culture:</w:t>
      </w:r>
      <w:r w:rsidRPr="000906C1">
        <w:rPr>
          <w:rFonts w:ascii="Arial" w:hAnsi="Arial" w:cs="Arial"/>
        </w:rPr>
        <w:t xml:space="preserve"> Finally, embedding the changes into the organizational culture ensures long-term sustainability. For X, this involves aligning new practices with the company’s values and goals, reinforcing the changes through ongoing communication, and integrating them into everyday operations.</w:t>
      </w:r>
    </w:p>
    <w:p w14:paraId="49E356A0" w14:textId="6F018081" w:rsidR="000906C1" w:rsidRPr="00DE0EA8" w:rsidRDefault="000906C1" w:rsidP="000906C1">
      <w:pPr>
        <w:rPr>
          <w:rFonts w:ascii="Arial" w:hAnsi="Arial" w:cs="Arial"/>
          <w:b/>
          <w:bCs/>
        </w:rPr>
      </w:pPr>
      <w:r w:rsidRPr="00DE0EA8">
        <w:rPr>
          <w:rFonts w:ascii="Arial" w:hAnsi="Arial" w:cs="Arial"/>
          <w:b/>
          <w:bCs/>
        </w:rPr>
        <w:t>ADKAR Mode</w:t>
      </w:r>
      <w:r w:rsidR="00DE0EA8" w:rsidRPr="00DE0EA8">
        <w:rPr>
          <w:rFonts w:ascii="Arial" w:hAnsi="Arial" w:cs="Arial"/>
          <w:b/>
          <w:bCs/>
        </w:rPr>
        <w:t>l</w:t>
      </w:r>
    </w:p>
    <w:p w14:paraId="317F1CE8" w14:textId="1224CFBF" w:rsidR="000906C1" w:rsidRPr="000906C1" w:rsidRDefault="000906C1" w:rsidP="000906C1">
      <w:pPr>
        <w:rPr>
          <w:rFonts w:ascii="Arial" w:hAnsi="Arial" w:cs="Arial"/>
        </w:rPr>
      </w:pPr>
      <w:r w:rsidRPr="000906C1">
        <w:rPr>
          <w:rFonts w:ascii="Arial" w:hAnsi="Arial" w:cs="Arial"/>
        </w:rPr>
        <w:t>The ADKAR Model focuses on individual change and consists of five key elements: Awareness, Desire, Knowledge, Ability, and Reinforcement</w:t>
      </w:r>
      <w:r w:rsidR="00C87602">
        <w:rPr>
          <w:rFonts w:ascii="Arial" w:hAnsi="Arial" w:cs="Arial"/>
        </w:rPr>
        <w:t xml:space="preserve"> </w:t>
      </w:r>
      <w:sdt>
        <w:sdtPr>
          <w:rPr>
            <w:rFonts w:ascii="Arial" w:hAnsi="Arial" w:cs="Arial"/>
          </w:rPr>
          <w:id w:val="-1513906598"/>
          <w:citation/>
        </w:sdtPr>
        <w:sdtEndPr/>
        <w:sdtContent>
          <w:r w:rsidR="00F33B5E">
            <w:rPr>
              <w:rFonts w:ascii="Arial" w:hAnsi="Arial" w:cs="Arial"/>
            </w:rPr>
            <w:fldChar w:fldCharType="begin"/>
          </w:r>
          <w:r w:rsidR="00F33B5E">
            <w:rPr>
              <w:rFonts w:ascii="Arial" w:hAnsi="Arial" w:cs="Arial"/>
            </w:rPr>
            <w:instrText xml:space="preserve"> CITATION Ayh22 \l 2057 </w:instrText>
          </w:r>
          <w:r w:rsidR="00F33B5E">
            <w:rPr>
              <w:rFonts w:ascii="Arial" w:hAnsi="Arial" w:cs="Arial"/>
            </w:rPr>
            <w:fldChar w:fldCharType="separate"/>
          </w:r>
          <w:r w:rsidR="00F33B5E" w:rsidRPr="00F33B5E">
            <w:rPr>
              <w:rFonts w:ascii="Arial" w:hAnsi="Arial" w:cs="Arial"/>
              <w:noProof/>
            </w:rPr>
            <w:t>(Jaarona, 2022)</w:t>
          </w:r>
          <w:r w:rsidR="00F33B5E">
            <w:rPr>
              <w:rFonts w:ascii="Arial" w:hAnsi="Arial" w:cs="Arial"/>
            </w:rPr>
            <w:fldChar w:fldCharType="end"/>
          </w:r>
        </w:sdtContent>
      </w:sdt>
      <w:r w:rsidRPr="000906C1">
        <w:rPr>
          <w:rFonts w:ascii="Arial" w:hAnsi="Arial" w:cs="Arial"/>
        </w:rPr>
        <w:t>.</w:t>
      </w:r>
    </w:p>
    <w:p w14:paraId="214E66D9" w14:textId="77777777" w:rsidR="000906C1" w:rsidRPr="000906C1" w:rsidRDefault="000906C1" w:rsidP="000906C1">
      <w:pPr>
        <w:rPr>
          <w:rFonts w:ascii="Arial" w:hAnsi="Arial" w:cs="Arial"/>
        </w:rPr>
      </w:pPr>
      <w:r w:rsidRPr="00DE0EA8">
        <w:rPr>
          <w:rFonts w:ascii="Arial" w:hAnsi="Arial" w:cs="Arial"/>
          <w:b/>
          <w:bCs/>
        </w:rPr>
        <w:t>Awareness:</w:t>
      </w:r>
      <w:r w:rsidRPr="000906C1">
        <w:rPr>
          <w:rFonts w:ascii="Arial" w:hAnsi="Arial" w:cs="Arial"/>
        </w:rPr>
        <w:t xml:space="preserve"> Creating awareness involves ensuring that employees understand the need for change. At X, this means effectively communicating the reasons behind the rebranding and strategic shifts, and how they will impact the organization and individual roles. Awareness helps employees recognize the importance of the transformation and its alignment with the company’s goals.</w:t>
      </w:r>
    </w:p>
    <w:p w14:paraId="536A0E18" w14:textId="77777777" w:rsidR="000906C1" w:rsidRPr="000906C1" w:rsidRDefault="000906C1" w:rsidP="000906C1">
      <w:pPr>
        <w:rPr>
          <w:rFonts w:ascii="Arial" w:hAnsi="Arial" w:cs="Arial"/>
        </w:rPr>
      </w:pPr>
      <w:r w:rsidRPr="00DE0EA8">
        <w:rPr>
          <w:rFonts w:ascii="Arial" w:hAnsi="Arial" w:cs="Arial"/>
          <w:b/>
          <w:bCs/>
        </w:rPr>
        <w:t>Desire:</w:t>
      </w:r>
      <w:r w:rsidRPr="000906C1">
        <w:rPr>
          <w:rFonts w:ascii="Arial" w:hAnsi="Arial" w:cs="Arial"/>
        </w:rPr>
        <w:t xml:space="preserve"> Building desire involves fostering a willingness among employees to support and participate in the change. X must address concerns and highlight the benefits of the transformation, such as new opportunities for growth, enhanced user experiences, and improved operational efficiencies. Engaging employees through dialogue and involvement can help build their commitment to the change.</w:t>
      </w:r>
    </w:p>
    <w:p w14:paraId="1E49601F" w14:textId="77777777" w:rsidR="000906C1" w:rsidRPr="000906C1" w:rsidRDefault="000906C1" w:rsidP="000906C1">
      <w:pPr>
        <w:rPr>
          <w:rFonts w:ascii="Arial" w:hAnsi="Arial" w:cs="Arial"/>
        </w:rPr>
      </w:pPr>
      <w:r w:rsidRPr="00DE0EA8">
        <w:rPr>
          <w:rFonts w:ascii="Arial" w:hAnsi="Arial" w:cs="Arial"/>
          <w:b/>
          <w:bCs/>
        </w:rPr>
        <w:t>Knowledge</w:t>
      </w:r>
      <w:r w:rsidRPr="000906C1">
        <w:rPr>
          <w:rFonts w:ascii="Arial" w:hAnsi="Arial" w:cs="Arial"/>
        </w:rPr>
        <w:t>: Providing knowledge involves equipping employees with the information and skills needed to implement the change. For X, this includes offering training and resources related to new technologies, processes, and business models. Ensuring that employees have the necessary knowledge helps facilitate a smooth transition and effective adoption of new practices.</w:t>
      </w:r>
    </w:p>
    <w:p w14:paraId="1B5DCA28" w14:textId="77777777" w:rsidR="000906C1" w:rsidRPr="000906C1" w:rsidRDefault="000906C1" w:rsidP="000906C1">
      <w:pPr>
        <w:rPr>
          <w:rFonts w:ascii="Arial" w:hAnsi="Arial" w:cs="Arial"/>
        </w:rPr>
      </w:pPr>
      <w:r w:rsidRPr="00DE0EA8">
        <w:rPr>
          <w:rFonts w:ascii="Arial" w:hAnsi="Arial" w:cs="Arial"/>
          <w:b/>
          <w:bCs/>
        </w:rPr>
        <w:t>Ability:</w:t>
      </w:r>
      <w:r w:rsidRPr="000906C1">
        <w:rPr>
          <w:rFonts w:ascii="Arial" w:hAnsi="Arial" w:cs="Arial"/>
        </w:rPr>
        <w:t xml:space="preserve"> Ability focuses on enabling employees to apply their knowledge and skills in practice. X must provide ongoing support and resources to help employees effectively use new tools and systems. This may involve hands-on training, technical support, and opportunities for practice and feedback.</w:t>
      </w:r>
    </w:p>
    <w:p w14:paraId="29D54DB5" w14:textId="77777777" w:rsidR="000906C1" w:rsidRPr="000906C1" w:rsidRDefault="000906C1" w:rsidP="000906C1">
      <w:pPr>
        <w:rPr>
          <w:rFonts w:ascii="Arial" w:hAnsi="Arial" w:cs="Arial"/>
        </w:rPr>
      </w:pPr>
      <w:r w:rsidRPr="00DE0EA8">
        <w:rPr>
          <w:rFonts w:ascii="Arial" w:hAnsi="Arial" w:cs="Arial"/>
          <w:b/>
          <w:bCs/>
        </w:rPr>
        <w:t>Reinforcement</w:t>
      </w:r>
      <w:r w:rsidRPr="000906C1">
        <w:rPr>
          <w:rFonts w:ascii="Arial" w:hAnsi="Arial" w:cs="Arial"/>
        </w:rPr>
        <w:t xml:space="preserve">: Reinforcement involves sustaining the change by reinforcing new </w:t>
      </w:r>
      <w:proofErr w:type="spellStart"/>
      <w:r w:rsidRPr="000906C1">
        <w:rPr>
          <w:rFonts w:ascii="Arial" w:hAnsi="Arial" w:cs="Arial"/>
        </w:rPr>
        <w:t>behaviors</w:t>
      </w:r>
      <w:proofErr w:type="spellEnd"/>
      <w:r w:rsidRPr="000906C1">
        <w:rPr>
          <w:rFonts w:ascii="Arial" w:hAnsi="Arial" w:cs="Arial"/>
        </w:rPr>
        <w:t xml:space="preserve"> and practices. For X, this means recognizing and rewarding employees who successfully adapt to the changes, addressing any ongoing issues, and continuously reinforcing the benefits and importance of the transformation through ongoing communication and support.</w:t>
      </w:r>
    </w:p>
    <w:p w14:paraId="6434AFCD" w14:textId="770DE14B" w:rsidR="000906C1" w:rsidRDefault="000906C1" w:rsidP="000906C1">
      <w:pPr>
        <w:rPr>
          <w:rFonts w:ascii="Arial" w:hAnsi="Arial" w:cs="Arial"/>
        </w:rPr>
      </w:pPr>
      <w:r w:rsidRPr="000906C1">
        <w:rPr>
          <w:rFonts w:ascii="Arial" w:hAnsi="Arial" w:cs="Arial"/>
        </w:rPr>
        <w:t>Implementing change at Twitter (now X) requires a comprehensive approach that incorporates multiple change management models. By applying Lewin’s three-stage model, Kotter’s eight-step approach, and the ADKAR model, X can effectively manage its transformation, ensuring successful adoption and long-term sustainability. These models provide valuable frameworks for guiding the rebranding and strategic shifts, addressing resistance, and reinforcing new practices to achieve the desired</w:t>
      </w:r>
      <w:r w:rsidR="00D70F28">
        <w:rPr>
          <w:rFonts w:ascii="Arial" w:hAnsi="Arial" w:cs="Arial"/>
        </w:rPr>
        <w:t xml:space="preserve"> </w:t>
      </w:r>
      <w:r w:rsidR="00D70F28" w:rsidRPr="00D70F28">
        <w:rPr>
          <w:rFonts w:ascii="Arial" w:hAnsi="Arial" w:cs="Arial"/>
        </w:rPr>
        <w:t>outcomes.</w:t>
      </w:r>
    </w:p>
    <w:p w14:paraId="0840970D" w14:textId="77777777" w:rsidR="007E1735" w:rsidRDefault="007E1735" w:rsidP="000906C1">
      <w:pPr>
        <w:rPr>
          <w:rFonts w:ascii="Arial" w:hAnsi="Arial" w:cs="Arial"/>
        </w:rPr>
      </w:pPr>
    </w:p>
    <w:p w14:paraId="6EB81925" w14:textId="77777777" w:rsidR="007E1735" w:rsidRDefault="007E1735" w:rsidP="000906C1">
      <w:pPr>
        <w:rPr>
          <w:rFonts w:ascii="Arial" w:hAnsi="Arial" w:cs="Arial"/>
        </w:rPr>
      </w:pPr>
    </w:p>
    <w:p w14:paraId="311D3058" w14:textId="77777777" w:rsidR="007E1735" w:rsidRDefault="007E1735" w:rsidP="000906C1">
      <w:pPr>
        <w:rPr>
          <w:rFonts w:ascii="Arial" w:hAnsi="Arial" w:cs="Arial"/>
        </w:rPr>
      </w:pPr>
    </w:p>
    <w:p w14:paraId="4C709A3B" w14:textId="77777777" w:rsidR="0032586B" w:rsidRPr="0032586B" w:rsidRDefault="0032586B" w:rsidP="0032586B">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74950239"/>
      <w:r w:rsidRPr="0032586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Incorporation Issues Related to Strategic Change at Twitter (X)</w:t>
      </w:r>
      <w:bookmarkEnd w:id="5"/>
    </w:p>
    <w:p w14:paraId="16D9B615" w14:textId="77777777" w:rsidR="0032586B" w:rsidRPr="0032586B" w:rsidRDefault="0032586B" w:rsidP="0032586B">
      <w:pPr>
        <w:rPr>
          <w:rFonts w:ascii="Arial" w:hAnsi="Arial" w:cs="Arial"/>
        </w:rPr>
      </w:pPr>
      <w:r w:rsidRPr="0032586B">
        <w:rPr>
          <w:rFonts w:ascii="Arial" w:hAnsi="Arial" w:cs="Arial"/>
        </w:rPr>
        <w:t>Incorporating strategic changes at Twitter (now X) involves navigating several critical issues that affect the successful implementation of its new vision. These issues include aligning new strategies with organizational culture, addressing stakeholder resistance, integrating new technologies, and ensuring effective communication. Additionally, applying change management theories—such as Lewin's Change Management Model, Kotter's 8-Step Model, and the ADKAR Model—presents its own set of challenges.</w:t>
      </w:r>
    </w:p>
    <w:p w14:paraId="42843F64" w14:textId="77777777" w:rsidR="0032586B" w:rsidRPr="0032586B" w:rsidRDefault="0032586B" w:rsidP="0032586B">
      <w:pPr>
        <w:rPr>
          <w:rFonts w:ascii="Arial" w:hAnsi="Arial" w:cs="Arial"/>
          <w:b/>
          <w:bCs/>
        </w:rPr>
      </w:pPr>
      <w:r w:rsidRPr="0032586B">
        <w:rPr>
          <w:rFonts w:ascii="Arial" w:hAnsi="Arial" w:cs="Arial"/>
          <w:b/>
          <w:bCs/>
        </w:rPr>
        <w:t>Aligning with Organizational Culture</w:t>
      </w:r>
    </w:p>
    <w:p w14:paraId="6680BEDC" w14:textId="73380352" w:rsidR="0032586B" w:rsidRPr="0032586B" w:rsidRDefault="0032586B" w:rsidP="0032586B">
      <w:pPr>
        <w:rPr>
          <w:rFonts w:ascii="Arial" w:hAnsi="Arial" w:cs="Arial"/>
        </w:rPr>
      </w:pPr>
      <w:r w:rsidRPr="0032586B">
        <w:rPr>
          <w:rFonts w:ascii="Arial" w:hAnsi="Arial" w:cs="Arial"/>
        </w:rPr>
        <w:t>Aligning strategic changes with Twitter's (X's) existing organizational culture presents a significant challenge. Twitter has a unique culture rooted in open communication and innovation. The shift to X, with its focus on integrating new technologies and changing business models, risks clashing with these established cultural norms. Applying Lewin’s Change Management Model requires careful handling during the "Unfreeze" stage to prepare employees for change without disrupting the cultural fabric. The challenge lies in managing this alignment while ensuring that the transformation does not create a culture clash or undermine the company’s values</w:t>
      </w:r>
      <w:r w:rsidR="00DC2E3F">
        <w:rPr>
          <w:rFonts w:ascii="Arial" w:hAnsi="Arial" w:cs="Arial"/>
        </w:rPr>
        <w:t xml:space="preserve"> </w:t>
      </w:r>
      <w:sdt>
        <w:sdtPr>
          <w:rPr>
            <w:rFonts w:ascii="Arial" w:hAnsi="Arial" w:cs="Arial"/>
          </w:rPr>
          <w:id w:val="-899589296"/>
          <w:citation/>
        </w:sdtPr>
        <w:sdtEndPr/>
        <w:sdtContent>
          <w:r w:rsidR="00DC2E3F">
            <w:rPr>
              <w:rFonts w:ascii="Arial" w:hAnsi="Arial" w:cs="Arial"/>
            </w:rPr>
            <w:fldChar w:fldCharType="begin"/>
          </w:r>
          <w:r w:rsidR="00DC2E3F">
            <w:rPr>
              <w:rFonts w:ascii="Arial" w:hAnsi="Arial" w:cs="Arial"/>
            </w:rPr>
            <w:instrText xml:space="preserve"> CITATION Cue23 \l 2057 </w:instrText>
          </w:r>
          <w:r w:rsidR="00DC2E3F">
            <w:rPr>
              <w:rFonts w:ascii="Arial" w:hAnsi="Arial" w:cs="Arial"/>
            </w:rPr>
            <w:fldChar w:fldCharType="separate"/>
          </w:r>
          <w:r w:rsidR="00DC2E3F" w:rsidRPr="00DC2E3F">
            <w:rPr>
              <w:rFonts w:ascii="Arial" w:hAnsi="Arial" w:cs="Arial"/>
              <w:noProof/>
            </w:rPr>
            <w:t>(Cuervo Carabel, et al., 2023)</w:t>
          </w:r>
          <w:r w:rsidR="00DC2E3F">
            <w:rPr>
              <w:rFonts w:ascii="Arial" w:hAnsi="Arial" w:cs="Arial"/>
            </w:rPr>
            <w:fldChar w:fldCharType="end"/>
          </w:r>
        </w:sdtContent>
      </w:sdt>
      <w:r w:rsidRPr="0032586B">
        <w:rPr>
          <w:rFonts w:ascii="Arial" w:hAnsi="Arial" w:cs="Arial"/>
        </w:rPr>
        <w:t>.</w:t>
      </w:r>
    </w:p>
    <w:p w14:paraId="14971E54" w14:textId="77777777" w:rsidR="0032586B" w:rsidRPr="0032586B" w:rsidRDefault="0032586B" w:rsidP="0032586B">
      <w:pPr>
        <w:rPr>
          <w:rFonts w:ascii="Arial" w:hAnsi="Arial" w:cs="Arial"/>
          <w:b/>
          <w:bCs/>
        </w:rPr>
      </w:pPr>
      <w:r w:rsidRPr="0032586B">
        <w:rPr>
          <w:rFonts w:ascii="Arial" w:hAnsi="Arial" w:cs="Arial"/>
          <w:b/>
          <w:bCs/>
        </w:rPr>
        <w:t>Addressing Stakeholder Resistance</w:t>
      </w:r>
    </w:p>
    <w:p w14:paraId="047340EE" w14:textId="79B8C801" w:rsidR="0032586B" w:rsidRPr="0032586B" w:rsidRDefault="0032586B" w:rsidP="0032586B">
      <w:pPr>
        <w:rPr>
          <w:rFonts w:ascii="Arial" w:hAnsi="Arial" w:cs="Arial"/>
        </w:rPr>
      </w:pPr>
      <w:r w:rsidRPr="0032586B">
        <w:rPr>
          <w:rFonts w:ascii="Arial" w:hAnsi="Arial" w:cs="Arial"/>
        </w:rPr>
        <w:t>Resistance from stakeholders, including employees and users, is another major issue. Applying Kotter’s 8-Step Model, particularly the steps of "Creating a Sense of Urgency" and "Empowering Others to Act," can be problematic if not executed effectively. Employees may resist due to fear of job loss or changes in their roles, while users might be hesitant about new features. Managing this resistance requires clear, consistent communication and involvement of stakeholders in the change process. Failure to address these concerns can lead to decreased morale and reduced user engagement</w:t>
      </w:r>
      <w:r w:rsidR="0065078C">
        <w:rPr>
          <w:rFonts w:ascii="Arial" w:hAnsi="Arial" w:cs="Arial"/>
        </w:rPr>
        <w:t xml:space="preserve"> </w:t>
      </w:r>
      <w:sdt>
        <w:sdtPr>
          <w:rPr>
            <w:rFonts w:ascii="Arial" w:hAnsi="Arial" w:cs="Arial"/>
          </w:rPr>
          <w:id w:val="-187912501"/>
          <w:citation/>
        </w:sdtPr>
        <w:sdtEndPr/>
        <w:sdtContent>
          <w:r w:rsidR="0065078C">
            <w:rPr>
              <w:rFonts w:ascii="Arial" w:hAnsi="Arial" w:cs="Arial"/>
            </w:rPr>
            <w:fldChar w:fldCharType="begin"/>
          </w:r>
          <w:r w:rsidR="0065078C">
            <w:rPr>
              <w:rFonts w:ascii="Arial" w:hAnsi="Arial" w:cs="Arial"/>
            </w:rPr>
            <w:instrText xml:space="preserve"> CITATION Mey23 \l 2057 </w:instrText>
          </w:r>
          <w:r w:rsidR="0065078C">
            <w:rPr>
              <w:rFonts w:ascii="Arial" w:hAnsi="Arial" w:cs="Arial"/>
            </w:rPr>
            <w:fldChar w:fldCharType="separate"/>
          </w:r>
          <w:r w:rsidR="0065078C" w:rsidRPr="0065078C">
            <w:rPr>
              <w:rFonts w:ascii="Arial" w:hAnsi="Arial" w:cs="Arial"/>
              <w:noProof/>
            </w:rPr>
            <w:t>(Meyer, 2023)</w:t>
          </w:r>
          <w:r w:rsidR="0065078C">
            <w:rPr>
              <w:rFonts w:ascii="Arial" w:hAnsi="Arial" w:cs="Arial"/>
            </w:rPr>
            <w:fldChar w:fldCharType="end"/>
          </w:r>
        </w:sdtContent>
      </w:sdt>
      <w:r w:rsidRPr="0032586B">
        <w:rPr>
          <w:rFonts w:ascii="Arial" w:hAnsi="Arial" w:cs="Arial"/>
        </w:rPr>
        <w:t>.</w:t>
      </w:r>
    </w:p>
    <w:p w14:paraId="7D5F3C97" w14:textId="77777777" w:rsidR="0032586B" w:rsidRPr="0032586B" w:rsidRDefault="0032586B" w:rsidP="0032586B">
      <w:pPr>
        <w:rPr>
          <w:rFonts w:ascii="Arial" w:hAnsi="Arial" w:cs="Arial"/>
          <w:b/>
          <w:bCs/>
        </w:rPr>
      </w:pPr>
      <w:r w:rsidRPr="0032586B">
        <w:rPr>
          <w:rFonts w:ascii="Arial" w:hAnsi="Arial" w:cs="Arial"/>
          <w:b/>
          <w:bCs/>
        </w:rPr>
        <w:t>Integrating New Technologies</w:t>
      </w:r>
    </w:p>
    <w:p w14:paraId="49A46963" w14:textId="1A3209EE" w:rsidR="0032586B" w:rsidRPr="0032586B" w:rsidRDefault="0032586B" w:rsidP="0032586B">
      <w:pPr>
        <w:rPr>
          <w:rFonts w:ascii="Arial" w:hAnsi="Arial" w:cs="Arial"/>
        </w:rPr>
      </w:pPr>
      <w:r w:rsidRPr="0032586B">
        <w:rPr>
          <w:rFonts w:ascii="Arial" w:hAnsi="Arial" w:cs="Arial"/>
        </w:rPr>
        <w:t>Integrating new technologies, such as AI and advanced payment systems, is complex and fraught with challenges. According to the ADKAR Model, particularly the "Ability" component, employees must be equipped with the skills to manage and use these technologies effectively. Problems arise if the integration process disrupts current operations or if employees are not sufficiently trained. Ensuring that technology integration does not negatively impact user experience or operational efficiency is a key concern</w:t>
      </w:r>
      <w:r w:rsidR="00D061C2">
        <w:rPr>
          <w:rFonts w:ascii="Arial" w:hAnsi="Arial" w:cs="Arial"/>
        </w:rPr>
        <w:t xml:space="preserve"> </w:t>
      </w:r>
      <w:sdt>
        <w:sdtPr>
          <w:rPr>
            <w:rFonts w:ascii="Arial" w:hAnsi="Arial" w:cs="Arial"/>
          </w:rPr>
          <w:id w:val="-1051155225"/>
          <w:citation/>
        </w:sdtPr>
        <w:sdtEndPr/>
        <w:sdtContent>
          <w:r w:rsidR="00FB20AB">
            <w:rPr>
              <w:rFonts w:ascii="Arial" w:hAnsi="Arial" w:cs="Arial"/>
            </w:rPr>
            <w:fldChar w:fldCharType="begin"/>
          </w:r>
          <w:r w:rsidR="00FB20AB">
            <w:rPr>
              <w:rFonts w:ascii="Arial" w:hAnsi="Arial" w:cs="Arial"/>
            </w:rPr>
            <w:instrText xml:space="preserve"> CITATION Pat23 \l 2057 </w:instrText>
          </w:r>
          <w:r w:rsidR="00FB20AB">
            <w:rPr>
              <w:rFonts w:ascii="Arial" w:hAnsi="Arial" w:cs="Arial"/>
            </w:rPr>
            <w:fldChar w:fldCharType="separate"/>
          </w:r>
          <w:r w:rsidR="00FB20AB" w:rsidRPr="00FB20AB">
            <w:rPr>
              <w:rFonts w:ascii="Arial" w:hAnsi="Arial" w:cs="Arial"/>
              <w:noProof/>
            </w:rPr>
            <w:t>(Patuelli, 2023)</w:t>
          </w:r>
          <w:r w:rsidR="00FB20AB">
            <w:rPr>
              <w:rFonts w:ascii="Arial" w:hAnsi="Arial" w:cs="Arial"/>
            </w:rPr>
            <w:fldChar w:fldCharType="end"/>
          </w:r>
        </w:sdtContent>
      </w:sdt>
      <w:r w:rsidRPr="0032586B">
        <w:rPr>
          <w:rFonts w:ascii="Arial" w:hAnsi="Arial" w:cs="Arial"/>
        </w:rPr>
        <w:t>.</w:t>
      </w:r>
    </w:p>
    <w:p w14:paraId="1A2EBBC1" w14:textId="77777777" w:rsidR="0032586B" w:rsidRPr="0032586B" w:rsidRDefault="0032586B" w:rsidP="0032586B">
      <w:pPr>
        <w:rPr>
          <w:rFonts w:ascii="Arial" w:hAnsi="Arial" w:cs="Arial"/>
          <w:b/>
          <w:bCs/>
        </w:rPr>
      </w:pPr>
      <w:r w:rsidRPr="0032586B">
        <w:rPr>
          <w:rFonts w:ascii="Arial" w:hAnsi="Arial" w:cs="Arial"/>
          <w:b/>
          <w:bCs/>
        </w:rPr>
        <w:t>Ensuring Coherent Communication</w:t>
      </w:r>
    </w:p>
    <w:p w14:paraId="0DE58EBE" w14:textId="77777777" w:rsidR="0032586B" w:rsidRPr="0032586B" w:rsidRDefault="0032586B" w:rsidP="0032586B">
      <w:pPr>
        <w:rPr>
          <w:rFonts w:ascii="Arial" w:hAnsi="Arial" w:cs="Arial"/>
        </w:rPr>
      </w:pPr>
      <w:r w:rsidRPr="0032586B">
        <w:rPr>
          <w:rFonts w:ascii="Arial" w:hAnsi="Arial" w:cs="Arial"/>
        </w:rPr>
        <w:t>Effective communication is crucial for successful change management. Applying Kotter’s model requires "Communicating the Vision" clearly and consistently, which can be challenging in a rapidly changing environment. Inconsistent messaging or lack of transparency can lead to confusion and resistance. Ensuring that communication strategies are tailored to different stakeholder groups and that feedback is addressed promptly is vital to maintaining engagement and support.</w:t>
      </w:r>
    </w:p>
    <w:p w14:paraId="3AA1C845" w14:textId="77777777" w:rsidR="0032586B" w:rsidRPr="0032586B" w:rsidRDefault="0032586B" w:rsidP="0032586B">
      <w:pPr>
        <w:rPr>
          <w:rFonts w:ascii="Arial" w:hAnsi="Arial" w:cs="Arial"/>
        </w:rPr>
      </w:pPr>
    </w:p>
    <w:p w14:paraId="1EE0CDEF" w14:textId="77777777" w:rsidR="0032586B" w:rsidRDefault="0032586B" w:rsidP="0032586B">
      <w:pPr>
        <w:rPr>
          <w:rFonts w:ascii="Arial" w:hAnsi="Arial" w:cs="Arial"/>
        </w:rPr>
      </w:pPr>
    </w:p>
    <w:p w14:paraId="59DF30FC" w14:textId="77777777" w:rsidR="0032586B" w:rsidRDefault="0032586B" w:rsidP="0032586B">
      <w:pPr>
        <w:rPr>
          <w:rFonts w:ascii="Arial" w:hAnsi="Arial" w:cs="Arial"/>
        </w:rPr>
      </w:pPr>
    </w:p>
    <w:p w14:paraId="6B8CD036" w14:textId="314908B1" w:rsidR="0032586B" w:rsidRPr="0032586B" w:rsidRDefault="0032586B" w:rsidP="0032586B">
      <w:pPr>
        <w:rPr>
          <w:rFonts w:ascii="Arial" w:hAnsi="Arial" w:cs="Arial"/>
          <w:b/>
          <w:bCs/>
        </w:rPr>
      </w:pPr>
      <w:r w:rsidRPr="0032586B">
        <w:rPr>
          <w:rFonts w:ascii="Arial" w:hAnsi="Arial" w:cs="Arial"/>
          <w:b/>
          <w:bCs/>
        </w:rPr>
        <w:lastRenderedPageBreak/>
        <w:t>Problems with Theoretical Application</w:t>
      </w:r>
    </w:p>
    <w:p w14:paraId="141C9CF5" w14:textId="77777777" w:rsidR="0032586B" w:rsidRPr="0032586B" w:rsidRDefault="0032586B" w:rsidP="0032586B">
      <w:pPr>
        <w:rPr>
          <w:rFonts w:ascii="Arial" w:hAnsi="Arial" w:cs="Arial"/>
        </w:rPr>
      </w:pPr>
      <w:r w:rsidRPr="0032586B">
        <w:rPr>
          <w:rFonts w:ascii="Arial" w:hAnsi="Arial" w:cs="Arial"/>
        </w:rPr>
        <w:t>Each change management theory presents unique challenges when applied in practice. For instance, Lewin’s model may oversimplify the complexity of organizational change, as real-world scenarios often involve more nuanced and iterative processes than the linear "Unfreeze-Change-Refreeze" approach. Kotter’s model, while comprehensive, can be rigid and may not account for the dynamic nature of modern organizational changes. The ADKAR Model’s focus on individual change may overlook broader systemic issues that affect organizational-wide adoption.</w:t>
      </w:r>
    </w:p>
    <w:p w14:paraId="3D88696A" w14:textId="143FA980" w:rsidR="007E1735" w:rsidRDefault="00C87335" w:rsidP="0032586B">
      <w:pPr>
        <w:rPr>
          <w:rFonts w:ascii="Arial" w:hAnsi="Arial" w:cs="Arial"/>
        </w:rPr>
      </w:pPr>
      <w:r>
        <w:rPr>
          <w:rFonts w:ascii="Arial" w:hAnsi="Arial" w:cs="Arial"/>
        </w:rPr>
        <w:t>I</w:t>
      </w:r>
      <w:r w:rsidR="0032586B" w:rsidRPr="0032586B">
        <w:rPr>
          <w:rFonts w:ascii="Arial" w:hAnsi="Arial" w:cs="Arial"/>
        </w:rPr>
        <w:t>ncorporating strategic change at Twitter (X) involves addressing significant issues related to organizational culture, stakeholder resistance, technology integration, and communication. Challenges in applying change management theories further complicate the process, necessitating a flexible and adaptive approach to ensure successful implementation and realization of the transformation goals.</w:t>
      </w:r>
    </w:p>
    <w:p w14:paraId="133AFF3A" w14:textId="77777777" w:rsidR="00E55C97" w:rsidRDefault="00E55C97" w:rsidP="0032586B">
      <w:pPr>
        <w:rPr>
          <w:rFonts w:ascii="Arial" w:hAnsi="Arial" w:cs="Arial"/>
        </w:rPr>
      </w:pPr>
    </w:p>
    <w:p w14:paraId="1234C3E5" w14:textId="77777777" w:rsidR="00E55C97" w:rsidRPr="00ED4E68" w:rsidRDefault="00E55C97" w:rsidP="00ED4E68">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74950240"/>
      <w:r w:rsidRPr="00ED4E6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 Styles in the Transformation of Twitter (X)</w:t>
      </w:r>
      <w:bookmarkEnd w:id="6"/>
    </w:p>
    <w:p w14:paraId="0D4BD48D" w14:textId="77777777" w:rsidR="00E55C97" w:rsidRPr="00E55C97" w:rsidRDefault="00E55C97" w:rsidP="00E55C97">
      <w:pPr>
        <w:rPr>
          <w:rFonts w:ascii="Arial" w:hAnsi="Arial" w:cs="Arial"/>
        </w:rPr>
      </w:pPr>
      <w:r w:rsidRPr="00E55C97">
        <w:rPr>
          <w:rFonts w:ascii="Arial" w:hAnsi="Arial" w:cs="Arial"/>
        </w:rPr>
        <w:t>The leadership style adopted during Twitter’s transformation into X plays a crucial role in navigating the complex changes associated with the rebranding and strategic shifts. Effective leadership is essential for managing resistance, aligning organizational culture, and ensuring successful implementation of new strategies and technologies.</w:t>
      </w:r>
    </w:p>
    <w:p w14:paraId="1704F986" w14:textId="77777777" w:rsidR="00E55C97" w:rsidRPr="00ED4E68" w:rsidRDefault="00E55C97" w:rsidP="00E55C97">
      <w:pPr>
        <w:rPr>
          <w:rFonts w:ascii="Arial" w:hAnsi="Arial" w:cs="Arial"/>
          <w:b/>
          <w:bCs/>
        </w:rPr>
      </w:pPr>
      <w:r w:rsidRPr="00ED4E68">
        <w:rPr>
          <w:rFonts w:ascii="Arial" w:hAnsi="Arial" w:cs="Arial"/>
          <w:b/>
          <w:bCs/>
        </w:rPr>
        <w:t>Transformational Leadership</w:t>
      </w:r>
    </w:p>
    <w:p w14:paraId="34E55AAE" w14:textId="736AD279" w:rsidR="00E55C97" w:rsidRPr="00E55C97" w:rsidRDefault="00E55C97" w:rsidP="00E55C97">
      <w:pPr>
        <w:rPr>
          <w:rFonts w:ascii="Arial" w:hAnsi="Arial" w:cs="Arial"/>
        </w:rPr>
      </w:pPr>
      <w:r w:rsidRPr="00E55C97">
        <w:rPr>
          <w:rFonts w:ascii="Arial" w:hAnsi="Arial" w:cs="Arial"/>
        </w:rPr>
        <w:t>Elon Musk's leadership style can be characterized as transformational. Transformational leaders inspire and motivate employees by creating a compelling vision for the future and fostering an environment of innovation and change</w:t>
      </w:r>
      <w:r w:rsidR="008C5BE6">
        <w:rPr>
          <w:rFonts w:ascii="Arial" w:hAnsi="Arial" w:cs="Arial"/>
        </w:rPr>
        <w:t xml:space="preserve"> </w:t>
      </w:r>
      <w:sdt>
        <w:sdtPr>
          <w:rPr>
            <w:rFonts w:ascii="Arial" w:hAnsi="Arial" w:cs="Arial"/>
          </w:rPr>
          <w:id w:val="1284304775"/>
          <w:citation/>
        </w:sdtPr>
        <w:sdtEndPr/>
        <w:sdtContent>
          <w:r w:rsidR="008C5BE6">
            <w:rPr>
              <w:rFonts w:ascii="Arial" w:hAnsi="Arial" w:cs="Arial"/>
            </w:rPr>
            <w:fldChar w:fldCharType="begin"/>
          </w:r>
          <w:r w:rsidR="008C5BE6">
            <w:rPr>
              <w:rFonts w:ascii="Arial" w:hAnsi="Arial" w:cs="Arial"/>
            </w:rPr>
            <w:instrText xml:space="preserve"> CITATION Ans23 \l 2057 </w:instrText>
          </w:r>
          <w:r w:rsidR="008C5BE6">
            <w:rPr>
              <w:rFonts w:ascii="Arial" w:hAnsi="Arial" w:cs="Arial"/>
            </w:rPr>
            <w:fldChar w:fldCharType="separate"/>
          </w:r>
          <w:r w:rsidR="008C5BE6" w:rsidRPr="008C5BE6">
            <w:rPr>
              <w:rFonts w:ascii="Arial" w:hAnsi="Arial" w:cs="Arial"/>
              <w:noProof/>
            </w:rPr>
            <w:t>(Ansar Abbas, 2023)</w:t>
          </w:r>
          <w:r w:rsidR="008C5BE6">
            <w:rPr>
              <w:rFonts w:ascii="Arial" w:hAnsi="Arial" w:cs="Arial"/>
            </w:rPr>
            <w:fldChar w:fldCharType="end"/>
          </w:r>
        </w:sdtContent>
      </w:sdt>
      <w:r w:rsidRPr="00E55C97">
        <w:rPr>
          <w:rFonts w:ascii="Arial" w:hAnsi="Arial" w:cs="Arial"/>
        </w:rPr>
        <w:t>. Musk’s vision for X involves integrating advanced technologies and redefining the platform’s role in the digital ecosystem. This style encourages employees to embrace new ideas and adapt to changes by focusing on long-term goals and the overarching purpose of the transformation. Transformational leadership is effective in driving change because it aligns employees’ personal goals with the organization's strategic objectives, thereby enhancing commitment and engagement.</w:t>
      </w:r>
    </w:p>
    <w:p w14:paraId="3D2F1234" w14:textId="77777777" w:rsidR="00E55C97" w:rsidRPr="00ED4E68" w:rsidRDefault="00E55C97" w:rsidP="00E55C97">
      <w:pPr>
        <w:rPr>
          <w:rFonts w:ascii="Arial" w:hAnsi="Arial" w:cs="Arial"/>
          <w:b/>
          <w:bCs/>
        </w:rPr>
      </w:pPr>
      <w:r w:rsidRPr="00ED4E68">
        <w:rPr>
          <w:rFonts w:ascii="Arial" w:hAnsi="Arial" w:cs="Arial"/>
          <w:b/>
          <w:bCs/>
        </w:rPr>
        <w:t>Transactional Leadership</w:t>
      </w:r>
    </w:p>
    <w:p w14:paraId="51DA1D45" w14:textId="04844FEE" w:rsidR="00E55C97" w:rsidRPr="00E55C97" w:rsidRDefault="00E55C97" w:rsidP="00E55C97">
      <w:pPr>
        <w:rPr>
          <w:rFonts w:ascii="Arial" w:hAnsi="Arial" w:cs="Arial"/>
        </w:rPr>
      </w:pPr>
      <w:r w:rsidRPr="00E55C97">
        <w:rPr>
          <w:rFonts w:ascii="Arial" w:hAnsi="Arial" w:cs="Arial"/>
        </w:rPr>
        <w:t>In contrast, transactional leadership focuses on maintaining stability and ensuring that day-to-day operations are carried out efficiently. This style involves setting clear goals, providing feedback, and rewarding performance based on predefined criteria. During the transformation process, transactional leadership can be useful for managing the practical aspects of implementing new systems and ensuring that employees meet specific performance standards. While it may not be as effective in inspiring innovation, transactional leadership helps maintain operational continuity and manage the implementation of changes on a granular level</w:t>
      </w:r>
      <w:r w:rsidR="00B87222">
        <w:rPr>
          <w:rFonts w:ascii="Arial" w:hAnsi="Arial" w:cs="Arial"/>
        </w:rPr>
        <w:t xml:space="preserve"> </w:t>
      </w:r>
      <w:sdt>
        <w:sdtPr>
          <w:rPr>
            <w:rFonts w:ascii="Arial" w:hAnsi="Arial" w:cs="Arial"/>
          </w:rPr>
          <w:id w:val="-1977284042"/>
          <w:citation/>
        </w:sdtPr>
        <w:sdtEndPr/>
        <w:sdtContent>
          <w:r w:rsidR="00DC5022">
            <w:rPr>
              <w:rFonts w:ascii="Arial" w:hAnsi="Arial" w:cs="Arial"/>
            </w:rPr>
            <w:fldChar w:fldCharType="begin"/>
          </w:r>
          <w:r w:rsidR="00DC5022">
            <w:rPr>
              <w:rFonts w:ascii="Arial" w:hAnsi="Arial" w:cs="Arial"/>
            </w:rPr>
            <w:instrText xml:space="preserve"> CITATION Zha24 \l 2057 </w:instrText>
          </w:r>
          <w:r w:rsidR="00DC5022">
            <w:rPr>
              <w:rFonts w:ascii="Arial" w:hAnsi="Arial" w:cs="Arial"/>
            </w:rPr>
            <w:fldChar w:fldCharType="separate"/>
          </w:r>
          <w:r w:rsidR="00DC5022" w:rsidRPr="00DC5022">
            <w:rPr>
              <w:rFonts w:ascii="Arial" w:hAnsi="Arial" w:cs="Arial"/>
              <w:noProof/>
            </w:rPr>
            <w:t>(Zhao, 2024)</w:t>
          </w:r>
          <w:r w:rsidR="00DC5022">
            <w:rPr>
              <w:rFonts w:ascii="Arial" w:hAnsi="Arial" w:cs="Arial"/>
            </w:rPr>
            <w:fldChar w:fldCharType="end"/>
          </w:r>
        </w:sdtContent>
      </w:sdt>
      <w:r w:rsidRPr="00E55C97">
        <w:rPr>
          <w:rFonts w:ascii="Arial" w:hAnsi="Arial" w:cs="Arial"/>
        </w:rPr>
        <w:t>.</w:t>
      </w:r>
    </w:p>
    <w:p w14:paraId="5511EC2C" w14:textId="77777777" w:rsidR="00E55C97" w:rsidRPr="00ED4E68" w:rsidRDefault="00E55C97" w:rsidP="00E55C97">
      <w:pPr>
        <w:rPr>
          <w:rFonts w:ascii="Arial" w:hAnsi="Arial" w:cs="Arial"/>
          <w:b/>
          <w:bCs/>
        </w:rPr>
      </w:pPr>
      <w:r w:rsidRPr="00ED4E68">
        <w:rPr>
          <w:rFonts w:ascii="Arial" w:hAnsi="Arial" w:cs="Arial"/>
          <w:b/>
          <w:bCs/>
        </w:rPr>
        <w:t>Situational Leadership</w:t>
      </w:r>
    </w:p>
    <w:p w14:paraId="2B9E3E02" w14:textId="5D741E3B" w:rsidR="00E55C97" w:rsidRPr="00E55C97" w:rsidRDefault="00E55C97" w:rsidP="00E55C97">
      <w:pPr>
        <w:rPr>
          <w:rFonts w:ascii="Arial" w:hAnsi="Arial" w:cs="Arial"/>
        </w:rPr>
      </w:pPr>
      <w:r w:rsidRPr="00E55C97">
        <w:rPr>
          <w:rFonts w:ascii="Arial" w:hAnsi="Arial" w:cs="Arial"/>
        </w:rPr>
        <w:t>Situational leadership involves adapting leadership styles based on the specific needs of the team and the context of the change. At X, this approach can be beneficial as the organization navigates various phases of transformation</w:t>
      </w:r>
      <w:r w:rsidR="004A3491">
        <w:rPr>
          <w:rFonts w:ascii="Arial" w:hAnsi="Arial" w:cs="Arial"/>
        </w:rPr>
        <w:t xml:space="preserve"> </w:t>
      </w:r>
      <w:sdt>
        <w:sdtPr>
          <w:rPr>
            <w:rFonts w:ascii="Arial" w:hAnsi="Arial" w:cs="Arial"/>
          </w:rPr>
          <w:id w:val="-283124100"/>
          <w:citation/>
        </w:sdtPr>
        <w:sdtEndPr/>
        <w:sdtContent>
          <w:r w:rsidR="004A3491">
            <w:rPr>
              <w:rFonts w:ascii="Arial" w:hAnsi="Arial" w:cs="Arial"/>
            </w:rPr>
            <w:fldChar w:fldCharType="begin"/>
          </w:r>
          <w:r w:rsidR="004A3491">
            <w:rPr>
              <w:rFonts w:ascii="Arial" w:hAnsi="Arial" w:cs="Arial"/>
            </w:rPr>
            <w:instrText xml:space="preserve"> CITATION Ega24 \l 2057 </w:instrText>
          </w:r>
          <w:r w:rsidR="004A3491">
            <w:rPr>
              <w:rFonts w:ascii="Arial" w:hAnsi="Arial" w:cs="Arial"/>
            </w:rPr>
            <w:fldChar w:fldCharType="separate"/>
          </w:r>
          <w:r w:rsidR="004A3491" w:rsidRPr="004A3491">
            <w:rPr>
              <w:rFonts w:ascii="Arial" w:hAnsi="Arial" w:cs="Arial"/>
              <w:noProof/>
            </w:rPr>
            <w:t>(Egan, 2024)</w:t>
          </w:r>
          <w:r w:rsidR="004A3491">
            <w:rPr>
              <w:rFonts w:ascii="Arial" w:hAnsi="Arial" w:cs="Arial"/>
            </w:rPr>
            <w:fldChar w:fldCharType="end"/>
          </w:r>
        </w:sdtContent>
      </w:sdt>
      <w:r w:rsidRPr="00E55C97">
        <w:rPr>
          <w:rFonts w:ascii="Arial" w:hAnsi="Arial" w:cs="Arial"/>
        </w:rPr>
        <w:t xml:space="preserve">. Leaders may need to shift between transformational, transactional, and other styles depending on the stage of the </w:t>
      </w:r>
      <w:r w:rsidRPr="00E55C97">
        <w:rPr>
          <w:rFonts w:ascii="Arial" w:hAnsi="Arial" w:cs="Arial"/>
        </w:rPr>
        <w:lastRenderedPageBreak/>
        <w:t>change process, the nature of the challenge, and the response of the employees. For instance, during initial phases of change, a transformational approach might be needed to build excitement and buy-in, while a more transactional approach may be appropriate for managing the implementation phase and ensuring adherence to new processes.</w:t>
      </w:r>
    </w:p>
    <w:p w14:paraId="077C95B9" w14:textId="37B1A6ED" w:rsidR="00E55C97" w:rsidRDefault="00E55C97" w:rsidP="00E55C97">
      <w:pPr>
        <w:rPr>
          <w:rFonts w:ascii="Arial" w:hAnsi="Arial" w:cs="Arial"/>
        </w:rPr>
      </w:pPr>
      <w:r w:rsidRPr="00E55C97">
        <w:rPr>
          <w:rFonts w:ascii="Arial" w:hAnsi="Arial" w:cs="Arial"/>
        </w:rPr>
        <w:t>In summary, a blend of transformational, transactional, and situational leadership styles is crucial for guiding Twitter’s transformation to X, addressing both the visionary and operational aspects of change management.</w:t>
      </w:r>
    </w:p>
    <w:p w14:paraId="1BEAF3EC" w14:textId="77777777" w:rsidR="00A32592" w:rsidRPr="00A32592" w:rsidRDefault="00A32592" w:rsidP="00A32592">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74950241"/>
      <w:r w:rsidRPr="00A3259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Organizational Culture Change at Twitter (X)</w:t>
      </w:r>
      <w:bookmarkEnd w:id="7"/>
    </w:p>
    <w:p w14:paraId="1F9C566A" w14:textId="5E54A9B3" w:rsidR="00A32592" w:rsidRPr="00A32592" w:rsidRDefault="00A32592" w:rsidP="00A32592">
      <w:pPr>
        <w:rPr>
          <w:rFonts w:ascii="Arial" w:hAnsi="Arial" w:cs="Arial"/>
        </w:rPr>
      </w:pPr>
      <w:r w:rsidRPr="00A32592">
        <w:rPr>
          <w:rFonts w:ascii="Arial" w:hAnsi="Arial" w:cs="Arial"/>
        </w:rPr>
        <w:t xml:space="preserve">Transforming Twitter into X involves significant shifts in organizational culture, which are crucial for the successful adoption of new strategies and technologies. Organizational culture encompasses the values, beliefs, and </w:t>
      </w:r>
      <w:r w:rsidR="005F4C3A" w:rsidRPr="00A32592">
        <w:rPr>
          <w:rFonts w:ascii="Arial" w:hAnsi="Arial" w:cs="Arial"/>
        </w:rPr>
        <w:t>behaviours</w:t>
      </w:r>
      <w:r w:rsidRPr="00A32592">
        <w:rPr>
          <w:rFonts w:ascii="Arial" w:hAnsi="Arial" w:cs="Arial"/>
        </w:rPr>
        <w:t xml:space="preserve"> that shape how employees interact and work together. For X, aligning the new cultural direction with the rebranding and strategic changes is essential for achieving desired outcomes</w:t>
      </w:r>
      <w:r w:rsidR="00797D22">
        <w:rPr>
          <w:rFonts w:ascii="Arial" w:hAnsi="Arial" w:cs="Arial"/>
        </w:rPr>
        <w:t xml:space="preserve"> </w:t>
      </w:r>
      <w:sdt>
        <w:sdtPr>
          <w:rPr>
            <w:rFonts w:ascii="Arial" w:hAnsi="Arial" w:cs="Arial"/>
          </w:rPr>
          <w:id w:val="-1543596179"/>
          <w:citation/>
        </w:sdtPr>
        <w:sdtEndPr/>
        <w:sdtContent>
          <w:r w:rsidR="00797D22">
            <w:rPr>
              <w:rFonts w:ascii="Arial" w:hAnsi="Arial" w:cs="Arial"/>
            </w:rPr>
            <w:fldChar w:fldCharType="begin"/>
          </w:r>
          <w:r w:rsidR="00797D22">
            <w:rPr>
              <w:rFonts w:ascii="Arial" w:hAnsi="Arial" w:cs="Arial"/>
            </w:rPr>
            <w:instrText xml:space="preserve"> CITATION Ben20 \l 2057 </w:instrText>
          </w:r>
          <w:r w:rsidR="00797D22">
            <w:rPr>
              <w:rFonts w:ascii="Arial" w:hAnsi="Arial" w:cs="Arial"/>
            </w:rPr>
            <w:fldChar w:fldCharType="separate"/>
          </w:r>
          <w:r w:rsidR="00797D22" w:rsidRPr="00797D22">
            <w:rPr>
              <w:rFonts w:ascii="Arial" w:hAnsi="Arial" w:cs="Arial"/>
              <w:noProof/>
            </w:rPr>
            <w:t>(Bendak, 2020)</w:t>
          </w:r>
          <w:r w:rsidR="00797D22">
            <w:rPr>
              <w:rFonts w:ascii="Arial" w:hAnsi="Arial" w:cs="Arial"/>
            </w:rPr>
            <w:fldChar w:fldCharType="end"/>
          </w:r>
        </w:sdtContent>
      </w:sdt>
      <w:r w:rsidRPr="00A32592">
        <w:rPr>
          <w:rFonts w:ascii="Arial" w:hAnsi="Arial" w:cs="Arial"/>
        </w:rPr>
        <w:t>.</w:t>
      </w:r>
    </w:p>
    <w:p w14:paraId="1C65BFE6" w14:textId="77777777" w:rsidR="00A32592" w:rsidRPr="00A32592" w:rsidRDefault="00A32592" w:rsidP="00A32592">
      <w:pPr>
        <w:rPr>
          <w:rFonts w:ascii="Arial" w:hAnsi="Arial" w:cs="Arial"/>
          <w:b/>
          <w:bCs/>
        </w:rPr>
      </w:pPr>
      <w:r w:rsidRPr="00A32592">
        <w:rPr>
          <w:rFonts w:ascii="Arial" w:hAnsi="Arial" w:cs="Arial"/>
          <w:b/>
          <w:bCs/>
        </w:rPr>
        <w:t>Embracing Innovation</w:t>
      </w:r>
    </w:p>
    <w:p w14:paraId="067F9FCB" w14:textId="1931863C" w:rsidR="00A32592" w:rsidRPr="00A32592" w:rsidRDefault="00A32592" w:rsidP="00A32592">
      <w:pPr>
        <w:rPr>
          <w:rFonts w:ascii="Arial" w:hAnsi="Arial" w:cs="Arial"/>
        </w:rPr>
      </w:pPr>
      <w:r w:rsidRPr="00A32592">
        <w:rPr>
          <w:rFonts w:ascii="Arial" w:hAnsi="Arial" w:cs="Arial"/>
        </w:rPr>
        <w:t xml:space="preserve">A key aspect of the cultural change at X is fostering an environment that embraces innovation. As the platform evolves to incorporate advanced technologies like AI and new business models, the culture must support experimentation and flexibility. This involves encouraging employees to explore new ideas, take calculated risks, and adapt to changes. A culture of innovation helps drive the transformation by aligning employee </w:t>
      </w:r>
      <w:r w:rsidR="0091533E" w:rsidRPr="00A32592">
        <w:rPr>
          <w:rFonts w:ascii="Arial" w:hAnsi="Arial" w:cs="Arial"/>
        </w:rPr>
        <w:t>behaviour</w:t>
      </w:r>
      <w:r w:rsidRPr="00A32592">
        <w:rPr>
          <w:rFonts w:ascii="Arial" w:hAnsi="Arial" w:cs="Arial"/>
        </w:rPr>
        <w:t xml:space="preserve"> with the strategic goals of integrating cutting-edge technologies and expanding the platform’s capabilities.</w:t>
      </w:r>
    </w:p>
    <w:p w14:paraId="52FF013E" w14:textId="77777777" w:rsidR="00A32592" w:rsidRPr="00A32592" w:rsidRDefault="00A32592" w:rsidP="00A32592">
      <w:pPr>
        <w:rPr>
          <w:rFonts w:ascii="Arial" w:hAnsi="Arial" w:cs="Arial"/>
          <w:b/>
          <w:bCs/>
        </w:rPr>
      </w:pPr>
      <w:r w:rsidRPr="00A32592">
        <w:rPr>
          <w:rFonts w:ascii="Arial" w:hAnsi="Arial" w:cs="Arial"/>
          <w:b/>
          <w:bCs/>
        </w:rPr>
        <w:t>Enhancing Communication</w:t>
      </w:r>
    </w:p>
    <w:p w14:paraId="1BDF81D1" w14:textId="77777777" w:rsidR="00A32592" w:rsidRPr="00A32592" w:rsidRDefault="00A32592" w:rsidP="00A32592">
      <w:pPr>
        <w:rPr>
          <w:rFonts w:ascii="Arial" w:hAnsi="Arial" w:cs="Arial"/>
        </w:rPr>
      </w:pPr>
      <w:r w:rsidRPr="00A32592">
        <w:rPr>
          <w:rFonts w:ascii="Arial" w:hAnsi="Arial" w:cs="Arial"/>
        </w:rPr>
        <w:t>Effective communication is another critical component of cultural change. At X, promoting open and transparent communication helps mitigate resistance and build trust. By clearly articulating the vision for the transformation and involving employees in the change process, the organization can ensure that staff members are well-informed and engaged. This open communication fosters a culture of collaboration and shared purpose, which is essential for navigating the complexities of the rebranding and technological advancements.</w:t>
      </w:r>
    </w:p>
    <w:p w14:paraId="25DC433D" w14:textId="77777777" w:rsidR="00A32592" w:rsidRPr="00A32592" w:rsidRDefault="00A32592" w:rsidP="00A32592">
      <w:pPr>
        <w:rPr>
          <w:rFonts w:ascii="Arial" w:hAnsi="Arial" w:cs="Arial"/>
          <w:b/>
          <w:bCs/>
        </w:rPr>
      </w:pPr>
      <w:r w:rsidRPr="00A32592">
        <w:rPr>
          <w:rFonts w:ascii="Arial" w:hAnsi="Arial" w:cs="Arial"/>
          <w:b/>
          <w:bCs/>
        </w:rPr>
        <w:t>Aligning Values and Practices</w:t>
      </w:r>
    </w:p>
    <w:p w14:paraId="52523771" w14:textId="0E0C4BA3" w:rsidR="00ED4E68" w:rsidRDefault="00A32592" w:rsidP="00A32592">
      <w:pPr>
        <w:rPr>
          <w:rFonts w:ascii="Arial" w:hAnsi="Arial" w:cs="Arial"/>
        </w:rPr>
      </w:pPr>
      <w:r w:rsidRPr="00A32592">
        <w:rPr>
          <w:rFonts w:ascii="Arial" w:hAnsi="Arial" w:cs="Arial"/>
        </w:rPr>
        <w:t xml:space="preserve">Finally, aligning organizational values with the new strategic direction is crucial. As X transitions to its new identity and objectives, it is important to integrate these values into everyday practices and decision-making processes. Reinforcing the new cultural norms through training, recognition, and leadership </w:t>
      </w:r>
      <w:proofErr w:type="spellStart"/>
      <w:r w:rsidRPr="00A32592">
        <w:rPr>
          <w:rFonts w:ascii="Arial" w:hAnsi="Arial" w:cs="Arial"/>
        </w:rPr>
        <w:t>behavior</w:t>
      </w:r>
      <w:proofErr w:type="spellEnd"/>
      <w:r w:rsidRPr="00A32592">
        <w:rPr>
          <w:rFonts w:ascii="Arial" w:hAnsi="Arial" w:cs="Arial"/>
        </w:rPr>
        <w:t xml:space="preserve"> helps solidify the transformation and ensures that the new direction is deeply embedded in the organizational culture.</w:t>
      </w:r>
    </w:p>
    <w:p w14:paraId="008D763F" w14:textId="66A025B8" w:rsidR="001303BC" w:rsidRPr="001303BC" w:rsidRDefault="001303BC" w:rsidP="001303BC">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174950242"/>
      <w:r w:rsidRPr="001303B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 Training for Twitter (X)</w:t>
      </w:r>
      <w:bookmarkEnd w:id="8"/>
    </w:p>
    <w:p w14:paraId="4DFE0030" w14:textId="05A70D02" w:rsidR="001303BC" w:rsidRPr="001303BC" w:rsidRDefault="001303BC" w:rsidP="001303BC">
      <w:pPr>
        <w:rPr>
          <w:rFonts w:ascii="Arial" w:hAnsi="Arial" w:cs="Arial"/>
        </w:rPr>
      </w:pPr>
      <w:r w:rsidRPr="001303BC">
        <w:rPr>
          <w:rFonts w:ascii="Arial" w:hAnsi="Arial" w:cs="Arial"/>
        </w:rPr>
        <w:t>Effective staff training is crucial for the successful transformation of Twitter into X, particularly as the company integrates new technologies and adopts a new strategic direction. A well-structured training program ensures that employees are equipped with the skills and knowledge needed to navigate the changes and perform their roles effectively</w:t>
      </w:r>
      <w:r w:rsidR="000F1980">
        <w:rPr>
          <w:rFonts w:ascii="Arial" w:hAnsi="Arial" w:cs="Arial"/>
        </w:rPr>
        <w:t xml:space="preserve"> </w:t>
      </w:r>
      <w:sdt>
        <w:sdtPr>
          <w:rPr>
            <w:rFonts w:ascii="Arial" w:hAnsi="Arial" w:cs="Arial"/>
          </w:rPr>
          <w:id w:val="121809424"/>
          <w:citation/>
        </w:sdtPr>
        <w:sdtEndPr/>
        <w:sdtContent>
          <w:r w:rsidR="000F1980">
            <w:rPr>
              <w:rFonts w:ascii="Arial" w:hAnsi="Arial" w:cs="Arial"/>
            </w:rPr>
            <w:fldChar w:fldCharType="begin"/>
          </w:r>
          <w:r w:rsidR="000F1980">
            <w:rPr>
              <w:rFonts w:ascii="Arial" w:hAnsi="Arial" w:cs="Arial"/>
            </w:rPr>
            <w:instrText xml:space="preserve"> CITATION Rei24 \l 2057 </w:instrText>
          </w:r>
          <w:r w:rsidR="000F1980">
            <w:rPr>
              <w:rFonts w:ascii="Arial" w:hAnsi="Arial" w:cs="Arial"/>
            </w:rPr>
            <w:fldChar w:fldCharType="separate"/>
          </w:r>
          <w:r w:rsidR="000F1980" w:rsidRPr="000F1980">
            <w:rPr>
              <w:rFonts w:ascii="Arial" w:hAnsi="Arial" w:cs="Arial"/>
              <w:noProof/>
            </w:rPr>
            <w:t>(Reisberger, 2024)</w:t>
          </w:r>
          <w:r w:rsidR="000F1980">
            <w:rPr>
              <w:rFonts w:ascii="Arial" w:hAnsi="Arial" w:cs="Arial"/>
            </w:rPr>
            <w:fldChar w:fldCharType="end"/>
          </w:r>
        </w:sdtContent>
      </w:sdt>
      <w:r w:rsidRPr="001303BC">
        <w:rPr>
          <w:rFonts w:ascii="Arial" w:hAnsi="Arial" w:cs="Arial"/>
        </w:rPr>
        <w:t>.</w:t>
      </w:r>
    </w:p>
    <w:p w14:paraId="62BE3C88" w14:textId="77777777" w:rsidR="00DE2D47" w:rsidRDefault="00DE2D47" w:rsidP="001303BC">
      <w:pPr>
        <w:rPr>
          <w:rFonts w:ascii="Arial" w:hAnsi="Arial" w:cs="Arial"/>
          <w:b/>
          <w:bCs/>
        </w:rPr>
      </w:pPr>
    </w:p>
    <w:p w14:paraId="24CCF3F4" w14:textId="77777777" w:rsidR="00DE2D47" w:rsidRDefault="00DE2D47" w:rsidP="001303BC">
      <w:pPr>
        <w:rPr>
          <w:rFonts w:ascii="Arial" w:hAnsi="Arial" w:cs="Arial"/>
          <w:b/>
          <w:bCs/>
        </w:rPr>
      </w:pPr>
    </w:p>
    <w:p w14:paraId="306C1D88" w14:textId="37251615" w:rsidR="001303BC" w:rsidRPr="001303BC" w:rsidRDefault="001303BC" w:rsidP="001303BC">
      <w:pPr>
        <w:rPr>
          <w:rFonts w:ascii="Arial" w:hAnsi="Arial" w:cs="Arial"/>
          <w:b/>
          <w:bCs/>
        </w:rPr>
      </w:pPr>
      <w:r w:rsidRPr="001303BC">
        <w:rPr>
          <w:rFonts w:ascii="Arial" w:hAnsi="Arial" w:cs="Arial"/>
          <w:b/>
          <w:bCs/>
        </w:rPr>
        <w:t>Focus Areas for Training</w:t>
      </w:r>
    </w:p>
    <w:p w14:paraId="3EB5A5C0" w14:textId="77777777" w:rsidR="001303BC" w:rsidRPr="001303BC" w:rsidRDefault="001303BC" w:rsidP="001303BC">
      <w:pPr>
        <w:rPr>
          <w:rFonts w:ascii="Arial" w:hAnsi="Arial" w:cs="Arial"/>
        </w:rPr>
      </w:pPr>
      <w:r w:rsidRPr="001303BC">
        <w:rPr>
          <w:rFonts w:ascii="Arial" w:hAnsi="Arial" w:cs="Arial"/>
        </w:rPr>
        <w:t>Technology Integration: With X's focus on incorporating advanced technologies such as AI and new payment systems, training must cover the technical aspects of these innovations. Employees need to understand how to use new tools, manage system updates, and troubleshoot issues. Hands-on training sessions, workshops, and e-learning modules can facilitate this learning.</w:t>
      </w:r>
    </w:p>
    <w:p w14:paraId="187CCBD7" w14:textId="77777777" w:rsidR="001303BC" w:rsidRPr="001303BC" w:rsidRDefault="001303BC" w:rsidP="001303BC">
      <w:pPr>
        <w:rPr>
          <w:rFonts w:ascii="Arial" w:hAnsi="Arial" w:cs="Arial"/>
        </w:rPr>
      </w:pPr>
      <w:r w:rsidRPr="001303BC">
        <w:rPr>
          <w:rFonts w:ascii="Arial" w:hAnsi="Arial" w:cs="Arial"/>
        </w:rPr>
        <w:t>Adapting to New Processes: The rebranding and strategic shifts will introduce new workflows and procedures. Training programs should address changes in daily operations, new processes, and revised roles and responsibilities. Providing clear, step-by-step guides and practical exercises helps employees adapt to these new processes efficiently.</w:t>
      </w:r>
    </w:p>
    <w:p w14:paraId="7A5877F2" w14:textId="77777777" w:rsidR="001303BC" w:rsidRPr="001303BC" w:rsidRDefault="001303BC" w:rsidP="001303BC">
      <w:pPr>
        <w:rPr>
          <w:rFonts w:ascii="Arial" w:hAnsi="Arial" w:cs="Arial"/>
        </w:rPr>
      </w:pPr>
      <w:r w:rsidRPr="001303BC">
        <w:rPr>
          <w:rFonts w:ascii="Arial" w:hAnsi="Arial" w:cs="Arial"/>
        </w:rPr>
        <w:t>Change Management Skills: Equipping employees with change management skills is essential for fostering a culture of adaptability. Training should include strategies for managing personal resistance to change, understanding the rationale behind transformations, and actively contributing to the implementation process.</w:t>
      </w:r>
    </w:p>
    <w:p w14:paraId="75C3E39B" w14:textId="77777777" w:rsidR="001303BC" w:rsidRPr="003F6A8F" w:rsidRDefault="001303BC" w:rsidP="001303BC">
      <w:pPr>
        <w:rPr>
          <w:rFonts w:ascii="Arial" w:hAnsi="Arial" w:cs="Arial"/>
          <w:b/>
          <w:bCs/>
        </w:rPr>
      </w:pPr>
      <w:r w:rsidRPr="003F6A8F">
        <w:rPr>
          <w:rFonts w:ascii="Arial" w:hAnsi="Arial" w:cs="Arial"/>
          <w:b/>
          <w:bCs/>
        </w:rPr>
        <w:t>Implementation and Support</w:t>
      </w:r>
    </w:p>
    <w:p w14:paraId="31BC2AA7" w14:textId="76FFABBD" w:rsidR="00C87335" w:rsidRDefault="001303BC" w:rsidP="001303BC">
      <w:pPr>
        <w:rPr>
          <w:rFonts w:ascii="Arial" w:hAnsi="Arial" w:cs="Arial"/>
        </w:rPr>
      </w:pPr>
      <w:r w:rsidRPr="001303BC">
        <w:rPr>
          <w:rFonts w:ascii="Arial" w:hAnsi="Arial" w:cs="Arial"/>
        </w:rPr>
        <w:t>Effective training involves not only initial instruction but also ongoing support. Providing access to resources such as help desks, online FAQs, and refresher courses ensures that employees have continuous support as they adjust to new systems and processes. Regular feedback and evaluation of training effectiveness help identify areas for improvement and ensure that the training remains relevant and impactful.</w:t>
      </w:r>
    </w:p>
    <w:p w14:paraId="6DBDDCA4" w14:textId="77777777" w:rsidR="00525E46" w:rsidRPr="00762626" w:rsidRDefault="00525E46" w:rsidP="00762626">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174950243"/>
      <w:r w:rsidRPr="00762626">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Plan for Twitter (X)</w:t>
      </w:r>
      <w:bookmarkEnd w:id="9"/>
    </w:p>
    <w:p w14:paraId="27C668B4" w14:textId="77777777" w:rsidR="00525E46" w:rsidRPr="00525E46" w:rsidRDefault="00525E46" w:rsidP="00525E46">
      <w:pPr>
        <w:rPr>
          <w:rFonts w:ascii="Arial" w:hAnsi="Arial" w:cs="Arial"/>
        </w:rPr>
      </w:pPr>
      <w:r w:rsidRPr="00525E46">
        <w:rPr>
          <w:rFonts w:ascii="Arial" w:hAnsi="Arial" w:cs="Arial"/>
        </w:rPr>
        <w:t>A robust communication plan is essential for the successful transformation of Twitter into X. Clear and consistent communication ensures that all stakeholders are informed, engaged, and supportive of the changes. The plan should address internal communication with employees, as well as external communication with users and partners.</w:t>
      </w:r>
    </w:p>
    <w:p w14:paraId="2E890274" w14:textId="77777777" w:rsidR="00525E46" w:rsidRPr="00762626" w:rsidRDefault="00525E46" w:rsidP="00525E46">
      <w:pPr>
        <w:rPr>
          <w:rFonts w:ascii="Arial" w:hAnsi="Arial" w:cs="Arial"/>
          <w:b/>
          <w:bCs/>
        </w:rPr>
      </w:pPr>
      <w:r w:rsidRPr="00762626">
        <w:rPr>
          <w:rFonts w:ascii="Arial" w:hAnsi="Arial" w:cs="Arial"/>
          <w:b/>
          <w:bCs/>
        </w:rPr>
        <w:t>Internal Communication</w:t>
      </w:r>
    </w:p>
    <w:p w14:paraId="592FE5F2" w14:textId="77777777" w:rsidR="00525E46" w:rsidRPr="00525E46" w:rsidRDefault="00525E46" w:rsidP="00525E46">
      <w:pPr>
        <w:rPr>
          <w:rFonts w:ascii="Arial" w:hAnsi="Arial" w:cs="Arial"/>
        </w:rPr>
      </w:pPr>
      <w:r w:rsidRPr="00525E46">
        <w:rPr>
          <w:rFonts w:ascii="Arial" w:hAnsi="Arial" w:cs="Arial"/>
        </w:rPr>
        <w:t>Vision and Objectives: Communicate the overarching vision for the rebranding and strategic shifts clearly and frequently. Use multiple channels, such as company-wide emails, intranet updates, and town hall meetings, to ensure that the message reaches all employees. Emphasize how the changes align with the company’s goals and their impact on daily operations.</w:t>
      </w:r>
    </w:p>
    <w:p w14:paraId="06F1F1A6" w14:textId="77777777" w:rsidR="00525E46" w:rsidRPr="00525E46" w:rsidRDefault="00525E46" w:rsidP="00525E46">
      <w:pPr>
        <w:rPr>
          <w:rFonts w:ascii="Arial" w:hAnsi="Arial" w:cs="Arial"/>
        </w:rPr>
      </w:pPr>
      <w:r w:rsidRPr="00525E46">
        <w:rPr>
          <w:rFonts w:ascii="Arial" w:hAnsi="Arial" w:cs="Arial"/>
        </w:rPr>
        <w:t>Feedback Mechanisms: Establish channels for employees to provide feedback and ask questions about the transformation. Regularly review and address concerns through surveys, focus groups, and Q&amp;A sessions. This engagement helps in managing resistance and fostering a supportive environment.</w:t>
      </w:r>
    </w:p>
    <w:p w14:paraId="0AD0128C" w14:textId="77777777" w:rsidR="00525E46" w:rsidRPr="00525E46" w:rsidRDefault="00525E46" w:rsidP="00525E46">
      <w:pPr>
        <w:rPr>
          <w:rFonts w:ascii="Arial" w:hAnsi="Arial" w:cs="Arial"/>
        </w:rPr>
      </w:pPr>
    </w:p>
    <w:p w14:paraId="6B6442E6" w14:textId="369ED45E" w:rsidR="00525E46" w:rsidRPr="00525E46" w:rsidRDefault="00525E46" w:rsidP="00525E46">
      <w:pPr>
        <w:rPr>
          <w:rFonts w:ascii="Arial" w:hAnsi="Arial" w:cs="Arial"/>
        </w:rPr>
      </w:pPr>
      <w:r w:rsidRPr="00525E46">
        <w:rPr>
          <w:rFonts w:ascii="Arial" w:hAnsi="Arial" w:cs="Arial"/>
        </w:rPr>
        <w:t>Training and Updates: Ensure that employees are kept informed about training opportunities and updates related to new technologies and processes. Regular newsletters and briefings can help keep staff informed about progress and next steps</w:t>
      </w:r>
      <w:r w:rsidR="008A76E2">
        <w:rPr>
          <w:rFonts w:ascii="Arial" w:hAnsi="Arial" w:cs="Arial"/>
        </w:rPr>
        <w:t xml:space="preserve"> </w:t>
      </w:r>
      <w:sdt>
        <w:sdtPr>
          <w:rPr>
            <w:rFonts w:ascii="Arial" w:hAnsi="Arial" w:cs="Arial"/>
          </w:rPr>
          <w:id w:val="-1071270553"/>
          <w:citation/>
        </w:sdtPr>
        <w:sdtContent>
          <w:r w:rsidR="008A76E2">
            <w:rPr>
              <w:rFonts w:ascii="Arial" w:hAnsi="Arial" w:cs="Arial"/>
            </w:rPr>
            <w:fldChar w:fldCharType="begin"/>
          </w:r>
          <w:r w:rsidR="008A76E2">
            <w:rPr>
              <w:rFonts w:ascii="Arial" w:hAnsi="Arial" w:cs="Arial"/>
            </w:rPr>
            <w:instrText xml:space="preserve"> CITATION Kit02 \l 2057 </w:instrText>
          </w:r>
          <w:r w:rsidR="008A76E2">
            <w:rPr>
              <w:rFonts w:ascii="Arial" w:hAnsi="Arial" w:cs="Arial"/>
            </w:rPr>
            <w:fldChar w:fldCharType="separate"/>
          </w:r>
          <w:r w:rsidR="008A76E2" w:rsidRPr="008A76E2">
            <w:rPr>
              <w:rFonts w:ascii="Arial" w:hAnsi="Arial" w:cs="Arial"/>
              <w:noProof/>
            </w:rPr>
            <w:t>(Kitchen, 2002)</w:t>
          </w:r>
          <w:r w:rsidR="008A76E2">
            <w:rPr>
              <w:rFonts w:ascii="Arial" w:hAnsi="Arial" w:cs="Arial"/>
            </w:rPr>
            <w:fldChar w:fldCharType="end"/>
          </w:r>
        </w:sdtContent>
      </w:sdt>
      <w:r w:rsidRPr="00525E46">
        <w:rPr>
          <w:rFonts w:ascii="Arial" w:hAnsi="Arial" w:cs="Arial"/>
        </w:rPr>
        <w:t>.</w:t>
      </w:r>
    </w:p>
    <w:p w14:paraId="51829FFA" w14:textId="77777777" w:rsidR="00DE2D47" w:rsidRDefault="00DE2D47" w:rsidP="00525E46">
      <w:pPr>
        <w:rPr>
          <w:rFonts w:ascii="Arial" w:hAnsi="Arial" w:cs="Arial"/>
          <w:b/>
          <w:bCs/>
        </w:rPr>
      </w:pPr>
    </w:p>
    <w:p w14:paraId="06DFADCF" w14:textId="77777777" w:rsidR="00DE2D47" w:rsidRDefault="00DE2D47" w:rsidP="00525E46">
      <w:pPr>
        <w:rPr>
          <w:rFonts w:ascii="Arial" w:hAnsi="Arial" w:cs="Arial"/>
          <w:b/>
          <w:bCs/>
        </w:rPr>
      </w:pPr>
    </w:p>
    <w:p w14:paraId="180E990F" w14:textId="1B402532" w:rsidR="00525E46" w:rsidRPr="00762626" w:rsidRDefault="00525E46" w:rsidP="00525E46">
      <w:pPr>
        <w:rPr>
          <w:rFonts w:ascii="Arial" w:hAnsi="Arial" w:cs="Arial"/>
          <w:b/>
          <w:bCs/>
        </w:rPr>
      </w:pPr>
      <w:r w:rsidRPr="00762626">
        <w:rPr>
          <w:rFonts w:ascii="Arial" w:hAnsi="Arial" w:cs="Arial"/>
          <w:b/>
          <w:bCs/>
        </w:rPr>
        <w:t>External Communication</w:t>
      </w:r>
    </w:p>
    <w:p w14:paraId="031291BF" w14:textId="77777777" w:rsidR="00525E46" w:rsidRPr="00525E46" w:rsidRDefault="00525E46" w:rsidP="00525E46">
      <w:pPr>
        <w:rPr>
          <w:rFonts w:ascii="Arial" w:hAnsi="Arial" w:cs="Arial"/>
        </w:rPr>
      </w:pPr>
      <w:r w:rsidRPr="00525E46">
        <w:rPr>
          <w:rFonts w:ascii="Arial" w:hAnsi="Arial" w:cs="Arial"/>
        </w:rPr>
        <w:t>User Communication: Inform users about significant changes, such as new features or updates, through blog posts, social media announcements, and in-app notifications. Clearly explain the benefits of these changes and how they will enhance user experience.</w:t>
      </w:r>
    </w:p>
    <w:p w14:paraId="68BD9DD6" w14:textId="77777777" w:rsidR="00525E46" w:rsidRPr="00525E46" w:rsidRDefault="00525E46" w:rsidP="00525E46">
      <w:pPr>
        <w:rPr>
          <w:rFonts w:ascii="Arial" w:hAnsi="Arial" w:cs="Arial"/>
        </w:rPr>
      </w:pPr>
      <w:r w:rsidRPr="00525E46">
        <w:rPr>
          <w:rFonts w:ascii="Arial" w:hAnsi="Arial" w:cs="Arial"/>
        </w:rPr>
        <w:t>Partner Relations: Communicate with business partners and stakeholders about the transformation and its implications. Provide regular updates and detailed information to ensure that partners are aligned with the new strategic direction and can adapt accordingly.</w:t>
      </w:r>
    </w:p>
    <w:p w14:paraId="1EE9F322" w14:textId="0F471185" w:rsidR="003F6A8F" w:rsidRDefault="00525E46" w:rsidP="00525E46">
      <w:pPr>
        <w:rPr>
          <w:rFonts w:ascii="Arial" w:hAnsi="Arial" w:cs="Arial"/>
        </w:rPr>
      </w:pPr>
      <w:r w:rsidRPr="00525E46">
        <w:rPr>
          <w:rFonts w:ascii="Arial" w:hAnsi="Arial" w:cs="Arial"/>
        </w:rPr>
        <w:t xml:space="preserve">In </w:t>
      </w:r>
      <w:r w:rsidR="006E2C93">
        <w:rPr>
          <w:rFonts w:ascii="Arial" w:hAnsi="Arial" w:cs="Arial"/>
        </w:rPr>
        <w:t>conclusion</w:t>
      </w:r>
      <w:r w:rsidRPr="00525E46">
        <w:rPr>
          <w:rFonts w:ascii="Arial" w:hAnsi="Arial" w:cs="Arial"/>
        </w:rPr>
        <w:t>, a comprehensive communication plan for X involves clear messaging, regular updates, and effective feedback mechanisms for both internal and external stakeholders to support a smooth and successful transformation</w:t>
      </w:r>
      <w:r w:rsidR="00E61677">
        <w:rPr>
          <w:rFonts w:ascii="Arial" w:hAnsi="Arial" w:cs="Arial"/>
        </w:rPr>
        <w:t xml:space="preserve"> </w:t>
      </w:r>
      <w:sdt>
        <w:sdtPr>
          <w:rPr>
            <w:rFonts w:ascii="Arial" w:hAnsi="Arial" w:cs="Arial"/>
          </w:rPr>
          <w:id w:val="214087484"/>
          <w:citation/>
        </w:sdtPr>
        <w:sdtContent>
          <w:r w:rsidR="00A21662">
            <w:rPr>
              <w:rFonts w:ascii="Arial" w:hAnsi="Arial" w:cs="Arial"/>
            </w:rPr>
            <w:fldChar w:fldCharType="begin"/>
          </w:r>
          <w:r w:rsidR="00A21662">
            <w:rPr>
              <w:rFonts w:ascii="Arial" w:hAnsi="Arial" w:cs="Arial"/>
            </w:rPr>
            <w:instrText xml:space="preserve"> CITATION Viv05 \l 2057 </w:instrText>
          </w:r>
          <w:r w:rsidR="00A21662">
            <w:rPr>
              <w:rFonts w:ascii="Arial" w:hAnsi="Arial" w:cs="Arial"/>
            </w:rPr>
            <w:fldChar w:fldCharType="separate"/>
          </w:r>
          <w:r w:rsidR="00A21662" w:rsidRPr="00A21662">
            <w:rPr>
              <w:rFonts w:ascii="Arial" w:hAnsi="Arial" w:cs="Arial"/>
              <w:noProof/>
            </w:rPr>
            <w:t>(Vivian Pair, 2005)</w:t>
          </w:r>
          <w:r w:rsidR="00A21662">
            <w:rPr>
              <w:rFonts w:ascii="Arial" w:hAnsi="Arial" w:cs="Arial"/>
            </w:rPr>
            <w:fldChar w:fldCharType="end"/>
          </w:r>
        </w:sdtContent>
      </w:sdt>
      <w:r w:rsidRPr="00525E46">
        <w:rPr>
          <w:rFonts w:ascii="Arial" w:hAnsi="Arial" w:cs="Arial"/>
        </w:rPr>
        <w:t>.</w:t>
      </w:r>
    </w:p>
    <w:p w14:paraId="45158D75" w14:textId="77777777" w:rsidR="00B8173D" w:rsidRPr="00B8173D" w:rsidRDefault="00B8173D" w:rsidP="00B8173D">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174950244"/>
      <w:r w:rsidRPr="00B8173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 Plan for Twitter (X)</w:t>
      </w:r>
      <w:bookmarkEnd w:id="10"/>
    </w:p>
    <w:p w14:paraId="66E09C51" w14:textId="77777777" w:rsidR="00B8173D" w:rsidRPr="00B8173D" w:rsidRDefault="00B8173D" w:rsidP="00B8173D">
      <w:pPr>
        <w:rPr>
          <w:rFonts w:ascii="Arial" w:hAnsi="Arial" w:cs="Arial"/>
        </w:rPr>
      </w:pPr>
      <w:r w:rsidRPr="00B8173D">
        <w:rPr>
          <w:rFonts w:ascii="Arial" w:hAnsi="Arial" w:cs="Arial"/>
        </w:rPr>
        <w:t>An effective evaluation plan is crucial for assessing the success of Twitter's transformation into X. This plan should include key performance indicators (KPIs), regular assessments, and feedback mechanisms.</w:t>
      </w:r>
    </w:p>
    <w:p w14:paraId="2719DD8C" w14:textId="77777777" w:rsidR="00B8173D" w:rsidRPr="001068C3" w:rsidRDefault="00B8173D" w:rsidP="00B8173D">
      <w:pPr>
        <w:rPr>
          <w:rFonts w:ascii="Arial" w:hAnsi="Arial" w:cs="Arial"/>
          <w:b/>
          <w:bCs/>
        </w:rPr>
      </w:pPr>
      <w:r w:rsidRPr="001068C3">
        <w:rPr>
          <w:rFonts w:ascii="Arial" w:hAnsi="Arial" w:cs="Arial"/>
          <w:b/>
          <w:bCs/>
        </w:rPr>
        <w:t>Key Performance Indicators (KPIs)</w:t>
      </w:r>
    </w:p>
    <w:p w14:paraId="265516F5" w14:textId="77777777" w:rsidR="00B8173D" w:rsidRPr="00B8173D" w:rsidRDefault="00B8173D" w:rsidP="00B8173D">
      <w:pPr>
        <w:rPr>
          <w:rFonts w:ascii="Arial" w:hAnsi="Arial" w:cs="Arial"/>
        </w:rPr>
      </w:pPr>
      <w:r w:rsidRPr="00B8173D">
        <w:rPr>
          <w:rFonts w:ascii="Arial" w:hAnsi="Arial" w:cs="Arial"/>
        </w:rPr>
        <w:t>Establish KPIs to measure the impact of the transformation on both operational efficiency and user satisfaction. Relevant KPIs might include user engagement metrics, system performance indicators, and employee adoption rates for new technologies.</w:t>
      </w:r>
    </w:p>
    <w:p w14:paraId="2861CB42" w14:textId="77777777" w:rsidR="00B8173D" w:rsidRPr="001068C3" w:rsidRDefault="00B8173D" w:rsidP="00B8173D">
      <w:pPr>
        <w:rPr>
          <w:rFonts w:ascii="Arial" w:hAnsi="Arial" w:cs="Arial"/>
          <w:b/>
          <w:bCs/>
        </w:rPr>
      </w:pPr>
      <w:r w:rsidRPr="001068C3">
        <w:rPr>
          <w:rFonts w:ascii="Arial" w:hAnsi="Arial" w:cs="Arial"/>
          <w:b/>
          <w:bCs/>
        </w:rPr>
        <w:t>Regular Assessments</w:t>
      </w:r>
    </w:p>
    <w:p w14:paraId="4ABF75D9" w14:textId="77777777" w:rsidR="00B8173D" w:rsidRPr="00B8173D" w:rsidRDefault="00B8173D" w:rsidP="00B8173D">
      <w:pPr>
        <w:rPr>
          <w:rFonts w:ascii="Arial" w:hAnsi="Arial" w:cs="Arial"/>
        </w:rPr>
      </w:pPr>
      <w:r w:rsidRPr="00B8173D">
        <w:rPr>
          <w:rFonts w:ascii="Arial" w:hAnsi="Arial" w:cs="Arial"/>
        </w:rPr>
        <w:t>Conduct periodic evaluations to review progress against KPIs. Use surveys, performance reports, and analytics tools to assess whether the transformation goals are being met. These assessments should be scheduled at regular intervals, such as quarterly or bi-annually.</w:t>
      </w:r>
    </w:p>
    <w:p w14:paraId="0AAE6225" w14:textId="77777777" w:rsidR="00B8173D" w:rsidRPr="001068C3" w:rsidRDefault="00B8173D" w:rsidP="00B8173D">
      <w:pPr>
        <w:rPr>
          <w:rFonts w:ascii="Arial" w:hAnsi="Arial" w:cs="Arial"/>
          <w:b/>
          <w:bCs/>
        </w:rPr>
      </w:pPr>
      <w:r w:rsidRPr="001068C3">
        <w:rPr>
          <w:rFonts w:ascii="Arial" w:hAnsi="Arial" w:cs="Arial"/>
          <w:b/>
          <w:bCs/>
        </w:rPr>
        <w:t>Feedback Mechanisms</w:t>
      </w:r>
    </w:p>
    <w:p w14:paraId="6C912E66" w14:textId="088B3489" w:rsidR="006E2C93" w:rsidRDefault="00B8173D" w:rsidP="00B8173D">
      <w:pPr>
        <w:rPr>
          <w:rFonts w:ascii="Arial" w:hAnsi="Arial" w:cs="Arial"/>
        </w:rPr>
      </w:pPr>
      <w:r w:rsidRPr="00B8173D">
        <w:rPr>
          <w:rFonts w:ascii="Arial" w:hAnsi="Arial" w:cs="Arial"/>
        </w:rPr>
        <w:t xml:space="preserve">Implement feedback channels to gather insights from employees and users about the changes. </w:t>
      </w:r>
      <w:r w:rsidR="001068C3" w:rsidRPr="00B8173D">
        <w:rPr>
          <w:rFonts w:ascii="Arial" w:hAnsi="Arial" w:cs="Arial"/>
        </w:rPr>
        <w:t>Analyse</w:t>
      </w:r>
      <w:r w:rsidRPr="00B8173D">
        <w:rPr>
          <w:rFonts w:ascii="Arial" w:hAnsi="Arial" w:cs="Arial"/>
        </w:rPr>
        <w:t xml:space="preserve"> this feedback to identify areas for improvement and make necessary adjustments to strategies and processes</w:t>
      </w:r>
      <w:r w:rsidR="00696049">
        <w:rPr>
          <w:rFonts w:ascii="Arial" w:hAnsi="Arial" w:cs="Arial"/>
        </w:rPr>
        <w:t xml:space="preserve"> </w:t>
      </w:r>
      <w:sdt>
        <w:sdtPr>
          <w:rPr>
            <w:rFonts w:ascii="Arial" w:hAnsi="Arial" w:cs="Arial"/>
          </w:rPr>
          <w:id w:val="-2041421561"/>
          <w:citation/>
        </w:sdtPr>
        <w:sdtContent>
          <w:r w:rsidR="00696049">
            <w:rPr>
              <w:rFonts w:ascii="Arial" w:hAnsi="Arial" w:cs="Arial"/>
            </w:rPr>
            <w:fldChar w:fldCharType="begin"/>
          </w:r>
          <w:r w:rsidR="00696049">
            <w:rPr>
              <w:rFonts w:ascii="Arial" w:hAnsi="Arial" w:cs="Arial"/>
            </w:rPr>
            <w:instrText xml:space="preserve"> CITATION Nas23 \l 2057 </w:instrText>
          </w:r>
          <w:r w:rsidR="00696049">
            <w:rPr>
              <w:rFonts w:ascii="Arial" w:hAnsi="Arial" w:cs="Arial"/>
            </w:rPr>
            <w:fldChar w:fldCharType="separate"/>
          </w:r>
          <w:r w:rsidR="00696049" w:rsidRPr="00696049">
            <w:rPr>
              <w:rFonts w:ascii="Arial" w:hAnsi="Arial" w:cs="Arial"/>
              <w:noProof/>
            </w:rPr>
            <w:t>(Naser Pourazad, 2023)</w:t>
          </w:r>
          <w:r w:rsidR="00696049">
            <w:rPr>
              <w:rFonts w:ascii="Arial" w:hAnsi="Arial" w:cs="Arial"/>
            </w:rPr>
            <w:fldChar w:fldCharType="end"/>
          </w:r>
        </w:sdtContent>
      </w:sdt>
      <w:r w:rsidRPr="00B8173D">
        <w:rPr>
          <w:rFonts w:ascii="Arial" w:hAnsi="Arial" w:cs="Arial"/>
        </w:rPr>
        <w:t>.</w:t>
      </w:r>
    </w:p>
    <w:p w14:paraId="0E0DB759" w14:textId="77777777" w:rsidR="001068C3" w:rsidRDefault="001068C3" w:rsidP="00B8173D">
      <w:pPr>
        <w:rPr>
          <w:rFonts w:ascii="Arial" w:hAnsi="Arial" w:cs="Arial"/>
        </w:rPr>
      </w:pPr>
    </w:p>
    <w:p w14:paraId="7201CB73" w14:textId="77777777" w:rsidR="007A5F84" w:rsidRPr="007A5F84" w:rsidRDefault="007A5F84" w:rsidP="007A5F84">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174950245"/>
      <w:r w:rsidRPr="007A5F84">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 and Conclusion</w:t>
      </w:r>
      <w:bookmarkEnd w:id="11"/>
    </w:p>
    <w:p w14:paraId="49E700F9" w14:textId="77777777" w:rsidR="007A5F84" w:rsidRPr="007A5F84" w:rsidRDefault="007A5F84" w:rsidP="007A5F84">
      <w:pPr>
        <w:rPr>
          <w:rFonts w:ascii="Arial" w:hAnsi="Arial" w:cs="Arial"/>
          <w:b/>
          <w:bCs/>
        </w:rPr>
      </w:pPr>
      <w:r w:rsidRPr="007A5F84">
        <w:rPr>
          <w:rFonts w:ascii="Arial" w:hAnsi="Arial" w:cs="Arial"/>
          <w:b/>
          <w:bCs/>
        </w:rPr>
        <w:t>Recommendations</w:t>
      </w:r>
    </w:p>
    <w:p w14:paraId="3E1D3696" w14:textId="77777777" w:rsidR="007A5F84" w:rsidRPr="007A5F84" w:rsidRDefault="007A5F84" w:rsidP="007A5F84">
      <w:pPr>
        <w:rPr>
          <w:rFonts w:ascii="Arial" w:hAnsi="Arial" w:cs="Arial"/>
        </w:rPr>
      </w:pPr>
      <w:r w:rsidRPr="007A5F84">
        <w:rPr>
          <w:rFonts w:ascii="Arial" w:hAnsi="Arial" w:cs="Arial"/>
        </w:rPr>
        <w:t>Strengthen Internal Communication: To enhance the success of the transformation, Twitter (X) should bolster internal communication by implementing regular updates, feedback sessions, and interactive forums. Ensuring that employees are well-informed and engaged will help mitigate resistance and foster a supportive environment.</w:t>
      </w:r>
    </w:p>
    <w:p w14:paraId="52C4B49D" w14:textId="77777777" w:rsidR="007A5F84" w:rsidRPr="007A5F84" w:rsidRDefault="007A5F84" w:rsidP="007A5F84">
      <w:pPr>
        <w:rPr>
          <w:rFonts w:ascii="Arial" w:hAnsi="Arial" w:cs="Arial"/>
        </w:rPr>
      </w:pPr>
      <w:r w:rsidRPr="007A5F84">
        <w:rPr>
          <w:rFonts w:ascii="Arial" w:hAnsi="Arial" w:cs="Arial"/>
        </w:rPr>
        <w:t>Invest in Comprehensive Training: A robust training program is essential for equipping employees with the skills necessary to adapt to new technologies and processes. This program should include hands-on training, ongoing support, and clear instructional materials to ensure effective integration and application of new tools.</w:t>
      </w:r>
    </w:p>
    <w:p w14:paraId="60B27A43" w14:textId="77777777" w:rsidR="007A5F84" w:rsidRPr="007A5F84" w:rsidRDefault="007A5F84" w:rsidP="007A5F84">
      <w:pPr>
        <w:rPr>
          <w:rFonts w:ascii="Arial" w:hAnsi="Arial" w:cs="Arial"/>
        </w:rPr>
      </w:pPr>
      <w:r w:rsidRPr="007A5F84">
        <w:rPr>
          <w:rFonts w:ascii="Arial" w:hAnsi="Arial" w:cs="Arial"/>
        </w:rPr>
        <w:lastRenderedPageBreak/>
        <w:t>Foster a Culture of Innovation: As X integrates advanced technologies and new business models, cultivating a culture of innovation will be crucial. Encouraging experimentation, supporting creative thinking, and aligning organizational values with the new strategic direction will drive employee engagement and support for the transformation.</w:t>
      </w:r>
    </w:p>
    <w:p w14:paraId="1041FF6F" w14:textId="0D274A90" w:rsidR="007A5F84" w:rsidRPr="007A5F84" w:rsidRDefault="007A5F84" w:rsidP="007A5F84">
      <w:pPr>
        <w:rPr>
          <w:rFonts w:ascii="Arial" w:hAnsi="Arial" w:cs="Arial"/>
        </w:rPr>
      </w:pPr>
      <w:r w:rsidRPr="007A5F84">
        <w:rPr>
          <w:rFonts w:ascii="Arial" w:hAnsi="Arial" w:cs="Arial"/>
        </w:rPr>
        <w:t xml:space="preserve">Implement a Feedback-Driven Approach: Establish strong feedback mechanisms to gather insights from employees and users. Regularly </w:t>
      </w:r>
      <w:r w:rsidR="004C5BE5" w:rsidRPr="007A5F84">
        <w:rPr>
          <w:rFonts w:ascii="Arial" w:hAnsi="Arial" w:cs="Arial"/>
        </w:rPr>
        <w:t>analyse</w:t>
      </w:r>
      <w:r w:rsidRPr="007A5F84">
        <w:rPr>
          <w:rFonts w:ascii="Arial" w:hAnsi="Arial" w:cs="Arial"/>
        </w:rPr>
        <w:t xml:space="preserve"> this feedback to address concerns, make necessary adjustments, and continuously improve the transformation process.</w:t>
      </w:r>
    </w:p>
    <w:p w14:paraId="4EF10F47" w14:textId="77777777" w:rsidR="007A5F84" w:rsidRPr="007A5F84" w:rsidRDefault="007A5F84" w:rsidP="007A5F84">
      <w:pPr>
        <w:rPr>
          <w:rFonts w:ascii="Arial" w:hAnsi="Arial" w:cs="Arial"/>
        </w:rPr>
      </w:pPr>
    </w:p>
    <w:p w14:paraId="10E3FB5A" w14:textId="77777777" w:rsidR="007A5F84" w:rsidRPr="007A5F84" w:rsidRDefault="007A5F84" w:rsidP="007A5F84">
      <w:pPr>
        <w:rPr>
          <w:rFonts w:ascii="Arial" w:hAnsi="Arial" w:cs="Arial"/>
          <w:b/>
          <w:bCs/>
        </w:rPr>
      </w:pPr>
      <w:r w:rsidRPr="007A5F84">
        <w:rPr>
          <w:rFonts w:ascii="Arial" w:hAnsi="Arial" w:cs="Arial"/>
          <w:b/>
          <w:bCs/>
        </w:rPr>
        <w:t>Conclusion</w:t>
      </w:r>
    </w:p>
    <w:p w14:paraId="5575290B" w14:textId="152E5608" w:rsidR="007A5F84" w:rsidRDefault="007A5F84" w:rsidP="007A5F84">
      <w:pPr>
        <w:rPr>
          <w:rFonts w:ascii="Arial" w:hAnsi="Arial" w:cs="Arial"/>
        </w:rPr>
      </w:pPr>
      <w:r w:rsidRPr="007A5F84">
        <w:rPr>
          <w:rFonts w:ascii="Arial" w:hAnsi="Arial" w:cs="Arial"/>
        </w:rPr>
        <w:t>The transformation of Twitter into X represents a significant shift in strategy, technology, and organizational culture. By focusing on strengthening internal communication, investing in comprehensive training, fostering a culture of innovation, and implementing a feedback-driven approach, X can navigate the complexities of this transition successfully. A well-executed transformation plan that addresses these areas will position X to achieve its strategic goals, enhance user experience, and maintain operational excellence in a rapidly evolving digital landscape.</w:t>
      </w:r>
    </w:p>
    <w:p w14:paraId="26E6918D" w14:textId="77777777" w:rsidR="00A32592" w:rsidRPr="00776027" w:rsidRDefault="00A32592" w:rsidP="00A32592">
      <w:pPr>
        <w:rPr>
          <w:rFonts w:ascii="Arial" w:hAnsi="Arial" w:cs="Arial"/>
        </w:rPr>
      </w:pPr>
    </w:p>
    <w:p w14:paraId="35519C20" w14:textId="77777777" w:rsidR="00691EDC" w:rsidRDefault="00691EDC" w:rsidP="00691EDC"/>
    <w:p w14:paraId="2A139726" w14:textId="77777777" w:rsidR="00696049" w:rsidRDefault="00696049" w:rsidP="00691EDC"/>
    <w:p w14:paraId="58107441" w14:textId="77777777" w:rsidR="00696049" w:rsidRDefault="00696049" w:rsidP="00691EDC"/>
    <w:p w14:paraId="23F89B0E" w14:textId="77777777" w:rsidR="00696049" w:rsidRDefault="00696049" w:rsidP="00691EDC"/>
    <w:p w14:paraId="128A5109" w14:textId="77777777" w:rsidR="00696049" w:rsidRDefault="00696049" w:rsidP="00691EDC"/>
    <w:p w14:paraId="212A5DC9" w14:textId="77777777" w:rsidR="00696049" w:rsidRDefault="00696049" w:rsidP="00691EDC"/>
    <w:p w14:paraId="096CE150" w14:textId="77777777" w:rsidR="00696049" w:rsidRDefault="00696049" w:rsidP="00691EDC"/>
    <w:p w14:paraId="436EA8D7" w14:textId="77777777" w:rsidR="00696049" w:rsidRDefault="00696049" w:rsidP="00691EDC"/>
    <w:p w14:paraId="28C65627" w14:textId="77777777" w:rsidR="00696049" w:rsidRDefault="00696049" w:rsidP="00691EDC"/>
    <w:p w14:paraId="52924D5D" w14:textId="77777777" w:rsidR="00696049" w:rsidRDefault="00696049" w:rsidP="00691EDC"/>
    <w:p w14:paraId="392AFD43" w14:textId="77777777" w:rsidR="00696049" w:rsidRDefault="00696049" w:rsidP="00691EDC"/>
    <w:p w14:paraId="3A30B61C" w14:textId="77777777" w:rsidR="00696049" w:rsidRDefault="00696049" w:rsidP="00691EDC"/>
    <w:p w14:paraId="6630E2F4" w14:textId="77777777" w:rsidR="00696049" w:rsidRDefault="00696049" w:rsidP="00691EDC"/>
    <w:p w14:paraId="45601975" w14:textId="77777777" w:rsidR="00696049" w:rsidRDefault="00696049" w:rsidP="00691EDC"/>
    <w:p w14:paraId="0792D3EC" w14:textId="77777777" w:rsidR="00696049" w:rsidRDefault="00696049" w:rsidP="00691EDC"/>
    <w:p w14:paraId="64FCEBD2" w14:textId="77777777" w:rsidR="00696049" w:rsidRDefault="00696049" w:rsidP="00691EDC"/>
    <w:p w14:paraId="68510650" w14:textId="77777777" w:rsidR="00696049" w:rsidRDefault="00696049" w:rsidP="00691EDC"/>
    <w:p w14:paraId="58498977" w14:textId="77777777" w:rsidR="00696049" w:rsidRDefault="00696049" w:rsidP="00691EDC"/>
    <w:bookmarkStart w:id="12" w:name="_Toc174950246" w:displacedByCustomXml="next"/>
    <w:sdt>
      <w:sdtPr>
        <w:id w:val="-1731060721"/>
        <w:docPartObj>
          <w:docPartGallery w:val="Bibliographies"/>
          <w:docPartUnique/>
        </w:docPartObj>
      </w:sdtPr>
      <w:sdtEndPr>
        <w:rPr>
          <w:rFonts w:asciiTheme="minorHAnsi" w:eastAsiaTheme="minorHAnsi" w:hAnsiTheme="minorHAnsi" w:cstheme="minorBidi"/>
          <w:color w:val="auto"/>
          <w:sz w:val="22"/>
          <w:szCs w:val="22"/>
        </w:rPr>
      </w:sdtEndPr>
      <w:sdtContent>
        <w:p w14:paraId="16B2B962" w14:textId="7BF6F6DF" w:rsidR="00696049" w:rsidRDefault="00696049">
          <w:pPr>
            <w:pStyle w:val="Heading1"/>
          </w:pPr>
          <w:r>
            <w:t>References</w:t>
          </w:r>
          <w:bookmarkEnd w:id="12"/>
        </w:p>
        <w:sdt>
          <w:sdtPr>
            <w:id w:val="-573587230"/>
            <w:bibliography/>
          </w:sdtPr>
          <w:sdtContent>
            <w:p w14:paraId="38CD08A8" w14:textId="77777777" w:rsidR="00696049" w:rsidRDefault="00696049" w:rsidP="00696049">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Abocejo, F. T., 2021. Change Management Process in a Mining Company: Kotter’s 8-Step Change Model. </w:t>
              </w:r>
              <w:r>
                <w:rPr>
                  <w:i/>
                  <w:iCs/>
                  <w:noProof/>
                </w:rPr>
                <w:t xml:space="preserve">Journal of Management, Economics, and Industrial Organization, </w:t>
              </w:r>
              <w:r>
                <w:rPr>
                  <w:noProof/>
                </w:rPr>
                <w:t>5(3).</w:t>
              </w:r>
            </w:p>
            <w:p w14:paraId="2CD1DC84" w14:textId="77777777" w:rsidR="00696049" w:rsidRDefault="00696049" w:rsidP="00696049">
              <w:pPr>
                <w:pStyle w:val="Bibliography"/>
                <w:rPr>
                  <w:noProof/>
                </w:rPr>
              </w:pPr>
              <w:r>
                <w:rPr>
                  <w:noProof/>
                </w:rPr>
                <w:t xml:space="preserve">Akshay Java, X. S. T. F. B. T., 2007. Why we twitter: understanding microblogging usage and communities. </w:t>
              </w:r>
              <w:r>
                <w:rPr>
                  <w:i/>
                  <w:iCs/>
                  <w:noProof/>
                </w:rPr>
                <w:t xml:space="preserve">Proceedings of the 9th WebKDD and 1st SNA-KDD 2007 Conference, </w:t>
              </w:r>
              <w:r>
                <w:rPr>
                  <w:noProof/>
                </w:rPr>
                <w:t>pp. 56-65.</w:t>
              </w:r>
            </w:p>
            <w:p w14:paraId="0A05725F" w14:textId="77777777" w:rsidR="00696049" w:rsidRDefault="00696049" w:rsidP="00696049">
              <w:pPr>
                <w:pStyle w:val="Bibliography"/>
                <w:rPr>
                  <w:noProof/>
                </w:rPr>
              </w:pPr>
              <w:r>
                <w:rPr>
                  <w:noProof/>
                </w:rPr>
                <w:t xml:space="preserve">Ansar Abbas, F. S. D. E. R. M. F., 2023. A Strategic Paradigm for Transformational Leadership Theory in the Digital Age: Scope of the Analytical Third. </w:t>
              </w:r>
              <w:r>
                <w:rPr>
                  <w:i/>
                  <w:iCs/>
                  <w:noProof/>
                </w:rPr>
                <w:t xml:space="preserve">Transformational Leadership Styles for Global Leaders: Management and Communication Strategies, </w:t>
              </w:r>
              <w:r>
                <w:rPr>
                  <w:noProof/>
                </w:rPr>
                <w:t>p. 20.</w:t>
              </w:r>
            </w:p>
            <w:p w14:paraId="0E0165C1" w14:textId="77777777" w:rsidR="00696049" w:rsidRDefault="00696049" w:rsidP="00696049">
              <w:pPr>
                <w:pStyle w:val="Bibliography"/>
                <w:rPr>
                  <w:noProof/>
                </w:rPr>
              </w:pPr>
              <w:r>
                <w:rPr>
                  <w:noProof/>
                </w:rPr>
                <w:t xml:space="preserve">Bendak, S. S. A. M. A.-R. R. H. &amp;. A. L., 2020. How changing organizational culture can enhance innovation: Development of the innovative culture enhancement framework. </w:t>
              </w:r>
              <w:r>
                <w:rPr>
                  <w:i/>
                  <w:iCs/>
                  <w:noProof/>
                </w:rPr>
                <w:t xml:space="preserve">Cogent Business &amp; Management, </w:t>
              </w:r>
              <w:r>
                <w:rPr>
                  <w:noProof/>
                </w:rPr>
                <w:t>7(1).</w:t>
              </w:r>
            </w:p>
            <w:p w14:paraId="66A95C47" w14:textId="77777777" w:rsidR="00696049" w:rsidRDefault="00696049" w:rsidP="00696049">
              <w:pPr>
                <w:pStyle w:val="Bibliography"/>
                <w:rPr>
                  <w:noProof/>
                </w:rPr>
              </w:pPr>
              <w:r>
                <w:rPr>
                  <w:noProof/>
                </w:rPr>
                <w:t xml:space="preserve">Burnes, B., 2020. The Origins of Lewin’s Three-Step Model of Change. </w:t>
              </w:r>
              <w:r>
                <w:rPr>
                  <w:i/>
                  <w:iCs/>
                  <w:noProof/>
                </w:rPr>
                <w:t xml:space="preserve">The Journal of Applied Behavioral Science, </w:t>
              </w:r>
              <w:r>
                <w:rPr>
                  <w:noProof/>
                </w:rPr>
                <w:t>56(1), pp. 32-59.</w:t>
              </w:r>
            </w:p>
            <w:p w14:paraId="0A45EE5B" w14:textId="77777777" w:rsidR="00696049" w:rsidRDefault="00696049" w:rsidP="00696049">
              <w:pPr>
                <w:pStyle w:val="Bibliography"/>
                <w:rPr>
                  <w:noProof/>
                </w:rPr>
              </w:pPr>
              <w:r>
                <w:rPr>
                  <w:noProof/>
                </w:rPr>
                <w:t xml:space="preserve">Cano-Marin, E., 2023. Twitter as a predictive system: A systematic literature review. </w:t>
              </w:r>
              <w:r>
                <w:rPr>
                  <w:i/>
                  <w:iCs/>
                  <w:noProof/>
                </w:rPr>
                <w:t xml:space="preserve">Journal of Business Research, </w:t>
              </w:r>
              <w:r>
                <w:rPr>
                  <w:noProof/>
                </w:rPr>
                <w:t>Volume 156.</w:t>
              </w:r>
            </w:p>
            <w:p w14:paraId="37D5D560" w14:textId="77777777" w:rsidR="00696049" w:rsidRDefault="00696049" w:rsidP="00696049">
              <w:pPr>
                <w:pStyle w:val="Bibliography"/>
                <w:rPr>
                  <w:noProof/>
                </w:rPr>
              </w:pPr>
              <w:r>
                <w:rPr>
                  <w:noProof/>
                </w:rPr>
                <w:t xml:space="preserve">Cuervo Carabel, T., Arce García, S. &amp; Orviz Martínez, N., 2023. Corporate social responsibility and its communication on Twitter: analysis of the discourse and feelings generated in society. </w:t>
              </w:r>
              <w:r>
                <w:rPr>
                  <w:i/>
                  <w:iCs/>
                  <w:noProof/>
                </w:rPr>
                <w:t xml:space="preserve">Cuadernos de Gestión, </w:t>
              </w:r>
              <w:r>
                <w:rPr>
                  <w:noProof/>
                </w:rPr>
                <w:t>23(1), pp. 63-73.</w:t>
              </w:r>
            </w:p>
            <w:p w14:paraId="2167A62F" w14:textId="77777777" w:rsidR="00696049" w:rsidRDefault="00696049" w:rsidP="00696049">
              <w:pPr>
                <w:pStyle w:val="Bibliography"/>
                <w:rPr>
                  <w:noProof/>
                </w:rPr>
              </w:pPr>
              <w:r>
                <w:rPr>
                  <w:noProof/>
                </w:rPr>
                <w:t xml:space="preserve">Egan, J. D., 2024. Situational Leadership Role-Play and Debrief: An Exploration of Useful Components and Limitations. </w:t>
              </w:r>
              <w:r>
                <w:rPr>
                  <w:i/>
                  <w:iCs/>
                  <w:noProof/>
                </w:rPr>
                <w:t xml:space="preserve">Management Teaching Review, </w:t>
              </w:r>
              <w:r>
                <w:rPr>
                  <w:noProof/>
                </w:rPr>
                <w:t>9(2), pp. 129-146.</w:t>
              </w:r>
            </w:p>
            <w:p w14:paraId="205F188A" w14:textId="77777777" w:rsidR="00696049" w:rsidRDefault="00696049" w:rsidP="00696049">
              <w:pPr>
                <w:pStyle w:val="Bibliography"/>
                <w:rPr>
                  <w:noProof/>
                </w:rPr>
              </w:pPr>
              <w:r>
                <w:rPr>
                  <w:noProof/>
                </w:rPr>
                <w:t xml:space="preserve">Hanwei, Z., 2023. Twitter 's Corporate Strategy Analysis - Based on SWOT-PEST Model. </w:t>
              </w:r>
              <w:r>
                <w:rPr>
                  <w:i/>
                  <w:iCs/>
                  <w:noProof/>
                </w:rPr>
                <w:t xml:space="preserve">The 2023 International Symposium on Economic, Social Development and Trade, </w:t>
              </w:r>
              <w:r>
                <w:rPr>
                  <w:noProof/>
                </w:rPr>
                <w:t>6(1).</w:t>
              </w:r>
            </w:p>
            <w:p w14:paraId="7B3D3A33" w14:textId="77777777" w:rsidR="00696049" w:rsidRDefault="00696049" w:rsidP="00696049">
              <w:pPr>
                <w:pStyle w:val="Bibliography"/>
                <w:rPr>
                  <w:noProof/>
                </w:rPr>
              </w:pPr>
              <w:r>
                <w:rPr>
                  <w:noProof/>
                </w:rPr>
                <w:t xml:space="preserve">Jaarona, A. A., 2022. A conceptual model for adoption of BIM in construction projects: ADKAR as an integrative model of change management. </w:t>
              </w:r>
              <w:r>
                <w:rPr>
                  <w:i/>
                  <w:iCs/>
                  <w:noProof/>
                </w:rPr>
                <w:t xml:space="preserve">Technology Analysis &amp; Strategic Management, </w:t>
              </w:r>
              <w:r>
                <w:rPr>
                  <w:noProof/>
                </w:rPr>
                <w:t>34(6), pp. 655-667.</w:t>
              </w:r>
            </w:p>
            <w:p w14:paraId="76EEAF15" w14:textId="77777777" w:rsidR="00696049" w:rsidRDefault="00696049" w:rsidP="00696049">
              <w:pPr>
                <w:pStyle w:val="Bibliography"/>
                <w:rPr>
                  <w:noProof/>
                </w:rPr>
              </w:pPr>
              <w:r>
                <w:rPr>
                  <w:noProof/>
                </w:rPr>
                <w:t xml:space="preserve">Jia, Q., 2022. An overall analysis of twitter and Elon Musk M&amp;A deal. </w:t>
              </w:r>
              <w:r>
                <w:rPr>
                  <w:i/>
                  <w:iCs/>
                  <w:noProof/>
                </w:rPr>
                <w:t xml:space="preserve">Highlights in Business, Economics and Management, </w:t>
              </w:r>
              <w:r>
                <w:rPr>
                  <w:noProof/>
                </w:rPr>
                <w:t>Volume 2.</w:t>
              </w:r>
            </w:p>
            <w:p w14:paraId="3DBFC2DF" w14:textId="77777777" w:rsidR="00696049" w:rsidRDefault="00696049" w:rsidP="00696049">
              <w:pPr>
                <w:pStyle w:val="Bibliography"/>
                <w:rPr>
                  <w:noProof/>
                </w:rPr>
              </w:pPr>
              <w:r>
                <w:rPr>
                  <w:noProof/>
                </w:rPr>
                <w:t xml:space="preserve">Kitchen, P. a. D. F., 2002. Internal communication during change management. </w:t>
              </w:r>
              <w:r>
                <w:rPr>
                  <w:i/>
                  <w:iCs/>
                  <w:noProof/>
                </w:rPr>
                <w:t xml:space="preserve">Corporate Communications: An International Journal, </w:t>
              </w:r>
              <w:r>
                <w:rPr>
                  <w:noProof/>
                </w:rPr>
                <w:t>7(1), pp. 46-53.</w:t>
              </w:r>
            </w:p>
            <w:p w14:paraId="00A3C3CD" w14:textId="77777777" w:rsidR="00696049" w:rsidRDefault="00696049" w:rsidP="00696049">
              <w:pPr>
                <w:pStyle w:val="Bibliography"/>
                <w:rPr>
                  <w:noProof/>
                </w:rPr>
              </w:pPr>
              <w:r>
                <w:rPr>
                  <w:noProof/>
                </w:rPr>
                <w:t xml:space="preserve">Kumar, P. N. a. V., 2023. Decision analytics for competitive advantage: cases on using social media analytics. </w:t>
              </w:r>
              <w:r>
                <w:rPr>
                  <w:i/>
                  <w:iCs/>
                  <w:noProof/>
                </w:rPr>
                <w:t xml:space="preserve">Inderscience, </w:t>
              </w:r>
              <w:r>
                <w:rPr>
                  <w:noProof/>
                </w:rPr>
                <w:t>23(4).</w:t>
              </w:r>
            </w:p>
            <w:p w14:paraId="259B3A55" w14:textId="77777777" w:rsidR="00696049" w:rsidRDefault="00696049" w:rsidP="00696049">
              <w:pPr>
                <w:pStyle w:val="Bibliography"/>
                <w:rPr>
                  <w:noProof/>
                </w:rPr>
              </w:pPr>
              <w:r>
                <w:rPr>
                  <w:noProof/>
                </w:rPr>
                <w:t xml:space="preserve">Meyer, C. B. &amp;. S. I. G., 2023. Amplify or Suppress? Top Leader Perspective on External Stakeholders’ Influence on Organizational Change Outcomes.. </w:t>
              </w:r>
              <w:r>
                <w:rPr>
                  <w:i/>
                  <w:iCs/>
                  <w:noProof/>
                </w:rPr>
                <w:t xml:space="preserve">The Journal of Applied Behavioral Science, </w:t>
              </w:r>
              <w:r>
                <w:rPr>
                  <w:noProof/>
                </w:rPr>
                <w:t>59(4), pp. 647-686.</w:t>
              </w:r>
            </w:p>
            <w:p w14:paraId="4F19A4D2" w14:textId="77777777" w:rsidR="00696049" w:rsidRDefault="00696049" w:rsidP="00696049">
              <w:pPr>
                <w:pStyle w:val="Bibliography"/>
                <w:rPr>
                  <w:noProof/>
                </w:rPr>
              </w:pPr>
              <w:r>
                <w:rPr>
                  <w:noProof/>
                </w:rPr>
                <w:t xml:space="preserve">Naser Pourazad, L. S. S. N., 2023. A Comparison of Social Media Influencers’ KPI Patterns across Platforms.. </w:t>
              </w:r>
              <w:r>
                <w:rPr>
                  <w:i/>
                  <w:iCs/>
                  <w:noProof/>
                </w:rPr>
                <w:t xml:space="preserve">Exploring Differences in Followers and Engagement On Facebook, Instagram, YouTube, TikTok, and Twitter, </w:t>
              </w:r>
              <w:r>
                <w:rPr>
                  <w:noProof/>
                </w:rPr>
                <w:t>63(2).</w:t>
              </w:r>
            </w:p>
            <w:p w14:paraId="25D4FEBE" w14:textId="77777777" w:rsidR="00696049" w:rsidRDefault="00696049" w:rsidP="00696049">
              <w:pPr>
                <w:pStyle w:val="Bibliography"/>
                <w:rPr>
                  <w:noProof/>
                </w:rPr>
              </w:pPr>
              <w:r>
                <w:rPr>
                  <w:noProof/>
                </w:rPr>
                <w:lastRenderedPageBreak/>
                <w:t xml:space="preserve">Nitin Pangarkar, R. P., 2024. Using Porter's Five Forces analysis to drive strategy. </w:t>
              </w:r>
              <w:r>
                <w:rPr>
                  <w:i/>
                  <w:iCs/>
                  <w:noProof/>
                </w:rPr>
                <w:t xml:space="preserve">Global Business and Organizational Excellence , </w:t>
              </w:r>
              <w:r>
                <w:rPr>
                  <w:noProof/>
                </w:rPr>
                <w:t>43(5), pp. 24-34.</w:t>
              </w:r>
            </w:p>
            <w:p w14:paraId="773D9723" w14:textId="77777777" w:rsidR="00696049" w:rsidRDefault="00696049" w:rsidP="00696049">
              <w:pPr>
                <w:pStyle w:val="Bibliography"/>
                <w:rPr>
                  <w:noProof/>
                </w:rPr>
              </w:pPr>
              <w:r>
                <w:rPr>
                  <w:noProof/>
                </w:rPr>
                <w:t xml:space="preserve">Patuelli, A. S. F., 2023. Sustainable development goals as unifying narratives in large UK firms’ Twitter discussions. </w:t>
              </w:r>
              <w:r>
                <w:rPr>
                  <w:i/>
                  <w:iCs/>
                  <w:noProof/>
                </w:rPr>
                <w:t>Scientific Reports.</w:t>
              </w:r>
            </w:p>
            <w:p w14:paraId="10DC0AEF" w14:textId="77777777" w:rsidR="00696049" w:rsidRDefault="00696049" w:rsidP="00696049">
              <w:pPr>
                <w:pStyle w:val="Bibliography"/>
                <w:rPr>
                  <w:noProof/>
                </w:rPr>
              </w:pPr>
              <w:r>
                <w:rPr>
                  <w:noProof/>
                </w:rPr>
                <w:t xml:space="preserve">Reisberger, T. R. P. C. L. e. a., 2024. The Linkage Between Digital Transformation and Organizational Culture: Novel Machine Learning Literature Review Based on Latent Dirichlet Allocation. </w:t>
              </w:r>
              <w:r>
                <w:rPr>
                  <w:i/>
                  <w:iCs/>
                  <w:noProof/>
                </w:rPr>
                <w:t>Journal of the Knowledge Economy .</w:t>
              </w:r>
            </w:p>
            <w:p w14:paraId="649C37FB" w14:textId="77777777" w:rsidR="00696049" w:rsidRDefault="00696049" w:rsidP="00696049">
              <w:pPr>
                <w:pStyle w:val="Bibliography"/>
                <w:rPr>
                  <w:noProof/>
                </w:rPr>
              </w:pPr>
              <w:r>
                <w:rPr>
                  <w:noProof/>
                </w:rPr>
                <w:t xml:space="preserve">Turan Paksoy, M. A. G., 2023. Overall competitiveness efficiency: A quantitative approach to the five forces model. </w:t>
              </w:r>
              <w:r>
                <w:rPr>
                  <w:i/>
                  <w:iCs/>
                  <w:noProof/>
                </w:rPr>
                <w:t xml:space="preserve">Computers &amp; Industrial Engineering, </w:t>
              </w:r>
              <w:r>
                <w:rPr>
                  <w:noProof/>
                </w:rPr>
                <w:t>Volume 182.</w:t>
              </w:r>
            </w:p>
            <w:p w14:paraId="581C8B1F" w14:textId="77777777" w:rsidR="00696049" w:rsidRDefault="00696049" w:rsidP="00696049">
              <w:pPr>
                <w:pStyle w:val="Bibliography"/>
                <w:rPr>
                  <w:noProof/>
                </w:rPr>
              </w:pPr>
              <w:r>
                <w:rPr>
                  <w:noProof/>
                </w:rPr>
                <w:t xml:space="preserve">Vaishali Ugale, S. P., 2015. PESTLE BASED EVENT DETECTION AND CLASSIFICATION. </w:t>
              </w:r>
              <w:r>
                <w:rPr>
                  <w:i/>
                  <w:iCs/>
                  <w:noProof/>
                </w:rPr>
                <w:t xml:space="preserve">International Journal of Research in Engineering and Technology, </w:t>
              </w:r>
              <w:r>
                <w:rPr>
                  <w:noProof/>
                </w:rPr>
                <w:t>4(5), pp. 611-616.</w:t>
              </w:r>
            </w:p>
            <w:p w14:paraId="5A121687" w14:textId="77777777" w:rsidR="00696049" w:rsidRDefault="00696049" w:rsidP="00696049">
              <w:pPr>
                <w:pStyle w:val="Bibliography"/>
                <w:rPr>
                  <w:noProof/>
                </w:rPr>
              </w:pPr>
              <w:r>
                <w:rPr>
                  <w:noProof/>
                </w:rPr>
                <w:t xml:space="preserve">Vivian Pair, D. B., 2005. Internal and external communication and collaboration: building a strong help desk environment. </w:t>
              </w:r>
              <w:r>
                <w:rPr>
                  <w:i/>
                  <w:iCs/>
                  <w:noProof/>
                </w:rPr>
                <w:t xml:space="preserve">Association for Computing Machinery, </w:t>
              </w:r>
              <w:r>
                <w:rPr>
                  <w:noProof/>
                </w:rPr>
                <w:t>pp. 305 - 309.</w:t>
              </w:r>
            </w:p>
            <w:p w14:paraId="02F712F6" w14:textId="77777777" w:rsidR="00696049" w:rsidRDefault="00696049" w:rsidP="00696049">
              <w:pPr>
                <w:pStyle w:val="Bibliography"/>
                <w:rPr>
                  <w:noProof/>
                </w:rPr>
              </w:pPr>
              <w:r>
                <w:rPr>
                  <w:noProof/>
                </w:rPr>
                <w:t xml:space="preserve">Zhao, W. &amp;. S. X. M., 2024. The influence of transactional leadership style on employees’ innovation ability. </w:t>
              </w:r>
              <w:r>
                <w:rPr>
                  <w:i/>
                  <w:iCs/>
                  <w:noProof/>
                </w:rPr>
                <w:t xml:space="preserve">Nurture, </w:t>
              </w:r>
              <w:r>
                <w:rPr>
                  <w:noProof/>
                </w:rPr>
                <w:t>18(1), p. 139–160.</w:t>
              </w:r>
            </w:p>
            <w:p w14:paraId="617E99CD" w14:textId="17539139" w:rsidR="00696049" w:rsidRDefault="00696049" w:rsidP="00696049">
              <w:r>
                <w:rPr>
                  <w:b/>
                  <w:bCs/>
                  <w:noProof/>
                </w:rPr>
                <w:fldChar w:fldCharType="end"/>
              </w:r>
            </w:p>
          </w:sdtContent>
        </w:sdt>
      </w:sdtContent>
    </w:sdt>
    <w:p w14:paraId="57BA1512" w14:textId="77777777" w:rsidR="00696049" w:rsidRPr="00691EDC" w:rsidRDefault="00696049" w:rsidP="00691EDC"/>
    <w:sectPr w:rsidR="00696049" w:rsidRPr="00691E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915"/>
    <w:rsid w:val="000132B9"/>
    <w:rsid w:val="0003761E"/>
    <w:rsid w:val="000505C6"/>
    <w:rsid w:val="00066FF5"/>
    <w:rsid w:val="000906C1"/>
    <w:rsid w:val="00095AAC"/>
    <w:rsid w:val="000C3CE4"/>
    <w:rsid w:val="000F1980"/>
    <w:rsid w:val="001068C3"/>
    <w:rsid w:val="001303BC"/>
    <w:rsid w:val="00131BBA"/>
    <w:rsid w:val="001639E0"/>
    <w:rsid w:val="00172DE7"/>
    <w:rsid w:val="001B12AD"/>
    <w:rsid w:val="001D1FE8"/>
    <w:rsid w:val="001E19F7"/>
    <w:rsid w:val="00237322"/>
    <w:rsid w:val="00242248"/>
    <w:rsid w:val="00257A7E"/>
    <w:rsid w:val="00274C95"/>
    <w:rsid w:val="002856B8"/>
    <w:rsid w:val="002B3D4F"/>
    <w:rsid w:val="00314A77"/>
    <w:rsid w:val="0032586B"/>
    <w:rsid w:val="0033370B"/>
    <w:rsid w:val="00357643"/>
    <w:rsid w:val="00360347"/>
    <w:rsid w:val="003B3FA1"/>
    <w:rsid w:val="003F1689"/>
    <w:rsid w:val="003F6A8F"/>
    <w:rsid w:val="00436BCD"/>
    <w:rsid w:val="00450498"/>
    <w:rsid w:val="00484D78"/>
    <w:rsid w:val="004908C3"/>
    <w:rsid w:val="004A3491"/>
    <w:rsid w:val="004B57BE"/>
    <w:rsid w:val="004C5BE5"/>
    <w:rsid w:val="004F0F6A"/>
    <w:rsid w:val="00525E46"/>
    <w:rsid w:val="005331CF"/>
    <w:rsid w:val="00566599"/>
    <w:rsid w:val="005B44D7"/>
    <w:rsid w:val="005D546F"/>
    <w:rsid w:val="005F4C3A"/>
    <w:rsid w:val="006308C6"/>
    <w:rsid w:val="0065078C"/>
    <w:rsid w:val="00691EDC"/>
    <w:rsid w:val="00696049"/>
    <w:rsid w:val="006A1BA3"/>
    <w:rsid w:val="006D302C"/>
    <w:rsid w:val="006E2C93"/>
    <w:rsid w:val="006E4915"/>
    <w:rsid w:val="00724E3B"/>
    <w:rsid w:val="00740949"/>
    <w:rsid w:val="007548D2"/>
    <w:rsid w:val="00762626"/>
    <w:rsid w:val="00763B12"/>
    <w:rsid w:val="00763F68"/>
    <w:rsid w:val="00776027"/>
    <w:rsid w:val="00797D22"/>
    <w:rsid w:val="007A5F84"/>
    <w:rsid w:val="007C2AC9"/>
    <w:rsid w:val="007E1735"/>
    <w:rsid w:val="008115D6"/>
    <w:rsid w:val="00827933"/>
    <w:rsid w:val="008A76E2"/>
    <w:rsid w:val="008C5BE6"/>
    <w:rsid w:val="0091533E"/>
    <w:rsid w:val="00994E32"/>
    <w:rsid w:val="009F63B2"/>
    <w:rsid w:val="00A21662"/>
    <w:rsid w:val="00A25E42"/>
    <w:rsid w:val="00A32592"/>
    <w:rsid w:val="00AA5969"/>
    <w:rsid w:val="00B64F87"/>
    <w:rsid w:val="00B8173D"/>
    <w:rsid w:val="00B87222"/>
    <w:rsid w:val="00C34CB0"/>
    <w:rsid w:val="00C765D5"/>
    <w:rsid w:val="00C87335"/>
    <w:rsid w:val="00C87602"/>
    <w:rsid w:val="00C93D0F"/>
    <w:rsid w:val="00D061C2"/>
    <w:rsid w:val="00D27DA1"/>
    <w:rsid w:val="00D51EB7"/>
    <w:rsid w:val="00D70F28"/>
    <w:rsid w:val="00DC2E3F"/>
    <w:rsid w:val="00DC5022"/>
    <w:rsid w:val="00DE0EA8"/>
    <w:rsid w:val="00DE2D47"/>
    <w:rsid w:val="00DF62B9"/>
    <w:rsid w:val="00E16B99"/>
    <w:rsid w:val="00E17DDB"/>
    <w:rsid w:val="00E55C97"/>
    <w:rsid w:val="00E61677"/>
    <w:rsid w:val="00E65A07"/>
    <w:rsid w:val="00EB227B"/>
    <w:rsid w:val="00ED4E68"/>
    <w:rsid w:val="00F15D2F"/>
    <w:rsid w:val="00F24730"/>
    <w:rsid w:val="00F33B5E"/>
    <w:rsid w:val="00F609E9"/>
    <w:rsid w:val="00F8156E"/>
    <w:rsid w:val="00FB2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1300C"/>
  <w15:chartTrackingRefBased/>
  <w15:docId w15:val="{B9BE1180-A34E-462E-99AB-51D3FE556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915"/>
  </w:style>
  <w:style w:type="paragraph" w:styleId="Heading1">
    <w:name w:val="heading 1"/>
    <w:basedOn w:val="Normal"/>
    <w:next w:val="Normal"/>
    <w:link w:val="Heading1Char"/>
    <w:uiPriority w:val="9"/>
    <w:qFormat/>
    <w:rsid w:val="006E49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49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49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49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49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49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49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49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49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9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49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49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49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49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49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49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49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4915"/>
    <w:rPr>
      <w:rFonts w:eastAsiaTheme="majorEastAsia" w:cstheme="majorBidi"/>
      <w:color w:val="272727" w:themeColor="text1" w:themeTint="D8"/>
    </w:rPr>
  </w:style>
  <w:style w:type="paragraph" w:styleId="Title">
    <w:name w:val="Title"/>
    <w:basedOn w:val="Normal"/>
    <w:next w:val="Normal"/>
    <w:link w:val="TitleChar"/>
    <w:uiPriority w:val="10"/>
    <w:qFormat/>
    <w:rsid w:val="006E49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49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49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49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4915"/>
    <w:pPr>
      <w:spacing w:before="160"/>
      <w:jc w:val="center"/>
    </w:pPr>
    <w:rPr>
      <w:i/>
      <w:iCs/>
      <w:color w:val="404040" w:themeColor="text1" w:themeTint="BF"/>
    </w:rPr>
  </w:style>
  <w:style w:type="character" w:customStyle="1" w:styleId="QuoteChar">
    <w:name w:val="Quote Char"/>
    <w:basedOn w:val="DefaultParagraphFont"/>
    <w:link w:val="Quote"/>
    <w:uiPriority w:val="29"/>
    <w:rsid w:val="006E4915"/>
    <w:rPr>
      <w:i/>
      <w:iCs/>
      <w:color w:val="404040" w:themeColor="text1" w:themeTint="BF"/>
    </w:rPr>
  </w:style>
  <w:style w:type="paragraph" w:styleId="ListParagraph">
    <w:name w:val="List Paragraph"/>
    <w:basedOn w:val="Normal"/>
    <w:uiPriority w:val="34"/>
    <w:qFormat/>
    <w:rsid w:val="006E4915"/>
    <w:pPr>
      <w:ind w:left="720"/>
      <w:contextualSpacing/>
    </w:pPr>
  </w:style>
  <w:style w:type="character" w:styleId="IntenseEmphasis">
    <w:name w:val="Intense Emphasis"/>
    <w:basedOn w:val="DefaultParagraphFont"/>
    <w:uiPriority w:val="21"/>
    <w:qFormat/>
    <w:rsid w:val="006E4915"/>
    <w:rPr>
      <w:i/>
      <w:iCs/>
      <w:color w:val="0F4761" w:themeColor="accent1" w:themeShade="BF"/>
    </w:rPr>
  </w:style>
  <w:style w:type="paragraph" w:styleId="IntenseQuote">
    <w:name w:val="Intense Quote"/>
    <w:basedOn w:val="Normal"/>
    <w:next w:val="Normal"/>
    <w:link w:val="IntenseQuoteChar"/>
    <w:uiPriority w:val="30"/>
    <w:qFormat/>
    <w:rsid w:val="006E49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4915"/>
    <w:rPr>
      <w:i/>
      <w:iCs/>
      <w:color w:val="0F4761" w:themeColor="accent1" w:themeShade="BF"/>
    </w:rPr>
  </w:style>
  <w:style w:type="character" w:styleId="IntenseReference">
    <w:name w:val="Intense Reference"/>
    <w:basedOn w:val="DefaultParagraphFont"/>
    <w:uiPriority w:val="32"/>
    <w:qFormat/>
    <w:rsid w:val="006E4915"/>
    <w:rPr>
      <w:b/>
      <w:bCs/>
      <w:smallCaps/>
      <w:color w:val="0F4761" w:themeColor="accent1" w:themeShade="BF"/>
      <w:spacing w:val="5"/>
    </w:rPr>
  </w:style>
  <w:style w:type="paragraph" w:styleId="TOCHeading">
    <w:name w:val="TOC Heading"/>
    <w:basedOn w:val="Heading1"/>
    <w:next w:val="Normal"/>
    <w:uiPriority w:val="39"/>
    <w:unhideWhenUsed/>
    <w:qFormat/>
    <w:rsid w:val="00F8156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8156E"/>
    <w:pPr>
      <w:spacing w:after="100"/>
    </w:pPr>
  </w:style>
  <w:style w:type="character" w:styleId="Hyperlink">
    <w:name w:val="Hyperlink"/>
    <w:basedOn w:val="DefaultParagraphFont"/>
    <w:uiPriority w:val="99"/>
    <w:unhideWhenUsed/>
    <w:rsid w:val="00F8156E"/>
    <w:rPr>
      <w:color w:val="467886" w:themeColor="hyperlink"/>
      <w:u w:val="single"/>
    </w:rPr>
  </w:style>
  <w:style w:type="paragraph" w:styleId="Bibliography">
    <w:name w:val="Bibliography"/>
    <w:basedOn w:val="Normal"/>
    <w:next w:val="Normal"/>
    <w:uiPriority w:val="37"/>
    <w:unhideWhenUsed/>
    <w:rsid w:val="00696049"/>
  </w:style>
  <w:style w:type="character" w:styleId="UnresolvedMention">
    <w:name w:val="Unresolved Mention"/>
    <w:basedOn w:val="DefaultParagraphFont"/>
    <w:uiPriority w:val="99"/>
    <w:semiHidden/>
    <w:unhideWhenUsed/>
    <w:rsid w:val="006D30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8001294">
      <w:bodyDiv w:val="1"/>
      <w:marLeft w:val="0"/>
      <w:marRight w:val="0"/>
      <w:marTop w:val="0"/>
      <w:marBottom w:val="0"/>
      <w:divBdr>
        <w:top w:val="none" w:sz="0" w:space="0" w:color="auto"/>
        <w:left w:val="none" w:sz="0" w:space="0" w:color="auto"/>
        <w:bottom w:val="none" w:sz="0" w:space="0" w:color="auto"/>
        <w:right w:val="none" w:sz="0" w:space="0" w:color="auto"/>
      </w:divBdr>
    </w:div>
    <w:div w:id="248539265">
      <w:bodyDiv w:val="1"/>
      <w:marLeft w:val="0"/>
      <w:marRight w:val="0"/>
      <w:marTop w:val="0"/>
      <w:marBottom w:val="0"/>
      <w:divBdr>
        <w:top w:val="none" w:sz="0" w:space="0" w:color="auto"/>
        <w:left w:val="none" w:sz="0" w:space="0" w:color="auto"/>
        <w:bottom w:val="none" w:sz="0" w:space="0" w:color="auto"/>
        <w:right w:val="none" w:sz="0" w:space="0" w:color="auto"/>
      </w:divBdr>
    </w:div>
    <w:div w:id="264652241">
      <w:bodyDiv w:val="1"/>
      <w:marLeft w:val="0"/>
      <w:marRight w:val="0"/>
      <w:marTop w:val="0"/>
      <w:marBottom w:val="0"/>
      <w:divBdr>
        <w:top w:val="none" w:sz="0" w:space="0" w:color="auto"/>
        <w:left w:val="none" w:sz="0" w:space="0" w:color="auto"/>
        <w:bottom w:val="none" w:sz="0" w:space="0" w:color="auto"/>
        <w:right w:val="none" w:sz="0" w:space="0" w:color="auto"/>
      </w:divBdr>
    </w:div>
    <w:div w:id="302272137">
      <w:bodyDiv w:val="1"/>
      <w:marLeft w:val="0"/>
      <w:marRight w:val="0"/>
      <w:marTop w:val="0"/>
      <w:marBottom w:val="0"/>
      <w:divBdr>
        <w:top w:val="none" w:sz="0" w:space="0" w:color="auto"/>
        <w:left w:val="none" w:sz="0" w:space="0" w:color="auto"/>
        <w:bottom w:val="none" w:sz="0" w:space="0" w:color="auto"/>
        <w:right w:val="none" w:sz="0" w:space="0" w:color="auto"/>
      </w:divBdr>
    </w:div>
    <w:div w:id="339164170">
      <w:bodyDiv w:val="1"/>
      <w:marLeft w:val="0"/>
      <w:marRight w:val="0"/>
      <w:marTop w:val="0"/>
      <w:marBottom w:val="0"/>
      <w:divBdr>
        <w:top w:val="none" w:sz="0" w:space="0" w:color="auto"/>
        <w:left w:val="none" w:sz="0" w:space="0" w:color="auto"/>
        <w:bottom w:val="none" w:sz="0" w:space="0" w:color="auto"/>
        <w:right w:val="none" w:sz="0" w:space="0" w:color="auto"/>
      </w:divBdr>
    </w:div>
    <w:div w:id="381176488">
      <w:bodyDiv w:val="1"/>
      <w:marLeft w:val="0"/>
      <w:marRight w:val="0"/>
      <w:marTop w:val="0"/>
      <w:marBottom w:val="0"/>
      <w:divBdr>
        <w:top w:val="none" w:sz="0" w:space="0" w:color="auto"/>
        <w:left w:val="none" w:sz="0" w:space="0" w:color="auto"/>
        <w:bottom w:val="none" w:sz="0" w:space="0" w:color="auto"/>
        <w:right w:val="none" w:sz="0" w:space="0" w:color="auto"/>
      </w:divBdr>
    </w:div>
    <w:div w:id="440104001">
      <w:bodyDiv w:val="1"/>
      <w:marLeft w:val="0"/>
      <w:marRight w:val="0"/>
      <w:marTop w:val="0"/>
      <w:marBottom w:val="0"/>
      <w:divBdr>
        <w:top w:val="none" w:sz="0" w:space="0" w:color="auto"/>
        <w:left w:val="none" w:sz="0" w:space="0" w:color="auto"/>
        <w:bottom w:val="none" w:sz="0" w:space="0" w:color="auto"/>
        <w:right w:val="none" w:sz="0" w:space="0" w:color="auto"/>
      </w:divBdr>
    </w:div>
    <w:div w:id="475267281">
      <w:bodyDiv w:val="1"/>
      <w:marLeft w:val="0"/>
      <w:marRight w:val="0"/>
      <w:marTop w:val="0"/>
      <w:marBottom w:val="0"/>
      <w:divBdr>
        <w:top w:val="none" w:sz="0" w:space="0" w:color="auto"/>
        <w:left w:val="none" w:sz="0" w:space="0" w:color="auto"/>
        <w:bottom w:val="none" w:sz="0" w:space="0" w:color="auto"/>
        <w:right w:val="none" w:sz="0" w:space="0" w:color="auto"/>
      </w:divBdr>
    </w:div>
    <w:div w:id="511653468">
      <w:bodyDiv w:val="1"/>
      <w:marLeft w:val="0"/>
      <w:marRight w:val="0"/>
      <w:marTop w:val="0"/>
      <w:marBottom w:val="0"/>
      <w:divBdr>
        <w:top w:val="none" w:sz="0" w:space="0" w:color="auto"/>
        <w:left w:val="none" w:sz="0" w:space="0" w:color="auto"/>
        <w:bottom w:val="none" w:sz="0" w:space="0" w:color="auto"/>
        <w:right w:val="none" w:sz="0" w:space="0" w:color="auto"/>
      </w:divBdr>
    </w:div>
    <w:div w:id="639383046">
      <w:bodyDiv w:val="1"/>
      <w:marLeft w:val="0"/>
      <w:marRight w:val="0"/>
      <w:marTop w:val="0"/>
      <w:marBottom w:val="0"/>
      <w:divBdr>
        <w:top w:val="none" w:sz="0" w:space="0" w:color="auto"/>
        <w:left w:val="none" w:sz="0" w:space="0" w:color="auto"/>
        <w:bottom w:val="none" w:sz="0" w:space="0" w:color="auto"/>
        <w:right w:val="none" w:sz="0" w:space="0" w:color="auto"/>
      </w:divBdr>
    </w:div>
    <w:div w:id="690493563">
      <w:bodyDiv w:val="1"/>
      <w:marLeft w:val="0"/>
      <w:marRight w:val="0"/>
      <w:marTop w:val="0"/>
      <w:marBottom w:val="0"/>
      <w:divBdr>
        <w:top w:val="none" w:sz="0" w:space="0" w:color="auto"/>
        <w:left w:val="none" w:sz="0" w:space="0" w:color="auto"/>
        <w:bottom w:val="none" w:sz="0" w:space="0" w:color="auto"/>
        <w:right w:val="none" w:sz="0" w:space="0" w:color="auto"/>
      </w:divBdr>
    </w:div>
    <w:div w:id="880482232">
      <w:bodyDiv w:val="1"/>
      <w:marLeft w:val="0"/>
      <w:marRight w:val="0"/>
      <w:marTop w:val="0"/>
      <w:marBottom w:val="0"/>
      <w:divBdr>
        <w:top w:val="none" w:sz="0" w:space="0" w:color="auto"/>
        <w:left w:val="none" w:sz="0" w:space="0" w:color="auto"/>
        <w:bottom w:val="none" w:sz="0" w:space="0" w:color="auto"/>
        <w:right w:val="none" w:sz="0" w:space="0" w:color="auto"/>
      </w:divBdr>
    </w:div>
    <w:div w:id="923149780">
      <w:bodyDiv w:val="1"/>
      <w:marLeft w:val="0"/>
      <w:marRight w:val="0"/>
      <w:marTop w:val="0"/>
      <w:marBottom w:val="0"/>
      <w:divBdr>
        <w:top w:val="none" w:sz="0" w:space="0" w:color="auto"/>
        <w:left w:val="none" w:sz="0" w:space="0" w:color="auto"/>
        <w:bottom w:val="none" w:sz="0" w:space="0" w:color="auto"/>
        <w:right w:val="none" w:sz="0" w:space="0" w:color="auto"/>
      </w:divBdr>
    </w:div>
    <w:div w:id="1125006390">
      <w:bodyDiv w:val="1"/>
      <w:marLeft w:val="0"/>
      <w:marRight w:val="0"/>
      <w:marTop w:val="0"/>
      <w:marBottom w:val="0"/>
      <w:divBdr>
        <w:top w:val="none" w:sz="0" w:space="0" w:color="auto"/>
        <w:left w:val="none" w:sz="0" w:space="0" w:color="auto"/>
        <w:bottom w:val="none" w:sz="0" w:space="0" w:color="auto"/>
        <w:right w:val="none" w:sz="0" w:space="0" w:color="auto"/>
      </w:divBdr>
    </w:div>
    <w:div w:id="1166021804">
      <w:bodyDiv w:val="1"/>
      <w:marLeft w:val="0"/>
      <w:marRight w:val="0"/>
      <w:marTop w:val="0"/>
      <w:marBottom w:val="0"/>
      <w:divBdr>
        <w:top w:val="none" w:sz="0" w:space="0" w:color="auto"/>
        <w:left w:val="none" w:sz="0" w:space="0" w:color="auto"/>
        <w:bottom w:val="none" w:sz="0" w:space="0" w:color="auto"/>
        <w:right w:val="none" w:sz="0" w:space="0" w:color="auto"/>
      </w:divBdr>
    </w:div>
    <w:div w:id="1230455132">
      <w:bodyDiv w:val="1"/>
      <w:marLeft w:val="0"/>
      <w:marRight w:val="0"/>
      <w:marTop w:val="0"/>
      <w:marBottom w:val="0"/>
      <w:divBdr>
        <w:top w:val="none" w:sz="0" w:space="0" w:color="auto"/>
        <w:left w:val="none" w:sz="0" w:space="0" w:color="auto"/>
        <w:bottom w:val="none" w:sz="0" w:space="0" w:color="auto"/>
        <w:right w:val="none" w:sz="0" w:space="0" w:color="auto"/>
      </w:divBdr>
    </w:div>
    <w:div w:id="1312177529">
      <w:bodyDiv w:val="1"/>
      <w:marLeft w:val="0"/>
      <w:marRight w:val="0"/>
      <w:marTop w:val="0"/>
      <w:marBottom w:val="0"/>
      <w:divBdr>
        <w:top w:val="none" w:sz="0" w:space="0" w:color="auto"/>
        <w:left w:val="none" w:sz="0" w:space="0" w:color="auto"/>
        <w:bottom w:val="none" w:sz="0" w:space="0" w:color="auto"/>
        <w:right w:val="none" w:sz="0" w:space="0" w:color="auto"/>
      </w:divBdr>
    </w:div>
    <w:div w:id="1350109884">
      <w:bodyDiv w:val="1"/>
      <w:marLeft w:val="0"/>
      <w:marRight w:val="0"/>
      <w:marTop w:val="0"/>
      <w:marBottom w:val="0"/>
      <w:divBdr>
        <w:top w:val="none" w:sz="0" w:space="0" w:color="auto"/>
        <w:left w:val="none" w:sz="0" w:space="0" w:color="auto"/>
        <w:bottom w:val="none" w:sz="0" w:space="0" w:color="auto"/>
        <w:right w:val="none" w:sz="0" w:space="0" w:color="auto"/>
      </w:divBdr>
    </w:div>
    <w:div w:id="1356733377">
      <w:bodyDiv w:val="1"/>
      <w:marLeft w:val="0"/>
      <w:marRight w:val="0"/>
      <w:marTop w:val="0"/>
      <w:marBottom w:val="0"/>
      <w:divBdr>
        <w:top w:val="none" w:sz="0" w:space="0" w:color="auto"/>
        <w:left w:val="none" w:sz="0" w:space="0" w:color="auto"/>
        <w:bottom w:val="none" w:sz="0" w:space="0" w:color="auto"/>
        <w:right w:val="none" w:sz="0" w:space="0" w:color="auto"/>
      </w:divBdr>
    </w:div>
    <w:div w:id="1543126741">
      <w:bodyDiv w:val="1"/>
      <w:marLeft w:val="0"/>
      <w:marRight w:val="0"/>
      <w:marTop w:val="0"/>
      <w:marBottom w:val="0"/>
      <w:divBdr>
        <w:top w:val="none" w:sz="0" w:space="0" w:color="auto"/>
        <w:left w:val="none" w:sz="0" w:space="0" w:color="auto"/>
        <w:bottom w:val="none" w:sz="0" w:space="0" w:color="auto"/>
        <w:right w:val="none" w:sz="0" w:space="0" w:color="auto"/>
      </w:divBdr>
    </w:div>
    <w:div w:id="1630739736">
      <w:bodyDiv w:val="1"/>
      <w:marLeft w:val="0"/>
      <w:marRight w:val="0"/>
      <w:marTop w:val="0"/>
      <w:marBottom w:val="0"/>
      <w:divBdr>
        <w:top w:val="none" w:sz="0" w:space="0" w:color="auto"/>
        <w:left w:val="none" w:sz="0" w:space="0" w:color="auto"/>
        <w:bottom w:val="none" w:sz="0" w:space="0" w:color="auto"/>
        <w:right w:val="none" w:sz="0" w:space="0" w:color="auto"/>
      </w:divBdr>
    </w:div>
    <w:div w:id="1677879227">
      <w:bodyDiv w:val="1"/>
      <w:marLeft w:val="0"/>
      <w:marRight w:val="0"/>
      <w:marTop w:val="0"/>
      <w:marBottom w:val="0"/>
      <w:divBdr>
        <w:top w:val="none" w:sz="0" w:space="0" w:color="auto"/>
        <w:left w:val="none" w:sz="0" w:space="0" w:color="auto"/>
        <w:bottom w:val="none" w:sz="0" w:space="0" w:color="auto"/>
        <w:right w:val="none" w:sz="0" w:space="0" w:color="auto"/>
      </w:divBdr>
    </w:div>
    <w:div w:id="1726178838">
      <w:bodyDiv w:val="1"/>
      <w:marLeft w:val="0"/>
      <w:marRight w:val="0"/>
      <w:marTop w:val="0"/>
      <w:marBottom w:val="0"/>
      <w:divBdr>
        <w:top w:val="none" w:sz="0" w:space="0" w:color="auto"/>
        <w:left w:val="none" w:sz="0" w:space="0" w:color="auto"/>
        <w:bottom w:val="none" w:sz="0" w:space="0" w:color="auto"/>
        <w:right w:val="none" w:sz="0" w:space="0" w:color="auto"/>
      </w:divBdr>
    </w:div>
    <w:div w:id="1893809436">
      <w:bodyDiv w:val="1"/>
      <w:marLeft w:val="0"/>
      <w:marRight w:val="0"/>
      <w:marTop w:val="0"/>
      <w:marBottom w:val="0"/>
      <w:divBdr>
        <w:top w:val="none" w:sz="0" w:space="0" w:color="auto"/>
        <w:left w:val="none" w:sz="0" w:space="0" w:color="auto"/>
        <w:bottom w:val="none" w:sz="0" w:space="0" w:color="auto"/>
        <w:right w:val="none" w:sz="0" w:space="0" w:color="auto"/>
      </w:divBdr>
    </w:div>
    <w:div w:id="2099597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archengineland.com/twitter-is-now-brand-x-42976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Aks07</b:Tag>
    <b:SourceType>JournalArticle</b:SourceType>
    <b:Guid>{7C4182E2-0CC3-4D7F-A025-2C4A9B2A41C9}</b:Guid>
    <b:Title>Why we twitter: understanding microblogging usage and communities</b:Title>
    <b:Year>2007</b:Year>
    <b:Author>
      <b:Author>
        <b:NameList>
          <b:Person>
            <b:Last>Akshay Java</b:Last>
            <b:First>Xiaodan</b:First>
            <b:Middle>Song, Tim Finin, Belle Tseng</b:Middle>
          </b:Person>
        </b:NameList>
      </b:Author>
    </b:Author>
    <b:JournalName>Proceedings of the 9th WebKDD and 1st SNA-KDD 2007 Conference</b:JournalName>
    <b:Pages>56-65</b:Pages>
    <b:RefOrder>1</b:RefOrder>
  </b:Source>
  <b:Source>
    <b:Tag>Enr23</b:Tag>
    <b:SourceType>JournalArticle</b:SourceType>
    <b:Guid>{F5744443-0090-4FD3-9CBD-D76014478C52}</b:Guid>
    <b:Author>
      <b:Author>
        <b:NameList>
          <b:Person>
            <b:Last>Cano-Marin</b:Last>
            <b:First>Enrique</b:First>
          </b:Person>
        </b:NameList>
      </b:Author>
    </b:Author>
    <b:Title>Twitter as a predictive system: A systematic literature review</b:Title>
    <b:JournalName>Journal of Business Research</b:JournalName>
    <b:Year>2023</b:Year>
    <b:Volume>156</b:Volume>
    <b:RefOrder>3</b:RefOrder>
  </b:Source>
  <b:Source>
    <b:Tag>Qin22</b:Tag>
    <b:SourceType>JournalArticle</b:SourceType>
    <b:Guid>{71F71F47-3055-4255-B347-99D92A1EC1A6}</b:Guid>
    <b:Author>
      <b:Author>
        <b:NameList>
          <b:Person>
            <b:Last>Jia</b:Last>
            <b:First>Qingwen</b:First>
          </b:Person>
        </b:NameList>
      </b:Author>
    </b:Author>
    <b:Title>An overall analysis of twitter and Elon Musk M&amp;A deal</b:Title>
    <b:JournalName>Highlights in Business, Economics and Management</b:JournalName>
    <b:Year>2022</b:Year>
    <b:Volume>2</b:Volume>
    <b:RefOrder>2</b:RefOrder>
  </b:Source>
  <b:Source>
    <b:Tag>Vai15</b:Tag>
    <b:SourceType>JournalArticle</b:SourceType>
    <b:Guid>{10787791-3D69-4AD5-81A9-1BDD4DA1D312}</b:Guid>
    <b:Author>
      <b:Author>
        <b:NameList>
          <b:Person>
            <b:Last>Vaishali Ugale</b:Last>
            <b:First>Soudamini</b:First>
            <b:Middle>Pawar</b:Middle>
          </b:Person>
        </b:NameList>
      </b:Author>
    </b:Author>
    <b:Title>PESTLE BASED EVENT DETECTION AND CLASSIFICATION</b:Title>
    <b:JournalName>International Journal of Research in Engineering and Technology</b:JournalName>
    <b:Year>2015</b:Year>
    <b:Pages>611-616</b:Pages>
    <b:Volume>4</b:Volume>
    <b:Issue>5</b:Issue>
    <b:RefOrder>4</b:RefOrder>
  </b:Source>
  <b:Source>
    <b:Tag>Zhe23</b:Tag>
    <b:SourceType>JournalArticle</b:SourceType>
    <b:Guid>{E25C8661-9897-4799-B0C3-85DE7D24E8CC}</b:Guid>
    <b:Author>
      <b:Author>
        <b:NameList>
          <b:Person>
            <b:Last>Hanwei</b:Last>
            <b:First>Zheng</b:First>
          </b:Person>
        </b:NameList>
      </b:Author>
    </b:Author>
    <b:Title>Twitter 's Corporate Strategy Analysis - Based on SWOT-PEST Model</b:Title>
    <b:JournalName>The 2023 International Symposium on Economic, Social Development and Trade</b:JournalName>
    <b:Year>2023</b:Year>
    <b:Volume>6</b:Volume>
    <b:Issue>1</b:Issue>
    <b:RefOrder>5</b:RefOrder>
  </b:Source>
  <b:Source>
    <b:Tag>Nit24</b:Tag>
    <b:SourceType>JournalArticle</b:SourceType>
    <b:Guid>{0747B2FC-D368-43F3-A22D-FB1E6C13B76E}</b:Guid>
    <b:Author>
      <b:Author>
        <b:NameList>
          <b:Person>
            <b:Last>Nitin Pangarkar</b:Last>
            <b:First>Rohit</b:First>
            <b:Middle>Prabhudesai</b:Middle>
          </b:Person>
        </b:NameList>
      </b:Author>
    </b:Author>
    <b:Title>Using Porter's Five Forces analysis to drive strategy</b:Title>
    <b:JournalName> Global Business and Organizational Excellence </b:JournalName>
    <b:Year>2024</b:Year>
    <b:Pages>24-34</b:Pages>
    <b:Volume>43</b:Volume>
    <b:Issue>5</b:Issue>
    <b:RefOrder>6</b:RefOrder>
  </b:Source>
  <b:Source>
    <b:Tag>Poo23</b:Tag>
    <b:SourceType>JournalArticle</b:SourceType>
    <b:Guid>{E604635D-FA25-4FFA-B100-B6CB3BBEC137}</b:Guid>
    <b:Author>
      <b:Author>
        <b:NameList>
          <b:Person>
            <b:Last>Kumar</b:Last>
            <b:First>Pooja</b:First>
            <b:Middle>Nanda and Vikas</b:Middle>
          </b:Person>
        </b:NameList>
      </b:Author>
    </b:Author>
    <b:Title>Decision analytics for competitive advantage: cases on using social media analytics</b:Title>
    <b:JournalName>Inderscience</b:JournalName>
    <b:Year>2023</b:Year>
    <b:Volume>23</b:Volume>
    <b:Issue>4</b:Issue>
    <b:RefOrder>7</b:RefOrder>
  </b:Source>
  <b:Source>
    <b:Tag>Tur23</b:Tag>
    <b:SourceType>JournalArticle</b:SourceType>
    <b:Guid>{5582EC81-D6AD-474A-851C-D3BB838DA905}</b:Guid>
    <b:Author>
      <b:Author>
        <b:NameList>
          <b:Person>
            <b:Last>Turan Paksoy</b:Last>
            <b:First>Mehmet</b:First>
            <b:Middle>Akif Gunduz</b:Middle>
          </b:Person>
        </b:NameList>
      </b:Author>
    </b:Author>
    <b:Title>Overall competitiveness efficiency: A quantitative approach to the five forces model</b:Title>
    <b:JournalName>Computers &amp; Industrial Engineering</b:JournalName>
    <b:Year>2023</b:Year>
    <b:Volume>182</b:Volume>
    <b:RefOrder>8</b:RefOrder>
  </b:Source>
  <b:Source>
    <b:Tag>Ber20</b:Tag>
    <b:SourceType>JournalArticle</b:SourceType>
    <b:Guid>{1FB322E6-FF4F-4ADF-A9F8-5254389F5FAB}</b:Guid>
    <b:Author>
      <b:Author>
        <b:NameList>
          <b:Person>
            <b:Last>Burnes</b:Last>
            <b:First>Bernard</b:First>
          </b:Person>
        </b:NameList>
      </b:Author>
    </b:Author>
    <b:Title>The Origins of Lewin’s Three-Step Model of Change</b:Title>
    <b:JournalName>The Journal of Applied Behavioral Science</b:JournalName>
    <b:Year>2020</b:Year>
    <b:Pages>32-59</b:Pages>
    <b:Volume>56</b:Volume>
    <b:Issue>1</b:Issue>
    <b:RefOrder>9</b:RefOrder>
  </b:Source>
  <b:Source>
    <b:Tag>Fer21</b:Tag>
    <b:SourceType>JournalArticle</b:SourceType>
    <b:Guid>{5E004370-4694-4199-B801-A3E3DA9924BF}</b:Guid>
    <b:Author>
      <b:Author>
        <b:NameList>
          <b:Person>
            <b:Last>Abocejo</b:Last>
            <b:First>Ferdinand</b:First>
            <b:Middle>T.</b:Middle>
          </b:Person>
        </b:NameList>
      </b:Author>
    </b:Author>
    <b:Title>Change Management Process in a Mining Company: Kotter’s 8-Step Change Model</b:Title>
    <b:JournalName>Journal of Management, Economics, and Industrial Organization</b:JournalName>
    <b:Year>2021</b:Year>
    <b:Volume>5</b:Volume>
    <b:Issue>3</b:Issue>
    <b:RefOrder>10</b:RefOrder>
  </b:Source>
  <b:Source>
    <b:Tag>Ayh22</b:Tag>
    <b:SourceType>JournalArticle</b:SourceType>
    <b:Guid>{66092857-38E8-455F-996C-5FCDA9CB4038}</b:Guid>
    <b:Author>
      <b:Author>
        <b:NameList>
          <b:Person>
            <b:Last>Jaarona</b:Last>
            <b:First>Ayham</b:First>
            <b:Middle>A.M.</b:Middle>
          </b:Person>
        </b:NameList>
      </b:Author>
    </b:Author>
    <b:Title>A conceptual model for adoption of BIM in construction projects: ADKAR as an integrative model of change management</b:Title>
    <b:JournalName>Technology Analysis &amp; Strategic Management</b:JournalName>
    <b:Year>2022</b:Year>
    <b:Pages>655-667</b:Pages>
    <b:Volume>34</b:Volume>
    <b:Issue>6</b:Issue>
    <b:RefOrder>11</b:RefOrder>
  </b:Source>
  <b:Source>
    <b:Tag>Cue23</b:Tag>
    <b:SourceType>JournalArticle</b:SourceType>
    <b:Guid>{3EF2096C-69C1-4DAF-A94D-53D2620C220C}</b:Guid>
    <b:Author>
      <b:Author>
        <b:NameList>
          <b:Person>
            <b:Last>Cuervo Carabel</b:Last>
            <b:First>Tatiana</b:First>
          </b:Person>
          <b:Person>
            <b:Last>Arce García</b:Last>
            <b:First>Sergio</b:First>
          </b:Person>
          <b:Person>
            <b:Last>Orviz Martínez</b:Last>
            <b:First>Natalia</b:First>
          </b:Person>
        </b:NameList>
      </b:Author>
    </b:Author>
    <b:Title>Corporate social responsibility and its communication on Twitter: analysis of the discourse and feelings generated in society</b:Title>
    <b:JournalName> Cuadernos de Gestión</b:JournalName>
    <b:Year>2023</b:Year>
    <b:Pages>63-73</b:Pages>
    <b:Volume>23</b:Volume>
    <b:Issue>1</b:Issue>
    <b:RefOrder>12</b:RefOrder>
  </b:Source>
  <b:Source>
    <b:Tag>Mey23</b:Tag>
    <b:SourceType>JournalArticle</b:SourceType>
    <b:Guid>{03C69A3F-6FDC-44A2-89A1-F66B460668E7}</b:Guid>
    <b:Author>
      <b:Author>
        <b:NameList>
          <b:Person>
            <b:Last>Meyer</b:Last>
            <b:First>C.</b:First>
            <b:Middle>B., &amp; Stensaker, I. G.</b:Middle>
          </b:Person>
        </b:NameList>
      </b:Author>
    </b:Author>
    <b:Title>Amplify or Suppress? Top Leader Perspective on External Stakeholders’ Influence on Organizational Change Outcomes.</b:Title>
    <b:JournalName>The Journal of Applied Behavioral Science</b:JournalName>
    <b:Year>2023</b:Year>
    <b:Pages>647-686</b:Pages>
    <b:Volume>59</b:Volume>
    <b:Issue>4</b:Issue>
    <b:RefOrder>13</b:RefOrder>
  </b:Source>
  <b:Source>
    <b:Tag>Pat23</b:Tag>
    <b:SourceType>JournalArticle</b:SourceType>
    <b:Guid>{BD4F4C09-F589-4B37-B8CD-2038CAC7EA9F}</b:Guid>
    <b:Author>
      <b:Author>
        <b:NameList>
          <b:Person>
            <b:Last>Patuelli</b:Last>
            <b:First>A.,</b:First>
            <b:Middle>Saracco, F</b:Middle>
          </b:Person>
        </b:NameList>
      </b:Author>
    </b:Author>
    <b:Title>Sustainable development goals as unifying narratives in large UK firms’ Twitter discussions</b:Title>
    <b:JournalName>Scientific Reports</b:JournalName>
    <b:Year>2023</b:Year>
    <b:RefOrder>14</b:RefOrder>
  </b:Source>
  <b:Source>
    <b:Tag>Ans23</b:Tag>
    <b:SourceType>JournalArticle</b:SourceType>
    <b:Guid>{5DCF778F-69B8-40C2-B594-5818A4812C19}</b:Guid>
    <b:Author>
      <b:Author>
        <b:NameList>
          <b:Person>
            <b:Last>Ansar Abbas</b:Last>
            <b:First>Fendy</b:First>
            <b:Middle>Suhariadi, Dian Ekowati, Rakotoarisoa Maminirina Fenitra</b:Middle>
          </b:Person>
        </b:NameList>
      </b:Author>
    </b:Author>
    <b:Title>A Strategic Paradigm for Transformational Leadership Theory in the Digital Age: Scope of the Analytical Third</b:Title>
    <b:JournalName> Transformational Leadership Styles for Global Leaders: Management and Communication Strategies</b:JournalName>
    <b:Year>2023</b:Year>
    <b:Pages>20</b:Pages>
    <b:RefOrder>15</b:RefOrder>
  </b:Source>
  <b:Source>
    <b:Tag>Zha24</b:Tag>
    <b:SourceType>JournalArticle</b:SourceType>
    <b:Guid>{B14FD527-CD16-45D8-9D80-D27B310AE477}</b:Guid>
    <b:Author>
      <b:Author>
        <b:NameList>
          <b:Person>
            <b:Last>Zhao</b:Last>
            <b:First>W.,</b:First>
            <b:Middle>&amp; Sun, X. M.</b:Middle>
          </b:Person>
        </b:NameList>
      </b:Author>
    </b:Author>
    <b:Title>The influence of transactional leadership style on employees’ innovation ability</b:Title>
    <b:JournalName>Nurture</b:JournalName>
    <b:Year>2024</b:Year>
    <b:Pages>139–160</b:Pages>
    <b:Volume>18</b:Volume>
    <b:Issue>1</b:Issue>
    <b:RefOrder>16</b:RefOrder>
  </b:Source>
  <b:Source>
    <b:Tag>Ega24</b:Tag>
    <b:SourceType>JournalArticle</b:SourceType>
    <b:Guid>{00672AB7-502F-41BC-B7FC-E1EC5449CC82}</b:Guid>
    <b:Author>
      <b:Author>
        <b:NameList>
          <b:Person>
            <b:Last>Egan</b:Last>
            <b:First>J.</b:First>
            <b:Middle>D.</b:Middle>
          </b:Person>
        </b:NameList>
      </b:Author>
    </b:Author>
    <b:Title>Situational Leadership Role-Play and Debrief: An Exploration of Useful Components and Limitations</b:Title>
    <b:JournalName>Management Teaching Review</b:JournalName>
    <b:Year>2024</b:Year>
    <b:Pages>129-146</b:Pages>
    <b:Volume>9</b:Volume>
    <b:Issue>2</b:Issue>
    <b:RefOrder>17</b:RefOrder>
  </b:Source>
  <b:Source>
    <b:Tag>Ben20</b:Tag>
    <b:SourceType>JournalArticle</b:SourceType>
    <b:Guid>{04068965-261E-42EF-824E-45BF75A9A584}</b:Guid>
    <b:Author>
      <b:Author>
        <b:NameList>
          <b:Person>
            <b:Last>Bendak</b:Last>
            <b:First>S.,</b:First>
            <b:Middle>Shikhli, A. M., Abdel-Razek, R. H., &amp; Ardito, L.</b:Middle>
          </b:Person>
        </b:NameList>
      </b:Author>
    </b:Author>
    <b:Title>How changing organizational culture can enhance innovation: Development of the innovative culture enhancement framework</b:Title>
    <b:JournalName> Cogent Business &amp; Management</b:JournalName>
    <b:Year>2020</b:Year>
    <b:Volume>7</b:Volume>
    <b:Issue>1</b:Issue>
    <b:RefOrder>18</b:RefOrder>
  </b:Source>
  <b:Source>
    <b:Tag>Rei24</b:Tag>
    <b:SourceType>JournalArticle</b:SourceType>
    <b:Guid>{72306ECE-116D-443D-A263-E244802F367E}</b:Guid>
    <b:Author>
      <b:Author>
        <b:NameList>
          <b:Person>
            <b:Last>Reisberger</b:Last>
            <b:First>T.,</b:First>
            <b:Middle>Reisberger, P., Copuš, L. et al</b:Middle>
          </b:Person>
        </b:NameList>
      </b:Author>
    </b:Author>
    <b:Title>The Linkage Between Digital Transformation and Organizational Culture: Novel Machine Learning Literature Review Based on Latent Dirichlet Allocation</b:Title>
    <b:JournalName> Journal of the Knowledge Economy </b:JournalName>
    <b:Year>2024</b:Year>
    <b:RefOrder>19</b:RefOrder>
  </b:Source>
  <b:Source>
    <b:Tag>Kit02</b:Tag>
    <b:SourceType>JournalArticle</b:SourceType>
    <b:Guid>{9872D06A-FCD2-4576-91B3-6CE1CD2762D4}</b:Guid>
    <b:Author>
      <b:Author>
        <b:NameList>
          <b:Person>
            <b:Last>Kitchen</b:Last>
            <b:First>P.J.</b:First>
            <b:Middle>and Daly, F.</b:Middle>
          </b:Person>
        </b:NameList>
      </b:Author>
    </b:Author>
    <b:Title>Internal communication during change management</b:Title>
    <b:JournalName>Corporate Communications: An International Journal</b:JournalName>
    <b:Year>2002</b:Year>
    <b:Pages>46-53</b:Pages>
    <b:Volume>7</b:Volume>
    <b:Issue>1</b:Issue>
    <b:RefOrder>20</b:RefOrder>
  </b:Source>
  <b:Source>
    <b:Tag>Viv05</b:Tag>
    <b:SourceType>JournalArticle</b:SourceType>
    <b:Guid>{2DD23C87-8138-44E7-832B-1A98A9CEBA95}</b:Guid>
    <b:Author>
      <b:Author>
        <b:NameList>
          <b:Person>
            <b:Last>Vivian Pair</b:Last>
            <b:First>Debby</b:First>
            <b:Middle>Boyle</b:Middle>
          </b:Person>
        </b:NameList>
      </b:Author>
    </b:Author>
    <b:Title>Internal and external communication and collaboration: building a strong help desk environment</b:Title>
    <b:JournalName>Association for Computing Machinery</b:JournalName>
    <b:Year>2005</b:Year>
    <b:Pages> 305 - 309</b:Pages>
    <b:RefOrder>21</b:RefOrder>
  </b:Source>
  <b:Source>
    <b:Tag>Nas23</b:Tag>
    <b:SourceType>JournalArticle</b:SourceType>
    <b:Guid>{6C70E9D4-EFD7-42F6-86FE-91C815471E3C}</b:Guid>
    <b:Author>
      <b:Author>
        <b:NameList>
          <b:Person>
            <b:Last>Naser Pourazad</b:Last>
            <b:First>Lara</b:First>
            <b:Middle>Stocchi, Shreya Narsey</b:Middle>
          </b:Person>
        </b:NameList>
      </b:Author>
    </b:Author>
    <b:Title>A Comparison of Social Media Influencers’ KPI Patterns across Platforms. </b:Title>
    <b:JournalName>Exploring Differences in Followers and Engagement On Facebook, Instagram, YouTube, TikTok, and Twitter</b:JournalName>
    <b:Year>2023</b:Year>
    <b:Volume>63</b:Volume>
    <b:Issue>2</b:Issue>
    <b:RefOrder>22</b:RefOrder>
  </b:Source>
</b:Sources>
</file>

<file path=customXml/itemProps1.xml><?xml version="1.0" encoding="utf-8"?>
<ds:datastoreItem xmlns:ds="http://schemas.openxmlformats.org/officeDocument/2006/customXml" ds:itemID="{6C93D075-BAC9-4ED8-BE51-EE3FECB2E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16</Pages>
  <Words>6047</Words>
  <Characters>34469</Characters>
  <Application>Microsoft Office Word</Application>
  <DocSecurity>0</DocSecurity>
  <Lines>287</Lines>
  <Paragraphs>80</Paragraphs>
  <ScaleCrop>false</ScaleCrop>
  <Company/>
  <LinksUpToDate>false</LinksUpToDate>
  <CharactersWithSpaces>40436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Pisanti</dc:creator>
  <cp:keywords/>
  <dc:description/>
  <cp:lastModifiedBy>Andrea Pisanti</cp:lastModifiedBy>
  <cp:revision>96</cp:revision>
  <dcterms:created xsi:type="dcterms:W3CDTF">2024-07-18T17:49:00Z</dcterms:created>
  <dcterms:modified xsi:type="dcterms:W3CDTF">2024-08-19T08:00:00Z</dcterms:modified>
</cp:coreProperties>
</file>